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12E"/>
          <w:sz w:val="46"/>
        </w:rPr>
        <w:t>Genome Firewall</w:t>
      </w:r>
    </w:p>
    <w:p>
      <w:r>
        <w:rPr>
          <w:i/>
          <w:color w:val="5A6B78"/>
          <w:sz w:val="24"/>
        </w:rPr>
        <w:t>An AI defense system against superbugs · Challenge 06 · Hack-Nation × OpenAI · demo + pitch notes</w:t>
      </w:r>
    </w:p>
    <w:p>
      <w:r>
        <w:rPr>
          <w:color w:val="C4CAD2"/>
        </w:rPr>
        <w:t>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6F8B"/>
        </w:rPr>
        <w:t>1. The problem (20-second open)</w:t>
      </w:r>
    </w:p>
    <w:p>
      <w:r>
        <w:t>Antibiotic-resistant infections are linked to 4.7M deaths a year; &gt;1M die because the drugs no longer work. When someone is septic, the lab takes 1–3 days to say which antibiotic works — and every wrong guess costs the patient time and breeds more resistance. The answer is already written in the bacterium's DNA.</w:t>
      </w:r>
    </w:p>
    <w:p>
      <w:pPr>
        <w:pStyle w:val="Heading1"/>
      </w:pPr>
      <w:r>
        <w:rPr>
          <w:color w:val="1F6F8B"/>
        </w:rPr>
        <w:t>2. What we built</w:t>
      </w:r>
    </w:p>
    <w:p>
      <w:r>
        <w:rPr>
          <w:b w:val="0"/>
        </w:rPr>
        <w:t xml:space="preserve">Genome Firewall reads a reconstructed bacterial genome and predicts, per antibiotic, </w:t>
      </w:r>
      <w:r>
        <w:rPr>
          <w:b/>
        </w:rPr>
        <w:t>likely to fail / likely to work / no-call</w:t>
      </w:r>
      <w:r>
        <w:rPr>
          <w:b w:val="0"/>
        </w:rPr>
        <w:t xml:space="preserve"> — each with a calibrated confidence and the exact genes behind it. Strictly defensive: it only explains resistance that already exists; it never designs or modifies an organism.</w:t>
      </w:r>
    </w:p>
    <w:p>
      <w:r>
        <w:rPr>
          <w:b/>
        </w:rPr>
        <w:t xml:space="preserve">Three modules: </w:t>
      </w:r>
      <w:r>
        <w:rPr>
          <w:b w:val="0"/>
        </w:rPr>
        <w:t>(1) Genome Reader turns a genome into resistance-gene features; (2) Predictor runs one calibrated model per antibiotic with a molecular-target gate and an honest no-call; (3) Decision Report — a clinical Streamlit instrument a clinician can read under time pressure.</w:t>
      </w:r>
    </w:p>
    <w:p>
      <w:pPr>
        <w:pStyle w:val="Heading1"/>
      </w:pPr>
      <w:r>
        <w:rPr>
          <w:color w:val="1F6F8B"/>
        </w:rPr>
        <w:t>3. Real data, real pipeline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BV-BRC (public) — lab-measured AST phenotypes + specialty-gene annotations + MLST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Klebsiella pneumoniae (WHO priority pathogen)</w:t>
            </w:r>
          </w:p>
        </w:tc>
      </w:tr>
      <w:tr>
        <w:tc>
          <w:tcPr>
            <w:tcW w:type="dxa" w:w="4320"/>
          </w:tcPr>
          <w:p>
            <w:r>
              <w:t>Genomes</w:t>
            </w:r>
          </w:p>
        </w:tc>
        <w:tc>
          <w:tcPr>
            <w:tcW w:type="dxa" w:w="4320"/>
          </w:tcPr>
          <w:p>
            <w:r>
              <w:t>5,442 (lab-measured phenotypes only)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316 resistance gene families (allele/multi-source names normalised)</w:t>
            </w:r>
          </w:p>
        </w:tc>
      </w:tr>
      <w:tr>
        <w:tc>
          <w:tcPr>
            <w:tcW w:type="dxa" w:w="4320"/>
          </w:tcPr>
          <w:p>
            <w:r>
              <w:t>Antibiotics</w:t>
            </w:r>
          </w:p>
        </w:tc>
        <w:tc>
          <w:tcPr>
            <w:tcW w:type="dxa" w:w="4320"/>
          </w:tcPr>
          <w:p>
            <w:r>
              <w:t>6 (meropenem, ceftazidime, ciprofloxacin, gentamicin, amikacin, tigecycline)</w:t>
            </w:r>
          </w:p>
        </w:tc>
      </w:tr>
      <w:tr>
        <w:tc>
          <w:tcPr>
            <w:tcW w:type="dxa" w:w="4320"/>
          </w:tcPr>
          <w:p>
            <w:r>
              <w:t>Split</w:t>
            </w:r>
          </w:p>
        </w:tc>
        <w:tc>
          <w:tcPr>
            <w:tcW w:type="dxa" w:w="4320"/>
          </w:tcPr>
          <w:p>
            <w:r>
              <w:t>grouped by MLST sequence type — held-out lineages the model never trained on</w:t>
            </w:r>
          </w:p>
        </w:tc>
      </w:tr>
    </w:tbl>
    <w:p/>
    <w:p>
      <w:pPr>
        <w:pStyle w:val="Heading1"/>
      </w:pPr>
      <w:r>
        <w:rPr>
          <w:color w:val="1F6F8B"/>
        </w:rPr>
        <w:t>4. Results — honest, held-out, grouped split</w:t>
      </w:r>
    </w:p>
    <w:p>
      <w:r>
        <w:rPr>
          <w:b w:val="0"/>
        </w:rPr>
        <w:t>We report AUROC / PR-AUC (threshold-free, the brief's requested metrics under class imbalance), not a single headline accuracy.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Antibiotic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AUROC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PR-AUC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</w:tr>
      <w:tr>
        <w:tc>
          <w:tcPr>
            <w:tcW w:type="dxa" w:w="2160"/>
          </w:tcPr>
          <w:p>
            <w:r>
              <w:t>Ceftazidime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</w:tr>
      <w:tr>
        <w:tc>
          <w:tcPr>
            <w:tcW w:type="dxa" w:w="2160"/>
          </w:tcPr>
          <w:p>
            <w:r>
              <w:t>Ciprofloxacin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Meropenem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Gentamicin</w:t>
            </w:r>
          </w:p>
        </w:tc>
        <w:tc>
          <w:tcPr>
            <w:tcW w:type="dxa" w:w="2160"/>
          </w:tcPr>
          <w:p>
            <w:r>
              <w:t>0.61</w:t>
            </w:r>
          </w:p>
        </w:tc>
        <w:tc>
          <w:tcPr>
            <w:tcW w:type="dxa" w:w="2160"/>
          </w:tcPr>
          <w:p>
            <w:r>
              <w:t>0.59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Amikacin</w:t>
            </w:r>
          </w:p>
        </w:tc>
        <w:tc>
          <w:tcPr>
            <w:tcW w:type="dxa" w:w="2160"/>
          </w:tcPr>
          <w:p>
            <w:r>
              <w:t>0.59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</w:tr>
      <w:tr>
        <w:tc>
          <w:tcPr>
            <w:tcW w:type="dxa" w:w="2160"/>
          </w:tcPr>
          <w:p>
            <w:r>
              <w:t>Tigecycline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near-random</w:t>
            </w:r>
          </w:p>
        </w:tc>
      </w:tr>
    </w:tbl>
    <w:p/>
    <w:p>
      <w:r>
        <w:rPr>
          <w:b/>
        </w:rPr>
        <w:t xml:space="preserve">Two honesty signals baked in: </w:t>
      </w:r>
      <w:r>
        <w:rPr>
          <w:b w:val="0"/>
        </w:rPr>
        <w:t>(a) grouped-split ≈ random-split accuracy — the model relies on horizontally-transferred resistance genes, so it generalises to new lineages instead of memorising clones; (b) calibrated confidence + a real no-call, so a wrong-but-confident call can't send a clinician to the wrong drug.</w:t>
      </w:r>
    </w:p>
    <w:p>
      <w:pPr>
        <w:pStyle w:val="Heading1"/>
      </w:pPr>
      <w:r>
        <w:rPr>
          <w:color w:val="1F6F8B"/>
        </w:rPr>
        <w:t>5. The finding worth stating out loud</w:t>
      </w:r>
    </w:p>
    <w:p>
      <w:r>
        <w:rPr>
          <w:b/>
        </w:rPr>
        <w:t xml:space="preserve">Where the model is weak, it is weak for a real, explainable reason: </w:t>
      </w:r>
      <w:r>
        <w:rPr>
          <w:b w:val="0"/>
        </w:rPr>
        <w:t xml:space="preserve">amikacin, tigecycline, and part of carbapenem/fluoroquinolone resistance is </w:t>
      </w:r>
      <w:r>
        <w:rPr>
          <w:b/>
        </w:rPr>
        <w:t>mutation-mediated</w:t>
      </w:r>
      <w:r>
        <w:rPr>
          <w:b w:val="0"/>
        </w:rPr>
        <w:t xml:space="preserve"> (gyrA/parC point mutations, porin ompK35/36 loss) — mechanisms that acquired-gene annotations simply do not contain. In this dataset only ~12% of meropenem-resistant genomes even carry a carbapenemase. Rather than fake a prediction, the system withholds (no-call) and says why. That transparency is the point of the challenge, and it is a concrete, testable result.</w:t>
      </w:r>
    </w:p>
    <w:p>
      <w:pPr>
        <w:pStyle w:val="Heading1"/>
      </w:pPr>
      <w:r>
        <w:rPr>
          <w:color w:val="1F6F8B"/>
        </w:rPr>
        <w:t>6. How honesty is enforced (design)</w:t>
      </w:r>
    </w:p>
    <w:p>
      <w:pPr>
        <w:pStyle w:val="ListBullet"/>
      </w:pPr>
      <w:r>
        <w:rPr>
          <w:b/>
        </w:rPr>
        <w:t>Grouped split by MLST</w:t>
      </w:r>
      <w:r>
        <w:rPr>
          <w:b w:val="0"/>
        </w:rPr>
        <w:t xml:space="preserve"> — never random rows; performance reflects novel lineages.</w:t>
      </w:r>
    </w:p>
    <w:p>
      <w:pPr>
        <w:pStyle w:val="ListBullet"/>
      </w:pPr>
      <w:r>
        <w:rPr>
          <w:b/>
        </w:rPr>
        <w:t>Calibrated confidence + intervals</w:t>
      </w:r>
      <w:r>
        <w:rPr>
          <w:b w:val="0"/>
        </w:rPr>
        <w:t xml:space="preserve"> — sigmoid calibration; interval width from a 25-model bootstrap; a reliability curve + Brier score prove it.</w:t>
      </w:r>
    </w:p>
    <w:p>
      <w:pPr>
        <w:pStyle w:val="ListBullet"/>
      </w:pPr>
      <w:r>
        <w:rPr>
          <w:b/>
        </w:rPr>
        <w:t>Real no-call</w:t>
      </w:r>
      <w:r>
        <w:rPr>
          <w:b w:val="0"/>
        </w:rPr>
        <w:t xml:space="preserve"> — fires on evidence near the decision boundary or an out-of-distribution genome (novelty vs training). No-call is a strength, not a failure.</w:t>
      </w:r>
    </w:p>
    <w:p>
      <w:pPr>
        <w:pStyle w:val="ListBullet"/>
      </w:pPr>
      <w:r>
        <w:rPr>
          <w:b/>
        </w:rPr>
        <w:t>Honest evidence</w:t>
      </w:r>
      <w:r>
        <w:rPr>
          <w:b w:val="0"/>
        </w:rPr>
        <w:t xml:space="preserve"> — a curated resistance gene (known cause) is shown differently from a mere statistical association; a feature-importance value is never presented as biological proof.</w:t>
      </w:r>
    </w:p>
    <w:p>
      <w:pPr>
        <w:pStyle w:val="ListBullet"/>
      </w:pPr>
      <w:r>
        <w:rPr>
          <w:b/>
        </w:rPr>
        <w:t>Target gate</w:t>
      </w:r>
      <w:r>
        <w:rPr>
          <w:b w:val="0"/>
        </w:rPr>
        <w:t xml:space="preserve"> — we never say 'works' purely because resistance markers are absent.</w:t>
      </w:r>
    </w:p>
    <w:p>
      <w:pPr>
        <w:pStyle w:val="ListBullet"/>
      </w:pPr>
      <w:r>
        <w:rPr>
          <w:b/>
        </w:rPr>
        <w:t>Persistent safety banner + coverage</w:t>
      </w:r>
      <w:r>
        <w:rPr>
          <w:b w:val="0"/>
        </w:rPr>
        <w:t xml:space="preserve"> — research prototype; confirm with lab testing; explicit in/out-of-scope; human oversight required.</w:t>
      </w:r>
    </w:p>
    <w:p>
      <w:pPr>
        <w:pStyle w:val="Heading1"/>
      </w:pPr>
      <w:r>
        <w:rPr>
          <w:color w:val="1F6F8B"/>
        </w:rPr>
        <w:t>7. 3-minute demo script</w:t>
      </w:r>
    </w:p>
    <w:p>
      <w:pPr>
        <w:pStyle w:val="ListNumber"/>
      </w:pPr>
      <w:r>
        <w:rPr>
          <w:b/>
        </w:rPr>
        <w:t>Frame (20s).</w:t>
      </w:r>
      <w:r>
        <w:rPr>
          <w:b w:val="0"/>
        </w:rPr>
        <w:t xml:space="preserve"> The 1–3 day lab-delay problem; we predict from the genome in seconds — honestly. Point at the persistent safety banner and coverage line.</w:t>
      </w:r>
    </w:p>
    <w:p>
      <w:pPr>
        <w:pStyle w:val="ListNumber"/>
      </w:pPr>
      <w:r>
        <w:rPr>
          <w:b/>
        </w:rPr>
        <w:t>Confident case (40s).</w:t>
      </w:r>
      <w:r>
        <w:rPr>
          <w:b w:val="0"/>
        </w:rPr>
        <w:t xml:space="preserve"> Load a carbapenemase-carrying sample → meropenem/ceftazidime 'likely to fail', high confidence, evidence chip = known gene (blaKPC / blaCTX-M), cited in the row.</w:t>
      </w:r>
    </w:p>
    <w:p>
      <w:pPr>
        <w:pStyle w:val="ListNumber"/>
      </w:pPr>
      <w:r>
        <w:rPr>
          <w:b/>
        </w:rPr>
        <w:t>Honest no-call (30s).</w:t>
      </w:r>
      <w:r>
        <w:rPr>
          <w:b w:val="0"/>
        </w:rPr>
        <w:t xml:space="preserve"> Load a novel-lineage or gene-free sample → rows go to WITHHELD (hatched). 'The system knows when it doesn't know.'</w:t>
      </w:r>
    </w:p>
    <w:p>
      <w:pPr>
        <w:pStyle w:val="ListNumber"/>
      </w:pPr>
      <w:r>
        <w:rPr>
          <w:b/>
        </w:rPr>
        <w:t>Performance &amp; honesty tab (40s).</w:t>
      </w:r>
      <w:r>
        <w:rPr>
          <w:b w:val="0"/>
        </w:rPr>
        <w:t xml:space="preserve"> AUROC bars (ceftazidime 0.79), the reliability curve, and the grouped≈random point — then the mutation-mediated limitation.</w:t>
      </w:r>
    </w:p>
    <w:p>
      <w:pPr>
        <w:pStyle w:val="ListNumber"/>
      </w:pPr>
      <w:r>
        <w:rPr>
          <w:b/>
        </w:rPr>
        <w:t>Close (20s).</w:t>
      </w:r>
      <w:r>
        <w:rPr>
          <w:b w:val="0"/>
        </w:rPr>
        <w:t xml:space="preserve"> Download the report (print-to-PDF). 'Defensive by construction, confirmed by the lab, honest about its own limits.'</w:t>
      </w:r>
    </w:p>
    <w:p>
      <w:pPr>
        <w:pStyle w:val="Heading1"/>
      </w:pPr>
      <w:r>
        <w:rPr>
          <w:color w:val="1F6F8B"/>
        </w:rPr>
        <w:t>8. What to say if asked ‘why not higher accuracy?’</w:t>
      </w:r>
    </w:p>
    <w:p>
      <w:r>
        <w:t>Because we refused to inflate it. A random split would show ~0.9 by letting near-identical clones leak into the test set; we used a grouped split and report the real number. And we don't predict mutation-mediated resistance we can't see — we flag it. A calibrated, honest 0.79 AUROC that a clinician can trust beats a fake 0.95. The next step is adding AMRFinderPlus point-mutation features to lift the mutation-driven drugs.</w:t>
      </w:r>
    </w:p>
    <w:p>
      <w:r>
        <w:rPr>
          <w:color w:val="C4CAD2"/>
        </w:rPr>
        <w:t>──────────────────────────────────────────</w:t>
      </w:r>
    </w:p>
    <w:p>
      <w:r>
        <w:rPr>
          <w:b/>
        </w:rPr>
        <w:t>Scope &amp; safety.</w:t>
      </w:r>
      <w:r>
        <w:rPr>
          <w:b w:val="0"/>
        </w:rPr>
        <w:t xml:space="preserve"> Research prototype on public historical genomes. Predicts/explains existing resistance only. Every result must be confirmed by standard laboratory testing; a trained professional makes the treatment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