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6F8B"/>
          <w:sz w:val="48"/>
        </w:rPr>
        <w:t>Genome Firewall — Frontend &amp; Backend Build Plan</w:t>
      </w:r>
    </w:p>
    <w:p>
      <w:r>
        <w:rPr>
          <w:i/>
          <w:sz w:val="24"/>
        </w:rPr>
        <w:t>Challenge 06 · Hack-Nation · How we build the UI, keep it hackathon-compliant, and wire it to the model</w:t>
      </w:r>
    </w:p>
    <w:p>
      <w:r>
        <w:rPr>
          <w:color w:val="BBBBBB"/>
        </w:rPr>
        <w:t>────────────────────────────────────────</w:t>
      </w:r>
    </w:p>
    <w:p>
      <w:pPr>
        <w:pStyle w:val="Heading1"/>
      </w:pPr>
      <w:r>
        <w:rPr>
          <w:color w:val="1F6F8B"/>
        </w:rPr>
        <w:t>0. The most important rule: compliance</w:t>
      </w:r>
    </w:p>
    <w:p>
      <w:r>
        <w:rPr>
          <w:b/>
        </w:rPr>
        <w:t xml:space="preserve">The brief REQUIRES the demo to be built in Streamlit or Gradio. </w:t>
      </w:r>
      <w:r>
        <w:rPr>
          <w:b w:val="0"/>
        </w:rPr>
        <w:t>Module 03 says verbatim: “A working Streamlit or Gradio demo that returns likely to fail / likely to work / no-call for each drug, with calibrated confidence and an evidence category, plus a mandatory ‘confirm with standard lab testing’ message.”</w:t>
      </w:r>
    </w:p>
    <w:p>
      <w:r>
        <w:rPr>
          <w:b/>
        </w:rPr>
        <w:t xml:space="preserve">Decision: </w:t>
      </w:r>
      <w:r>
        <w:rPr>
          <w:b w:val="0"/>
        </w:rPr>
        <w:t>we build the frontend in Streamlit. It is the frontend AND the glue to the backend, so it is fast and cannot be marked off-brief. A separate React site is allowed only as OPTIONAL extra polish — it must never replace the Streamlit demo, and in a 20-hour build we do not recommend it.</w:t>
      </w:r>
    </w:p>
    <w:p>
      <w:r>
        <w:rPr>
          <w:b/>
        </w:rPr>
        <w:t xml:space="preserve">Non-negotiable compliance items the UI must always show: </w:t>
      </w:r>
      <w:r>
        <w:rPr>
          <w:b w:val="0"/>
        </w:rPr>
        <w:t>(1) per-drug work / fail / no-call, (2) a calibrated confidence, (3) an evidence category, (4) a mandatory ‘confirm with standard lab testing’ message, (5) a clear statement of which species + antibiotics are and aren’t covered, (6) defensive-by-construction framing, (7) human-oversight statement.</w:t>
      </w:r>
    </w:p>
    <w:p>
      <w:pPr>
        <w:pStyle w:val="Heading1"/>
      </w:pPr>
      <w:r>
        <w:rPr>
          <w:color w:val="1F6F8B"/>
        </w:rPr>
        <w:t>1. What the frontend contains (screens &amp; components)</w:t>
      </w:r>
    </w:p>
    <w:p>
      <w:r>
        <w:t>One Streamlit page, four tabs, plus a persistent safety banner. Everything below maps to a compliance item.</w:t>
      </w:r>
    </w:p>
    <w:p>
      <w:pPr>
        <w:pStyle w:val="Heading2"/>
      </w:pPr>
      <w:r>
        <w:rPr>
          <w:color w:val="222222"/>
        </w:rPr>
        <w:t>Persistent (always on screen)</w:t>
      </w:r>
    </w:p>
    <w:p>
      <w:pPr>
        <w:pStyle w:val="ListBullet"/>
      </w:pPr>
      <w:r>
        <w:rPr>
          <w:b/>
        </w:rPr>
        <w:t xml:space="preserve">Header + tagline </w:t>
      </w:r>
      <w:r>
        <w:rPr>
          <w:b w:val="0"/>
        </w:rPr>
        <w:t>— name, “research prototype · strictly defensive · decision support only.”</w:t>
      </w:r>
    </w:p>
    <w:p>
      <w:pPr>
        <w:pStyle w:val="ListBullet"/>
      </w:pPr>
      <w:r>
        <w:rPr>
          <w:b/>
        </w:rPr>
        <w:t xml:space="preserve">Mandatory disclaimer banner </w:t>
      </w:r>
      <w:r>
        <w:rPr>
          <w:b w:val="0"/>
        </w:rPr>
        <w:t>— “Every result must be confirmed by standard laboratory testing.” Shown at top and repeated under the results.</w:t>
      </w:r>
    </w:p>
    <w:p>
      <w:pPr>
        <w:pStyle w:val="ListBullet"/>
      </w:pPr>
      <w:r>
        <w:rPr>
          <w:b/>
        </w:rPr>
        <w:t xml:space="preserve">Sidebar coverage panel </w:t>
      </w:r>
      <w:r>
        <w:rPr>
          <w:b w:val="0"/>
        </w:rPr>
        <w:t>— locked to our species + drug list, with an explicit “everything else is out of coverage” note, and the defensive-by-construction statement.</w:t>
      </w:r>
    </w:p>
    <w:p>
      <w:pPr>
        <w:pStyle w:val="Heading2"/>
      </w:pPr>
      <w:r>
        <w:rPr>
          <w:color w:val="222222"/>
        </w:rPr>
        <w:t>Input section</w:t>
      </w:r>
    </w:p>
    <w:p>
      <w:pPr>
        <w:pStyle w:val="ListBullet"/>
      </w:pPr>
      <w:r>
        <w:rPr>
          <w:b/>
        </w:rPr>
        <w:t xml:space="preserve">Two input modes: </w:t>
      </w:r>
      <w:r>
        <w:rPr>
          <w:b w:val="0"/>
        </w:rPr>
        <w:t>(a) pick a held-out SAMPLE genome from a dropdown (this is what you demo — stable + fast), (b) upload a FASTA file.</w:t>
      </w:r>
    </w:p>
    <w:p>
      <w:pPr>
        <w:pStyle w:val="ListBullet"/>
      </w:pPr>
      <w:r>
        <w:rPr>
          <w:b/>
        </w:rPr>
        <w:t xml:space="preserve">Species field </w:t>
      </w:r>
      <w:r>
        <w:rPr>
          <w:b w:val="0"/>
        </w:rPr>
        <w:t>— defaults to the supported species; an unsupported species honestly returns all no-calls.</w:t>
      </w:r>
    </w:p>
    <w:p>
      <w:pPr>
        <w:pStyle w:val="ListBullet"/>
      </w:pPr>
      <w:r>
        <w:rPr>
          <w:b/>
        </w:rPr>
        <w:t xml:space="preserve">Analyze button </w:t>
      </w:r>
      <w:r>
        <w:rPr>
          <w:b w:val="0"/>
        </w:rPr>
        <w:t>— triggers the pipeline with a spinner (“Genome Reader → detecting AMR determinants → per-drug prediction”).</w:t>
      </w:r>
    </w:p>
    <w:p>
      <w:pPr>
        <w:pStyle w:val="Heading2"/>
      </w:pPr>
      <w:r>
        <w:rPr>
          <w:color w:val="222222"/>
        </w:rPr>
        <w:t>Tab 1 — Prediction (the core, compliance-critical)</w:t>
      </w:r>
    </w:p>
    <w:p>
      <w:pPr>
        <w:pStyle w:val="ListBullet"/>
      </w:pPr>
      <w:r>
        <w:rPr>
          <w:b/>
        </w:rPr>
        <w:t xml:space="preserve">Top metrics: </w:t>
      </w:r>
      <w:r>
        <w:rPr>
          <w:b w:val="0"/>
        </w:rPr>
        <w:t>genome id, first-signal→decision timer (speed instrumentation the brief rewards), genome novelty %.</w:t>
      </w:r>
    </w:p>
    <w:p>
      <w:pPr>
        <w:pStyle w:val="ListBullet"/>
      </w:pPr>
      <w:r>
        <w:rPr>
          <w:b/>
        </w:rPr>
        <w:t xml:space="preserve">Out-of-distribution / unsupported warning banner </w:t>
      </w:r>
      <w:r>
        <w:rPr>
          <w:b w:val="0"/>
        </w:rPr>
        <w:t>when the genome is a novel lineage.</w:t>
      </w:r>
    </w:p>
    <w:p>
      <w:pPr>
        <w:pStyle w:val="ListBullet"/>
      </w:pPr>
      <w:r>
        <w:rPr>
          <w:b/>
        </w:rPr>
        <w:t xml:space="preserve">One report card per antibiotic, each showing: </w:t>
      </w:r>
      <w:r>
        <w:rPr>
          <w:b w:val="0"/>
        </w:rPr>
        <w:t>drug + class + molecular target; a colour-coded verdict badge (FAIL red / WORK green / NO-CALL grey); a calibrated-confidence bar (or the no-call reason); the target-gate status; the cited supporting genes/mutations; an expandable plain-language ‘why this call’.</w:t>
      </w:r>
    </w:p>
    <w:p>
      <w:pPr>
        <w:pStyle w:val="ListBullet"/>
      </w:pPr>
      <w:r>
        <w:rPr>
          <w:b/>
        </w:rPr>
        <w:t xml:space="preserve">Evidence-category chip on every card: </w:t>
      </w:r>
      <w:r>
        <w:rPr>
          <w:b w:val="0"/>
        </w:rPr>
        <w:t>Known resistance gene (green) / Statistical association only (amber) / No known signal (grey).</w:t>
      </w:r>
    </w:p>
    <w:p>
      <w:pPr>
        <w:pStyle w:val="ListBullet"/>
      </w:pPr>
      <w:r>
        <w:rPr>
          <w:b/>
        </w:rPr>
        <w:t xml:space="preserve">Disclaimer repeated </w:t>
      </w:r>
      <w:r>
        <w:rPr>
          <w:b w:val="0"/>
        </w:rPr>
        <w:t>under the cards.</w:t>
      </w:r>
    </w:p>
    <w:p>
      <w:pPr>
        <w:pStyle w:val="Heading2"/>
      </w:pPr>
      <w:r>
        <w:rPr>
          <w:color w:val="222222"/>
        </w:rPr>
        <w:t>Tab 2 — Genome Details</w:t>
      </w:r>
    </w:p>
    <w:p>
      <w:pPr>
        <w:pStyle w:val="ListBullet"/>
      </w:pPr>
      <w:r>
        <w:t>Table of all detected AMR determinants (gene/mutation, description, detection method, drug class/subclass).</w:t>
      </w:r>
    </w:p>
    <w:p>
      <w:pPr>
        <w:pStyle w:val="ListBullet"/>
      </w:pPr>
      <w:r>
        <w:t>Lineage (MLST / cluster id) and an out-of-distribution indicator with explanation.</w:t>
      </w:r>
    </w:p>
    <w:p>
      <w:pPr>
        <w:pStyle w:val="Heading2"/>
      </w:pPr>
      <w:r>
        <w:rPr>
          <w:color w:val="222222"/>
        </w:rPr>
        <w:t>Tab 3 — Model Honesty (this is where we win)</w:t>
      </w:r>
    </w:p>
    <w:p>
      <w:pPr>
        <w:pStyle w:val="ListBullet"/>
      </w:pPr>
      <w:r>
        <w:rPr>
          <w:b/>
        </w:rPr>
        <w:t xml:space="preserve">Metrics table per drug </w:t>
      </w:r>
      <w:r>
        <w:rPr>
          <w:b w:val="0"/>
        </w:rPr>
        <w:t>with the RANDOM-split vs GROUPED-split columns side by side — the gap is the whole story. Plus recall for resistant AND susceptible separately, AUROC, PR-AUC, Brier, no-call rate, accuracy-on-calls.</w:t>
      </w:r>
    </w:p>
    <w:p>
      <w:pPr>
        <w:pStyle w:val="ListBullet"/>
      </w:pPr>
      <w:r>
        <w:rPr>
          <w:b/>
        </w:rPr>
        <w:t xml:space="preserve">Reliability diagram </w:t>
      </w:r>
      <w:r>
        <w:rPr>
          <w:b w:val="0"/>
        </w:rPr>
        <w:t>(calibration curve) — predicted confidence vs actual accuracy.</w:t>
      </w:r>
    </w:p>
    <w:p>
      <w:pPr>
        <w:pStyle w:val="ListBullet"/>
      </w:pPr>
      <w:r>
        <w:t>A one-line ‘how to read this’ that states the grouped number is the honest real-world estimate.</w:t>
      </w:r>
    </w:p>
    <w:p>
      <w:pPr>
        <w:pStyle w:val="Heading2"/>
      </w:pPr>
      <w:r>
        <w:rPr>
          <w:color w:val="222222"/>
        </w:rPr>
        <w:t>Tab 4 — About &amp; Safety</w:t>
      </w:r>
    </w:p>
    <w:p>
      <w:pPr>
        <w:pStyle w:val="ListBullet"/>
      </w:pPr>
      <w:r>
        <w:t>Defensive-by-construction statement; coverage; human-oversight statement; honest-explanation statement (known gene vs statistical; SHAP ≠ cause); pipeline summary; data sources; research-prototype disclaimer.</w:t>
      </w:r>
    </w:p>
    <w:p>
      <w:pPr>
        <w:pStyle w:val="Heading1"/>
      </w:pPr>
      <w:r>
        <w:rPr>
          <w:color w:val="1F6F8B"/>
        </w:rPr>
        <w:t>2. Compliance mapping (brief requirement → UI element)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Brief requirement</w:t>
            </w:r>
          </w:p>
        </w:tc>
        <w:tc>
          <w:tcPr>
            <w:tcW w:type="dxa" w:w="4320"/>
          </w:tcPr>
          <w:p>
            <w:r>
              <w:rPr>
                <w:b/>
              </w:rPr>
              <w:t>Where it lives in the UI</w:t>
            </w:r>
          </w:p>
        </w:tc>
      </w:tr>
      <w:tr>
        <w:tc>
          <w:tcPr>
            <w:tcW w:type="dxa" w:w="4320"/>
          </w:tcPr>
          <w:p>
            <w:r>
              <w:t>work / fail / no-call per drug</w:t>
            </w:r>
          </w:p>
        </w:tc>
        <w:tc>
          <w:tcPr>
            <w:tcW w:type="dxa" w:w="4320"/>
          </w:tcPr>
          <w:p>
            <w:r>
              <w:t>Prediction tab — verdict badge on each card</w:t>
            </w:r>
          </w:p>
        </w:tc>
      </w:tr>
      <w:tr>
        <w:tc>
          <w:tcPr>
            <w:tcW w:type="dxa" w:w="4320"/>
          </w:tcPr>
          <w:p>
            <w:r>
              <w:t>Calibrated confidence</w:t>
            </w:r>
          </w:p>
        </w:tc>
        <w:tc>
          <w:tcPr>
            <w:tcW w:type="dxa" w:w="4320"/>
          </w:tcPr>
          <w:p>
            <w:r>
              <w:t>Confidence bar on each card + reliability diagram (Honesty tab)</w:t>
            </w:r>
          </w:p>
        </w:tc>
      </w:tr>
      <w:tr>
        <w:tc>
          <w:tcPr>
            <w:tcW w:type="dxa" w:w="4320"/>
          </w:tcPr>
          <w:p>
            <w:r>
              <w:t>Evidence category (known gene / statistical / none)</w:t>
            </w:r>
          </w:p>
        </w:tc>
        <w:tc>
          <w:tcPr>
            <w:tcW w:type="dxa" w:w="4320"/>
          </w:tcPr>
          <w:p>
            <w:r>
              <w:t>Chip on each card + cited gene list</w:t>
            </w:r>
          </w:p>
        </w:tc>
      </w:tr>
      <w:tr>
        <w:tc>
          <w:tcPr>
            <w:tcW w:type="dxa" w:w="4320"/>
          </w:tcPr>
          <w:p>
            <w:r>
              <w:t>Supporting genes / DNA changes</w:t>
            </w:r>
          </w:p>
        </w:tc>
        <w:tc>
          <w:tcPr>
            <w:tcW w:type="dxa" w:w="4320"/>
          </w:tcPr>
          <w:p>
            <w:r>
              <w:t>‘Evidence’ line on card + Genome Details table</w:t>
            </w:r>
          </w:p>
        </w:tc>
      </w:tr>
      <w:tr>
        <w:tc>
          <w:tcPr>
            <w:tcW w:type="dxa" w:w="4320"/>
          </w:tcPr>
          <w:p>
            <w:r>
              <w:t>Target gate (not ‘works’ from mere absence)</w:t>
            </w:r>
          </w:p>
        </w:tc>
        <w:tc>
          <w:tcPr>
            <w:tcW w:type="dxa" w:w="4320"/>
          </w:tcPr>
          <w:p>
            <w:r>
              <w:t>‘Target gate: present/absent’ on each card</w:t>
            </w:r>
          </w:p>
        </w:tc>
      </w:tr>
      <w:tr>
        <w:tc>
          <w:tcPr>
            <w:tcW w:type="dxa" w:w="4320"/>
          </w:tcPr>
          <w:p>
            <w:r>
              <w:t>Mandatory ‘confirm with lab testing’</w:t>
            </w:r>
          </w:p>
        </w:tc>
        <w:tc>
          <w:tcPr>
            <w:tcW w:type="dxa" w:w="4320"/>
          </w:tcPr>
          <w:p>
            <w:r>
              <w:t>Persistent banner + under results + About tab</w:t>
            </w:r>
          </w:p>
        </w:tc>
      </w:tr>
      <w:tr>
        <w:tc>
          <w:tcPr>
            <w:tcW w:type="dxa" w:w="4320"/>
          </w:tcPr>
          <w:p>
            <w:r>
              <w:t>No-call for weak/OOD evidence</w:t>
            </w:r>
          </w:p>
        </w:tc>
        <w:tc>
          <w:tcPr>
            <w:tcW w:type="dxa" w:w="4320"/>
          </w:tcPr>
          <w:p>
            <w:r>
              <w:t>No-call badge + reason + OOD warning banner</w:t>
            </w:r>
          </w:p>
        </w:tc>
      </w:tr>
      <w:tr>
        <w:tc>
          <w:tcPr>
            <w:tcW w:type="dxa" w:w="4320"/>
          </w:tcPr>
          <w:p>
            <w:r>
              <w:t>Coverage stated (species/drugs in &amp; out)</w:t>
            </w:r>
          </w:p>
        </w:tc>
        <w:tc>
          <w:tcPr>
            <w:tcW w:type="dxa" w:w="4320"/>
          </w:tcPr>
          <w:p>
            <w:r>
              <w:t>Sidebar + About tab</w:t>
            </w:r>
          </w:p>
        </w:tc>
      </w:tr>
      <w:tr>
        <w:tc>
          <w:tcPr>
            <w:tcW w:type="dxa" w:w="4320"/>
          </w:tcPr>
          <w:p>
            <w:r>
              <w:t>Generalization by genetic group</w:t>
            </w:r>
          </w:p>
        </w:tc>
        <w:tc>
          <w:tcPr>
            <w:tcW w:type="dxa" w:w="4320"/>
          </w:tcPr>
          <w:p>
            <w:r>
              <w:t>Honesty tab: grouped-split metrics table</w:t>
            </w:r>
          </w:p>
        </w:tc>
      </w:tr>
      <w:tr>
        <w:tc>
          <w:tcPr>
            <w:tcW w:type="dxa" w:w="4320"/>
          </w:tcPr>
          <w:p>
            <w:r>
              <w:t>Honest explanations (SHAP ≠ cause)</w:t>
            </w:r>
          </w:p>
        </w:tc>
        <w:tc>
          <w:tcPr>
            <w:tcW w:type="dxa" w:w="4320"/>
          </w:tcPr>
          <w:p>
            <w:r>
              <w:t>Evidence chips + About tab statement</w:t>
            </w:r>
          </w:p>
        </w:tc>
      </w:tr>
      <w:tr>
        <w:tc>
          <w:tcPr>
            <w:tcW w:type="dxa" w:w="4320"/>
          </w:tcPr>
          <w:p>
            <w:r>
              <w:t>Defensive framing + human oversight</w:t>
            </w:r>
          </w:p>
        </w:tc>
        <w:tc>
          <w:tcPr>
            <w:tcW w:type="dxa" w:w="4320"/>
          </w:tcPr>
          <w:p>
            <w:r>
              <w:t>Sidebar + About tab</w:t>
            </w:r>
          </w:p>
        </w:tc>
      </w:tr>
      <w:tr>
        <w:tc>
          <w:tcPr>
            <w:tcW w:type="dxa" w:w="4320"/>
          </w:tcPr>
          <w:p>
            <w:r>
              <w:t>Speed (first signal → decision)</w:t>
            </w:r>
          </w:p>
        </w:tc>
        <w:tc>
          <w:tcPr>
            <w:tcW w:type="dxa" w:w="4320"/>
          </w:tcPr>
          <w:p>
            <w:r>
              <w:t>Timer metric on Prediction tab</w:t>
            </w:r>
          </w:p>
        </w:tc>
      </w:tr>
    </w:tbl>
    <w:p/>
    <w:p>
      <w:pPr>
        <w:pStyle w:val="Heading1"/>
      </w:pPr>
      <w:r>
        <w:rPr>
          <w:color w:val="1F6F8B"/>
        </w:rPr>
        <w:t>3. How the backend connects (the contract)</w:t>
      </w:r>
    </w:p>
    <w:p>
      <w:r>
        <w:rPr>
          <w:b/>
        </w:rPr>
        <w:t xml:space="preserve">Design principle: the frontend talks to the backend through ONE function, </w:t>
      </w:r>
      <w:r>
        <w:rPr>
          <w:b w:val="0"/>
        </w:rPr>
        <w:t>predict_genome(...), which returns one GenomeResult object (defined in src/contract.py). The UI never touches AMRFinderPlus, models, or files directly. This lets the app and the model be built in parallel and swapped with zero UI changes.</w:t>
      </w:r>
    </w:p>
    <w:p>
      <w:pPr>
        <w:pStyle w:val="Heading2"/>
      </w:pPr>
      <w:r>
        <w:rPr>
          <w:color w:val="222222"/>
        </w:rPr>
        <w:t>Recommended architecture (Option A — monolith, use this)</w:t>
      </w:r>
    </w:p>
    <w:p>
      <w:r>
        <w:t>Streamlit imports the pipeline directly. No HTTP, no second server, nothing to deploy separately. Fastest for a hackathon.</w:t>
      </w:r>
    </w:p>
    <w:p>
      <w:pPr>
        <w:spacing w:after="0" w:before="0"/>
      </w:pPr>
      <w:r>
        <w:rPr>
          <w:rFonts w:ascii="Consolas" w:hAnsi="Consolas"/>
          <w:color w:val="333333"/>
          <w:sz w:val="18"/>
        </w:rPr>
        <w:t>app/streamlit_app.py   --imports--&gt;   src/pipeline.predict_genome()</w:t>
      </w:r>
    </w:p>
    <w:p>
      <w:pPr>
        <w:spacing w:after="0" w:before="0"/>
      </w:pPr>
      <w:r>
        <w:rPr>
          <w:rFonts w:ascii="Consolas" w:hAnsi="Consolas"/>
          <w:color w:val="333333"/>
          <w:sz w:val="18"/>
        </w:rPr>
        <w:t xml:space="preserve">                                            |</w:t>
      </w:r>
    </w:p>
    <w:p>
      <w:pPr>
        <w:spacing w:after="0" w:before="0"/>
      </w:pPr>
      <w:r>
        <w:rPr>
          <w:rFonts w:ascii="Consolas" w:hAnsi="Consolas"/>
          <w:color w:val="333333"/>
          <w:sz w:val="18"/>
        </w:rPr>
        <w:t xml:space="preserve">                                            v</w:t>
      </w:r>
    </w:p>
    <w:p>
      <w:pPr>
        <w:spacing w:after="0" w:before="0"/>
      </w:pPr>
      <w:r>
        <w:rPr>
          <w:rFonts w:ascii="Consolas" w:hAnsi="Consolas"/>
          <w:color w:val="333333"/>
          <w:sz w:val="18"/>
        </w:rPr>
        <w:t xml:space="preserve">     AMRFinderPlus features -&gt; per-drug calibrated models -&gt; GenomeResult</w:t>
      </w:r>
    </w:p>
    <w:p/>
    <w:p>
      <w:r>
        <w:rPr>
          <w:b/>
        </w:rPr>
        <w:t xml:space="preserve">Mock-first: </w:t>
      </w:r>
      <w:r>
        <w:rPr>
          <w:b w:val="0"/>
        </w:rPr>
        <w:t>pipeline.py currently RETURNS realistic fake data matching the contract. The app is already fully functional against it. The ML team replaces the function body with the real pipeline and keeps the return type identical — done.</w:t>
      </w:r>
    </w:p>
    <w:p>
      <w:pPr>
        <w:pStyle w:val="Heading2"/>
      </w:pPr>
      <w:r>
        <w:rPr>
          <w:color w:val="222222"/>
        </w:rPr>
        <w:t>Optional architecture (Option B — only if we insist on a React frontend)</w:t>
      </w:r>
    </w:p>
    <w:p>
      <w:r>
        <w:t>Wrap the same predict_genome in a FastAPI endpoint returning GenomeResult.to_dict() as JSON; React calls POST /predict. More moving parts, separate deploy, more risk. Not recommended under 20h, and remember the Streamlit demo must still exist for compliance.</w:t>
      </w:r>
    </w:p>
    <w:p>
      <w:pPr>
        <w:spacing w:after="0" w:before="0"/>
      </w:pPr>
      <w:r>
        <w:rPr>
          <w:rFonts w:ascii="Consolas" w:hAnsi="Consolas"/>
          <w:color w:val="333333"/>
          <w:sz w:val="18"/>
        </w:rPr>
        <w:t>POST /predict   { fasta, species }   -&gt;   200  GenomeResult JSON</w:t>
      </w:r>
    </w:p>
    <w:p>
      <w:pPr>
        <w:spacing w:after="0" w:before="0"/>
      </w:pPr>
      <w:r>
        <w:rPr>
          <w:rFonts w:ascii="Consolas" w:hAnsi="Consolas"/>
          <w:color w:val="333333"/>
          <w:sz w:val="18"/>
        </w:rPr>
        <w:t>GET  /metrics                        -&gt;   200  [DrugMetrics JSON]</w:t>
      </w:r>
    </w:p>
    <w:p/>
    <w:p>
      <w:pPr>
        <w:pStyle w:val="Heading2"/>
      </w:pPr>
      <w:r>
        <w:rPr>
          <w:color w:val="222222"/>
        </w:rPr>
        <w:t>The contract object (what predict_genome returns)</w:t>
      </w:r>
    </w:p>
    <w:p>
      <w:r>
        <w:t>GenomeResult = genome_id, species, species_supported, novelty_score, is_ood, mlst_or_cluster, detected_genes[], predictions[], speed_seconds, model_meta.</w:t>
      </w:r>
    </w:p>
    <w:p>
      <w:r>
        <w:t>Each prediction = drug, drug_class, target, target_present, verdict (work/fail/no_call), confidence (None when no-call), calibrated, evidence_category, supporting_genes[], no_call_reason, reasoning (the plain-language / OpenAI text).</w:t>
      </w:r>
    </w:p>
    <w:p>
      <w:pPr>
        <w:pStyle w:val="Heading1"/>
      </w:pPr>
      <w:r>
        <w:rPr>
          <w:color w:val="1F6F8B"/>
        </w:rPr>
        <w:t>4. OpenAI’s role in the frontend</w:t>
      </w:r>
    </w:p>
    <w:p>
      <w:pPr>
        <w:pStyle w:val="ListBullet"/>
      </w:pPr>
      <w:r>
        <w:rPr>
          <w:b/>
        </w:rPr>
        <w:t xml:space="preserve">Report narrative: </w:t>
      </w:r>
      <w:r>
        <w:rPr>
          <w:b w:val="0"/>
        </w:rPr>
        <w:t>turn the structured evidence into the plain-language ‘why this call’ text on each card and a downloadable full report. The verdict + confidence stay deterministic from the ML model — OpenAI only explains, it never decides.</w:t>
      </w:r>
    </w:p>
    <w:p>
      <w:pPr>
        <w:pStyle w:val="ListBullet"/>
      </w:pPr>
      <w:r>
        <w:rPr>
          <w:b/>
        </w:rPr>
        <w:t xml:space="preserve">Optional multimodal bonus: </w:t>
      </w:r>
      <w:r>
        <w:rPr>
          <w:b w:val="0"/>
        </w:rPr>
        <w:t>gpt-image for an evidence/lineage visual. Nice-to-have, not compliance.</w:t>
      </w:r>
    </w:p>
    <w:p>
      <w:pPr>
        <w:pStyle w:val="ListBullet"/>
      </w:pPr>
      <w:r>
        <w:rPr>
          <w:b/>
        </w:rPr>
        <w:t xml:space="preserve">Guardrail: </w:t>
      </w:r>
      <w:r>
        <w:rPr>
          <w:b w:val="0"/>
        </w:rPr>
        <w:t>the LLM must never be asked to change/optimize an organism — defensive scope holds in the prompt too.</w:t>
      </w:r>
    </w:p>
    <w:p>
      <w:pPr>
        <w:pStyle w:val="Heading1"/>
      </w:pPr>
      <w:r>
        <w:rPr>
          <w:color w:val="1F6F8B"/>
        </w:rPr>
        <w:t>5. The research angle (‘research prototype’)</w:t>
      </w:r>
    </w:p>
    <w:p>
      <w:r>
        <w:rPr>
          <w:b/>
        </w:rPr>
        <w:t xml:space="preserve">Legally/framing: </w:t>
      </w:r>
      <w:r>
        <w:rPr>
          <w:b w:val="0"/>
        </w:rPr>
        <w:t>the brief calls this a research prototype — predictions from historical data do NOT prove safety or clinical suitability. The UI states this and requires lab confirmation. Keep that language everywhere.</w:t>
      </w:r>
    </w:p>
    <w:p>
      <w:r>
        <w:rPr>
          <w:b/>
        </w:rPr>
        <w:t>Our actual research contribution IS the honesty layer, and the frontend is what shows it off:</w:t>
      </w:r>
    </w:p>
    <w:p>
      <w:pPr>
        <w:pStyle w:val="ListBullet"/>
      </w:pPr>
      <w:r>
        <w:rPr>
          <w:b/>
        </w:rPr>
        <w:t xml:space="preserve">Honest generalization: </w:t>
      </w:r>
      <w:r>
        <w:rPr>
          <w:b w:val="0"/>
        </w:rPr>
        <w:t>grouped/phylogenetic split so the score reflects novel lineages, not memorized clones (Honesty tab, random-vs-grouped table).</w:t>
      </w:r>
    </w:p>
    <w:p>
      <w:pPr>
        <w:pStyle w:val="ListBullet"/>
      </w:pPr>
      <w:r>
        <w:rPr>
          <w:b/>
        </w:rPr>
        <w:t xml:space="preserve">Confidence / calibration: </w:t>
      </w:r>
      <w:r>
        <w:rPr>
          <w:b w:val="0"/>
        </w:rPr>
        <w:t>calibrated probabilities + reliability diagram + Brier — directly answers the open ‘confidence scoring’ research question.</w:t>
      </w:r>
    </w:p>
    <w:p>
      <w:pPr>
        <w:pStyle w:val="ListBullet"/>
      </w:pPr>
      <w:r>
        <w:rPr>
          <w:b/>
        </w:rPr>
        <w:t xml:space="preserve">Out-of-distribution no-call: </w:t>
      </w:r>
      <w:r>
        <w:rPr>
          <w:b w:val="0"/>
        </w:rPr>
        <w:t>abstaining on novel lineages is a genuine research-flavoured contribution to trustworthy clinical ML.</w:t>
      </w:r>
    </w:p>
    <w:p>
      <w:r>
        <w:rPr>
          <w:b/>
        </w:rPr>
        <w:t xml:space="preserve">Optional deep-learning stretch (only if ahead): </w:t>
      </w:r>
      <w:r>
        <w:rPr>
          <w:b w:val="0"/>
        </w:rPr>
        <w:t>genomic language models (HyenaDNA, DNABERT-2), protein-sequence models, or k-mer features, compared AGAINST the logistic-regression baseline. The frontend can show a ‘baseline vs deep model’ toggle in the Honesty tab. This is a stretch, not a requirement — the calibrated baseline done honestly beats a fancy model done sloppily.</w:t>
      </w:r>
    </w:p>
    <w:p>
      <w:pPr>
        <w:pStyle w:val="Heading1"/>
      </w:pPr>
      <w:r>
        <w:rPr>
          <w:color w:val="1F6F8B"/>
        </w:rPr>
        <w:t>6. Build order for the frontend (fits the 20h plan)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What</w:t>
            </w:r>
          </w:p>
        </w:tc>
        <w:tc>
          <w:tcPr>
            <w:tcW w:type="dxa" w:w="2880"/>
          </w:tcPr>
          <w:p>
            <w:r>
              <w:rPr>
                <w:b/>
              </w:rPr>
              <w:t>Hours (approx)</w:t>
            </w:r>
          </w:p>
        </w:tc>
      </w:tr>
      <w:tr>
        <w:tc>
          <w:tcPr>
            <w:tcW w:type="dxa" w:w="2880"/>
          </w:tcPr>
          <w:p>
            <w:r>
              <w:t>F1</w:t>
            </w:r>
          </w:p>
        </w:tc>
        <w:tc>
          <w:tcPr>
            <w:tcW w:type="dxa" w:w="2880"/>
          </w:tcPr>
          <w:p>
            <w:r>
              <w:t>Run the scaffold as-is against the mock; confirm all 4 tabs + cards render</w:t>
            </w:r>
          </w:p>
        </w:tc>
        <w:tc>
          <w:tcPr>
            <w:tcW w:type="dxa" w:w="2880"/>
          </w:tcPr>
          <w:p>
            <w:r>
              <w:t>H10–H11</w:t>
            </w:r>
          </w:p>
        </w:tc>
      </w:tr>
      <w:tr>
        <w:tc>
          <w:tcPr>
            <w:tcW w:type="dxa" w:w="2880"/>
          </w:tcPr>
          <w:p>
            <w:r>
              <w:t>F2</w:t>
            </w:r>
          </w:p>
        </w:tc>
        <w:tc>
          <w:tcPr>
            <w:tcW w:type="dxa" w:w="2880"/>
          </w:tcPr>
          <w:p>
            <w:r>
              <w:t>Wire real predict_genome once one drug works end-to-end (contract unchanged)</w:t>
            </w:r>
          </w:p>
        </w:tc>
        <w:tc>
          <w:tcPr>
            <w:tcW w:type="dxa" w:w="2880"/>
          </w:tcPr>
          <w:p>
            <w:r>
              <w:t>H12–H14</w:t>
            </w:r>
          </w:p>
        </w:tc>
      </w:tr>
      <w:tr>
        <w:tc>
          <w:tcPr>
            <w:tcW w:type="dxa" w:w="2880"/>
          </w:tcPr>
          <w:p>
            <w:r>
              <w:t>F3</w:t>
            </w:r>
          </w:p>
        </w:tc>
        <w:tc>
          <w:tcPr>
            <w:tcW w:type="dxa" w:w="2880"/>
          </w:tcPr>
          <w:p>
            <w:r>
              <w:t>Feed real metrics into the Honesty tab (random vs grouped, reliability plot)</w:t>
            </w:r>
          </w:p>
        </w:tc>
        <w:tc>
          <w:tcPr>
            <w:tcW w:type="dxa" w:w="2880"/>
          </w:tcPr>
          <w:p>
            <w:r>
              <w:t>H14–H16</w:t>
            </w:r>
          </w:p>
        </w:tc>
      </w:tr>
      <w:tr>
        <w:tc>
          <w:tcPr>
            <w:tcW w:type="dxa" w:w="2880"/>
          </w:tcPr>
          <w:p>
            <w:r>
              <w:t>F4</w:t>
            </w:r>
          </w:p>
        </w:tc>
        <w:tc>
          <w:tcPr>
            <w:tcW w:type="dxa" w:w="2880"/>
          </w:tcPr>
          <w:p>
            <w:r>
              <w:t>Add OpenAI ‘why this call’ + downloadable report</w:t>
            </w:r>
          </w:p>
        </w:tc>
        <w:tc>
          <w:tcPr>
            <w:tcW w:type="dxa" w:w="2880"/>
          </w:tcPr>
          <w:p>
            <w:r>
              <w:t>H15–H18</w:t>
            </w:r>
          </w:p>
        </w:tc>
      </w:tr>
      <w:tr>
        <w:tc>
          <w:tcPr>
            <w:tcW w:type="dxa" w:w="2880"/>
          </w:tcPr>
          <w:p>
            <w:r>
              <w:t>F5</w:t>
            </w:r>
          </w:p>
        </w:tc>
        <w:tc>
          <w:tcPr>
            <w:tcW w:type="dxa" w:w="2880"/>
          </w:tcPr>
          <w:p>
            <w:r>
              <w:t>Polish: colours, sample genomes from the real held-out set, demo rehearsal</w:t>
            </w:r>
          </w:p>
        </w:tc>
        <w:tc>
          <w:tcPr>
            <w:tcW w:type="dxa" w:w="2880"/>
          </w:tcPr>
          <w:p>
            <w:r>
              <w:t>H18–H20</w:t>
            </w:r>
          </w:p>
        </w:tc>
      </w:tr>
    </w:tbl>
    <w:p/>
    <w:p>
      <w:r>
        <w:rPr>
          <w:b/>
        </w:rPr>
        <w:t xml:space="preserve">Golden rule (again): </w:t>
      </w:r>
      <w:r>
        <w:rPr>
          <w:b w:val="0"/>
        </w:rPr>
        <w:t>build one vertical slice to 100% first (one genome → one drug → card). Do not polish four tabs to 80%.</w:t>
      </w:r>
    </w:p>
    <w:p>
      <w:pPr>
        <w:pStyle w:val="Heading1"/>
      </w:pPr>
      <w:r>
        <w:rPr>
          <w:color w:val="1F6F8B"/>
        </w:rPr>
        <w:t>7. What is already scaffolded (in the repo)</w:t>
      </w:r>
    </w:p>
    <w:p>
      <w:r>
        <w:t>A runnable Streamlit app + mock backend already exists so the team can start immediately:</w:t>
      </w:r>
    </w:p>
    <w:p>
      <w:pPr>
        <w:pStyle w:val="ListBullet"/>
      </w:pPr>
      <w:r>
        <w:rPr>
          <w:b/>
        </w:rPr>
        <w:t xml:space="preserve">src/contract.py </w:t>
      </w:r>
      <w:r>
        <w:rPr>
          <w:b w:val="0"/>
        </w:rPr>
        <w:t>— the shared data contract (GenomeResult, DrugPrediction, enums, coverage/disclaimer text).</w:t>
      </w:r>
    </w:p>
    <w:p>
      <w:pPr>
        <w:pStyle w:val="ListBullet"/>
      </w:pPr>
      <w:r>
        <w:rPr>
          <w:b/>
        </w:rPr>
        <w:t xml:space="preserve">src/pipeline.py </w:t>
      </w:r>
      <w:r>
        <w:rPr>
          <w:b w:val="0"/>
        </w:rPr>
        <w:t>— MOCK predict_genome / list_samples / get_model_metrics with three story-telling demo genomes (confident FAIL, confident WORK, honest NO-CALL). Replace the bodies with the real model.</w:t>
      </w:r>
    </w:p>
    <w:p>
      <w:pPr>
        <w:pStyle w:val="ListBullet"/>
      </w:pPr>
      <w:r>
        <w:rPr>
          <w:b/>
        </w:rPr>
        <w:t xml:space="preserve">app/streamlit_app.py </w:t>
      </w:r>
      <w:r>
        <w:rPr>
          <w:b w:val="0"/>
        </w:rPr>
        <w:t>— the full 4-tab UI described above.</w:t>
      </w:r>
    </w:p>
    <w:p>
      <w:pPr>
        <w:pStyle w:val="ListBullet"/>
      </w:pPr>
      <w:r>
        <w:rPr>
          <w:b/>
        </w:rPr>
        <w:t xml:space="preserve">requirements.txt </w:t>
      </w:r>
      <w:r>
        <w:rPr>
          <w:b w:val="0"/>
        </w:rPr>
        <w:t>— streamlit, scikit-learn, matplotlib, openai, etc.</w:t>
      </w:r>
    </w:p>
    <w:p>
      <w:pPr>
        <w:pStyle w:val="Heading1"/>
      </w:pPr>
      <w:r>
        <w:rPr>
          <w:color w:val="1F6F8B"/>
        </w:rPr>
        <w:t>8. How to run it right now</w:t>
      </w:r>
    </w:p>
    <w:p>
      <w:pPr>
        <w:spacing w:after="0" w:before="0"/>
      </w:pPr>
      <w:r>
        <w:rPr>
          <w:rFonts w:ascii="Consolas" w:hAnsi="Consolas"/>
          <w:color w:val="333333"/>
          <w:sz w:val="18"/>
        </w:rPr>
        <w:t>cd genome-firewall</w:t>
      </w:r>
    </w:p>
    <w:p>
      <w:pPr>
        <w:spacing w:after="0" w:before="0"/>
      </w:pPr>
      <w:r>
        <w:rPr>
          <w:rFonts w:ascii="Consolas" w:hAnsi="Consolas"/>
          <w:color w:val="333333"/>
          <w:sz w:val="18"/>
        </w:rPr>
        <w:t>python -m venv .venv  &amp;&amp;  .venv\Scripts\activate      # (Windows)</w:t>
      </w:r>
    </w:p>
    <w:p>
      <w:pPr>
        <w:spacing w:after="0" w:before="0"/>
      </w:pPr>
      <w:r>
        <w:rPr>
          <w:rFonts w:ascii="Consolas" w:hAnsi="Consolas"/>
          <w:color w:val="333333"/>
          <w:sz w:val="18"/>
        </w:rPr>
        <w:t>pip install -r requirements.txt</w:t>
      </w:r>
    </w:p>
    <w:p>
      <w:pPr>
        <w:spacing w:after="0" w:before="0"/>
      </w:pPr>
      <w:r>
        <w:rPr>
          <w:rFonts w:ascii="Consolas" w:hAnsi="Consolas"/>
          <w:color w:val="333333"/>
          <w:sz w:val="18"/>
        </w:rPr>
        <w:t>streamlit run app/streamlit_app.py</w:t>
      </w:r>
    </w:p>
    <w:p>
      <w:pPr>
        <w:spacing w:after="0" w:before="0"/>
      </w:pPr>
      <w:r>
        <w:rPr>
          <w:rFonts w:ascii="Consolas" w:hAnsi="Consolas"/>
          <w:color w:val="333333"/>
          <w:sz w:val="18"/>
        </w:rPr>
        <w:t xml:space="preserve"> </w:t>
      </w:r>
    </w:p>
    <w:p>
      <w:pPr>
        <w:spacing w:after="0" w:before="0"/>
      </w:pPr>
      <w:r>
        <w:rPr>
          <w:rFonts w:ascii="Consolas" w:hAnsi="Consolas"/>
          <w:color w:val="333333"/>
          <w:sz w:val="18"/>
        </w:rPr>
        <w:t># opens in the browser. Pick a sample genome -&gt; Analyze -&gt; explore the 4 tabs.</w:t>
      </w:r>
    </w:p>
    <w:p/>
    <w:p>
      <w:r>
        <w:rPr>
          <w:color w:val="BBBBBB"/>
        </w:rPr>
        <w:t>────────────────────────────────────────</w:t>
      </w:r>
    </w:p>
    <w:p>
      <w:r>
        <w:rPr>
          <w:b/>
        </w:rPr>
        <w:t xml:space="preserve">Bottom line: </w:t>
      </w:r>
      <w:r>
        <w:rPr>
          <w:b w:val="0"/>
        </w:rPr>
        <w:t>the compliant frontend is a Streamlit app; it’s already built against a clean contract with a mock backend, so the UI work and the model work proceed in parallel and meet at one function. Swap the mock for the real pipeline and we are demo-ready.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