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CDFAD" w14:textId="77777777" w:rsidR="00E03E88" w:rsidRDefault="004D4DAD">
      <w:pPr>
        <w:pStyle w:val="Title"/>
      </w:pPr>
      <w:r>
        <w:t>COVID-19 Vaccine Equity Analysis (DRAFT)</w:t>
      </w:r>
    </w:p>
    <w:p w14:paraId="071DB77C" w14:textId="77777777" w:rsidR="00E03E88" w:rsidRDefault="004D4DAD">
      <w:pPr>
        <w:pStyle w:val="Author"/>
      </w:pPr>
      <w:r>
        <w:t>Amy Johnson, PhD | C. Scott Smith, PhD AICP</w:t>
      </w:r>
    </w:p>
    <w:p w14:paraId="1A14B60A" w14:textId="77777777" w:rsidR="00E03E88" w:rsidRDefault="004D4DAD">
      <w:pPr>
        <w:pStyle w:val="Date"/>
      </w:pPr>
      <w:r>
        <w:t xml:space="preserve">Last updated </w:t>
      </w:r>
      <w:proofErr w:type="gramStart"/>
      <w:r>
        <w:t>5/4/2021</w:t>
      </w:r>
      <w:proofErr w:type="gramEnd"/>
    </w:p>
    <w:p w14:paraId="279854A2" w14:textId="77777777" w:rsidR="00E03E88" w:rsidRDefault="004D4DAD">
      <w:pPr>
        <w:pStyle w:val="Heading1"/>
      </w:pPr>
      <w:bookmarkStart w:id="0" w:name="background"/>
      <w:r>
        <w:rPr>
          <w:rStyle w:val="SectionNumber"/>
        </w:rPr>
        <w:t>1</w:t>
      </w:r>
      <w:r>
        <w:tab/>
        <w:t>Background</w:t>
      </w:r>
    </w:p>
    <w:p w14:paraId="19F38AC5" w14:textId="77777777" w:rsidR="00E03E88" w:rsidRDefault="004D4DAD">
      <w:pPr>
        <w:pStyle w:val="FirstParagraph"/>
      </w:pPr>
      <w:r>
        <w:t>The illness caused by Severe Acute Respiratory Syndrome Coronavirus-2 (SARS-CoV-2), coronavirus disease (COVID-19), was declared a pandemic by the World Health Organization in March 2020. In absence of a cure and natural immunity, more than 500,000 Americans have died of COVID-19 and far more have been impacted by the disease.</w:t>
      </w:r>
    </w:p>
    <w:p w14:paraId="2F1F58B9" w14:textId="77777777" w:rsidR="00E03E88" w:rsidRDefault="004D4DAD">
      <w:pPr>
        <w:pStyle w:val="BodyText"/>
      </w:pPr>
      <w:r>
        <w:t>However, the distribution of the disease is not uniform across the American population, but rather the burden of COVID-19 has disproportionately impacted racial and ethnic minorities demonstrating the effects of social determinants of health, neighborhood traits, and the distribution of underlying comorbidities [ADD CITATIONS]. Racial/ethnic minority populations in urban settings are often employed in service occupations that prevent work-from-home and physical distancing. Further, crowded, multi-generational households, older housing stock, and substandard air quality also contribute to the increased rates of COVID-19 among racial/ethnic minority communities. Finally, racial/ethnic minority populations experience a disproportionate burden of comorbidities that impact the severity of COVID-19 (e.g., diabetes, cardiovascular disease, asthma, obesity). Identifying characteristics that are associated with increased COVID-19 risk, even if they are not causally related, can assist in prioritizing communities with high need for testing and vaccination to mitigate the continued impact of COVID-19.</w:t>
      </w:r>
    </w:p>
    <w:p w14:paraId="609B6AAD" w14:textId="77777777" w:rsidR="00E03E88" w:rsidRDefault="004D4DAD">
      <w:pPr>
        <w:pStyle w:val="BodyText"/>
      </w:pPr>
      <w:r>
        <w:t>According to the DePaul University Chicago COVID-19 Community Health Equity dashboard which sources data from local reporting, the city of Chicago has recorded 244,230 positive COVID-19 cases from March 13, 2020 through May 1, 2021 resulting in 4,984 deaths. Despite representing 29% and 28.8% of the city’s total population, Black and Latinx populations represented 38.5% and 33.4% of deaths from COVID-</w:t>
      </w:r>
      <w:proofErr w:type="gramStart"/>
      <w:r>
        <w:t>19</w:t>
      </w:r>
      <w:proofErr w:type="gramEnd"/>
      <w:r>
        <w:t xml:space="preserve"> respectively. Two highly effective COVID-19 vaccines were approved for emergency use in the United States in December 2020 and a third… As COVID-19 vaccination is one of the best strategies to control spread and reduce morbidity and mortality, rapid and equitable dissemination is required. Public health officials need to plan strategically to prioritize the allocation of vaccine to the groups most in need including those disproportionately impacted by COVID-19.</w:t>
      </w:r>
    </w:p>
    <w:p w14:paraId="455854E6" w14:textId="77777777" w:rsidR="00E03E88" w:rsidRDefault="004D4DAD">
      <w:pPr>
        <w:pStyle w:val="Heading2"/>
      </w:pPr>
      <w:bookmarkStart w:id="1" w:name="covid-19-burden-in-chicago"/>
      <w:r>
        <w:rPr>
          <w:rStyle w:val="SectionNumber"/>
        </w:rPr>
        <w:t>1.1</w:t>
      </w:r>
      <w:r>
        <w:tab/>
        <w:t>COVID-19 Burden in Chicago</w:t>
      </w:r>
    </w:p>
    <w:p w14:paraId="68BDE487" w14:textId="77777777" w:rsidR="00E03E88" w:rsidRDefault="004D4DAD">
      <w:pPr>
        <w:pStyle w:val="FirstParagraph"/>
      </w:pPr>
      <w:r>
        <w:t xml:space="preserve">The Chicago COVID-19 Community Vulnerability Index (CCVI) was adapted and modified based on the CDC Social Vulnerability Index. The Chicago CCVI identifies communities that are uniquely vulnerable to barriers to COVID-19 vaccine uptake via a ranking of a combination of ten components (risk factors and COVID-19 burden) that are synthesized into a single composite score. Community areas that received high CCVI scores had the highest mobility </w:t>
      </w:r>
      <w:r>
        <w:lastRenderedPageBreak/>
        <w:t>during COVID-19, low socioeconomic status, high rates of COVID-19 hospital admission, and high rates of COVID-19 mortality. Fifteen community areas in Chicago made up the top quintile and corresponded to 7 majority Latinx and 8 majority Black community areas. As COVID-19 vaccines are in limited supply, allocation with a focus on communities most impacted is imperative for equitable and effective control.</w:t>
      </w:r>
    </w:p>
    <w:p w14:paraId="57F4FB3D" w14:textId="77777777" w:rsidR="00E03E88" w:rsidRDefault="004D4DAD">
      <w:pPr>
        <w:pStyle w:val="BodyText"/>
      </w:pPr>
      <w:r>
        <w:t xml:space="preserve">On January 25, 2021, Chicago Mayor Lori Lightfoot and the Chicago Department of Public Health announced its Protect Chicago Plus (PCP) vaccination program, which is designed to ensure equitable vaccine access for communities that experienced the highest CCVI. The plan identified 15 high-need communities which ranked highest according to the city’s CCVI, increasing vaccine allocation in these areas and expanding eligibility to all residents 18 and over. The leveraged community stakeholders to reduce barriers to vaccine access via call-in lines, strike teams, mobile clinics, homebound </w:t>
      </w:r>
      <w:proofErr w:type="gramStart"/>
      <w:r>
        <w:t>distribution</w:t>
      </w:r>
      <w:proofErr w:type="gramEnd"/>
      <w:r>
        <w:t xml:space="preserve"> and other strategies to improve vaccine availability and acceptability.</w:t>
      </w:r>
    </w:p>
    <w:p w14:paraId="6C573816" w14:textId="77777777" w:rsidR="00E03E88" w:rsidRDefault="004D4DAD">
      <w:pPr>
        <w:pStyle w:val="Heading2"/>
      </w:pPr>
      <w:bookmarkStart w:id="2" w:name="research-questions"/>
      <w:bookmarkEnd w:id="1"/>
      <w:r>
        <w:rPr>
          <w:rStyle w:val="SectionNumber"/>
        </w:rPr>
        <w:t>1.2</w:t>
      </w:r>
      <w:r>
        <w:tab/>
        <w:t>Research Questions</w:t>
      </w:r>
    </w:p>
    <w:p w14:paraId="690F9788" w14:textId="77777777" w:rsidR="00E03E88" w:rsidRDefault="004D4DAD">
      <w:pPr>
        <w:pStyle w:val="FirstParagraph"/>
      </w:pPr>
      <w:r>
        <w:t xml:space="preserve">This study provides an overview of Chicago’s COVID-19 vaccine distribution over a four-month period with a particular focus on evaluating </w:t>
      </w:r>
      <w:proofErr w:type="gramStart"/>
      <w:r>
        <w:t>whether or not</w:t>
      </w:r>
      <w:proofErr w:type="gramEnd"/>
      <w:r>
        <w:t xml:space="preserve"> improvements were made in the uptake of vaccine among the city’s most vulnerable populations after implementation of its targeted distribution plan. Specifically, this research aims to respond to two research questions:</w:t>
      </w:r>
    </w:p>
    <w:p w14:paraId="163519D8" w14:textId="77777777" w:rsidR="00E03E88" w:rsidRDefault="004D4DAD">
      <w:pPr>
        <w:numPr>
          <w:ilvl w:val="0"/>
          <w:numId w:val="2"/>
        </w:numPr>
      </w:pPr>
      <w:r>
        <w:t>How do first-dose COVID-19 vaccination administrations differ across Chicago communities with different CCVI characteristics?</w:t>
      </w:r>
    </w:p>
    <w:p w14:paraId="0E2D3A5B" w14:textId="77777777" w:rsidR="00E03E88" w:rsidRDefault="004D4DAD">
      <w:pPr>
        <w:numPr>
          <w:ilvl w:val="0"/>
          <w:numId w:val="2"/>
        </w:numPr>
      </w:pPr>
      <w:r>
        <w:t>To what extent have municipal vaccination distribution strategies mitigated disparities in vaccination rates, especially in neighborhoods targeted in the city’s Protect Chicago Plus program?</w:t>
      </w:r>
    </w:p>
    <w:p w14:paraId="78246216" w14:textId="77777777" w:rsidR="00E03E88" w:rsidRDefault="004D4DAD">
      <w:pPr>
        <w:pStyle w:val="Heading1"/>
      </w:pPr>
      <w:bookmarkStart w:id="3" w:name="methodology"/>
      <w:bookmarkEnd w:id="0"/>
      <w:bookmarkEnd w:id="2"/>
      <w:r>
        <w:rPr>
          <w:rStyle w:val="SectionNumber"/>
        </w:rPr>
        <w:t>2</w:t>
      </w:r>
      <w:r>
        <w:tab/>
        <w:t>Methodology</w:t>
      </w:r>
    </w:p>
    <w:p w14:paraId="26D3EC91" w14:textId="77777777" w:rsidR="00E03E88" w:rsidRDefault="004D4DAD">
      <w:pPr>
        <w:pStyle w:val="FirstParagraph"/>
      </w:pPr>
      <w:r>
        <w:t>A series of chi-square analyses were employed to evaluate disparities in vaccination rates across communities categorized by dominant race and ethnic group, poverty status and relative CCVI. Multiple interrupted time series analyses (ITS) were then implemented to evaluate the impact of the city’s PCP program on different measures of vaccination coverage and disparity, pre- and post-intervention. ITS was the preferred analytic framework because it required fewer controls, allowing for general inferences to be made about intervention efficacy with two independent variables - time and program start date.</w:t>
      </w:r>
    </w:p>
    <w:p w14:paraId="2B2732D8" w14:textId="77777777" w:rsidR="00E03E88" w:rsidRDefault="004D4DAD">
      <w:pPr>
        <w:pStyle w:val="Heading2"/>
      </w:pPr>
      <w:bookmarkStart w:id="4" w:name="data"/>
      <w:r>
        <w:rPr>
          <w:rStyle w:val="SectionNumber"/>
        </w:rPr>
        <w:t>2.1</w:t>
      </w:r>
      <w:r>
        <w:tab/>
        <w:t>Data</w:t>
      </w:r>
    </w:p>
    <w:p w14:paraId="19D65CD7" w14:textId="77777777" w:rsidR="00E03E88" w:rsidRDefault="004D4DAD">
      <w:pPr>
        <w:pStyle w:val="FirstParagraph"/>
      </w:pPr>
      <w:r>
        <w:t>To carry out the above analyses, we rely on publicly available data including:</w:t>
      </w:r>
    </w:p>
    <w:p w14:paraId="4FB46BD0" w14:textId="77777777" w:rsidR="00E03E88" w:rsidRDefault="004D4DAD">
      <w:pPr>
        <w:numPr>
          <w:ilvl w:val="0"/>
          <w:numId w:val="3"/>
        </w:numPr>
      </w:pPr>
      <w:r>
        <w:t xml:space="preserve">population data including age, race, ethnicity and socioeconomic characteristics from the US Census Bureau’s American Community Survey (ACS), 2015 to 2019 5-year </w:t>
      </w:r>
      <w:proofErr w:type="gramStart"/>
      <w:r>
        <w:t>estimates;</w:t>
      </w:r>
      <w:proofErr w:type="gramEnd"/>
    </w:p>
    <w:p w14:paraId="5798DDE2" w14:textId="77777777" w:rsidR="00E03E88" w:rsidRDefault="004D4DAD">
      <w:pPr>
        <w:numPr>
          <w:ilvl w:val="0"/>
          <w:numId w:val="3"/>
        </w:numPr>
      </w:pPr>
      <w:r>
        <w:t>daily first dose COVID-19 vaccination counts from the City of Chicago’s data portal; and</w:t>
      </w:r>
    </w:p>
    <w:p w14:paraId="1E850058" w14:textId="77777777" w:rsidR="00E03E88" w:rsidRDefault="004D4DAD">
      <w:pPr>
        <w:numPr>
          <w:ilvl w:val="0"/>
          <w:numId w:val="3"/>
        </w:numPr>
      </w:pPr>
      <w:r>
        <w:lastRenderedPageBreak/>
        <w:t>press releases from the City of Chicago, related media reports and personal communication with municipal public health personnel concerning the geographic scope, roll-out and overall implementation of the city’s Protect Chicago Plus vaccination program.</w:t>
      </w:r>
    </w:p>
    <w:p w14:paraId="6F6AF041" w14:textId="6ECF3AC0" w:rsidR="00E03E88" w:rsidRDefault="004D4DAD">
      <w:pPr>
        <w:pStyle w:val="Heading3"/>
      </w:pPr>
      <w:bookmarkStart w:id="5" w:name="Xc2df9490aec22428365eed55a1fcadfa8b2844c"/>
      <w:r>
        <w:rPr>
          <w:rStyle w:val="SectionNumber"/>
        </w:rPr>
        <w:t>2.1.1</w:t>
      </w:r>
      <w:r>
        <w:tab/>
        <w:t>COVID-19 Vaccination Disparities in Chicago</w:t>
      </w:r>
    </w:p>
    <w:p w14:paraId="7C9F1663" w14:textId="77777777" w:rsidR="00A540F7" w:rsidRDefault="00A540F7" w:rsidP="004541CE">
      <w:pPr>
        <w:rPr>
          <w:rFonts w:cs="Times New Roman"/>
          <w:b/>
          <w:bCs/>
        </w:rPr>
      </w:pPr>
    </w:p>
    <w:p w14:paraId="7526DFB3" w14:textId="1DE5983B" w:rsidR="004541CE" w:rsidRDefault="004541CE" w:rsidP="004541CE">
      <w:pPr>
        <w:rPr>
          <w:rFonts w:cs="Times New Roman"/>
          <w:b/>
          <w:bCs/>
        </w:rPr>
      </w:pPr>
      <w:r>
        <w:rPr>
          <w:rFonts w:cs="Times New Roman"/>
          <w:b/>
          <w:bCs/>
        </w:rPr>
        <w:t xml:space="preserve">Table 1. Characteristics of Population, COVID-19 Outcomes and Vaccination Activity by Protect Chicago Plus (PCP) Priority, 3/14/2020 through </w:t>
      </w:r>
      <w:proofErr w:type="gramStart"/>
      <w:r w:rsidR="00365BB0">
        <w:rPr>
          <w:rFonts w:cs="Times New Roman"/>
          <w:b/>
          <w:bCs/>
        </w:rPr>
        <w:t>5</w:t>
      </w:r>
      <w:r>
        <w:rPr>
          <w:rFonts w:cs="Times New Roman"/>
          <w:b/>
          <w:bCs/>
        </w:rPr>
        <w:t>/</w:t>
      </w:r>
      <w:r w:rsidR="00365BB0">
        <w:rPr>
          <w:rFonts w:cs="Times New Roman"/>
          <w:b/>
          <w:bCs/>
        </w:rPr>
        <w:t>1</w:t>
      </w:r>
      <w:r>
        <w:rPr>
          <w:rFonts w:cs="Times New Roman"/>
          <w:b/>
          <w:bCs/>
        </w:rPr>
        <w:t>/2021</w:t>
      </w:r>
      <w:proofErr w:type="gramEnd"/>
    </w:p>
    <w:tbl>
      <w:tblPr>
        <w:tblStyle w:val="TableGrid"/>
        <w:tblW w:w="945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1890"/>
        <w:gridCol w:w="1985"/>
        <w:gridCol w:w="1795"/>
      </w:tblGrid>
      <w:tr w:rsidR="004541CE" w14:paraId="255F3FA7" w14:textId="77777777" w:rsidTr="004541CE">
        <w:tc>
          <w:tcPr>
            <w:tcW w:w="3780" w:type="dxa"/>
            <w:tcBorders>
              <w:top w:val="nil"/>
              <w:left w:val="nil"/>
              <w:bottom w:val="nil"/>
              <w:right w:val="single" w:sz="4" w:space="0" w:color="auto"/>
            </w:tcBorders>
          </w:tcPr>
          <w:p w14:paraId="6F60DD45" w14:textId="77777777" w:rsidR="004541CE" w:rsidRDefault="004541CE">
            <w:pPr>
              <w:rPr>
                <w:rFonts w:cs="Times New Roman"/>
                <w:sz w:val="20"/>
                <w:szCs w:val="20"/>
              </w:rPr>
            </w:pPr>
          </w:p>
        </w:tc>
        <w:tc>
          <w:tcPr>
            <w:tcW w:w="3875" w:type="dxa"/>
            <w:gridSpan w:val="2"/>
            <w:tcBorders>
              <w:top w:val="single" w:sz="4" w:space="0" w:color="auto"/>
              <w:left w:val="single" w:sz="4" w:space="0" w:color="auto"/>
              <w:bottom w:val="single" w:sz="4" w:space="0" w:color="auto"/>
              <w:right w:val="single" w:sz="4" w:space="0" w:color="auto"/>
            </w:tcBorders>
            <w:hideMark/>
          </w:tcPr>
          <w:p w14:paraId="72159B05" w14:textId="77777777" w:rsidR="004541CE" w:rsidRDefault="004541CE">
            <w:pPr>
              <w:jc w:val="center"/>
              <w:rPr>
                <w:rFonts w:cs="Times New Roman"/>
                <w:sz w:val="20"/>
                <w:szCs w:val="20"/>
              </w:rPr>
            </w:pPr>
            <w:r>
              <w:rPr>
                <w:rFonts w:cs="Times New Roman"/>
                <w:sz w:val="20"/>
                <w:szCs w:val="20"/>
              </w:rPr>
              <w:t>Protect Chicago Plus Priority Zip Codes</w:t>
            </w:r>
          </w:p>
        </w:tc>
        <w:tc>
          <w:tcPr>
            <w:tcW w:w="1795" w:type="dxa"/>
            <w:tcBorders>
              <w:top w:val="single" w:sz="4" w:space="0" w:color="auto"/>
              <w:left w:val="single" w:sz="4" w:space="0" w:color="auto"/>
              <w:bottom w:val="nil"/>
              <w:right w:val="nil"/>
            </w:tcBorders>
            <w:vAlign w:val="bottom"/>
          </w:tcPr>
          <w:p w14:paraId="41E911DE" w14:textId="48A2E1BE" w:rsidR="004541CE" w:rsidRPr="004541CE" w:rsidRDefault="004541CE" w:rsidP="004541CE">
            <w:pPr>
              <w:jc w:val="center"/>
              <w:rPr>
                <w:rFonts w:cs="Times New Roman"/>
                <w:b/>
                <w:bCs/>
                <w:sz w:val="20"/>
                <w:szCs w:val="20"/>
              </w:rPr>
            </w:pPr>
          </w:p>
        </w:tc>
      </w:tr>
      <w:tr w:rsidR="004541CE" w14:paraId="4EDD5882" w14:textId="77777777" w:rsidTr="004541CE">
        <w:tc>
          <w:tcPr>
            <w:tcW w:w="3780" w:type="dxa"/>
            <w:tcBorders>
              <w:top w:val="nil"/>
              <w:left w:val="nil"/>
              <w:bottom w:val="single" w:sz="4" w:space="0" w:color="auto"/>
              <w:right w:val="single" w:sz="4" w:space="0" w:color="auto"/>
            </w:tcBorders>
          </w:tcPr>
          <w:p w14:paraId="5219A084" w14:textId="77777777" w:rsidR="004541CE" w:rsidRDefault="004541CE" w:rsidP="004541CE">
            <w:pPr>
              <w:rPr>
                <w:rFonts w:cs="Times New Roman"/>
                <w:sz w:val="20"/>
                <w:szCs w:val="20"/>
              </w:rPr>
            </w:pPr>
          </w:p>
        </w:tc>
        <w:tc>
          <w:tcPr>
            <w:tcW w:w="1890" w:type="dxa"/>
            <w:tcBorders>
              <w:top w:val="single" w:sz="4" w:space="0" w:color="auto"/>
              <w:left w:val="single" w:sz="4" w:space="0" w:color="auto"/>
              <w:bottom w:val="single" w:sz="4" w:space="0" w:color="auto"/>
              <w:right w:val="single" w:sz="4" w:space="0" w:color="auto"/>
            </w:tcBorders>
            <w:hideMark/>
          </w:tcPr>
          <w:p w14:paraId="3C2FC04B" w14:textId="77777777" w:rsidR="004541CE" w:rsidRPr="004541CE" w:rsidRDefault="004541CE" w:rsidP="004541CE">
            <w:pPr>
              <w:jc w:val="center"/>
              <w:rPr>
                <w:rFonts w:cs="Times New Roman"/>
                <w:b/>
                <w:bCs/>
                <w:sz w:val="20"/>
                <w:szCs w:val="20"/>
              </w:rPr>
            </w:pPr>
            <w:r w:rsidRPr="004541CE">
              <w:rPr>
                <w:rFonts w:cs="Times New Roman"/>
                <w:b/>
                <w:bCs/>
                <w:sz w:val="20"/>
                <w:szCs w:val="20"/>
              </w:rPr>
              <w:t>No</w:t>
            </w:r>
          </w:p>
        </w:tc>
        <w:tc>
          <w:tcPr>
            <w:tcW w:w="1985" w:type="dxa"/>
            <w:tcBorders>
              <w:top w:val="single" w:sz="4" w:space="0" w:color="auto"/>
              <w:left w:val="single" w:sz="4" w:space="0" w:color="auto"/>
              <w:bottom w:val="single" w:sz="4" w:space="0" w:color="auto"/>
              <w:right w:val="single" w:sz="4" w:space="0" w:color="auto"/>
            </w:tcBorders>
            <w:hideMark/>
          </w:tcPr>
          <w:p w14:paraId="0EF0DD02" w14:textId="77777777" w:rsidR="004541CE" w:rsidRPr="004541CE" w:rsidRDefault="004541CE" w:rsidP="004541CE">
            <w:pPr>
              <w:jc w:val="center"/>
              <w:rPr>
                <w:rFonts w:cs="Times New Roman"/>
                <w:b/>
                <w:bCs/>
                <w:sz w:val="20"/>
                <w:szCs w:val="20"/>
              </w:rPr>
            </w:pPr>
            <w:r w:rsidRPr="004541CE">
              <w:rPr>
                <w:rFonts w:cs="Times New Roman"/>
                <w:b/>
                <w:bCs/>
                <w:sz w:val="20"/>
                <w:szCs w:val="20"/>
              </w:rPr>
              <w:t>Yes</w:t>
            </w:r>
          </w:p>
        </w:tc>
        <w:tc>
          <w:tcPr>
            <w:tcW w:w="1795" w:type="dxa"/>
            <w:tcBorders>
              <w:top w:val="nil"/>
              <w:left w:val="single" w:sz="4" w:space="0" w:color="auto"/>
              <w:bottom w:val="single" w:sz="4" w:space="0" w:color="auto"/>
              <w:right w:val="nil"/>
            </w:tcBorders>
            <w:vAlign w:val="bottom"/>
          </w:tcPr>
          <w:p w14:paraId="495B4E72" w14:textId="5FB400C0" w:rsidR="004541CE" w:rsidRDefault="004541CE" w:rsidP="004541CE">
            <w:pPr>
              <w:jc w:val="center"/>
              <w:rPr>
                <w:rFonts w:cs="Times New Roman"/>
                <w:sz w:val="20"/>
                <w:szCs w:val="20"/>
              </w:rPr>
            </w:pPr>
            <w:r w:rsidRPr="004541CE">
              <w:rPr>
                <w:rFonts w:cs="Times New Roman"/>
                <w:b/>
                <w:bCs/>
                <w:sz w:val="20"/>
                <w:szCs w:val="20"/>
              </w:rPr>
              <w:t>City of Chicago</w:t>
            </w:r>
          </w:p>
        </w:tc>
      </w:tr>
      <w:tr w:rsidR="004541CE" w14:paraId="20E7F923" w14:textId="77777777" w:rsidTr="004541CE">
        <w:tc>
          <w:tcPr>
            <w:tcW w:w="3780" w:type="dxa"/>
            <w:tcBorders>
              <w:top w:val="single" w:sz="4" w:space="0" w:color="auto"/>
              <w:left w:val="nil"/>
              <w:bottom w:val="nil"/>
              <w:right w:val="single" w:sz="4" w:space="0" w:color="auto"/>
            </w:tcBorders>
            <w:hideMark/>
          </w:tcPr>
          <w:p w14:paraId="1C995F0D" w14:textId="77777777" w:rsidR="004541CE" w:rsidRDefault="004541CE" w:rsidP="004541CE">
            <w:pPr>
              <w:jc w:val="right"/>
              <w:rPr>
                <w:rFonts w:cs="Times New Roman"/>
                <w:i/>
                <w:iCs/>
                <w:sz w:val="20"/>
                <w:szCs w:val="20"/>
              </w:rPr>
            </w:pPr>
            <w:r>
              <w:rPr>
                <w:rFonts w:cs="Times New Roman"/>
                <w:i/>
                <w:iCs/>
                <w:sz w:val="20"/>
                <w:szCs w:val="20"/>
              </w:rPr>
              <w:t>Total zip codes</w:t>
            </w:r>
          </w:p>
        </w:tc>
        <w:tc>
          <w:tcPr>
            <w:tcW w:w="1890" w:type="dxa"/>
            <w:tcBorders>
              <w:top w:val="single" w:sz="4" w:space="0" w:color="auto"/>
              <w:left w:val="single" w:sz="4" w:space="0" w:color="auto"/>
              <w:bottom w:val="nil"/>
              <w:right w:val="single" w:sz="4" w:space="0" w:color="auto"/>
            </w:tcBorders>
            <w:hideMark/>
          </w:tcPr>
          <w:p w14:paraId="42E037CF" w14:textId="77777777" w:rsidR="004541CE" w:rsidRDefault="004541CE" w:rsidP="004541CE">
            <w:pPr>
              <w:jc w:val="right"/>
              <w:rPr>
                <w:rFonts w:cs="Times New Roman"/>
                <w:sz w:val="20"/>
                <w:szCs w:val="20"/>
              </w:rPr>
            </w:pPr>
            <w:r>
              <w:rPr>
                <w:rFonts w:cs="Times New Roman"/>
                <w:sz w:val="20"/>
                <w:szCs w:val="20"/>
              </w:rPr>
              <w:t>47</w:t>
            </w:r>
          </w:p>
        </w:tc>
        <w:tc>
          <w:tcPr>
            <w:tcW w:w="1985" w:type="dxa"/>
            <w:tcBorders>
              <w:top w:val="single" w:sz="4" w:space="0" w:color="auto"/>
              <w:left w:val="single" w:sz="4" w:space="0" w:color="auto"/>
              <w:bottom w:val="nil"/>
              <w:right w:val="single" w:sz="4" w:space="0" w:color="auto"/>
            </w:tcBorders>
            <w:hideMark/>
          </w:tcPr>
          <w:p w14:paraId="2EC9E1FB" w14:textId="77777777" w:rsidR="004541CE" w:rsidRDefault="004541CE" w:rsidP="004541CE">
            <w:pPr>
              <w:jc w:val="right"/>
              <w:rPr>
                <w:rFonts w:cs="Times New Roman"/>
                <w:sz w:val="20"/>
                <w:szCs w:val="20"/>
              </w:rPr>
            </w:pPr>
            <w:r>
              <w:rPr>
                <w:rFonts w:cs="Times New Roman"/>
                <w:sz w:val="20"/>
                <w:szCs w:val="20"/>
              </w:rPr>
              <w:t>13</w:t>
            </w:r>
          </w:p>
        </w:tc>
        <w:tc>
          <w:tcPr>
            <w:tcW w:w="1795" w:type="dxa"/>
            <w:tcBorders>
              <w:top w:val="single" w:sz="4" w:space="0" w:color="auto"/>
              <w:left w:val="single" w:sz="4" w:space="0" w:color="auto"/>
              <w:bottom w:val="nil"/>
              <w:right w:val="nil"/>
            </w:tcBorders>
          </w:tcPr>
          <w:p w14:paraId="11EF3599" w14:textId="77777777" w:rsidR="004541CE" w:rsidRDefault="004541CE" w:rsidP="004541CE">
            <w:pPr>
              <w:jc w:val="right"/>
              <w:rPr>
                <w:rFonts w:cs="Times New Roman"/>
                <w:sz w:val="20"/>
                <w:szCs w:val="20"/>
              </w:rPr>
            </w:pPr>
          </w:p>
        </w:tc>
      </w:tr>
      <w:tr w:rsidR="004541CE" w14:paraId="1C8F09D7" w14:textId="77777777" w:rsidTr="004541CE">
        <w:tc>
          <w:tcPr>
            <w:tcW w:w="3780" w:type="dxa"/>
            <w:tcBorders>
              <w:top w:val="nil"/>
              <w:left w:val="nil"/>
              <w:bottom w:val="nil"/>
              <w:right w:val="single" w:sz="4" w:space="0" w:color="auto"/>
            </w:tcBorders>
          </w:tcPr>
          <w:p w14:paraId="7E4D8349" w14:textId="77777777" w:rsidR="004541CE" w:rsidRDefault="004541CE" w:rsidP="004541CE">
            <w:pPr>
              <w:jc w:val="right"/>
              <w:rPr>
                <w:rFonts w:cs="Times New Roman"/>
                <w:i/>
                <w:iCs/>
                <w:sz w:val="20"/>
                <w:szCs w:val="20"/>
              </w:rPr>
            </w:pPr>
          </w:p>
        </w:tc>
        <w:tc>
          <w:tcPr>
            <w:tcW w:w="1890" w:type="dxa"/>
            <w:tcBorders>
              <w:top w:val="nil"/>
              <w:left w:val="single" w:sz="4" w:space="0" w:color="auto"/>
              <w:bottom w:val="nil"/>
              <w:right w:val="single" w:sz="4" w:space="0" w:color="auto"/>
            </w:tcBorders>
          </w:tcPr>
          <w:p w14:paraId="7EB283F9" w14:textId="77777777" w:rsidR="004541CE" w:rsidRDefault="004541CE" w:rsidP="004541CE">
            <w:pPr>
              <w:jc w:val="right"/>
              <w:rPr>
                <w:rFonts w:cs="Times New Roman"/>
                <w:sz w:val="20"/>
                <w:szCs w:val="20"/>
              </w:rPr>
            </w:pPr>
          </w:p>
        </w:tc>
        <w:tc>
          <w:tcPr>
            <w:tcW w:w="1985" w:type="dxa"/>
            <w:tcBorders>
              <w:top w:val="nil"/>
              <w:left w:val="single" w:sz="4" w:space="0" w:color="auto"/>
              <w:bottom w:val="nil"/>
              <w:right w:val="single" w:sz="4" w:space="0" w:color="auto"/>
            </w:tcBorders>
          </w:tcPr>
          <w:p w14:paraId="217DDC6C" w14:textId="77777777" w:rsidR="004541CE" w:rsidRDefault="004541CE" w:rsidP="004541CE">
            <w:pPr>
              <w:jc w:val="right"/>
              <w:rPr>
                <w:rFonts w:cs="Times New Roman"/>
                <w:sz w:val="20"/>
                <w:szCs w:val="20"/>
              </w:rPr>
            </w:pPr>
          </w:p>
        </w:tc>
        <w:tc>
          <w:tcPr>
            <w:tcW w:w="1795" w:type="dxa"/>
            <w:tcBorders>
              <w:top w:val="nil"/>
              <w:left w:val="single" w:sz="4" w:space="0" w:color="auto"/>
              <w:bottom w:val="nil"/>
              <w:right w:val="nil"/>
            </w:tcBorders>
          </w:tcPr>
          <w:p w14:paraId="747DE38A" w14:textId="77777777" w:rsidR="004541CE" w:rsidRDefault="004541CE" w:rsidP="004541CE">
            <w:pPr>
              <w:jc w:val="right"/>
              <w:rPr>
                <w:rFonts w:cs="Times New Roman"/>
                <w:sz w:val="20"/>
                <w:szCs w:val="20"/>
              </w:rPr>
            </w:pPr>
          </w:p>
        </w:tc>
      </w:tr>
      <w:tr w:rsidR="004541CE" w14:paraId="5926C2F5" w14:textId="77777777" w:rsidTr="004541CE">
        <w:tc>
          <w:tcPr>
            <w:tcW w:w="3780" w:type="dxa"/>
            <w:tcBorders>
              <w:top w:val="nil"/>
              <w:left w:val="nil"/>
              <w:bottom w:val="nil"/>
              <w:right w:val="single" w:sz="4" w:space="0" w:color="auto"/>
            </w:tcBorders>
            <w:hideMark/>
          </w:tcPr>
          <w:p w14:paraId="36793561" w14:textId="53C2BE27" w:rsidR="004541CE" w:rsidRPr="004541CE" w:rsidRDefault="004541CE" w:rsidP="004541CE">
            <w:pPr>
              <w:tabs>
                <w:tab w:val="left" w:pos="829"/>
              </w:tabs>
              <w:rPr>
                <w:rFonts w:cs="Times New Roman"/>
                <w:b/>
                <w:bCs/>
                <w:sz w:val="20"/>
                <w:szCs w:val="20"/>
                <w:vertAlign w:val="superscript"/>
              </w:rPr>
            </w:pPr>
            <w:r>
              <w:rPr>
                <w:rFonts w:cs="Times New Roman"/>
                <w:b/>
                <w:bCs/>
                <w:sz w:val="20"/>
                <w:szCs w:val="20"/>
              </w:rPr>
              <w:t xml:space="preserve">Population </w:t>
            </w:r>
            <w:proofErr w:type="spellStart"/>
            <w:r>
              <w:rPr>
                <w:rFonts w:cs="Times New Roman"/>
                <w:b/>
                <w:bCs/>
                <w:sz w:val="20"/>
                <w:szCs w:val="20"/>
              </w:rPr>
              <w:t>characteristics</w:t>
            </w:r>
            <w:r>
              <w:rPr>
                <w:rFonts w:cs="Times New Roman"/>
                <w:b/>
                <w:bCs/>
                <w:sz w:val="20"/>
                <w:szCs w:val="20"/>
                <w:vertAlign w:val="superscript"/>
              </w:rPr>
              <w:t>a</w:t>
            </w:r>
            <w:proofErr w:type="spellEnd"/>
          </w:p>
        </w:tc>
        <w:tc>
          <w:tcPr>
            <w:tcW w:w="1890" w:type="dxa"/>
            <w:tcBorders>
              <w:top w:val="nil"/>
              <w:left w:val="single" w:sz="4" w:space="0" w:color="auto"/>
              <w:bottom w:val="nil"/>
              <w:right w:val="single" w:sz="4" w:space="0" w:color="auto"/>
            </w:tcBorders>
          </w:tcPr>
          <w:p w14:paraId="63018D86" w14:textId="77777777" w:rsidR="004541CE" w:rsidRDefault="004541CE" w:rsidP="004541CE">
            <w:pPr>
              <w:jc w:val="right"/>
              <w:rPr>
                <w:rFonts w:cs="Times New Roman"/>
                <w:sz w:val="20"/>
                <w:szCs w:val="20"/>
              </w:rPr>
            </w:pPr>
          </w:p>
        </w:tc>
        <w:tc>
          <w:tcPr>
            <w:tcW w:w="1985" w:type="dxa"/>
            <w:tcBorders>
              <w:top w:val="nil"/>
              <w:left w:val="single" w:sz="4" w:space="0" w:color="auto"/>
              <w:bottom w:val="nil"/>
              <w:right w:val="single" w:sz="4" w:space="0" w:color="auto"/>
            </w:tcBorders>
          </w:tcPr>
          <w:p w14:paraId="4D9F2BDD" w14:textId="77777777" w:rsidR="004541CE" w:rsidRDefault="004541CE" w:rsidP="004541CE">
            <w:pPr>
              <w:jc w:val="right"/>
              <w:rPr>
                <w:rFonts w:cs="Times New Roman"/>
                <w:sz w:val="20"/>
                <w:szCs w:val="20"/>
              </w:rPr>
            </w:pPr>
          </w:p>
        </w:tc>
        <w:tc>
          <w:tcPr>
            <w:tcW w:w="1795" w:type="dxa"/>
            <w:tcBorders>
              <w:top w:val="nil"/>
              <w:left w:val="single" w:sz="4" w:space="0" w:color="auto"/>
              <w:bottom w:val="nil"/>
              <w:right w:val="nil"/>
            </w:tcBorders>
          </w:tcPr>
          <w:p w14:paraId="6E62A37C" w14:textId="77777777" w:rsidR="004541CE" w:rsidRDefault="004541CE" w:rsidP="004541CE">
            <w:pPr>
              <w:jc w:val="right"/>
              <w:rPr>
                <w:rFonts w:cs="Times New Roman"/>
                <w:sz w:val="20"/>
                <w:szCs w:val="20"/>
              </w:rPr>
            </w:pPr>
          </w:p>
        </w:tc>
      </w:tr>
      <w:tr w:rsidR="004541CE" w14:paraId="6CDE7B39" w14:textId="77777777" w:rsidTr="004541CE">
        <w:tc>
          <w:tcPr>
            <w:tcW w:w="3780" w:type="dxa"/>
            <w:tcBorders>
              <w:top w:val="nil"/>
              <w:left w:val="nil"/>
              <w:bottom w:val="nil"/>
              <w:right w:val="single" w:sz="4" w:space="0" w:color="auto"/>
            </w:tcBorders>
            <w:hideMark/>
          </w:tcPr>
          <w:p w14:paraId="3F121509" w14:textId="77777777" w:rsidR="004541CE" w:rsidRDefault="004541CE" w:rsidP="004541CE">
            <w:pPr>
              <w:jc w:val="right"/>
              <w:rPr>
                <w:rFonts w:cs="Times New Roman"/>
                <w:i/>
                <w:iCs/>
                <w:sz w:val="20"/>
                <w:szCs w:val="20"/>
              </w:rPr>
            </w:pPr>
            <w:r>
              <w:rPr>
                <w:rFonts w:cs="Times New Roman"/>
                <w:i/>
                <w:iCs/>
                <w:sz w:val="20"/>
                <w:szCs w:val="20"/>
              </w:rPr>
              <w:t>Total population</w:t>
            </w:r>
          </w:p>
        </w:tc>
        <w:tc>
          <w:tcPr>
            <w:tcW w:w="1890" w:type="dxa"/>
            <w:tcBorders>
              <w:top w:val="nil"/>
              <w:left w:val="single" w:sz="4" w:space="0" w:color="auto"/>
              <w:bottom w:val="nil"/>
              <w:right w:val="single" w:sz="4" w:space="0" w:color="auto"/>
            </w:tcBorders>
            <w:hideMark/>
          </w:tcPr>
          <w:p w14:paraId="33BDC08E" w14:textId="77777777" w:rsidR="004541CE" w:rsidRDefault="004541CE" w:rsidP="004541CE">
            <w:pPr>
              <w:jc w:val="right"/>
              <w:rPr>
                <w:rFonts w:cs="Times New Roman"/>
                <w:sz w:val="20"/>
                <w:szCs w:val="20"/>
              </w:rPr>
            </w:pPr>
            <w:r>
              <w:rPr>
                <w:rFonts w:cs="Times New Roman"/>
                <w:sz w:val="20"/>
                <w:szCs w:val="20"/>
              </w:rPr>
              <w:t>1,955,851</w:t>
            </w:r>
          </w:p>
        </w:tc>
        <w:tc>
          <w:tcPr>
            <w:tcW w:w="1985" w:type="dxa"/>
            <w:tcBorders>
              <w:top w:val="nil"/>
              <w:left w:val="single" w:sz="4" w:space="0" w:color="auto"/>
              <w:bottom w:val="nil"/>
              <w:right w:val="single" w:sz="4" w:space="0" w:color="auto"/>
            </w:tcBorders>
            <w:hideMark/>
          </w:tcPr>
          <w:p w14:paraId="1190C99A" w14:textId="77777777" w:rsidR="004541CE" w:rsidRDefault="004541CE" w:rsidP="004541CE">
            <w:pPr>
              <w:jc w:val="right"/>
              <w:rPr>
                <w:rFonts w:cs="Times New Roman"/>
                <w:sz w:val="20"/>
                <w:szCs w:val="20"/>
              </w:rPr>
            </w:pPr>
            <w:r>
              <w:rPr>
                <w:rFonts w:cs="Times New Roman"/>
                <w:sz w:val="20"/>
                <w:szCs w:val="20"/>
              </w:rPr>
              <w:t>808,387</w:t>
            </w:r>
          </w:p>
        </w:tc>
        <w:tc>
          <w:tcPr>
            <w:tcW w:w="1795" w:type="dxa"/>
            <w:tcBorders>
              <w:top w:val="nil"/>
              <w:left w:val="single" w:sz="4" w:space="0" w:color="auto"/>
              <w:bottom w:val="nil"/>
              <w:right w:val="nil"/>
            </w:tcBorders>
            <w:hideMark/>
          </w:tcPr>
          <w:p w14:paraId="7A92CD64" w14:textId="77777777" w:rsidR="004541CE" w:rsidRDefault="004541CE" w:rsidP="004541CE">
            <w:pPr>
              <w:jc w:val="right"/>
              <w:rPr>
                <w:rFonts w:cs="Times New Roman"/>
                <w:sz w:val="20"/>
                <w:szCs w:val="20"/>
              </w:rPr>
            </w:pPr>
            <w:r>
              <w:rPr>
                <w:rFonts w:cs="Times New Roman"/>
                <w:sz w:val="20"/>
                <w:szCs w:val="20"/>
              </w:rPr>
              <w:t>2,764,238</w:t>
            </w:r>
          </w:p>
        </w:tc>
      </w:tr>
      <w:tr w:rsidR="004541CE" w14:paraId="7857A85E" w14:textId="77777777" w:rsidTr="004541CE">
        <w:tc>
          <w:tcPr>
            <w:tcW w:w="3780" w:type="dxa"/>
            <w:tcBorders>
              <w:top w:val="nil"/>
              <w:left w:val="nil"/>
              <w:bottom w:val="nil"/>
              <w:right w:val="single" w:sz="4" w:space="0" w:color="auto"/>
            </w:tcBorders>
            <w:hideMark/>
          </w:tcPr>
          <w:p w14:paraId="2E2A2A53" w14:textId="77777777" w:rsidR="004541CE" w:rsidRDefault="004541CE" w:rsidP="004541CE">
            <w:pPr>
              <w:jc w:val="right"/>
              <w:rPr>
                <w:rFonts w:cs="Times New Roman"/>
                <w:i/>
                <w:iCs/>
                <w:sz w:val="20"/>
                <w:szCs w:val="20"/>
              </w:rPr>
            </w:pPr>
            <w:r>
              <w:rPr>
                <w:rFonts w:cs="Times New Roman"/>
                <w:i/>
                <w:iCs/>
                <w:sz w:val="20"/>
                <w:szCs w:val="20"/>
              </w:rPr>
              <w:t>18 and older</w:t>
            </w:r>
          </w:p>
        </w:tc>
        <w:tc>
          <w:tcPr>
            <w:tcW w:w="1890" w:type="dxa"/>
            <w:tcBorders>
              <w:top w:val="nil"/>
              <w:left w:val="single" w:sz="4" w:space="0" w:color="auto"/>
              <w:bottom w:val="nil"/>
              <w:right w:val="single" w:sz="4" w:space="0" w:color="auto"/>
            </w:tcBorders>
            <w:hideMark/>
          </w:tcPr>
          <w:p w14:paraId="22A68C4B" w14:textId="77777777" w:rsidR="004541CE" w:rsidRDefault="004541CE" w:rsidP="004541CE">
            <w:pPr>
              <w:jc w:val="right"/>
              <w:rPr>
                <w:rFonts w:cs="Times New Roman"/>
                <w:sz w:val="20"/>
                <w:szCs w:val="20"/>
              </w:rPr>
            </w:pPr>
            <w:r>
              <w:rPr>
                <w:rFonts w:cs="Times New Roman"/>
                <w:sz w:val="20"/>
                <w:szCs w:val="20"/>
              </w:rPr>
              <w:t>1,589,133 (81.3%)</w:t>
            </w:r>
          </w:p>
        </w:tc>
        <w:tc>
          <w:tcPr>
            <w:tcW w:w="1985" w:type="dxa"/>
            <w:tcBorders>
              <w:top w:val="nil"/>
              <w:left w:val="single" w:sz="4" w:space="0" w:color="auto"/>
              <w:bottom w:val="nil"/>
              <w:right w:val="single" w:sz="4" w:space="0" w:color="auto"/>
            </w:tcBorders>
            <w:hideMark/>
          </w:tcPr>
          <w:p w14:paraId="6A60E06D" w14:textId="77777777" w:rsidR="004541CE" w:rsidRDefault="004541CE" w:rsidP="004541CE">
            <w:pPr>
              <w:jc w:val="right"/>
              <w:rPr>
                <w:rFonts w:cs="Times New Roman"/>
                <w:sz w:val="20"/>
                <w:szCs w:val="20"/>
              </w:rPr>
            </w:pPr>
            <w:r>
              <w:rPr>
                <w:rFonts w:cs="Times New Roman"/>
                <w:sz w:val="20"/>
                <w:szCs w:val="20"/>
              </w:rPr>
              <w:t>596,254 (73.8%)</w:t>
            </w:r>
          </w:p>
        </w:tc>
        <w:tc>
          <w:tcPr>
            <w:tcW w:w="1795" w:type="dxa"/>
            <w:tcBorders>
              <w:top w:val="nil"/>
              <w:left w:val="single" w:sz="4" w:space="0" w:color="auto"/>
              <w:bottom w:val="nil"/>
              <w:right w:val="nil"/>
            </w:tcBorders>
            <w:hideMark/>
          </w:tcPr>
          <w:p w14:paraId="218EA4DE" w14:textId="77777777" w:rsidR="004541CE" w:rsidRDefault="004541CE" w:rsidP="004541CE">
            <w:pPr>
              <w:jc w:val="right"/>
              <w:rPr>
                <w:rFonts w:cs="Times New Roman"/>
                <w:sz w:val="20"/>
                <w:szCs w:val="20"/>
              </w:rPr>
            </w:pPr>
            <w:r>
              <w:rPr>
                <w:rFonts w:cs="Times New Roman"/>
                <w:sz w:val="20"/>
                <w:szCs w:val="20"/>
              </w:rPr>
              <w:t>2,185,387 (79.1%)</w:t>
            </w:r>
          </w:p>
        </w:tc>
      </w:tr>
      <w:tr w:rsidR="004541CE" w14:paraId="10F506A4" w14:textId="77777777" w:rsidTr="004541CE">
        <w:tc>
          <w:tcPr>
            <w:tcW w:w="3780" w:type="dxa"/>
            <w:tcBorders>
              <w:top w:val="nil"/>
              <w:left w:val="nil"/>
              <w:bottom w:val="nil"/>
              <w:right w:val="single" w:sz="4" w:space="0" w:color="auto"/>
            </w:tcBorders>
            <w:hideMark/>
          </w:tcPr>
          <w:p w14:paraId="55E3288A" w14:textId="77777777" w:rsidR="004541CE" w:rsidRDefault="004541CE" w:rsidP="004541CE">
            <w:pPr>
              <w:jc w:val="right"/>
              <w:rPr>
                <w:rFonts w:cs="Times New Roman"/>
                <w:i/>
                <w:iCs/>
                <w:sz w:val="20"/>
                <w:szCs w:val="20"/>
              </w:rPr>
            </w:pPr>
            <w:r>
              <w:rPr>
                <w:rFonts w:cs="Times New Roman"/>
                <w:i/>
                <w:iCs/>
                <w:sz w:val="20"/>
                <w:szCs w:val="20"/>
              </w:rPr>
              <w:t>65 and older</w:t>
            </w:r>
          </w:p>
        </w:tc>
        <w:tc>
          <w:tcPr>
            <w:tcW w:w="1890" w:type="dxa"/>
            <w:tcBorders>
              <w:top w:val="nil"/>
              <w:left w:val="single" w:sz="4" w:space="0" w:color="auto"/>
              <w:bottom w:val="nil"/>
              <w:right w:val="single" w:sz="4" w:space="0" w:color="auto"/>
            </w:tcBorders>
            <w:hideMark/>
          </w:tcPr>
          <w:p w14:paraId="069722DC" w14:textId="77777777" w:rsidR="004541CE" w:rsidRDefault="004541CE" w:rsidP="004541CE">
            <w:pPr>
              <w:jc w:val="right"/>
              <w:rPr>
                <w:rFonts w:cs="Times New Roman"/>
                <w:sz w:val="20"/>
                <w:szCs w:val="20"/>
              </w:rPr>
            </w:pPr>
            <w:r>
              <w:rPr>
                <w:rFonts w:cs="Times New Roman"/>
                <w:sz w:val="20"/>
                <w:szCs w:val="20"/>
              </w:rPr>
              <w:t>240,686 (12.3%)</w:t>
            </w:r>
          </w:p>
        </w:tc>
        <w:tc>
          <w:tcPr>
            <w:tcW w:w="1985" w:type="dxa"/>
            <w:tcBorders>
              <w:top w:val="nil"/>
              <w:left w:val="single" w:sz="4" w:space="0" w:color="auto"/>
              <w:bottom w:val="nil"/>
              <w:right w:val="single" w:sz="4" w:space="0" w:color="auto"/>
            </w:tcBorders>
            <w:hideMark/>
          </w:tcPr>
          <w:p w14:paraId="6F20F489" w14:textId="77777777" w:rsidR="004541CE" w:rsidRDefault="004541CE" w:rsidP="004541CE">
            <w:pPr>
              <w:jc w:val="right"/>
              <w:rPr>
                <w:rFonts w:cs="Times New Roman"/>
                <w:sz w:val="20"/>
                <w:szCs w:val="20"/>
              </w:rPr>
            </w:pPr>
            <w:r>
              <w:rPr>
                <w:rFonts w:cs="Times New Roman"/>
                <w:sz w:val="20"/>
                <w:szCs w:val="20"/>
              </w:rPr>
              <w:t>103,991 (12.9%)</w:t>
            </w:r>
          </w:p>
        </w:tc>
        <w:tc>
          <w:tcPr>
            <w:tcW w:w="1795" w:type="dxa"/>
            <w:tcBorders>
              <w:top w:val="nil"/>
              <w:left w:val="single" w:sz="4" w:space="0" w:color="auto"/>
              <w:bottom w:val="nil"/>
              <w:right w:val="nil"/>
            </w:tcBorders>
            <w:hideMark/>
          </w:tcPr>
          <w:p w14:paraId="5E5228D3" w14:textId="77777777" w:rsidR="004541CE" w:rsidRDefault="004541CE" w:rsidP="004541CE">
            <w:pPr>
              <w:jc w:val="right"/>
              <w:rPr>
                <w:rFonts w:cs="Times New Roman"/>
                <w:sz w:val="20"/>
                <w:szCs w:val="20"/>
              </w:rPr>
            </w:pPr>
            <w:r>
              <w:rPr>
                <w:rFonts w:cs="Times New Roman"/>
                <w:sz w:val="20"/>
                <w:szCs w:val="20"/>
              </w:rPr>
              <w:t>344,677 (12.5%)</w:t>
            </w:r>
          </w:p>
        </w:tc>
      </w:tr>
      <w:tr w:rsidR="004541CE" w14:paraId="00EF600F" w14:textId="77777777" w:rsidTr="004541CE">
        <w:tc>
          <w:tcPr>
            <w:tcW w:w="3780" w:type="dxa"/>
            <w:tcBorders>
              <w:top w:val="nil"/>
              <w:left w:val="nil"/>
              <w:bottom w:val="nil"/>
              <w:right w:val="single" w:sz="4" w:space="0" w:color="auto"/>
            </w:tcBorders>
            <w:hideMark/>
          </w:tcPr>
          <w:p w14:paraId="230C68D8" w14:textId="77777777" w:rsidR="004541CE" w:rsidRDefault="004541CE" w:rsidP="004541CE">
            <w:pPr>
              <w:jc w:val="right"/>
              <w:rPr>
                <w:rFonts w:cs="Times New Roman"/>
                <w:i/>
                <w:iCs/>
                <w:sz w:val="20"/>
                <w:szCs w:val="20"/>
              </w:rPr>
            </w:pPr>
            <w:r>
              <w:rPr>
                <w:rFonts w:cs="Times New Roman"/>
                <w:i/>
                <w:iCs/>
                <w:sz w:val="20"/>
                <w:szCs w:val="20"/>
              </w:rPr>
              <w:t>Essential workers</w:t>
            </w:r>
          </w:p>
        </w:tc>
        <w:tc>
          <w:tcPr>
            <w:tcW w:w="1890" w:type="dxa"/>
            <w:tcBorders>
              <w:top w:val="nil"/>
              <w:left w:val="single" w:sz="4" w:space="0" w:color="auto"/>
              <w:bottom w:val="nil"/>
              <w:right w:val="single" w:sz="4" w:space="0" w:color="auto"/>
            </w:tcBorders>
            <w:hideMark/>
          </w:tcPr>
          <w:p w14:paraId="2E1EE0D7" w14:textId="77777777" w:rsidR="004541CE" w:rsidRDefault="004541CE" w:rsidP="004541CE">
            <w:pPr>
              <w:jc w:val="right"/>
              <w:rPr>
                <w:rFonts w:cs="Times New Roman"/>
                <w:sz w:val="20"/>
                <w:szCs w:val="20"/>
              </w:rPr>
            </w:pPr>
            <w:r>
              <w:rPr>
                <w:rFonts w:cs="Times New Roman"/>
                <w:sz w:val="20"/>
                <w:szCs w:val="20"/>
              </w:rPr>
              <w:t>381,144 (36.1%)</w:t>
            </w:r>
          </w:p>
        </w:tc>
        <w:tc>
          <w:tcPr>
            <w:tcW w:w="1985" w:type="dxa"/>
            <w:tcBorders>
              <w:top w:val="nil"/>
              <w:left w:val="single" w:sz="4" w:space="0" w:color="auto"/>
              <w:bottom w:val="nil"/>
              <w:right w:val="single" w:sz="4" w:space="0" w:color="auto"/>
            </w:tcBorders>
            <w:hideMark/>
          </w:tcPr>
          <w:p w14:paraId="71A45EAF" w14:textId="77777777" w:rsidR="004541CE" w:rsidRDefault="004541CE" w:rsidP="004541CE">
            <w:pPr>
              <w:jc w:val="right"/>
              <w:rPr>
                <w:rFonts w:cs="Times New Roman"/>
                <w:sz w:val="20"/>
                <w:szCs w:val="20"/>
              </w:rPr>
            </w:pPr>
            <w:r>
              <w:rPr>
                <w:rFonts w:cs="Times New Roman"/>
                <w:sz w:val="20"/>
                <w:szCs w:val="20"/>
              </w:rPr>
              <w:t>193,836 (59.7%)</w:t>
            </w:r>
          </w:p>
        </w:tc>
        <w:tc>
          <w:tcPr>
            <w:tcW w:w="1795" w:type="dxa"/>
            <w:tcBorders>
              <w:top w:val="nil"/>
              <w:left w:val="single" w:sz="4" w:space="0" w:color="auto"/>
              <w:bottom w:val="nil"/>
              <w:right w:val="nil"/>
            </w:tcBorders>
            <w:hideMark/>
          </w:tcPr>
          <w:p w14:paraId="49D163D3" w14:textId="77777777" w:rsidR="004541CE" w:rsidRDefault="004541CE" w:rsidP="004541CE">
            <w:pPr>
              <w:jc w:val="right"/>
              <w:rPr>
                <w:rFonts w:cs="Times New Roman"/>
                <w:sz w:val="20"/>
                <w:szCs w:val="20"/>
              </w:rPr>
            </w:pPr>
            <w:r>
              <w:rPr>
                <w:rFonts w:cs="Times New Roman"/>
                <w:sz w:val="20"/>
                <w:szCs w:val="20"/>
              </w:rPr>
              <w:t>574,980 (41.7%)</w:t>
            </w:r>
          </w:p>
        </w:tc>
      </w:tr>
      <w:tr w:rsidR="004541CE" w14:paraId="58E2FAFA" w14:textId="77777777" w:rsidTr="004541CE">
        <w:tc>
          <w:tcPr>
            <w:tcW w:w="3780" w:type="dxa"/>
            <w:tcBorders>
              <w:top w:val="nil"/>
              <w:left w:val="nil"/>
              <w:bottom w:val="nil"/>
              <w:right w:val="single" w:sz="4" w:space="0" w:color="auto"/>
            </w:tcBorders>
          </w:tcPr>
          <w:p w14:paraId="7A44E115" w14:textId="77777777" w:rsidR="004541CE" w:rsidRDefault="004541CE" w:rsidP="004541CE">
            <w:pPr>
              <w:jc w:val="right"/>
              <w:rPr>
                <w:rFonts w:cs="Times New Roman"/>
                <w:i/>
                <w:iCs/>
                <w:sz w:val="20"/>
                <w:szCs w:val="20"/>
              </w:rPr>
            </w:pPr>
          </w:p>
        </w:tc>
        <w:tc>
          <w:tcPr>
            <w:tcW w:w="1890" w:type="dxa"/>
            <w:tcBorders>
              <w:top w:val="nil"/>
              <w:left w:val="single" w:sz="4" w:space="0" w:color="auto"/>
              <w:bottom w:val="nil"/>
              <w:right w:val="single" w:sz="4" w:space="0" w:color="auto"/>
            </w:tcBorders>
          </w:tcPr>
          <w:p w14:paraId="3F7BE754" w14:textId="77777777" w:rsidR="004541CE" w:rsidRDefault="004541CE" w:rsidP="004541CE">
            <w:pPr>
              <w:jc w:val="right"/>
              <w:rPr>
                <w:rFonts w:cs="Times New Roman"/>
                <w:sz w:val="20"/>
                <w:szCs w:val="20"/>
              </w:rPr>
            </w:pPr>
          </w:p>
        </w:tc>
        <w:tc>
          <w:tcPr>
            <w:tcW w:w="1985" w:type="dxa"/>
            <w:tcBorders>
              <w:top w:val="nil"/>
              <w:left w:val="single" w:sz="4" w:space="0" w:color="auto"/>
              <w:bottom w:val="nil"/>
              <w:right w:val="single" w:sz="4" w:space="0" w:color="auto"/>
            </w:tcBorders>
          </w:tcPr>
          <w:p w14:paraId="0F665AE9" w14:textId="77777777" w:rsidR="004541CE" w:rsidRDefault="004541CE" w:rsidP="004541CE">
            <w:pPr>
              <w:jc w:val="right"/>
              <w:rPr>
                <w:rFonts w:cs="Times New Roman"/>
                <w:sz w:val="20"/>
                <w:szCs w:val="20"/>
              </w:rPr>
            </w:pPr>
          </w:p>
        </w:tc>
        <w:tc>
          <w:tcPr>
            <w:tcW w:w="1795" w:type="dxa"/>
            <w:tcBorders>
              <w:top w:val="nil"/>
              <w:left w:val="single" w:sz="4" w:space="0" w:color="auto"/>
              <w:bottom w:val="nil"/>
              <w:right w:val="nil"/>
            </w:tcBorders>
          </w:tcPr>
          <w:p w14:paraId="64BA4481" w14:textId="77777777" w:rsidR="004541CE" w:rsidRDefault="004541CE" w:rsidP="004541CE">
            <w:pPr>
              <w:jc w:val="right"/>
              <w:rPr>
                <w:rFonts w:cs="Times New Roman"/>
                <w:sz w:val="20"/>
                <w:szCs w:val="20"/>
              </w:rPr>
            </w:pPr>
          </w:p>
        </w:tc>
      </w:tr>
      <w:tr w:rsidR="004541CE" w14:paraId="31A8B355" w14:textId="77777777" w:rsidTr="004541CE">
        <w:tc>
          <w:tcPr>
            <w:tcW w:w="3780" w:type="dxa"/>
            <w:tcBorders>
              <w:top w:val="nil"/>
              <w:left w:val="nil"/>
              <w:bottom w:val="nil"/>
              <w:right w:val="single" w:sz="4" w:space="0" w:color="auto"/>
            </w:tcBorders>
            <w:hideMark/>
          </w:tcPr>
          <w:p w14:paraId="16C33B2A" w14:textId="77777777" w:rsidR="004541CE" w:rsidRDefault="004541CE" w:rsidP="004541CE">
            <w:pPr>
              <w:jc w:val="right"/>
              <w:rPr>
                <w:rFonts w:cs="Times New Roman"/>
                <w:i/>
                <w:iCs/>
                <w:sz w:val="20"/>
                <w:szCs w:val="20"/>
              </w:rPr>
            </w:pPr>
            <w:r>
              <w:rPr>
                <w:rFonts w:cs="Times New Roman"/>
                <w:i/>
                <w:iCs/>
                <w:sz w:val="20"/>
                <w:szCs w:val="20"/>
              </w:rPr>
              <w:t>Asian, not Latinx</w:t>
            </w:r>
          </w:p>
        </w:tc>
        <w:tc>
          <w:tcPr>
            <w:tcW w:w="1890" w:type="dxa"/>
            <w:tcBorders>
              <w:top w:val="nil"/>
              <w:left w:val="single" w:sz="4" w:space="0" w:color="auto"/>
              <w:bottom w:val="nil"/>
              <w:right w:val="single" w:sz="4" w:space="0" w:color="auto"/>
            </w:tcBorders>
            <w:hideMark/>
          </w:tcPr>
          <w:p w14:paraId="5AC174C7" w14:textId="77777777" w:rsidR="004541CE" w:rsidRDefault="004541CE" w:rsidP="004541CE">
            <w:pPr>
              <w:jc w:val="right"/>
              <w:rPr>
                <w:rFonts w:cs="Times New Roman"/>
                <w:sz w:val="20"/>
                <w:szCs w:val="20"/>
              </w:rPr>
            </w:pPr>
            <w:r>
              <w:rPr>
                <w:rFonts w:cs="Times New Roman"/>
                <w:sz w:val="20"/>
                <w:szCs w:val="20"/>
              </w:rPr>
              <w:t>164,040 (8.39%)</w:t>
            </w:r>
          </w:p>
        </w:tc>
        <w:tc>
          <w:tcPr>
            <w:tcW w:w="1985" w:type="dxa"/>
            <w:tcBorders>
              <w:top w:val="nil"/>
              <w:left w:val="single" w:sz="4" w:space="0" w:color="auto"/>
              <w:bottom w:val="nil"/>
              <w:right w:val="single" w:sz="4" w:space="0" w:color="auto"/>
            </w:tcBorders>
            <w:hideMark/>
          </w:tcPr>
          <w:p w14:paraId="4AA9CAD0" w14:textId="77777777" w:rsidR="004541CE" w:rsidRDefault="004541CE" w:rsidP="004541CE">
            <w:pPr>
              <w:jc w:val="right"/>
              <w:rPr>
                <w:rFonts w:cs="Times New Roman"/>
                <w:sz w:val="20"/>
                <w:szCs w:val="20"/>
              </w:rPr>
            </w:pPr>
            <w:r>
              <w:rPr>
                <w:rFonts w:cs="Times New Roman"/>
                <w:sz w:val="20"/>
                <w:szCs w:val="20"/>
              </w:rPr>
              <w:t>14,241 (1.76%)</w:t>
            </w:r>
          </w:p>
        </w:tc>
        <w:tc>
          <w:tcPr>
            <w:tcW w:w="1795" w:type="dxa"/>
            <w:tcBorders>
              <w:top w:val="nil"/>
              <w:left w:val="single" w:sz="4" w:space="0" w:color="auto"/>
              <w:bottom w:val="nil"/>
              <w:right w:val="nil"/>
            </w:tcBorders>
            <w:hideMark/>
          </w:tcPr>
          <w:p w14:paraId="6ED66334" w14:textId="77777777" w:rsidR="004541CE" w:rsidRDefault="004541CE" w:rsidP="004541CE">
            <w:pPr>
              <w:jc w:val="right"/>
              <w:rPr>
                <w:rFonts w:cs="Times New Roman"/>
                <w:sz w:val="20"/>
                <w:szCs w:val="20"/>
              </w:rPr>
            </w:pPr>
            <w:r>
              <w:rPr>
                <w:rFonts w:cs="Times New Roman"/>
                <w:sz w:val="20"/>
                <w:szCs w:val="20"/>
              </w:rPr>
              <w:t>178,281 (6.45%)</w:t>
            </w:r>
          </w:p>
        </w:tc>
      </w:tr>
      <w:tr w:rsidR="004541CE" w14:paraId="20017765" w14:textId="77777777" w:rsidTr="004541CE">
        <w:tc>
          <w:tcPr>
            <w:tcW w:w="3780" w:type="dxa"/>
            <w:tcBorders>
              <w:top w:val="nil"/>
              <w:left w:val="nil"/>
              <w:bottom w:val="nil"/>
              <w:right w:val="single" w:sz="4" w:space="0" w:color="auto"/>
            </w:tcBorders>
            <w:hideMark/>
          </w:tcPr>
          <w:p w14:paraId="2FF49E05" w14:textId="77777777" w:rsidR="004541CE" w:rsidRDefault="004541CE" w:rsidP="004541CE">
            <w:pPr>
              <w:jc w:val="right"/>
              <w:rPr>
                <w:rFonts w:cs="Times New Roman"/>
                <w:i/>
                <w:iCs/>
                <w:sz w:val="20"/>
                <w:szCs w:val="20"/>
              </w:rPr>
            </w:pPr>
            <w:r>
              <w:rPr>
                <w:rFonts w:cs="Times New Roman"/>
                <w:i/>
                <w:iCs/>
                <w:sz w:val="20"/>
                <w:szCs w:val="20"/>
              </w:rPr>
              <w:t>Black, not Latinx</w:t>
            </w:r>
          </w:p>
        </w:tc>
        <w:tc>
          <w:tcPr>
            <w:tcW w:w="1890" w:type="dxa"/>
            <w:tcBorders>
              <w:top w:val="nil"/>
              <w:left w:val="single" w:sz="4" w:space="0" w:color="auto"/>
              <w:bottom w:val="nil"/>
              <w:right w:val="single" w:sz="4" w:space="0" w:color="auto"/>
            </w:tcBorders>
            <w:hideMark/>
          </w:tcPr>
          <w:p w14:paraId="565EECFF" w14:textId="77777777" w:rsidR="004541CE" w:rsidRDefault="004541CE" w:rsidP="004541CE">
            <w:pPr>
              <w:jc w:val="right"/>
              <w:rPr>
                <w:rFonts w:cs="Times New Roman"/>
                <w:sz w:val="20"/>
                <w:szCs w:val="20"/>
              </w:rPr>
            </w:pPr>
            <w:r>
              <w:rPr>
                <w:rFonts w:cs="Times New Roman"/>
                <w:sz w:val="20"/>
                <w:szCs w:val="20"/>
              </w:rPr>
              <w:t>455,820 (23.3%)</w:t>
            </w:r>
          </w:p>
        </w:tc>
        <w:tc>
          <w:tcPr>
            <w:tcW w:w="1985" w:type="dxa"/>
            <w:tcBorders>
              <w:top w:val="nil"/>
              <w:left w:val="single" w:sz="4" w:space="0" w:color="auto"/>
              <w:bottom w:val="nil"/>
              <w:right w:val="single" w:sz="4" w:space="0" w:color="auto"/>
            </w:tcBorders>
            <w:hideMark/>
          </w:tcPr>
          <w:p w14:paraId="12B6E1E9" w14:textId="77777777" w:rsidR="004541CE" w:rsidRDefault="004541CE" w:rsidP="004541CE">
            <w:pPr>
              <w:jc w:val="right"/>
              <w:rPr>
                <w:rFonts w:cs="Times New Roman"/>
                <w:sz w:val="20"/>
                <w:szCs w:val="20"/>
              </w:rPr>
            </w:pPr>
            <w:r>
              <w:rPr>
                <w:rFonts w:cs="Times New Roman"/>
                <w:sz w:val="20"/>
                <w:szCs w:val="20"/>
              </w:rPr>
              <w:t>356,834 (44.1%)</w:t>
            </w:r>
          </w:p>
        </w:tc>
        <w:tc>
          <w:tcPr>
            <w:tcW w:w="1795" w:type="dxa"/>
            <w:tcBorders>
              <w:top w:val="nil"/>
              <w:left w:val="single" w:sz="4" w:space="0" w:color="auto"/>
              <w:bottom w:val="nil"/>
              <w:right w:val="nil"/>
            </w:tcBorders>
            <w:hideMark/>
          </w:tcPr>
          <w:p w14:paraId="0D055102" w14:textId="77777777" w:rsidR="004541CE" w:rsidRDefault="004541CE" w:rsidP="004541CE">
            <w:pPr>
              <w:jc w:val="right"/>
              <w:rPr>
                <w:rFonts w:cs="Times New Roman"/>
                <w:sz w:val="20"/>
                <w:szCs w:val="20"/>
              </w:rPr>
            </w:pPr>
            <w:r>
              <w:rPr>
                <w:rFonts w:cs="Times New Roman"/>
                <w:sz w:val="20"/>
                <w:szCs w:val="20"/>
              </w:rPr>
              <w:t>812,654 (29.4%)</w:t>
            </w:r>
          </w:p>
        </w:tc>
      </w:tr>
      <w:tr w:rsidR="004541CE" w14:paraId="5CD2334F" w14:textId="77777777" w:rsidTr="004541CE">
        <w:tc>
          <w:tcPr>
            <w:tcW w:w="3780" w:type="dxa"/>
            <w:tcBorders>
              <w:top w:val="nil"/>
              <w:left w:val="nil"/>
              <w:bottom w:val="nil"/>
              <w:right w:val="single" w:sz="4" w:space="0" w:color="auto"/>
            </w:tcBorders>
            <w:hideMark/>
          </w:tcPr>
          <w:p w14:paraId="734E23F9" w14:textId="77777777" w:rsidR="004541CE" w:rsidRDefault="004541CE" w:rsidP="004541CE">
            <w:pPr>
              <w:jc w:val="right"/>
              <w:rPr>
                <w:rFonts w:cs="Times New Roman"/>
                <w:i/>
                <w:iCs/>
                <w:sz w:val="20"/>
                <w:szCs w:val="20"/>
              </w:rPr>
            </w:pPr>
            <w:r>
              <w:rPr>
                <w:rFonts w:cs="Times New Roman"/>
                <w:i/>
                <w:iCs/>
                <w:sz w:val="20"/>
                <w:szCs w:val="20"/>
              </w:rPr>
              <w:t>White, not Latinx</w:t>
            </w:r>
          </w:p>
        </w:tc>
        <w:tc>
          <w:tcPr>
            <w:tcW w:w="1890" w:type="dxa"/>
            <w:tcBorders>
              <w:top w:val="nil"/>
              <w:left w:val="single" w:sz="4" w:space="0" w:color="auto"/>
              <w:bottom w:val="nil"/>
              <w:right w:val="single" w:sz="4" w:space="0" w:color="auto"/>
            </w:tcBorders>
            <w:hideMark/>
          </w:tcPr>
          <w:p w14:paraId="17C6EFD6" w14:textId="77777777" w:rsidR="004541CE" w:rsidRDefault="004541CE" w:rsidP="004541CE">
            <w:pPr>
              <w:jc w:val="right"/>
              <w:rPr>
                <w:rFonts w:cs="Times New Roman"/>
                <w:sz w:val="20"/>
                <w:szCs w:val="20"/>
              </w:rPr>
            </w:pPr>
            <w:r>
              <w:rPr>
                <w:rFonts w:cs="Times New Roman"/>
                <w:sz w:val="20"/>
                <w:szCs w:val="20"/>
              </w:rPr>
              <w:t>856,503 (43.8%)</w:t>
            </w:r>
          </w:p>
        </w:tc>
        <w:tc>
          <w:tcPr>
            <w:tcW w:w="1985" w:type="dxa"/>
            <w:tcBorders>
              <w:top w:val="nil"/>
              <w:left w:val="single" w:sz="4" w:space="0" w:color="auto"/>
              <w:bottom w:val="nil"/>
              <w:right w:val="single" w:sz="4" w:space="0" w:color="auto"/>
            </w:tcBorders>
            <w:hideMark/>
          </w:tcPr>
          <w:p w14:paraId="45EB9944" w14:textId="77777777" w:rsidR="004541CE" w:rsidRDefault="004541CE" w:rsidP="004541CE">
            <w:pPr>
              <w:jc w:val="right"/>
              <w:rPr>
                <w:rFonts w:cs="Times New Roman"/>
                <w:sz w:val="20"/>
                <w:szCs w:val="20"/>
              </w:rPr>
            </w:pPr>
            <w:r>
              <w:rPr>
                <w:rFonts w:cs="Times New Roman"/>
                <w:sz w:val="20"/>
                <w:szCs w:val="20"/>
              </w:rPr>
              <w:t>63,723 (7.88%)</w:t>
            </w:r>
          </w:p>
        </w:tc>
        <w:tc>
          <w:tcPr>
            <w:tcW w:w="1795" w:type="dxa"/>
            <w:tcBorders>
              <w:top w:val="nil"/>
              <w:left w:val="single" w:sz="4" w:space="0" w:color="auto"/>
              <w:bottom w:val="nil"/>
              <w:right w:val="nil"/>
            </w:tcBorders>
            <w:hideMark/>
          </w:tcPr>
          <w:p w14:paraId="7A63AC34" w14:textId="77777777" w:rsidR="004541CE" w:rsidRDefault="004541CE" w:rsidP="004541CE">
            <w:pPr>
              <w:jc w:val="right"/>
              <w:rPr>
                <w:rFonts w:cs="Times New Roman"/>
                <w:sz w:val="20"/>
                <w:szCs w:val="20"/>
              </w:rPr>
            </w:pPr>
            <w:r>
              <w:rPr>
                <w:rFonts w:cs="Times New Roman"/>
                <w:sz w:val="20"/>
                <w:szCs w:val="20"/>
              </w:rPr>
              <w:t>920,226 (33.3%)</w:t>
            </w:r>
          </w:p>
        </w:tc>
      </w:tr>
      <w:tr w:rsidR="004541CE" w14:paraId="7FB93E4A" w14:textId="77777777" w:rsidTr="004541CE">
        <w:tc>
          <w:tcPr>
            <w:tcW w:w="3780" w:type="dxa"/>
            <w:tcBorders>
              <w:top w:val="nil"/>
              <w:left w:val="nil"/>
              <w:bottom w:val="nil"/>
              <w:right w:val="single" w:sz="4" w:space="0" w:color="auto"/>
            </w:tcBorders>
            <w:hideMark/>
          </w:tcPr>
          <w:p w14:paraId="0707579D" w14:textId="77777777" w:rsidR="004541CE" w:rsidRDefault="004541CE" w:rsidP="004541CE">
            <w:pPr>
              <w:jc w:val="right"/>
              <w:rPr>
                <w:rFonts w:cs="Times New Roman"/>
                <w:i/>
                <w:iCs/>
                <w:sz w:val="20"/>
                <w:szCs w:val="20"/>
              </w:rPr>
            </w:pPr>
            <w:r>
              <w:rPr>
                <w:rFonts w:cs="Times New Roman"/>
                <w:i/>
                <w:iCs/>
                <w:sz w:val="20"/>
                <w:szCs w:val="20"/>
              </w:rPr>
              <w:t>Latinx</w:t>
            </w:r>
          </w:p>
        </w:tc>
        <w:tc>
          <w:tcPr>
            <w:tcW w:w="1890" w:type="dxa"/>
            <w:tcBorders>
              <w:top w:val="nil"/>
              <w:left w:val="single" w:sz="4" w:space="0" w:color="auto"/>
              <w:bottom w:val="nil"/>
              <w:right w:val="single" w:sz="4" w:space="0" w:color="auto"/>
            </w:tcBorders>
            <w:hideMark/>
          </w:tcPr>
          <w:p w14:paraId="3FB8C374" w14:textId="77777777" w:rsidR="004541CE" w:rsidRDefault="004541CE" w:rsidP="004541CE">
            <w:pPr>
              <w:jc w:val="right"/>
              <w:rPr>
                <w:rFonts w:cs="Times New Roman"/>
                <w:sz w:val="20"/>
                <w:szCs w:val="20"/>
              </w:rPr>
            </w:pPr>
            <w:r>
              <w:rPr>
                <w:rFonts w:cs="Times New Roman"/>
                <w:sz w:val="20"/>
                <w:szCs w:val="20"/>
              </w:rPr>
              <w:t>427,528 (21.9%)</w:t>
            </w:r>
          </w:p>
        </w:tc>
        <w:tc>
          <w:tcPr>
            <w:tcW w:w="1985" w:type="dxa"/>
            <w:tcBorders>
              <w:top w:val="nil"/>
              <w:left w:val="single" w:sz="4" w:space="0" w:color="auto"/>
              <w:bottom w:val="nil"/>
              <w:right w:val="single" w:sz="4" w:space="0" w:color="auto"/>
            </w:tcBorders>
            <w:hideMark/>
          </w:tcPr>
          <w:p w14:paraId="2E2F136E" w14:textId="77777777" w:rsidR="004541CE" w:rsidRDefault="004541CE" w:rsidP="004541CE">
            <w:pPr>
              <w:jc w:val="right"/>
              <w:rPr>
                <w:rFonts w:cs="Times New Roman"/>
                <w:sz w:val="20"/>
                <w:szCs w:val="20"/>
              </w:rPr>
            </w:pPr>
            <w:r>
              <w:rPr>
                <w:rFonts w:cs="Times New Roman"/>
                <w:sz w:val="20"/>
                <w:szCs w:val="20"/>
              </w:rPr>
              <w:t>365,082 (45.2%)</w:t>
            </w:r>
          </w:p>
        </w:tc>
        <w:tc>
          <w:tcPr>
            <w:tcW w:w="1795" w:type="dxa"/>
            <w:tcBorders>
              <w:top w:val="nil"/>
              <w:left w:val="single" w:sz="4" w:space="0" w:color="auto"/>
              <w:bottom w:val="nil"/>
              <w:right w:val="nil"/>
            </w:tcBorders>
            <w:hideMark/>
          </w:tcPr>
          <w:p w14:paraId="5F093814" w14:textId="77777777" w:rsidR="004541CE" w:rsidRDefault="004541CE" w:rsidP="004541CE">
            <w:pPr>
              <w:jc w:val="right"/>
              <w:rPr>
                <w:rFonts w:cs="Times New Roman"/>
                <w:sz w:val="20"/>
                <w:szCs w:val="20"/>
              </w:rPr>
            </w:pPr>
            <w:r>
              <w:rPr>
                <w:rFonts w:cs="Times New Roman"/>
                <w:sz w:val="20"/>
                <w:szCs w:val="20"/>
              </w:rPr>
              <w:t>792,610 (28.7%)</w:t>
            </w:r>
          </w:p>
        </w:tc>
      </w:tr>
      <w:tr w:rsidR="004541CE" w14:paraId="25D6AB28" w14:textId="77777777" w:rsidTr="004541CE">
        <w:tc>
          <w:tcPr>
            <w:tcW w:w="3780" w:type="dxa"/>
            <w:tcBorders>
              <w:top w:val="nil"/>
              <w:left w:val="nil"/>
              <w:bottom w:val="nil"/>
              <w:right w:val="single" w:sz="4" w:space="0" w:color="auto"/>
            </w:tcBorders>
          </w:tcPr>
          <w:p w14:paraId="009793B9" w14:textId="77777777" w:rsidR="004541CE" w:rsidRDefault="004541CE" w:rsidP="004541CE">
            <w:pPr>
              <w:jc w:val="right"/>
              <w:rPr>
                <w:rFonts w:cs="Times New Roman"/>
                <w:i/>
                <w:iCs/>
                <w:sz w:val="20"/>
                <w:szCs w:val="20"/>
              </w:rPr>
            </w:pPr>
          </w:p>
        </w:tc>
        <w:tc>
          <w:tcPr>
            <w:tcW w:w="1890" w:type="dxa"/>
            <w:tcBorders>
              <w:top w:val="nil"/>
              <w:left w:val="single" w:sz="4" w:space="0" w:color="auto"/>
              <w:bottom w:val="nil"/>
              <w:right w:val="single" w:sz="4" w:space="0" w:color="auto"/>
            </w:tcBorders>
          </w:tcPr>
          <w:p w14:paraId="520AD6FB" w14:textId="77777777" w:rsidR="004541CE" w:rsidRDefault="004541CE" w:rsidP="004541CE">
            <w:pPr>
              <w:jc w:val="right"/>
              <w:rPr>
                <w:rFonts w:cs="Times New Roman"/>
                <w:sz w:val="20"/>
                <w:szCs w:val="20"/>
              </w:rPr>
            </w:pPr>
          </w:p>
        </w:tc>
        <w:tc>
          <w:tcPr>
            <w:tcW w:w="1985" w:type="dxa"/>
            <w:tcBorders>
              <w:top w:val="nil"/>
              <w:left w:val="single" w:sz="4" w:space="0" w:color="auto"/>
              <w:bottom w:val="nil"/>
              <w:right w:val="single" w:sz="4" w:space="0" w:color="auto"/>
            </w:tcBorders>
          </w:tcPr>
          <w:p w14:paraId="04E62C90" w14:textId="77777777" w:rsidR="004541CE" w:rsidRDefault="004541CE" w:rsidP="004541CE">
            <w:pPr>
              <w:jc w:val="right"/>
              <w:rPr>
                <w:rFonts w:cs="Times New Roman"/>
                <w:sz w:val="20"/>
                <w:szCs w:val="20"/>
              </w:rPr>
            </w:pPr>
          </w:p>
        </w:tc>
        <w:tc>
          <w:tcPr>
            <w:tcW w:w="1795" w:type="dxa"/>
            <w:tcBorders>
              <w:top w:val="nil"/>
              <w:left w:val="single" w:sz="4" w:space="0" w:color="auto"/>
              <w:bottom w:val="nil"/>
              <w:right w:val="nil"/>
            </w:tcBorders>
          </w:tcPr>
          <w:p w14:paraId="0D4832EF" w14:textId="77777777" w:rsidR="004541CE" w:rsidRDefault="004541CE" w:rsidP="004541CE">
            <w:pPr>
              <w:jc w:val="right"/>
              <w:rPr>
                <w:rFonts w:cs="Times New Roman"/>
                <w:sz w:val="20"/>
                <w:szCs w:val="20"/>
              </w:rPr>
            </w:pPr>
          </w:p>
        </w:tc>
      </w:tr>
      <w:tr w:rsidR="004541CE" w14:paraId="31B0A3F6" w14:textId="77777777" w:rsidTr="004541CE">
        <w:tc>
          <w:tcPr>
            <w:tcW w:w="3780" w:type="dxa"/>
            <w:tcBorders>
              <w:top w:val="nil"/>
              <w:left w:val="nil"/>
              <w:bottom w:val="nil"/>
              <w:right w:val="single" w:sz="4" w:space="0" w:color="auto"/>
            </w:tcBorders>
            <w:hideMark/>
          </w:tcPr>
          <w:p w14:paraId="3770D714" w14:textId="77777777" w:rsidR="004541CE" w:rsidRDefault="004541CE" w:rsidP="004541CE">
            <w:pPr>
              <w:jc w:val="right"/>
              <w:rPr>
                <w:rFonts w:cs="Times New Roman"/>
                <w:i/>
                <w:iCs/>
                <w:sz w:val="20"/>
                <w:szCs w:val="20"/>
              </w:rPr>
            </w:pPr>
            <w:r>
              <w:rPr>
                <w:rFonts w:cs="Times New Roman"/>
                <w:i/>
                <w:iCs/>
                <w:sz w:val="20"/>
                <w:szCs w:val="20"/>
              </w:rPr>
              <w:t>Earning below poverty-level income</w:t>
            </w:r>
          </w:p>
        </w:tc>
        <w:tc>
          <w:tcPr>
            <w:tcW w:w="1890" w:type="dxa"/>
            <w:tcBorders>
              <w:top w:val="nil"/>
              <w:left w:val="single" w:sz="4" w:space="0" w:color="auto"/>
              <w:bottom w:val="nil"/>
              <w:right w:val="single" w:sz="4" w:space="0" w:color="auto"/>
            </w:tcBorders>
            <w:hideMark/>
          </w:tcPr>
          <w:p w14:paraId="7EF7E0EB" w14:textId="77777777" w:rsidR="004541CE" w:rsidRDefault="004541CE" w:rsidP="004541CE">
            <w:pPr>
              <w:jc w:val="right"/>
              <w:rPr>
                <w:rFonts w:cs="Times New Roman"/>
                <w:sz w:val="20"/>
                <w:szCs w:val="20"/>
              </w:rPr>
            </w:pPr>
            <w:r>
              <w:rPr>
                <w:rFonts w:cs="Times New Roman"/>
                <w:sz w:val="20"/>
                <w:szCs w:val="20"/>
              </w:rPr>
              <w:t>300,723 (15.8%)</w:t>
            </w:r>
          </w:p>
        </w:tc>
        <w:tc>
          <w:tcPr>
            <w:tcW w:w="1985" w:type="dxa"/>
            <w:tcBorders>
              <w:top w:val="nil"/>
              <w:left w:val="single" w:sz="4" w:space="0" w:color="auto"/>
              <w:bottom w:val="nil"/>
              <w:right w:val="single" w:sz="4" w:space="0" w:color="auto"/>
            </w:tcBorders>
            <w:hideMark/>
          </w:tcPr>
          <w:p w14:paraId="067CA297" w14:textId="77777777" w:rsidR="004541CE" w:rsidRDefault="004541CE" w:rsidP="004541CE">
            <w:pPr>
              <w:jc w:val="right"/>
              <w:rPr>
                <w:rFonts w:cs="Times New Roman"/>
                <w:sz w:val="20"/>
                <w:szCs w:val="20"/>
              </w:rPr>
            </w:pPr>
            <w:r>
              <w:rPr>
                <w:rFonts w:cs="Times New Roman"/>
                <w:sz w:val="20"/>
                <w:szCs w:val="20"/>
              </w:rPr>
              <w:t>195,271 (24.3%)</w:t>
            </w:r>
          </w:p>
        </w:tc>
        <w:tc>
          <w:tcPr>
            <w:tcW w:w="1795" w:type="dxa"/>
            <w:tcBorders>
              <w:top w:val="nil"/>
              <w:left w:val="single" w:sz="4" w:space="0" w:color="auto"/>
              <w:bottom w:val="nil"/>
              <w:right w:val="nil"/>
            </w:tcBorders>
            <w:hideMark/>
          </w:tcPr>
          <w:p w14:paraId="76764136" w14:textId="77777777" w:rsidR="004541CE" w:rsidRDefault="004541CE" w:rsidP="004541CE">
            <w:pPr>
              <w:jc w:val="right"/>
              <w:rPr>
                <w:rFonts w:cs="Times New Roman"/>
                <w:sz w:val="20"/>
                <w:szCs w:val="20"/>
              </w:rPr>
            </w:pPr>
            <w:r>
              <w:rPr>
                <w:rFonts w:cs="Times New Roman"/>
                <w:sz w:val="20"/>
                <w:szCs w:val="20"/>
              </w:rPr>
              <w:t>495,994 (18.3%)</w:t>
            </w:r>
          </w:p>
        </w:tc>
      </w:tr>
      <w:tr w:rsidR="004541CE" w14:paraId="46DA7435" w14:textId="77777777" w:rsidTr="004541CE">
        <w:tc>
          <w:tcPr>
            <w:tcW w:w="3780" w:type="dxa"/>
            <w:tcBorders>
              <w:top w:val="nil"/>
              <w:left w:val="nil"/>
              <w:bottom w:val="nil"/>
              <w:right w:val="single" w:sz="4" w:space="0" w:color="auto"/>
            </w:tcBorders>
            <w:hideMark/>
          </w:tcPr>
          <w:p w14:paraId="608EEB35" w14:textId="77777777" w:rsidR="004541CE" w:rsidRDefault="004541CE" w:rsidP="004541CE">
            <w:pPr>
              <w:jc w:val="right"/>
              <w:rPr>
                <w:rFonts w:cs="Times New Roman"/>
                <w:i/>
                <w:iCs/>
                <w:sz w:val="20"/>
                <w:szCs w:val="20"/>
              </w:rPr>
            </w:pPr>
            <w:r>
              <w:rPr>
                <w:rFonts w:cs="Times New Roman"/>
                <w:i/>
                <w:iCs/>
                <w:sz w:val="20"/>
                <w:szCs w:val="20"/>
              </w:rPr>
              <w:t>No health insurance</w:t>
            </w:r>
          </w:p>
        </w:tc>
        <w:tc>
          <w:tcPr>
            <w:tcW w:w="1890" w:type="dxa"/>
            <w:tcBorders>
              <w:top w:val="nil"/>
              <w:left w:val="single" w:sz="4" w:space="0" w:color="auto"/>
              <w:bottom w:val="nil"/>
              <w:right w:val="single" w:sz="4" w:space="0" w:color="auto"/>
            </w:tcBorders>
            <w:hideMark/>
          </w:tcPr>
          <w:p w14:paraId="65E23E19" w14:textId="77777777" w:rsidR="004541CE" w:rsidRDefault="004541CE" w:rsidP="004541CE">
            <w:pPr>
              <w:jc w:val="right"/>
              <w:rPr>
                <w:rFonts w:cs="Times New Roman"/>
                <w:sz w:val="20"/>
                <w:szCs w:val="20"/>
              </w:rPr>
            </w:pPr>
            <w:r>
              <w:rPr>
                <w:rFonts w:cs="Times New Roman"/>
                <w:sz w:val="20"/>
                <w:szCs w:val="20"/>
              </w:rPr>
              <w:t>156,004 (8.07%)</w:t>
            </w:r>
          </w:p>
        </w:tc>
        <w:tc>
          <w:tcPr>
            <w:tcW w:w="1985" w:type="dxa"/>
            <w:tcBorders>
              <w:top w:val="nil"/>
              <w:left w:val="single" w:sz="4" w:space="0" w:color="auto"/>
              <w:bottom w:val="nil"/>
              <w:right w:val="single" w:sz="4" w:space="0" w:color="auto"/>
            </w:tcBorders>
            <w:hideMark/>
          </w:tcPr>
          <w:p w14:paraId="337529DD" w14:textId="77777777" w:rsidR="004541CE" w:rsidRDefault="004541CE" w:rsidP="004541CE">
            <w:pPr>
              <w:jc w:val="right"/>
              <w:rPr>
                <w:rFonts w:cs="Times New Roman"/>
                <w:sz w:val="20"/>
                <w:szCs w:val="20"/>
              </w:rPr>
            </w:pPr>
            <w:r>
              <w:rPr>
                <w:rFonts w:cs="Times New Roman"/>
                <w:sz w:val="20"/>
                <w:szCs w:val="20"/>
              </w:rPr>
              <w:t>108,182 (13.4%)</w:t>
            </w:r>
          </w:p>
        </w:tc>
        <w:tc>
          <w:tcPr>
            <w:tcW w:w="1795" w:type="dxa"/>
            <w:tcBorders>
              <w:top w:val="nil"/>
              <w:left w:val="single" w:sz="4" w:space="0" w:color="auto"/>
              <w:bottom w:val="nil"/>
              <w:right w:val="nil"/>
            </w:tcBorders>
            <w:hideMark/>
          </w:tcPr>
          <w:p w14:paraId="30D3C287" w14:textId="77777777" w:rsidR="004541CE" w:rsidRDefault="004541CE" w:rsidP="004541CE">
            <w:pPr>
              <w:jc w:val="right"/>
              <w:rPr>
                <w:rFonts w:cs="Times New Roman"/>
                <w:sz w:val="20"/>
                <w:szCs w:val="20"/>
              </w:rPr>
            </w:pPr>
            <w:r>
              <w:rPr>
                <w:rFonts w:cs="Times New Roman"/>
                <w:sz w:val="20"/>
                <w:szCs w:val="20"/>
              </w:rPr>
              <w:t>264,186 (9.65%)</w:t>
            </w:r>
          </w:p>
        </w:tc>
      </w:tr>
      <w:tr w:rsidR="004541CE" w14:paraId="4807298A" w14:textId="77777777" w:rsidTr="004541CE">
        <w:tc>
          <w:tcPr>
            <w:tcW w:w="3780" w:type="dxa"/>
            <w:tcBorders>
              <w:top w:val="nil"/>
              <w:left w:val="nil"/>
              <w:bottom w:val="nil"/>
              <w:right w:val="single" w:sz="4" w:space="0" w:color="auto"/>
            </w:tcBorders>
          </w:tcPr>
          <w:p w14:paraId="45A8F3D0" w14:textId="77777777" w:rsidR="004541CE" w:rsidRDefault="004541CE" w:rsidP="004541CE">
            <w:pPr>
              <w:jc w:val="right"/>
              <w:rPr>
                <w:rFonts w:cs="Times New Roman"/>
                <w:i/>
                <w:iCs/>
                <w:sz w:val="20"/>
                <w:szCs w:val="20"/>
              </w:rPr>
            </w:pPr>
          </w:p>
        </w:tc>
        <w:tc>
          <w:tcPr>
            <w:tcW w:w="1890" w:type="dxa"/>
            <w:tcBorders>
              <w:top w:val="nil"/>
              <w:left w:val="single" w:sz="4" w:space="0" w:color="auto"/>
              <w:bottom w:val="nil"/>
              <w:right w:val="single" w:sz="4" w:space="0" w:color="auto"/>
            </w:tcBorders>
          </w:tcPr>
          <w:p w14:paraId="7D9E553D" w14:textId="77777777" w:rsidR="004541CE" w:rsidRDefault="004541CE" w:rsidP="004541CE">
            <w:pPr>
              <w:jc w:val="right"/>
              <w:rPr>
                <w:rFonts w:cs="Times New Roman"/>
                <w:sz w:val="20"/>
                <w:szCs w:val="20"/>
              </w:rPr>
            </w:pPr>
          </w:p>
        </w:tc>
        <w:tc>
          <w:tcPr>
            <w:tcW w:w="1985" w:type="dxa"/>
            <w:tcBorders>
              <w:top w:val="nil"/>
              <w:left w:val="single" w:sz="4" w:space="0" w:color="auto"/>
              <w:bottom w:val="nil"/>
              <w:right w:val="single" w:sz="4" w:space="0" w:color="auto"/>
            </w:tcBorders>
          </w:tcPr>
          <w:p w14:paraId="3E390DD4" w14:textId="77777777" w:rsidR="004541CE" w:rsidRDefault="004541CE" w:rsidP="004541CE">
            <w:pPr>
              <w:jc w:val="right"/>
              <w:rPr>
                <w:rFonts w:cs="Times New Roman"/>
                <w:sz w:val="20"/>
                <w:szCs w:val="20"/>
              </w:rPr>
            </w:pPr>
          </w:p>
        </w:tc>
        <w:tc>
          <w:tcPr>
            <w:tcW w:w="1795" w:type="dxa"/>
            <w:tcBorders>
              <w:top w:val="nil"/>
              <w:left w:val="single" w:sz="4" w:space="0" w:color="auto"/>
              <w:bottom w:val="nil"/>
              <w:right w:val="nil"/>
            </w:tcBorders>
          </w:tcPr>
          <w:p w14:paraId="2DD463D8" w14:textId="77777777" w:rsidR="004541CE" w:rsidRDefault="004541CE" w:rsidP="004541CE">
            <w:pPr>
              <w:jc w:val="right"/>
              <w:rPr>
                <w:rFonts w:cs="Times New Roman"/>
                <w:sz w:val="20"/>
                <w:szCs w:val="20"/>
              </w:rPr>
            </w:pPr>
          </w:p>
        </w:tc>
      </w:tr>
      <w:tr w:rsidR="004541CE" w14:paraId="42B0A558" w14:textId="77777777" w:rsidTr="004541CE">
        <w:tc>
          <w:tcPr>
            <w:tcW w:w="3780" w:type="dxa"/>
            <w:tcBorders>
              <w:top w:val="nil"/>
              <w:left w:val="nil"/>
              <w:bottom w:val="nil"/>
              <w:right w:val="single" w:sz="4" w:space="0" w:color="auto"/>
            </w:tcBorders>
            <w:hideMark/>
          </w:tcPr>
          <w:p w14:paraId="55D16554" w14:textId="2931D26D" w:rsidR="004541CE" w:rsidRPr="004541CE" w:rsidRDefault="004541CE" w:rsidP="004541CE">
            <w:pPr>
              <w:rPr>
                <w:rFonts w:cs="Times New Roman"/>
                <w:b/>
                <w:bCs/>
                <w:sz w:val="20"/>
                <w:szCs w:val="20"/>
                <w:vertAlign w:val="superscript"/>
              </w:rPr>
            </w:pPr>
            <w:r>
              <w:rPr>
                <w:rFonts w:cs="Times New Roman"/>
                <w:b/>
                <w:bCs/>
                <w:sz w:val="20"/>
                <w:szCs w:val="20"/>
              </w:rPr>
              <w:t xml:space="preserve">COVID-19 burden and </w:t>
            </w:r>
            <w:proofErr w:type="spellStart"/>
            <w:r>
              <w:rPr>
                <w:rFonts w:cs="Times New Roman"/>
                <w:b/>
                <w:bCs/>
                <w:sz w:val="20"/>
                <w:szCs w:val="20"/>
              </w:rPr>
              <w:t>vaccinations</w:t>
            </w:r>
            <w:r>
              <w:rPr>
                <w:rFonts w:cs="Times New Roman"/>
                <w:b/>
                <w:bCs/>
                <w:sz w:val="20"/>
                <w:szCs w:val="20"/>
                <w:vertAlign w:val="superscript"/>
              </w:rPr>
              <w:t>b</w:t>
            </w:r>
            <w:proofErr w:type="spellEnd"/>
          </w:p>
        </w:tc>
        <w:tc>
          <w:tcPr>
            <w:tcW w:w="1890" w:type="dxa"/>
            <w:tcBorders>
              <w:top w:val="nil"/>
              <w:left w:val="single" w:sz="4" w:space="0" w:color="auto"/>
              <w:bottom w:val="nil"/>
              <w:right w:val="single" w:sz="4" w:space="0" w:color="auto"/>
            </w:tcBorders>
          </w:tcPr>
          <w:p w14:paraId="5D292B52" w14:textId="77777777" w:rsidR="004541CE" w:rsidRDefault="004541CE" w:rsidP="004541CE">
            <w:pPr>
              <w:jc w:val="right"/>
              <w:rPr>
                <w:rFonts w:cs="Times New Roman"/>
                <w:sz w:val="20"/>
                <w:szCs w:val="20"/>
              </w:rPr>
            </w:pPr>
          </w:p>
        </w:tc>
        <w:tc>
          <w:tcPr>
            <w:tcW w:w="1985" w:type="dxa"/>
            <w:tcBorders>
              <w:top w:val="nil"/>
              <w:left w:val="single" w:sz="4" w:space="0" w:color="auto"/>
              <w:bottom w:val="nil"/>
              <w:right w:val="single" w:sz="4" w:space="0" w:color="auto"/>
            </w:tcBorders>
          </w:tcPr>
          <w:p w14:paraId="0F6FC089" w14:textId="77777777" w:rsidR="004541CE" w:rsidRDefault="004541CE" w:rsidP="004541CE">
            <w:pPr>
              <w:jc w:val="right"/>
              <w:rPr>
                <w:rFonts w:cs="Times New Roman"/>
                <w:sz w:val="20"/>
                <w:szCs w:val="20"/>
              </w:rPr>
            </w:pPr>
          </w:p>
        </w:tc>
        <w:tc>
          <w:tcPr>
            <w:tcW w:w="1795" w:type="dxa"/>
            <w:tcBorders>
              <w:top w:val="nil"/>
              <w:left w:val="single" w:sz="4" w:space="0" w:color="auto"/>
              <w:bottom w:val="nil"/>
              <w:right w:val="nil"/>
            </w:tcBorders>
          </w:tcPr>
          <w:p w14:paraId="4D39EFC8" w14:textId="77777777" w:rsidR="004541CE" w:rsidRDefault="004541CE" w:rsidP="004541CE">
            <w:pPr>
              <w:jc w:val="right"/>
              <w:rPr>
                <w:rFonts w:cs="Times New Roman"/>
                <w:sz w:val="20"/>
                <w:szCs w:val="20"/>
              </w:rPr>
            </w:pPr>
          </w:p>
        </w:tc>
      </w:tr>
      <w:tr w:rsidR="004541CE" w14:paraId="7EF3E9D6" w14:textId="77777777" w:rsidTr="004541CE">
        <w:tc>
          <w:tcPr>
            <w:tcW w:w="3780" w:type="dxa"/>
            <w:tcBorders>
              <w:top w:val="nil"/>
              <w:left w:val="nil"/>
              <w:bottom w:val="nil"/>
              <w:right w:val="single" w:sz="4" w:space="0" w:color="auto"/>
            </w:tcBorders>
            <w:hideMark/>
          </w:tcPr>
          <w:p w14:paraId="0DC40B12" w14:textId="77777777" w:rsidR="004541CE" w:rsidRDefault="004541CE" w:rsidP="004541CE">
            <w:pPr>
              <w:jc w:val="right"/>
              <w:rPr>
                <w:rFonts w:cs="Times New Roman"/>
                <w:i/>
                <w:iCs/>
                <w:sz w:val="20"/>
                <w:szCs w:val="20"/>
              </w:rPr>
            </w:pPr>
            <w:r>
              <w:rPr>
                <w:rFonts w:cs="Times New Roman"/>
                <w:i/>
                <w:iCs/>
                <w:sz w:val="20"/>
                <w:szCs w:val="20"/>
              </w:rPr>
              <w:t>COVID-19 cases (per 100K)</w:t>
            </w:r>
          </w:p>
        </w:tc>
        <w:tc>
          <w:tcPr>
            <w:tcW w:w="1890" w:type="dxa"/>
            <w:tcBorders>
              <w:top w:val="nil"/>
              <w:left w:val="single" w:sz="4" w:space="0" w:color="auto"/>
              <w:bottom w:val="nil"/>
              <w:right w:val="single" w:sz="4" w:space="0" w:color="auto"/>
            </w:tcBorders>
            <w:hideMark/>
          </w:tcPr>
          <w:p w14:paraId="34E96CCF" w14:textId="77777777" w:rsidR="004541CE" w:rsidRDefault="004541CE" w:rsidP="004541CE">
            <w:pPr>
              <w:jc w:val="right"/>
              <w:rPr>
                <w:rFonts w:cs="Times New Roman"/>
                <w:sz w:val="20"/>
                <w:szCs w:val="20"/>
              </w:rPr>
            </w:pPr>
            <w:r>
              <w:rPr>
                <w:rFonts w:cs="Times New Roman"/>
                <w:sz w:val="20"/>
                <w:szCs w:val="20"/>
              </w:rPr>
              <w:t>175,903 (89.9)</w:t>
            </w:r>
          </w:p>
        </w:tc>
        <w:tc>
          <w:tcPr>
            <w:tcW w:w="1985" w:type="dxa"/>
            <w:tcBorders>
              <w:top w:val="nil"/>
              <w:left w:val="single" w:sz="4" w:space="0" w:color="auto"/>
              <w:bottom w:val="nil"/>
              <w:right w:val="single" w:sz="4" w:space="0" w:color="auto"/>
            </w:tcBorders>
            <w:hideMark/>
          </w:tcPr>
          <w:p w14:paraId="7A000EAC" w14:textId="77777777" w:rsidR="004541CE" w:rsidRDefault="004541CE" w:rsidP="004541CE">
            <w:pPr>
              <w:jc w:val="right"/>
              <w:rPr>
                <w:rFonts w:cs="Times New Roman"/>
                <w:sz w:val="20"/>
                <w:szCs w:val="20"/>
              </w:rPr>
            </w:pPr>
            <w:r>
              <w:rPr>
                <w:rFonts w:cs="Times New Roman"/>
                <w:sz w:val="20"/>
                <w:szCs w:val="20"/>
              </w:rPr>
              <w:t>95,462 (118.1)</w:t>
            </w:r>
          </w:p>
        </w:tc>
        <w:tc>
          <w:tcPr>
            <w:tcW w:w="1795" w:type="dxa"/>
            <w:tcBorders>
              <w:top w:val="nil"/>
              <w:left w:val="single" w:sz="4" w:space="0" w:color="auto"/>
              <w:bottom w:val="nil"/>
              <w:right w:val="nil"/>
            </w:tcBorders>
            <w:hideMark/>
          </w:tcPr>
          <w:p w14:paraId="6F3FD5A4" w14:textId="77777777" w:rsidR="004541CE" w:rsidRDefault="004541CE" w:rsidP="004541CE">
            <w:pPr>
              <w:jc w:val="right"/>
              <w:rPr>
                <w:rFonts w:cs="Times New Roman"/>
                <w:sz w:val="20"/>
                <w:szCs w:val="20"/>
              </w:rPr>
            </w:pPr>
            <w:r>
              <w:rPr>
                <w:rFonts w:cs="Times New Roman"/>
                <w:sz w:val="20"/>
                <w:szCs w:val="20"/>
              </w:rPr>
              <w:t>271,365 (98.2)</w:t>
            </w:r>
          </w:p>
        </w:tc>
      </w:tr>
      <w:tr w:rsidR="004541CE" w14:paraId="62C9DB48" w14:textId="77777777" w:rsidTr="004541CE">
        <w:tc>
          <w:tcPr>
            <w:tcW w:w="3780" w:type="dxa"/>
            <w:tcBorders>
              <w:top w:val="nil"/>
              <w:left w:val="nil"/>
              <w:bottom w:val="nil"/>
              <w:right w:val="single" w:sz="4" w:space="0" w:color="auto"/>
            </w:tcBorders>
            <w:hideMark/>
          </w:tcPr>
          <w:p w14:paraId="6E5EC148" w14:textId="77777777" w:rsidR="004541CE" w:rsidRDefault="004541CE" w:rsidP="004541CE">
            <w:pPr>
              <w:jc w:val="right"/>
              <w:rPr>
                <w:rFonts w:cs="Times New Roman"/>
                <w:i/>
                <w:iCs/>
                <w:sz w:val="20"/>
                <w:szCs w:val="20"/>
              </w:rPr>
            </w:pPr>
            <w:r>
              <w:rPr>
                <w:rFonts w:cs="Times New Roman"/>
                <w:i/>
                <w:iCs/>
                <w:sz w:val="20"/>
                <w:szCs w:val="20"/>
              </w:rPr>
              <w:t>COVID-19 deaths (per 100K)</w:t>
            </w:r>
          </w:p>
        </w:tc>
        <w:tc>
          <w:tcPr>
            <w:tcW w:w="1890" w:type="dxa"/>
            <w:tcBorders>
              <w:top w:val="nil"/>
              <w:left w:val="single" w:sz="4" w:space="0" w:color="auto"/>
              <w:bottom w:val="nil"/>
              <w:right w:val="single" w:sz="4" w:space="0" w:color="auto"/>
            </w:tcBorders>
            <w:hideMark/>
          </w:tcPr>
          <w:p w14:paraId="4429E1D0" w14:textId="77777777" w:rsidR="004541CE" w:rsidRDefault="004541CE" w:rsidP="004541CE">
            <w:pPr>
              <w:jc w:val="right"/>
              <w:rPr>
                <w:rFonts w:cs="Times New Roman"/>
                <w:sz w:val="20"/>
                <w:szCs w:val="20"/>
              </w:rPr>
            </w:pPr>
            <w:r>
              <w:rPr>
                <w:rFonts w:cs="Times New Roman"/>
                <w:sz w:val="20"/>
                <w:szCs w:val="20"/>
              </w:rPr>
              <w:t>3,308 (1.7)</w:t>
            </w:r>
          </w:p>
        </w:tc>
        <w:tc>
          <w:tcPr>
            <w:tcW w:w="1985" w:type="dxa"/>
            <w:tcBorders>
              <w:top w:val="nil"/>
              <w:left w:val="single" w:sz="4" w:space="0" w:color="auto"/>
              <w:bottom w:val="nil"/>
              <w:right w:val="single" w:sz="4" w:space="0" w:color="auto"/>
            </w:tcBorders>
            <w:hideMark/>
          </w:tcPr>
          <w:p w14:paraId="15C8CFBE" w14:textId="77777777" w:rsidR="004541CE" w:rsidRDefault="004541CE" w:rsidP="004541CE">
            <w:pPr>
              <w:jc w:val="right"/>
              <w:rPr>
                <w:rFonts w:cs="Times New Roman"/>
                <w:sz w:val="20"/>
                <w:szCs w:val="20"/>
              </w:rPr>
            </w:pPr>
            <w:r>
              <w:rPr>
                <w:rFonts w:cs="Times New Roman"/>
                <w:sz w:val="20"/>
                <w:szCs w:val="20"/>
              </w:rPr>
              <w:t>1,945 (2.4)</w:t>
            </w:r>
          </w:p>
        </w:tc>
        <w:tc>
          <w:tcPr>
            <w:tcW w:w="1795" w:type="dxa"/>
            <w:tcBorders>
              <w:top w:val="nil"/>
              <w:left w:val="single" w:sz="4" w:space="0" w:color="auto"/>
              <w:bottom w:val="nil"/>
              <w:right w:val="nil"/>
            </w:tcBorders>
            <w:hideMark/>
          </w:tcPr>
          <w:p w14:paraId="53D66412" w14:textId="77777777" w:rsidR="004541CE" w:rsidRDefault="004541CE" w:rsidP="004541CE">
            <w:pPr>
              <w:jc w:val="right"/>
              <w:rPr>
                <w:rFonts w:cs="Times New Roman"/>
                <w:sz w:val="20"/>
                <w:szCs w:val="20"/>
              </w:rPr>
            </w:pPr>
            <w:r>
              <w:rPr>
                <w:rFonts w:cs="Times New Roman"/>
                <w:sz w:val="20"/>
                <w:szCs w:val="20"/>
              </w:rPr>
              <w:t>5,253 (1.9)</w:t>
            </w:r>
          </w:p>
        </w:tc>
      </w:tr>
      <w:tr w:rsidR="004541CE" w14:paraId="69156EED" w14:textId="77777777" w:rsidTr="004541CE">
        <w:tc>
          <w:tcPr>
            <w:tcW w:w="3780" w:type="dxa"/>
            <w:tcBorders>
              <w:top w:val="nil"/>
              <w:left w:val="nil"/>
              <w:bottom w:val="nil"/>
              <w:right w:val="single" w:sz="4" w:space="0" w:color="auto"/>
            </w:tcBorders>
            <w:hideMark/>
          </w:tcPr>
          <w:p w14:paraId="74EE43B4" w14:textId="77777777" w:rsidR="004541CE" w:rsidRDefault="004541CE" w:rsidP="004541CE">
            <w:pPr>
              <w:jc w:val="right"/>
              <w:rPr>
                <w:rFonts w:cs="Times New Roman"/>
                <w:i/>
                <w:iCs/>
                <w:sz w:val="20"/>
                <w:szCs w:val="20"/>
              </w:rPr>
            </w:pPr>
            <w:r>
              <w:rPr>
                <w:rFonts w:cs="Times New Roman"/>
                <w:i/>
                <w:iCs/>
                <w:sz w:val="20"/>
                <w:szCs w:val="20"/>
              </w:rPr>
              <w:t>COVID-19 tests (per 100K)</w:t>
            </w:r>
          </w:p>
        </w:tc>
        <w:tc>
          <w:tcPr>
            <w:tcW w:w="1890" w:type="dxa"/>
            <w:tcBorders>
              <w:top w:val="nil"/>
              <w:left w:val="single" w:sz="4" w:space="0" w:color="auto"/>
              <w:bottom w:val="nil"/>
              <w:right w:val="single" w:sz="4" w:space="0" w:color="auto"/>
            </w:tcBorders>
            <w:hideMark/>
          </w:tcPr>
          <w:p w14:paraId="73A83577" w14:textId="77777777" w:rsidR="004541CE" w:rsidRDefault="004541CE" w:rsidP="004541CE">
            <w:pPr>
              <w:jc w:val="right"/>
              <w:rPr>
                <w:rFonts w:cs="Times New Roman"/>
                <w:sz w:val="20"/>
                <w:szCs w:val="20"/>
              </w:rPr>
            </w:pPr>
            <w:r>
              <w:rPr>
                <w:rFonts w:cs="Times New Roman"/>
                <w:sz w:val="20"/>
                <w:szCs w:val="20"/>
              </w:rPr>
              <w:t>2,925,814 (149.6)</w:t>
            </w:r>
          </w:p>
        </w:tc>
        <w:tc>
          <w:tcPr>
            <w:tcW w:w="1985" w:type="dxa"/>
            <w:tcBorders>
              <w:top w:val="nil"/>
              <w:left w:val="single" w:sz="4" w:space="0" w:color="auto"/>
              <w:bottom w:val="nil"/>
              <w:right w:val="single" w:sz="4" w:space="0" w:color="auto"/>
            </w:tcBorders>
            <w:hideMark/>
          </w:tcPr>
          <w:p w14:paraId="171817C9" w14:textId="77777777" w:rsidR="004541CE" w:rsidRDefault="004541CE" w:rsidP="004541CE">
            <w:pPr>
              <w:jc w:val="right"/>
              <w:rPr>
                <w:rFonts w:cs="Times New Roman"/>
                <w:sz w:val="20"/>
                <w:szCs w:val="20"/>
              </w:rPr>
            </w:pPr>
            <w:r>
              <w:rPr>
                <w:rFonts w:cs="Times New Roman"/>
                <w:sz w:val="20"/>
                <w:szCs w:val="20"/>
              </w:rPr>
              <w:t>861,002 (106.5)</w:t>
            </w:r>
          </w:p>
        </w:tc>
        <w:tc>
          <w:tcPr>
            <w:tcW w:w="1795" w:type="dxa"/>
            <w:tcBorders>
              <w:top w:val="nil"/>
              <w:left w:val="single" w:sz="4" w:space="0" w:color="auto"/>
              <w:bottom w:val="nil"/>
              <w:right w:val="nil"/>
            </w:tcBorders>
            <w:hideMark/>
          </w:tcPr>
          <w:p w14:paraId="12552FBF" w14:textId="77777777" w:rsidR="004541CE" w:rsidRDefault="004541CE" w:rsidP="004541CE">
            <w:pPr>
              <w:jc w:val="right"/>
              <w:rPr>
                <w:rFonts w:cs="Times New Roman"/>
                <w:sz w:val="20"/>
                <w:szCs w:val="20"/>
              </w:rPr>
            </w:pPr>
            <w:r>
              <w:rPr>
                <w:rFonts w:cs="Times New Roman"/>
                <w:sz w:val="20"/>
                <w:szCs w:val="20"/>
              </w:rPr>
              <w:t>3,786,816 (137.0)</w:t>
            </w:r>
          </w:p>
        </w:tc>
      </w:tr>
      <w:tr w:rsidR="004541CE" w14:paraId="4B120236" w14:textId="77777777" w:rsidTr="004541CE">
        <w:tc>
          <w:tcPr>
            <w:tcW w:w="3780" w:type="dxa"/>
            <w:tcBorders>
              <w:top w:val="nil"/>
              <w:left w:val="nil"/>
              <w:bottom w:val="nil"/>
              <w:right w:val="single" w:sz="4" w:space="0" w:color="auto"/>
            </w:tcBorders>
            <w:hideMark/>
          </w:tcPr>
          <w:p w14:paraId="764D714E" w14:textId="77777777" w:rsidR="004541CE" w:rsidRDefault="004541CE" w:rsidP="004541CE">
            <w:pPr>
              <w:jc w:val="right"/>
              <w:rPr>
                <w:rFonts w:cs="Times New Roman"/>
                <w:i/>
                <w:iCs/>
                <w:sz w:val="20"/>
                <w:szCs w:val="20"/>
              </w:rPr>
            </w:pPr>
            <w:r>
              <w:rPr>
                <w:rFonts w:cs="Times New Roman"/>
                <w:i/>
                <w:iCs/>
                <w:sz w:val="20"/>
                <w:szCs w:val="20"/>
              </w:rPr>
              <w:t>Positivity rate</w:t>
            </w:r>
          </w:p>
        </w:tc>
        <w:tc>
          <w:tcPr>
            <w:tcW w:w="1890" w:type="dxa"/>
            <w:tcBorders>
              <w:top w:val="nil"/>
              <w:left w:val="single" w:sz="4" w:space="0" w:color="auto"/>
              <w:bottom w:val="nil"/>
              <w:right w:val="single" w:sz="4" w:space="0" w:color="auto"/>
            </w:tcBorders>
            <w:hideMark/>
          </w:tcPr>
          <w:p w14:paraId="1400BD2B" w14:textId="77777777" w:rsidR="004541CE" w:rsidRDefault="004541CE" w:rsidP="004541CE">
            <w:pPr>
              <w:jc w:val="right"/>
              <w:rPr>
                <w:rFonts w:cs="Times New Roman"/>
                <w:sz w:val="20"/>
                <w:szCs w:val="20"/>
              </w:rPr>
            </w:pPr>
            <w:r>
              <w:rPr>
                <w:rFonts w:cs="Times New Roman"/>
                <w:sz w:val="20"/>
                <w:szCs w:val="20"/>
              </w:rPr>
              <w:t>6.012%</w:t>
            </w:r>
          </w:p>
        </w:tc>
        <w:tc>
          <w:tcPr>
            <w:tcW w:w="1985" w:type="dxa"/>
            <w:tcBorders>
              <w:top w:val="nil"/>
              <w:left w:val="single" w:sz="4" w:space="0" w:color="auto"/>
              <w:bottom w:val="nil"/>
              <w:right w:val="single" w:sz="4" w:space="0" w:color="auto"/>
            </w:tcBorders>
            <w:hideMark/>
          </w:tcPr>
          <w:p w14:paraId="7B65C999" w14:textId="77777777" w:rsidR="004541CE" w:rsidRDefault="004541CE" w:rsidP="004541CE">
            <w:pPr>
              <w:jc w:val="right"/>
              <w:rPr>
                <w:rFonts w:cs="Times New Roman"/>
                <w:sz w:val="20"/>
                <w:szCs w:val="20"/>
              </w:rPr>
            </w:pPr>
            <w:r>
              <w:rPr>
                <w:rFonts w:cs="Times New Roman"/>
                <w:sz w:val="20"/>
                <w:szCs w:val="20"/>
              </w:rPr>
              <w:t>11.09%</w:t>
            </w:r>
          </w:p>
        </w:tc>
        <w:tc>
          <w:tcPr>
            <w:tcW w:w="1795" w:type="dxa"/>
            <w:tcBorders>
              <w:top w:val="nil"/>
              <w:left w:val="single" w:sz="4" w:space="0" w:color="auto"/>
              <w:bottom w:val="nil"/>
              <w:right w:val="nil"/>
            </w:tcBorders>
            <w:hideMark/>
          </w:tcPr>
          <w:p w14:paraId="0AF3EE84" w14:textId="77777777" w:rsidR="004541CE" w:rsidRDefault="004541CE" w:rsidP="004541CE">
            <w:pPr>
              <w:jc w:val="right"/>
              <w:rPr>
                <w:rFonts w:cs="Times New Roman"/>
                <w:sz w:val="20"/>
                <w:szCs w:val="20"/>
              </w:rPr>
            </w:pPr>
            <w:r>
              <w:rPr>
                <w:rFonts w:cs="Times New Roman"/>
                <w:sz w:val="20"/>
                <w:szCs w:val="20"/>
              </w:rPr>
              <w:t>7.2%</w:t>
            </w:r>
          </w:p>
        </w:tc>
      </w:tr>
      <w:tr w:rsidR="004541CE" w14:paraId="6A83CAE2" w14:textId="77777777" w:rsidTr="004541CE">
        <w:tc>
          <w:tcPr>
            <w:tcW w:w="3780" w:type="dxa"/>
            <w:tcBorders>
              <w:top w:val="nil"/>
              <w:left w:val="nil"/>
              <w:bottom w:val="nil"/>
              <w:right w:val="single" w:sz="4" w:space="0" w:color="auto"/>
            </w:tcBorders>
            <w:hideMark/>
          </w:tcPr>
          <w:p w14:paraId="0CEBBDAB" w14:textId="77777777" w:rsidR="004541CE" w:rsidRDefault="004541CE" w:rsidP="004541CE">
            <w:pPr>
              <w:jc w:val="right"/>
              <w:rPr>
                <w:rFonts w:cs="Times New Roman"/>
                <w:i/>
                <w:iCs/>
                <w:sz w:val="20"/>
                <w:szCs w:val="20"/>
              </w:rPr>
            </w:pPr>
            <w:r>
              <w:rPr>
                <w:rFonts w:cs="Times New Roman"/>
                <w:i/>
                <w:iCs/>
                <w:sz w:val="20"/>
                <w:szCs w:val="20"/>
              </w:rPr>
              <w:t>Mean CCVI</w:t>
            </w:r>
          </w:p>
        </w:tc>
        <w:tc>
          <w:tcPr>
            <w:tcW w:w="1890" w:type="dxa"/>
            <w:tcBorders>
              <w:top w:val="nil"/>
              <w:left w:val="single" w:sz="4" w:space="0" w:color="auto"/>
              <w:bottom w:val="nil"/>
              <w:right w:val="single" w:sz="4" w:space="0" w:color="auto"/>
            </w:tcBorders>
            <w:hideMark/>
          </w:tcPr>
          <w:p w14:paraId="4AD7F9C0" w14:textId="77777777" w:rsidR="004541CE" w:rsidRDefault="004541CE" w:rsidP="004541CE">
            <w:pPr>
              <w:jc w:val="right"/>
              <w:rPr>
                <w:rFonts w:cs="Times New Roman"/>
                <w:sz w:val="20"/>
                <w:szCs w:val="20"/>
              </w:rPr>
            </w:pPr>
            <w:r>
              <w:rPr>
                <w:rFonts w:cs="Times New Roman"/>
                <w:sz w:val="20"/>
                <w:szCs w:val="20"/>
              </w:rPr>
              <w:t>28.76</w:t>
            </w:r>
          </w:p>
        </w:tc>
        <w:tc>
          <w:tcPr>
            <w:tcW w:w="1985" w:type="dxa"/>
            <w:tcBorders>
              <w:top w:val="nil"/>
              <w:left w:val="single" w:sz="4" w:space="0" w:color="auto"/>
              <w:bottom w:val="nil"/>
              <w:right w:val="single" w:sz="4" w:space="0" w:color="auto"/>
            </w:tcBorders>
            <w:hideMark/>
          </w:tcPr>
          <w:p w14:paraId="5A95102B" w14:textId="77777777" w:rsidR="004541CE" w:rsidRDefault="004541CE" w:rsidP="004541CE">
            <w:pPr>
              <w:jc w:val="right"/>
              <w:rPr>
                <w:rFonts w:cs="Times New Roman"/>
                <w:sz w:val="20"/>
                <w:szCs w:val="20"/>
              </w:rPr>
            </w:pPr>
            <w:r>
              <w:rPr>
                <w:rFonts w:cs="Times New Roman"/>
                <w:sz w:val="20"/>
                <w:szCs w:val="20"/>
              </w:rPr>
              <w:t>52.62</w:t>
            </w:r>
          </w:p>
        </w:tc>
        <w:tc>
          <w:tcPr>
            <w:tcW w:w="1795" w:type="dxa"/>
            <w:tcBorders>
              <w:top w:val="nil"/>
              <w:left w:val="single" w:sz="4" w:space="0" w:color="auto"/>
              <w:bottom w:val="nil"/>
              <w:right w:val="nil"/>
            </w:tcBorders>
            <w:hideMark/>
          </w:tcPr>
          <w:p w14:paraId="239A1E29" w14:textId="77777777" w:rsidR="004541CE" w:rsidRDefault="004541CE" w:rsidP="004541CE">
            <w:pPr>
              <w:jc w:val="right"/>
              <w:rPr>
                <w:rFonts w:cs="Times New Roman"/>
                <w:sz w:val="20"/>
                <w:szCs w:val="20"/>
              </w:rPr>
            </w:pPr>
            <w:r>
              <w:rPr>
                <w:rFonts w:cs="Times New Roman"/>
                <w:sz w:val="20"/>
                <w:szCs w:val="20"/>
              </w:rPr>
              <w:t>35.74</w:t>
            </w:r>
          </w:p>
        </w:tc>
      </w:tr>
      <w:tr w:rsidR="004541CE" w14:paraId="77689C54" w14:textId="77777777" w:rsidTr="004541CE">
        <w:tc>
          <w:tcPr>
            <w:tcW w:w="3780" w:type="dxa"/>
            <w:tcBorders>
              <w:top w:val="nil"/>
              <w:left w:val="nil"/>
              <w:bottom w:val="nil"/>
              <w:right w:val="single" w:sz="4" w:space="0" w:color="auto"/>
            </w:tcBorders>
          </w:tcPr>
          <w:p w14:paraId="5D0B1E96" w14:textId="77777777" w:rsidR="004541CE" w:rsidRDefault="004541CE" w:rsidP="004541CE">
            <w:pPr>
              <w:jc w:val="right"/>
              <w:rPr>
                <w:rFonts w:cs="Times New Roman"/>
                <w:i/>
                <w:iCs/>
                <w:sz w:val="20"/>
                <w:szCs w:val="20"/>
              </w:rPr>
            </w:pPr>
          </w:p>
        </w:tc>
        <w:tc>
          <w:tcPr>
            <w:tcW w:w="1890" w:type="dxa"/>
            <w:tcBorders>
              <w:top w:val="nil"/>
              <w:left w:val="single" w:sz="4" w:space="0" w:color="auto"/>
              <w:bottom w:val="nil"/>
              <w:right w:val="single" w:sz="4" w:space="0" w:color="auto"/>
            </w:tcBorders>
          </w:tcPr>
          <w:p w14:paraId="0EA13C35" w14:textId="77777777" w:rsidR="004541CE" w:rsidRDefault="004541CE" w:rsidP="004541CE">
            <w:pPr>
              <w:jc w:val="right"/>
              <w:rPr>
                <w:rFonts w:cs="Times New Roman"/>
                <w:sz w:val="20"/>
                <w:szCs w:val="20"/>
              </w:rPr>
            </w:pPr>
          </w:p>
        </w:tc>
        <w:tc>
          <w:tcPr>
            <w:tcW w:w="1985" w:type="dxa"/>
            <w:tcBorders>
              <w:top w:val="nil"/>
              <w:left w:val="single" w:sz="4" w:space="0" w:color="auto"/>
              <w:bottom w:val="nil"/>
              <w:right w:val="single" w:sz="4" w:space="0" w:color="auto"/>
            </w:tcBorders>
          </w:tcPr>
          <w:p w14:paraId="5A8F7D51" w14:textId="77777777" w:rsidR="004541CE" w:rsidRDefault="004541CE" w:rsidP="004541CE">
            <w:pPr>
              <w:jc w:val="right"/>
              <w:rPr>
                <w:rFonts w:cs="Times New Roman"/>
                <w:sz w:val="20"/>
                <w:szCs w:val="20"/>
              </w:rPr>
            </w:pPr>
          </w:p>
        </w:tc>
        <w:tc>
          <w:tcPr>
            <w:tcW w:w="1795" w:type="dxa"/>
            <w:tcBorders>
              <w:top w:val="nil"/>
              <w:left w:val="single" w:sz="4" w:space="0" w:color="auto"/>
              <w:bottom w:val="nil"/>
              <w:right w:val="nil"/>
            </w:tcBorders>
          </w:tcPr>
          <w:p w14:paraId="4DC771E1" w14:textId="77777777" w:rsidR="004541CE" w:rsidRDefault="004541CE" w:rsidP="004541CE">
            <w:pPr>
              <w:jc w:val="right"/>
              <w:rPr>
                <w:rFonts w:cs="Times New Roman"/>
                <w:sz w:val="20"/>
                <w:szCs w:val="20"/>
              </w:rPr>
            </w:pPr>
          </w:p>
        </w:tc>
      </w:tr>
      <w:tr w:rsidR="004541CE" w14:paraId="21BA1520" w14:textId="77777777" w:rsidTr="004541CE">
        <w:tc>
          <w:tcPr>
            <w:tcW w:w="3780" w:type="dxa"/>
            <w:tcBorders>
              <w:top w:val="nil"/>
              <w:left w:val="nil"/>
              <w:bottom w:val="nil"/>
              <w:right w:val="single" w:sz="4" w:space="0" w:color="auto"/>
            </w:tcBorders>
            <w:hideMark/>
          </w:tcPr>
          <w:p w14:paraId="03422952" w14:textId="77777777" w:rsidR="004541CE" w:rsidRDefault="004541CE" w:rsidP="004541CE">
            <w:pPr>
              <w:jc w:val="right"/>
              <w:rPr>
                <w:rFonts w:cs="Times New Roman"/>
                <w:i/>
                <w:iCs/>
                <w:sz w:val="20"/>
                <w:szCs w:val="20"/>
              </w:rPr>
            </w:pPr>
            <w:r>
              <w:rPr>
                <w:rFonts w:cs="Times New Roman"/>
                <w:i/>
                <w:iCs/>
                <w:sz w:val="20"/>
                <w:szCs w:val="20"/>
              </w:rPr>
              <w:t>First COVID-19 vaccine dose</w:t>
            </w:r>
          </w:p>
        </w:tc>
        <w:tc>
          <w:tcPr>
            <w:tcW w:w="1890" w:type="dxa"/>
            <w:tcBorders>
              <w:top w:val="nil"/>
              <w:left w:val="single" w:sz="4" w:space="0" w:color="auto"/>
              <w:bottom w:val="nil"/>
              <w:right w:val="single" w:sz="4" w:space="0" w:color="auto"/>
            </w:tcBorders>
            <w:hideMark/>
          </w:tcPr>
          <w:p w14:paraId="1C37EA5C" w14:textId="77777777" w:rsidR="004541CE" w:rsidRDefault="004541CE" w:rsidP="004541CE">
            <w:pPr>
              <w:jc w:val="right"/>
              <w:rPr>
                <w:rFonts w:cs="Times New Roman"/>
                <w:sz w:val="20"/>
                <w:szCs w:val="20"/>
              </w:rPr>
            </w:pPr>
            <w:r>
              <w:rPr>
                <w:rFonts w:cs="Times New Roman"/>
                <w:sz w:val="20"/>
                <w:szCs w:val="20"/>
              </w:rPr>
              <w:t>924,146 (58.2)</w:t>
            </w:r>
          </w:p>
        </w:tc>
        <w:tc>
          <w:tcPr>
            <w:tcW w:w="1985" w:type="dxa"/>
            <w:tcBorders>
              <w:top w:val="nil"/>
              <w:left w:val="single" w:sz="4" w:space="0" w:color="auto"/>
              <w:bottom w:val="nil"/>
              <w:right w:val="single" w:sz="4" w:space="0" w:color="auto"/>
            </w:tcBorders>
            <w:hideMark/>
          </w:tcPr>
          <w:p w14:paraId="28268E69" w14:textId="77777777" w:rsidR="004541CE" w:rsidRDefault="004541CE" w:rsidP="004541CE">
            <w:pPr>
              <w:jc w:val="right"/>
              <w:rPr>
                <w:rFonts w:cs="Times New Roman"/>
                <w:sz w:val="20"/>
                <w:szCs w:val="20"/>
              </w:rPr>
            </w:pPr>
            <w:r>
              <w:rPr>
                <w:rFonts w:cs="Times New Roman"/>
                <w:sz w:val="20"/>
                <w:szCs w:val="20"/>
              </w:rPr>
              <w:t>286,275 (48.0)</w:t>
            </w:r>
          </w:p>
        </w:tc>
        <w:tc>
          <w:tcPr>
            <w:tcW w:w="1795" w:type="dxa"/>
            <w:tcBorders>
              <w:top w:val="nil"/>
              <w:left w:val="single" w:sz="4" w:space="0" w:color="auto"/>
              <w:bottom w:val="nil"/>
              <w:right w:val="nil"/>
            </w:tcBorders>
            <w:hideMark/>
          </w:tcPr>
          <w:p w14:paraId="6A322B75" w14:textId="77777777" w:rsidR="004541CE" w:rsidRDefault="004541CE" w:rsidP="004541CE">
            <w:pPr>
              <w:jc w:val="right"/>
              <w:rPr>
                <w:rFonts w:cs="Times New Roman"/>
                <w:sz w:val="20"/>
                <w:szCs w:val="20"/>
              </w:rPr>
            </w:pPr>
            <w:r>
              <w:rPr>
                <w:rFonts w:cs="Times New Roman"/>
                <w:sz w:val="20"/>
                <w:szCs w:val="20"/>
              </w:rPr>
              <w:t>1,210,421 (55.4)</w:t>
            </w:r>
          </w:p>
        </w:tc>
      </w:tr>
      <w:tr w:rsidR="004541CE" w14:paraId="09173CAB" w14:textId="77777777" w:rsidTr="004541CE">
        <w:tc>
          <w:tcPr>
            <w:tcW w:w="3780" w:type="dxa"/>
            <w:tcBorders>
              <w:top w:val="nil"/>
              <w:left w:val="nil"/>
              <w:bottom w:val="single" w:sz="4" w:space="0" w:color="auto"/>
              <w:right w:val="single" w:sz="4" w:space="0" w:color="auto"/>
            </w:tcBorders>
            <w:hideMark/>
          </w:tcPr>
          <w:p w14:paraId="7AC93C7F" w14:textId="77777777" w:rsidR="004541CE" w:rsidRDefault="004541CE" w:rsidP="004541CE">
            <w:pPr>
              <w:jc w:val="right"/>
              <w:rPr>
                <w:rFonts w:cs="Times New Roman"/>
                <w:i/>
                <w:iCs/>
                <w:sz w:val="20"/>
                <w:szCs w:val="20"/>
              </w:rPr>
            </w:pPr>
            <w:r>
              <w:rPr>
                <w:rFonts w:cs="Times New Roman"/>
                <w:i/>
                <w:iCs/>
                <w:sz w:val="20"/>
                <w:szCs w:val="20"/>
              </w:rPr>
              <w:t>Completed COVID-19 vaccine series</w:t>
            </w:r>
          </w:p>
        </w:tc>
        <w:tc>
          <w:tcPr>
            <w:tcW w:w="1890" w:type="dxa"/>
            <w:tcBorders>
              <w:top w:val="nil"/>
              <w:left w:val="single" w:sz="4" w:space="0" w:color="auto"/>
              <w:bottom w:val="single" w:sz="4" w:space="0" w:color="auto"/>
              <w:right w:val="single" w:sz="4" w:space="0" w:color="auto"/>
            </w:tcBorders>
            <w:hideMark/>
          </w:tcPr>
          <w:p w14:paraId="1522C61B" w14:textId="77777777" w:rsidR="004541CE" w:rsidRDefault="004541CE" w:rsidP="004541CE">
            <w:pPr>
              <w:jc w:val="right"/>
              <w:rPr>
                <w:rFonts w:cs="Times New Roman"/>
                <w:sz w:val="20"/>
                <w:szCs w:val="20"/>
              </w:rPr>
            </w:pPr>
            <w:r>
              <w:rPr>
                <w:rFonts w:cs="Times New Roman"/>
                <w:sz w:val="20"/>
                <w:szCs w:val="20"/>
              </w:rPr>
              <w:t>650,283 (40.9)</w:t>
            </w:r>
          </w:p>
        </w:tc>
        <w:tc>
          <w:tcPr>
            <w:tcW w:w="1985" w:type="dxa"/>
            <w:tcBorders>
              <w:top w:val="nil"/>
              <w:left w:val="single" w:sz="4" w:space="0" w:color="auto"/>
              <w:bottom w:val="single" w:sz="4" w:space="0" w:color="auto"/>
              <w:right w:val="single" w:sz="4" w:space="0" w:color="auto"/>
            </w:tcBorders>
            <w:hideMark/>
          </w:tcPr>
          <w:p w14:paraId="7216B7EC" w14:textId="77777777" w:rsidR="004541CE" w:rsidRDefault="004541CE" w:rsidP="004541CE">
            <w:pPr>
              <w:jc w:val="right"/>
              <w:rPr>
                <w:rFonts w:cs="Times New Roman"/>
                <w:sz w:val="20"/>
                <w:szCs w:val="20"/>
              </w:rPr>
            </w:pPr>
            <w:r>
              <w:rPr>
                <w:rFonts w:cs="Times New Roman"/>
                <w:sz w:val="20"/>
                <w:szCs w:val="20"/>
              </w:rPr>
              <w:t>199,258 (33.4)</w:t>
            </w:r>
          </w:p>
        </w:tc>
        <w:tc>
          <w:tcPr>
            <w:tcW w:w="1795" w:type="dxa"/>
            <w:tcBorders>
              <w:top w:val="nil"/>
              <w:left w:val="single" w:sz="4" w:space="0" w:color="auto"/>
              <w:bottom w:val="single" w:sz="4" w:space="0" w:color="auto"/>
              <w:right w:val="nil"/>
            </w:tcBorders>
            <w:hideMark/>
          </w:tcPr>
          <w:p w14:paraId="6C9AC8D3" w14:textId="77777777" w:rsidR="004541CE" w:rsidRDefault="004541CE" w:rsidP="004541CE">
            <w:pPr>
              <w:jc w:val="right"/>
              <w:rPr>
                <w:rFonts w:cs="Times New Roman"/>
                <w:sz w:val="20"/>
                <w:szCs w:val="20"/>
              </w:rPr>
            </w:pPr>
            <w:r>
              <w:rPr>
                <w:rFonts w:cs="Times New Roman"/>
                <w:sz w:val="20"/>
                <w:szCs w:val="20"/>
              </w:rPr>
              <w:t>849,541 (38.9)</w:t>
            </w:r>
          </w:p>
        </w:tc>
      </w:tr>
    </w:tbl>
    <w:p w14:paraId="7490FA6B" w14:textId="25BCB8E3" w:rsidR="004541CE" w:rsidRPr="004541CE" w:rsidRDefault="004541CE" w:rsidP="004541CE">
      <w:pPr>
        <w:pStyle w:val="Compact"/>
        <w:rPr>
          <w:i/>
          <w:iCs/>
          <w:sz w:val="20"/>
          <w:szCs w:val="20"/>
        </w:rPr>
      </w:pPr>
      <w:r w:rsidRPr="004541CE">
        <w:rPr>
          <w:i/>
          <w:iCs/>
          <w:sz w:val="20"/>
          <w:szCs w:val="20"/>
        </w:rPr>
        <w:t>Data sources: (a) US Census Bureau American Community Survey 5-year estimates, 2015-2019; (b) City of Chicago Open Data Portal</w:t>
      </w:r>
    </w:p>
    <w:p w14:paraId="4FC306C2" w14:textId="77777777" w:rsidR="00E03E88" w:rsidRDefault="004D4DAD">
      <w:pPr>
        <w:pStyle w:val="Heading2"/>
      </w:pPr>
      <w:bookmarkStart w:id="6" w:name="analysis"/>
      <w:bookmarkEnd w:id="4"/>
      <w:bookmarkEnd w:id="5"/>
      <w:r>
        <w:rPr>
          <w:rStyle w:val="SectionNumber"/>
        </w:rPr>
        <w:t>2.2</w:t>
      </w:r>
      <w:r>
        <w:tab/>
        <w:t>Analysis</w:t>
      </w:r>
    </w:p>
    <w:p w14:paraId="07E72F73" w14:textId="77777777" w:rsidR="00E03E88" w:rsidRDefault="004D4DAD">
      <w:pPr>
        <w:pStyle w:val="FirstParagraph"/>
      </w:pPr>
      <w:r>
        <w:t>Two-way contingency tables were created to represent daily cumulative first dose COVID-19 vaccination coverage rates by zip code category from December 29, 2020 (two weeks after the first COVID-19 vaccination dose was administered in the city) to May 1, 2021. Zip codes were categorized, “yes” and “no”, by whether they were or were not prioritized in the city’s PCP program.</w:t>
      </w:r>
    </w:p>
    <w:p w14:paraId="4B1402A1" w14:textId="77777777" w:rsidR="00E03E88" w:rsidRDefault="004D4DAD">
      <w:pPr>
        <w:pStyle w:val="BodyText"/>
      </w:pPr>
      <w:r>
        <w:t xml:space="preserve">For each contingency table, a Pearson chi-squared test was carried out to detect statistically significant differences between vaccination coverage rates across the two categories of communities; with the null hypotheses being that no association exists. Each of these tests yielded a significant p-value, indicating that PCP participation and corresponding vaccination </w:t>
      </w:r>
      <w:r>
        <w:lastRenderedPageBreak/>
        <w:t>rates are associated throughout the entire study period although variations in the magnitude of these associations change over time.</w:t>
      </w:r>
    </w:p>
    <w:p w14:paraId="59B5A8A3" w14:textId="540DB03C" w:rsidR="00E03E88" w:rsidRDefault="004D4DAD">
      <w:pPr>
        <w:pStyle w:val="BodyText"/>
      </w:pPr>
      <w:r>
        <w:t>Figure 1 plots both the standardized residuals from the chi-square tests. Values positioned above the horizontal axis (i.e., greater than 0) indicate vaccination rates that are significantly greater than would be expected if the null hypothesis were true, whereas values positioned below the horizontal axis indicate rates that are significantly lower than would be expected. The plot clearly shows that, when evaluated collectively, communities that rank highest with respect to COVID-19 vulnerability, also underperform with respect to COVID-19 vaccination coverage. This gap narrowed in early February (indicated with dashed black vertical line) after the initial roll-out of the PCP vaccination program before widening again in late March as vaccine eligibility expanded to the broader population.</w:t>
      </w:r>
    </w:p>
    <w:p w14:paraId="2C2ECA7C" w14:textId="515F6266" w:rsidR="004541CE" w:rsidRDefault="004541CE">
      <w:pPr>
        <w:pStyle w:val="BodyText"/>
        <w:rPr>
          <w:rFonts w:cs="Times New Roman"/>
          <w:b/>
          <w:bCs/>
        </w:rPr>
      </w:pPr>
      <w:r>
        <w:rPr>
          <w:rFonts w:cs="Times New Roman"/>
          <w:b/>
          <w:bCs/>
        </w:rPr>
        <w:t xml:space="preserve">Figure 1. Standardized Residuals of Chi-Square Analyses Comparing Daily Cumulative First Dose COVID-19 Vaccination Counts for Communities Inside (YES) and Outside (NO) PCP Priority Areas, 12/29/2020 through </w:t>
      </w:r>
      <w:proofErr w:type="gramStart"/>
      <w:r>
        <w:rPr>
          <w:rFonts w:cs="Times New Roman"/>
          <w:b/>
          <w:bCs/>
        </w:rPr>
        <w:t>5/1/2021</w:t>
      </w:r>
      <w:proofErr w:type="gramEnd"/>
    </w:p>
    <w:p w14:paraId="534EB8FF" w14:textId="63CCA7D5" w:rsidR="004541CE" w:rsidRDefault="004541CE">
      <w:pPr>
        <w:pStyle w:val="BodyText"/>
      </w:pPr>
      <w:r>
        <w:rPr>
          <w:noProof/>
        </w:rPr>
        <w:drawing>
          <wp:inline distT="0" distB="0" distL="0" distR="0" wp14:anchorId="37BA436C" wp14:editId="4ABF3C03">
            <wp:extent cx="5943600" cy="3667760"/>
            <wp:effectExtent l="0" t="0" r="0" b="0"/>
            <wp:docPr id="3" name="Picture 3"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281C3FE8" w14:textId="779D101C" w:rsidR="0014513E" w:rsidRPr="0014513E" w:rsidRDefault="0014513E" w:rsidP="0014513E">
      <w:pPr>
        <w:pStyle w:val="Compact"/>
        <w:rPr>
          <w:sz w:val="20"/>
          <w:szCs w:val="20"/>
        </w:rPr>
      </w:pPr>
      <w:r w:rsidRPr="0014513E">
        <w:rPr>
          <w:rStyle w:val="Emphasis"/>
          <w:sz w:val="20"/>
          <w:szCs w:val="20"/>
        </w:rPr>
        <w:t>X</w:t>
      </w:r>
      <w:r w:rsidRPr="0014513E">
        <w:rPr>
          <w:sz w:val="20"/>
          <w:szCs w:val="20"/>
          <w:vertAlign w:val="superscript"/>
        </w:rPr>
        <w:t>2</w:t>
      </w:r>
      <w:r w:rsidRPr="0014513E">
        <w:rPr>
          <w:sz w:val="20"/>
          <w:szCs w:val="20"/>
        </w:rPr>
        <w:t xml:space="preserve"> (1, </w:t>
      </w:r>
      <w:r w:rsidRPr="0014513E">
        <w:rPr>
          <w:rStyle w:val="Emphasis"/>
          <w:sz w:val="20"/>
          <w:szCs w:val="20"/>
        </w:rPr>
        <w:t>N</w:t>
      </w:r>
      <w:r w:rsidRPr="0014513E">
        <w:rPr>
          <w:sz w:val="20"/>
          <w:szCs w:val="20"/>
        </w:rPr>
        <w:t xml:space="preserve"> = </w:t>
      </w:r>
      <w:r>
        <w:rPr>
          <w:sz w:val="20"/>
          <w:szCs w:val="20"/>
        </w:rPr>
        <w:t>138</w:t>
      </w:r>
      <w:r w:rsidRPr="0014513E">
        <w:rPr>
          <w:sz w:val="20"/>
          <w:szCs w:val="20"/>
        </w:rPr>
        <w:t xml:space="preserve">) = </w:t>
      </w:r>
      <w:r>
        <w:rPr>
          <w:sz w:val="20"/>
          <w:szCs w:val="20"/>
        </w:rPr>
        <w:t>955</w:t>
      </w:r>
      <w:r w:rsidR="0059671C">
        <w:rPr>
          <w:sz w:val="20"/>
          <w:szCs w:val="20"/>
        </w:rPr>
        <w:t xml:space="preserve"> to </w:t>
      </w:r>
      <w:r>
        <w:rPr>
          <w:sz w:val="20"/>
          <w:szCs w:val="20"/>
        </w:rPr>
        <w:t>11,119</w:t>
      </w:r>
      <w:r w:rsidR="0059671C">
        <w:rPr>
          <w:sz w:val="20"/>
          <w:szCs w:val="20"/>
        </w:rPr>
        <w:t xml:space="preserve"> (mean = 6,136; </w:t>
      </w:r>
      <w:proofErr w:type="spellStart"/>
      <w:r w:rsidR="0059671C">
        <w:rPr>
          <w:sz w:val="20"/>
          <w:szCs w:val="20"/>
        </w:rPr>
        <w:t>sd</w:t>
      </w:r>
      <w:proofErr w:type="spellEnd"/>
      <w:r w:rsidR="0059671C">
        <w:rPr>
          <w:sz w:val="20"/>
          <w:szCs w:val="20"/>
        </w:rPr>
        <w:t xml:space="preserve"> = 3,213)</w:t>
      </w:r>
      <w:r w:rsidRPr="0014513E">
        <w:rPr>
          <w:sz w:val="20"/>
          <w:szCs w:val="20"/>
        </w:rPr>
        <w:t xml:space="preserve">, </w:t>
      </w:r>
      <w:r w:rsidRPr="0014513E">
        <w:rPr>
          <w:rStyle w:val="Emphasis"/>
          <w:sz w:val="20"/>
          <w:szCs w:val="20"/>
        </w:rPr>
        <w:t>p</w:t>
      </w:r>
      <w:r w:rsidRPr="0014513E">
        <w:rPr>
          <w:sz w:val="20"/>
          <w:szCs w:val="20"/>
        </w:rPr>
        <w:t xml:space="preserve"> </w:t>
      </w:r>
      <w:r w:rsidR="0059671C">
        <w:rPr>
          <w:sz w:val="20"/>
          <w:szCs w:val="20"/>
        </w:rPr>
        <w:t>&lt;</w:t>
      </w:r>
      <w:r w:rsidRPr="0014513E">
        <w:rPr>
          <w:sz w:val="20"/>
          <w:szCs w:val="20"/>
        </w:rPr>
        <w:t xml:space="preserve"> .00</w:t>
      </w:r>
      <w:r w:rsidR="0059671C">
        <w:rPr>
          <w:sz w:val="20"/>
          <w:szCs w:val="20"/>
        </w:rPr>
        <w:t>0</w:t>
      </w:r>
    </w:p>
    <w:p w14:paraId="3D4F84E6" w14:textId="7BD4A71F" w:rsidR="004541CE" w:rsidRDefault="004541CE">
      <w:r>
        <w:br w:type="page"/>
      </w:r>
    </w:p>
    <w:p w14:paraId="10726479" w14:textId="7E51CF61" w:rsidR="004541CE" w:rsidRDefault="004541CE" w:rsidP="004541CE">
      <w:pPr>
        <w:rPr>
          <w:rFonts w:cs="Times New Roman"/>
          <w:b/>
          <w:bCs/>
        </w:rPr>
      </w:pPr>
      <w:r>
        <w:rPr>
          <w:rFonts w:cs="Times New Roman"/>
          <w:b/>
          <w:bCs/>
        </w:rPr>
        <w:lastRenderedPageBreak/>
        <w:t xml:space="preserve">Figure 2. Interrupted Time Series (ITS) Analysis of Cumulative First Dose COVID-19 Vaccination Rates, Pre- and Post-Rollout of the Protect Chicago Plus Program by Community Category, 12/28/2020 through </w:t>
      </w:r>
      <w:proofErr w:type="gramStart"/>
      <w:r>
        <w:rPr>
          <w:rFonts w:cs="Times New Roman"/>
          <w:b/>
          <w:bCs/>
        </w:rPr>
        <w:t>5/1/2021</w:t>
      </w:r>
      <w:proofErr w:type="gramEnd"/>
    </w:p>
    <w:p w14:paraId="0F8531C1" w14:textId="1E7EA2C2" w:rsidR="004541CE" w:rsidRDefault="004541CE" w:rsidP="004541CE">
      <w:pPr>
        <w:rPr>
          <w:rFonts w:asciiTheme="minorHAnsi" w:hAnsiTheme="minorHAnsi"/>
        </w:rPr>
      </w:pPr>
      <w:r>
        <w:rPr>
          <w:noProof/>
        </w:rPr>
        <w:drawing>
          <wp:inline distT="0" distB="0" distL="0" distR="0" wp14:anchorId="4566B674" wp14:editId="3A2E54F9">
            <wp:extent cx="5943600" cy="3663315"/>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3315"/>
                    </a:xfrm>
                    <a:prstGeom prst="rect">
                      <a:avLst/>
                    </a:prstGeom>
                    <a:noFill/>
                    <a:ln>
                      <a:noFill/>
                    </a:ln>
                  </pic:spPr>
                </pic:pic>
              </a:graphicData>
            </a:graphic>
          </wp:inline>
        </w:drawing>
      </w:r>
    </w:p>
    <w:p w14:paraId="50382D54" w14:textId="37A48EBB" w:rsidR="0059671C" w:rsidRDefault="0059671C" w:rsidP="0059671C">
      <w:pPr>
        <w:pStyle w:val="Compact"/>
        <w:rPr>
          <w:rStyle w:val="Emphasis"/>
          <w:sz w:val="20"/>
          <w:szCs w:val="20"/>
        </w:rPr>
      </w:pPr>
      <w:r>
        <w:rPr>
          <w:rStyle w:val="Emphasis"/>
          <w:sz w:val="20"/>
          <w:szCs w:val="20"/>
        </w:rPr>
        <w:t xml:space="preserve">PCP(No) Results: </w:t>
      </w:r>
      <w:proofErr w:type="gramStart"/>
      <w:r w:rsidRPr="0059671C">
        <w:rPr>
          <w:rStyle w:val="Emphasis"/>
          <w:sz w:val="20"/>
          <w:szCs w:val="20"/>
        </w:rPr>
        <w:t>F(</w:t>
      </w:r>
      <w:proofErr w:type="gramEnd"/>
      <w:r w:rsidRPr="0059671C">
        <w:rPr>
          <w:rStyle w:val="Emphasis"/>
          <w:sz w:val="20"/>
          <w:szCs w:val="20"/>
        </w:rPr>
        <w:t>3,134) = 3857.07, p = 0.00</w:t>
      </w:r>
      <w:r>
        <w:rPr>
          <w:rStyle w:val="Emphasis"/>
          <w:sz w:val="20"/>
          <w:szCs w:val="20"/>
        </w:rPr>
        <w:t xml:space="preserve">, </w:t>
      </w:r>
      <w:r w:rsidRPr="0059671C">
        <w:rPr>
          <w:rStyle w:val="Emphasis"/>
          <w:sz w:val="20"/>
          <w:szCs w:val="20"/>
        </w:rPr>
        <w:t>R² = 0.99</w:t>
      </w:r>
      <w:r>
        <w:rPr>
          <w:rStyle w:val="Emphasis"/>
          <w:sz w:val="20"/>
          <w:szCs w:val="20"/>
        </w:rPr>
        <w:t xml:space="preserve">, </w:t>
      </w:r>
      <w:r w:rsidRPr="0059671C">
        <w:rPr>
          <w:rStyle w:val="Emphasis"/>
          <w:sz w:val="20"/>
          <w:szCs w:val="20"/>
        </w:rPr>
        <w:t>Adj. R² = 0.99</w:t>
      </w:r>
      <w:r>
        <w:rPr>
          <w:rStyle w:val="Emphasis"/>
          <w:sz w:val="20"/>
          <w:szCs w:val="20"/>
        </w:rPr>
        <w:t>;</w:t>
      </w:r>
    </w:p>
    <w:p w14:paraId="3F04710D" w14:textId="13CC3603" w:rsidR="0059671C" w:rsidRDefault="0059671C" w:rsidP="0059671C">
      <w:pPr>
        <w:pStyle w:val="Compact"/>
        <w:rPr>
          <w:rStyle w:val="Emphasis"/>
          <w:sz w:val="20"/>
          <w:szCs w:val="20"/>
        </w:rPr>
      </w:pPr>
      <w:r>
        <w:rPr>
          <w:rStyle w:val="Emphasis"/>
          <w:sz w:val="20"/>
          <w:szCs w:val="20"/>
        </w:rPr>
        <w:t xml:space="preserve">PCP(Yes) Results: </w:t>
      </w:r>
      <w:proofErr w:type="gramStart"/>
      <w:r w:rsidR="00A540F7" w:rsidRPr="00A540F7">
        <w:rPr>
          <w:rStyle w:val="Emphasis"/>
          <w:sz w:val="20"/>
          <w:szCs w:val="20"/>
        </w:rPr>
        <w:t>F(</w:t>
      </w:r>
      <w:proofErr w:type="gramEnd"/>
      <w:r w:rsidR="00A540F7" w:rsidRPr="00A540F7">
        <w:rPr>
          <w:rStyle w:val="Emphasis"/>
          <w:sz w:val="20"/>
          <w:szCs w:val="20"/>
        </w:rPr>
        <w:t>3,134) = 5789.30, p = 0.00, R² = 0.99, Adj. R² = 0.99</w:t>
      </w:r>
    </w:p>
    <w:bookmarkEnd w:id="3"/>
    <w:bookmarkEnd w:id="6"/>
    <w:p w14:paraId="02A01B08" w14:textId="1DE04E01" w:rsidR="004541CE" w:rsidRDefault="004541CE" w:rsidP="0059671C">
      <w:pPr>
        <w:pStyle w:val="BodyText"/>
      </w:pPr>
    </w:p>
    <w:sectPr w:rsidR="004541CE">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03655" w14:textId="77777777" w:rsidR="004D4DAD" w:rsidRDefault="004D4DAD">
      <w:pPr>
        <w:spacing w:after="0"/>
      </w:pPr>
      <w:r>
        <w:separator/>
      </w:r>
    </w:p>
  </w:endnote>
  <w:endnote w:type="continuationSeparator" w:id="0">
    <w:p w14:paraId="3FE07407" w14:textId="77777777" w:rsidR="004D4DAD" w:rsidRDefault="004D4D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8373B" w14:textId="77777777" w:rsidR="004D4DAD" w:rsidRDefault="004D4DAD">
      <w:r>
        <w:separator/>
      </w:r>
    </w:p>
  </w:footnote>
  <w:footnote w:type="continuationSeparator" w:id="0">
    <w:p w14:paraId="26876CC9" w14:textId="77777777" w:rsidR="004D4DAD" w:rsidRDefault="004D4D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EC3D6" w14:textId="792CF95D" w:rsidR="00CF3256" w:rsidRDefault="00CF3256">
    <w:pPr>
      <w:pStyle w:val="Header"/>
    </w:pPr>
    <w:sdt>
      <w:sdtPr>
        <w:id w:val="-612668904"/>
        <w:docPartObj>
          <w:docPartGallery w:val="Watermarks"/>
          <w:docPartUnique/>
        </w:docPartObj>
      </w:sdtPr>
      <w:sdtContent>
        <w:r>
          <w:rPr>
            <w:noProof/>
          </w:rPr>
          <w:pict w14:anchorId="4BFF22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t>DO NOT DISTRIBUTE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49C51E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0E74E2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4513E"/>
    <w:rsid w:val="00365BB0"/>
    <w:rsid w:val="004541CE"/>
    <w:rsid w:val="004D4DAD"/>
    <w:rsid w:val="004E29B3"/>
    <w:rsid w:val="00590D07"/>
    <w:rsid w:val="0059671C"/>
    <w:rsid w:val="00784D58"/>
    <w:rsid w:val="008D6863"/>
    <w:rsid w:val="00A540F7"/>
    <w:rsid w:val="00B86B75"/>
    <w:rsid w:val="00BC48D5"/>
    <w:rsid w:val="00C36279"/>
    <w:rsid w:val="00CF3256"/>
    <w:rsid w:val="00E03E8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F893F5"/>
  <w15:docId w15:val="{8F7E652D-BF50-41A6-A560-141C7A1EE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41CE"/>
    <w:rPr>
      <w:rFonts w:ascii="Times New Roman" w:hAnsi="Times New Roman"/>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4541CE"/>
    <w:pPr>
      <w:spacing w:after="0"/>
    </w:pPr>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4513E"/>
    <w:rPr>
      <w:i/>
      <w:iCs/>
    </w:rPr>
  </w:style>
  <w:style w:type="paragraph" w:styleId="Header">
    <w:name w:val="header"/>
    <w:basedOn w:val="Normal"/>
    <w:link w:val="HeaderChar"/>
    <w:unhideWhenUsed/>
    <w:rsid w:val="00CF3256"/>
    <w:pPr>
      <w:tabs>
        <w:tab w:val="center" w:pos="4680"/>
        <w:tab w:val="right" w:pos="9360"/>
      </w:tabs>
      <w:spacing w:after="0"/>
    </w:pPr>
  </w:style>
  <w:style w:type="character" w:customStyle="1" w:styleId="HeaderChar">
    <w:name w:val="Header Char"/>
    <w:basedOn w:val="DefaultParagraphFont"/>
    <w:link w:val="Header"/>
    <w:rsid w:val="00CF3256"/>
    <w:rPr>
      <w:rFonts w:ascii="Times New Roman" w:hAnsi="Times New Roman"/>
    </w:rPr>
  </w:style>
  <w:style w:type="paragraph" w:styleId="Footer">
    <w:name w:val="footer"/>
    <w:basedOn w:val="Normal"/>
    <w:link w:val="FooterChar"/>
    <w:unhideWhenUsed/>
    <w:rsid w:val="00CF3256"/>
    <w:pPr>
      <w:tabs>
        <w:tab w:val="center" w:pos="4680"/>
        <w:tab w:val="right" w:pos="9360"/>
      </w:tabs>
      <w:spacing w:after="0"/>
    </w:pPr>
  </w:style>
  <w:style w:type="character" w:customStyle="1" w:styleId="FooterChar">
    <w:name w:val="Footer Char"/>
    <w:basedOn w:val="DefaultParagraphFont"/>
    <w:link w:val="Footer"/>
    <w:rsid w:val="00CF325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063502">
      <w:bodyDiv w:val="1"/>
      <w:marLeft w:val="0"/>
      <w:marRight w:val="0"/>
      <w:marTop w:val="0"/>
      <w:marBottom w:val="0"/>
      <w:divBdr>
        <w:top w:val="none" w:sz="0" w:space="0" w:color="auto"/>
        <w:left w:val="none" w:sz="0" w:space="0" w:color="auto"/>
        <w:bottom w:val="none" w:sz="0" w:space="0" w:color="auto"/>
        <w:right w:val="none" w:sz="0" w:space="0" w:color="auto"/>
      </w:divBdr>
    </w:div>
    <w:div w:id="16123231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1A0E7-9756-4CAD-BBCD-B864D5353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COVID-19 Vaccine Equity Analysis (DRAFT)</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Vaccine Equity Analysis (DRAFT)</dc:title>
  <dc:creator>Amy Johnson, PhD | C. Scott Smith, PhD AICP</dc:creator>
  <cp:keywords/>
  <cp:lastModifiedBy>Smith, Christopher</cp:lastModifiedBy>
  <cp:revision>5</cp:revision>
  <dcterms:created xsi:type="dcterms:W3CDTF">2021-05-04T15:42:00Z</dcterms:created>
  <dcterms:modified xsi:type="dcterms:W3CDTF">2021-05-04T17:09:00Z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unk_output_type">
    <vt:lpwstr>console</vt:lpwstr>
  </property>
  <property fmtid="{D5CDD505-2E9C-101B-9397-08002B2CF9AE}" pid="3" name="date">
    <vt:lpwstr>Last updated 5/4/2021</vt:lpwstr>
  </property>
  <property fmtid="{D5CDD505-2E9C-101B-9397-08002B2CF9AE}" pid="4" name="editor_options">
    <vt:lpwstr/>
  </property>
  <property fmtid="{D5CDD505-2E9C-101B-9397-08002B2CF9AE}" pid="5" name="output">
    <vt:lpwstr>bookdown::word_document2</vt:lpwstr>
  </property>
  <property fmtid="{D5CDD505-2E9C-101B-9397-08002B2CF9AE}" pid="6" name="tidy">
    <vt:lpwstr>styler</vt:lpwstr>
  </property>
</Properties>
</file>