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cs="Times New Roman"/>
          <w:b/>
          <w:i w:val="0"/>
          <w:sz w:val="24"/>
        </w:rPr>
        <w:t>IN THE HIGH COURT OF JUSTICE</w:t>
      </w:r>
    </w:p>
    <w:p>
      <w:pPr>
        <w:spacing w:line="240" w:lineRule="auto" w:before="0" w:after="0"/>
        <w:jc w:val="center"/>
      </w:pPr>
      <w:r>
        <w:rPr>
          <w:rFonts w:ascii="Times New Roman" w:hAnsi="Times New Roman" w:eastAsia="Times New Roman" w:cs="Times New Roman"/>
          <w:b/>
          <w:i w:val="0"/>
          <w:sz w:val="24"/>
        </w:rPr>
        <w:t>KING'S BENCH DIVISION</w:t>
      </w:r>
    </w:p>
    <w:p>
      <w:pPr>
        <w:spacing w:line="240" w:lineRule="auto" w:before="0" w:after="120"/>
        <w:jc w:val="center"/>
      </w:pPr>
      <w:r>
        <w:rPr>
          <w:rFonts w:ascii="Times New Roman" w:hAnsi="Times New Roman" w:eastAsia="Times New Roman" w:cs="Times New Roman"/>
          <w:b w:val="0"/>
          <w:i w:val="0"/>
          <w:sz w:val="24"/>
        </w:rPr>
        <w:t>Case Ref: DC23667</w:t>
      </w:r>
    </w:p>
    <w:p>
      <w:pPr>
        <w:spacing w:line="240" w:lineRule="auto" w:before="0" w:after="0"/>
        <w:jc w:val="left"/>
      </w:pPr>
      <w:r>
        <w:rPr>
          <w:rFonts w:ascii="Times New Roman" w:hAnsi="Times New Roman" w:eastAsia="Times New Roman" w:cs="Times New Roman"/>
          <w:b/>
          <w:i w:val="0"/>
          <w:sz w:val="24"/>
        </w:rPr>
        <w:t>BETWEEN:</w:t>
      </w:r>
    </w:p>
    <w:p>
      <w:pPr>
        <w:spacing w:line="240" w:lineRule="auto" w:before="0" w:after="0"/>
        <w:jc w:val="left"/>
      </w:pPr>
      <w:r>
        <w:rPr>
          <w:rFonts w:ascii="Times New Roman" w:hAnsi="Times New Roman" w:eastAsia="Times New Roman" w:cs="Times New Roman"/>
          <w:b w:val="0"/>
          <w:i w:val="0"/>
          <w:sz w:val="24"/>
        </w:rPr>
      </w:r>
    </w:p>
    <w:p>
      <w:pPr>
        <w:spacing w:line="240" w:lineRule="auto" w:before="0" w:after="0"/>
        <w:jc w:val="left"/>
      </w:pPr>
      <w:r>
        <w:rPr>
          <w:rFonts w:ascii="Times New Roman" w:hAnsi="Times New Roman" w:eastAsia="Times New Roman" w:cs="Times New Roman"/>
          <w:b w:val="0"/>
          <w:i w:val="0"/>
          <w:sz w:val="24"/>
        </w:rPr>
        <w:t>BENJAMIN MAK</w:t>
      </w:r>
    </w:p>
    <w:p>
      <w:pPr>
        <w:spacing w:line="240" w:lineRule="auto" w:before="0" w:after="0"/>
        <w:jc w:val="left"/>
      </w:pPr>
      <w:r>
        <w:rPr>
          <w:rFonts w:ascii="Times New Roman" w:hAnsi="Times New Roman" w:eastAsia="Times New Roman" w:cs="Times New Roman"/>
          <w:b/>
          <w:i w:val="0"/>
          <w:sz w:val="24"/>
        </w:rPr>
        <w:t>Claimant</w:t>
      </w:r>
    </w:p>
    <w:p>
      <w:pPr>
        <w:spacing w:line="240" w:lineRule="auto" w:before="0" w:after="0"/>
        <w:jc w:val="left"/>
      </w:pPr>
      <w:r>
        <w:rPr>
          <w:rFonts w:ascii="Times New Roman" w:hAnsi="Times New Roman" w:eastAsia="Times New Roman" w:cs="Times New Roman"/>
          <w:b w:val="0"/>
          <w:i w:val="0"/>
          <w:sz w:val="24"/>
        </w:rPr>
      </w:r>
    </w:p>
    <w:p>
      <w:pPr>
        <w:spacing w:line="240" w:lineRule="auto" w:before="0" w:after="0"/>
        <w:jc w:val="left"/>
      </w:pPr>
      <w:r>
        <w:rPr>
          <w:rFonts w:ascii="Times New Roman" w:hAnsi="Times New Roman" w:eastAsia="Times New Roman" w:cs="Times New Roman"/>
          <w:b/>
          <w:i w:val="0"/>
          <w:sz w:val="24"/>
        </w:rPr>
        <w:t>- and -</w:t>
      </w:r>
    </w:p>
    <w:p>
      <w:pPr>
        <w:spacing w:line="240" w:lineRule="auto" w:before="0" w:after="0"/>
        <w:jc w:val="left"/>
      </w:pPr>
      <w:r>
        <w:rPr>
          <w:rFonts w:ascii="Times New Roman" w:hAnsi="Times New Roman" w:eastAsia="Times New Roman" w:cs="Times New Roman"/>
          <w:b w:val="0"/>
          <w:i w:val="0"/>
          <w:sz w:val="24"/>
        </w:rPr>
      </w:r>
    </w:p>
    <w:p>
      <w:pPr>
        <w:spacing w:line="240" w:lineRule="auto" w:before="0" w:after="0"/>
        <w:jc w:val="left"/>
      </w:pPr>
      <w:r>
        <w:rPr>
          <w:rFonts w:ascii="Times New Roman" w:hAnsi="Times New Roman" w:eastAsia="Times New Roman" w:cs="Times New Roman"/>
          <w:b w:val="0"/>
          <w:i w:val="0"/>
          <w:sz w:val="24"/>
        </w:rPr>
        <w:t>THE UNIVERSITY OF LAW LIMITED</w:t>
      </w:r>
    </w:p>
    <w:p>
      <w:pPr>
        <w:spacing w:line="240" w:lineRule="auto" w:before="0" w:after="0"/>
        <w:jc w:val="left"/>
      </w:pPr>
      <w:r>
        <w:rPr>
          <w:rFonts w:ascii="Times New Roman" w:hAnsi="Times New Roman" w:eastAsia="Times New Roman" w:cs="Times New Roman"/>
          <w:b w:val="0"/>
          <w:i w:val="0"/>
          <w:sz w:val="24"/>
        </w:rPr>
        <w:t>(Company No. 08866689)</w:t>
      </w:r>
    </w:p>
    <w:p>
      <w:pPr>
        <w:spacing w:line="240" w:lineRule="auto" w:before="0" w:after="0"/>
        <w:jc w:val="left"/>
      </w:pPr>
      <w:r>
        <w:rPr>
          <w:rFonts w:ascii="Times New Roman" w:hAnsi="Times New Roman" w:eastAsia="Times New Roman" w:cs="Times New Roman"/>
          <w:b/>
          <w:i w:val="0"/>
          <w:sz w:val="24"/>
        </w:rPr>
        <w:t>Defendant</w:t>
      </w:r>
    </w:p>
    <w:p>
      <w:pPr>
        <w:spacing w:line="240" w:lineRule="auto" w:before="0" w:after="0"/>
        <w:pBdr>
          <w:bottom w:val="single" w:sz="6" w:space="1" w:color="000000"/>
        </w:pBdr>
      </w:pPr>
    </w:p>
    <w:p>
      <w:pPr>
        <w:spacing w:line="240" w:lineRule="auto" w:before="120" w:after="40"/>
        <w:jc w:val="center"/>
      </w:pPr>
      <w:r>
        <w:rPr>
          <w:rFonts w:ascii="Times New Roman" w:hAnsi="Times New Roman" w:eastAsia="Times New Roman" w:cs="Times New Roman"/>
          <w:b/>
          <w:i w:val="0"/>
          <w:sz w:val="28"/>
        </w:rPr>
        <w:t>WITNESS STATEMENT OF BENJAMIN MAK</w:t>
      </w:r>
    </w:p>
    <w:p>
      <w:pPr>
        <w:spacing w:line="240" w:lineRule="auto" w:before="0" w:after="0"/>
        <w:pBdr>
          <w:bottom w:val="single" w:sz="6" w:space="1" w:color="000000"/>
        </w:pBdr>
      </w:pPr>
    </w:p>
    <w:p>
      <w:pPr>
        <w:spacing w:line="240" w:lineRule="auto" w:before="0" w:after="120"/>
        <w:jc w:val="right"/>
      </w:pPr>
      <w:r>
        <w:rPr>
          <w:rFonts w:ascii="Times New Roman" w:hAnsi="Times New Roman" w:eastAsia="Times New Roman" w:cs="Times New Roman"/>
          <w:b w:val="0"/>
          <w:i w:val="0"/>
          <w:sz w:val="24"/>
        </w:rPr>
        <w:t>4 February 2026</w:t>
      </w:r>
    </w:p>
    <w:p>
      <w:pPr>
        <w:spacing w:line="240" w:lineRule="auto" w:before="0" w:after="0"/>
      </w:pPr>
      <w:r>
        <w:rPr>
          <w:rFonts w:ascii="Times New Roman" w:hAnsi="Times New Roman" w:eastAsia="Times New Roman" w:cs="Times New Roman"/>
          <w:b/>
          <w:i w:val="0"/>
          <w:sz w:val="24"/>
        </w:rPr>
        <w:t>BENJAMIN MAK</w:t>
      </w:r>
    </w:p>
    <w:p>
      <w:pPr>
        <w:spacing w:line="240" w:lineRule="auto" w:before="0" w:after="120"/>
      </w:pPr>
      <w:r>
        <w:rPr>
          <w:rFonts w:ascii="Times New Roman" w:hAnsi="Times New Roman" w:eastAsia="Times New Roman" w:cs="Times New Roman"/>
          <w:b w:val="0"/>
          <w:i w:val="0"/>
          <w:sz w:val="24"/>
        </w:rPr>
        <w:t>[Address withheld for safety reasons]</w:t>
      </w:r>
    </w:p>
    <w:p>
      <w:pPr>
        <w:spacing w:line="360" w:lineRule="auto" w:before="0" w:after="120"/>
        <w:jc w:val="left"/>
      </w:pPr>
      <w:r>
        <w:rPr>
          <w:rFonts w:ascii="Times New Roman" w:hAnsi="Times New Roman" w:eastAsia="Times New Roman" w:cs="Times New Roman"/>
          <w:b/>
          <w:i w:val="0"/>
          <w:sz w:val="24"/>
        </w:rPr>
        <w:t>I, BENJAMIN MAK, WILL SAY as follows:</w:t>
      </w:r>
    </w:p>
    <w:p>
      <w:pPr>
        <w:spacing w:line="240" w:lineRule="auto" w:before="240" w:after="80"/>
        <w:jc w:val="left"/>
      </w:pPr>
      <w:r>
        <w:rPr>
          <w:rFonts w:ascii="Times New Roman" w:hAnsi="Times New Roman" w:eastAsia="Times New Roman" w:cs="Times New Roman"/>
          <w:b/>
          <w:i w:val="0"/>
          <w:sz w:val="28"/>
        </w:rPr>
        <w:t xml:space="preserve">I. </w:t>
      </w:r>
      <w:r>
        <w:rPr>
          <w:rFonts w:ascii="Times New Roman" w:hAnsi="Times New Roman" w:eastAsia="Times New Roman" w:cs="Times New Roman"/>
          <w:b/>
          <w:i w:val="0"/>
          <w:sz w:val="28"/>
        </w:rPr>
        <w:t>INTRODUCTION</w:t>
      </w:r>
    </w:p>
    <w:p>
      <w:pPr>
        <w:spacing w:line="360" w:lineRule="auto" w:before="0" w:after="0"/>
        <w:ind w:left="958" w:hanging="958"/>
        <w:jc w:val="both"/>
      </w:pPr>
      <w:r>
        <w:rPr>
          <w:rFonts w:ascii="Times New Roman" w:hAnsi="Times New Roman" w:eastAsia="Times New Roman" w:cs="Times New Roman"/>
          <w:b/>
          <w:i w:val="0"/>
          <w:sz w:val="24"/>
        </w:rPr>
        <w:t>1.</w:t>
        <w:tab/>
      </w:r>
      <w:r>
        <w:rPr>
          <w:rFonts w:ascii="Times New Roman" w:hAnsi="Times New Roman" w:eastAsia="Times New Roman" w:cs="Times New Roman"/>
          <w:b w:val="0"/>
          <w:i w:val="0"/>
          <w:sz w:val="24"/>
        </w:rPr>
        <w:t>I am the Claimant in these proceedings. I am a former student of the Defendant, The University of Law Limited. I was enrolled on the LLB (Bachelor of Laws) programme at the London Bloomsbury Campus. My student number is associated with the email address ben.mak71@law.ac.uk.</w:t>
      </w:r>
    </w:p>
    <w:p>
      <w:pPr>
        <w:spacing w:line="360" w:lineRule="auto" w:before="0" w:after="0"/>
        <w:ind w:left="958" w:hanging="958"/>
        <w:jc w:val="both"/>
      </w:pPr>
      <w:r>
        <w:rPr>
          <w:rFonts w:ascii="Times New Roman" w:hAnsi="Times New Roman" w:eastAsia="Times New Roman" w:cs="Times New Roman"/>
          <w:b/>
          <w:i w:val="0"/>
          <w:sz w:val="24"/>
        </w:rPr>
        <w:t>2.</w:t>
        <w:tab/>
      </w:r>
      <w:r>
        <w:rPr>
          <w:rFonts w:ascii="Times New Roman" w:hAnsi="Times New Roman" w:eastAsia="Times New Roman" w:cs="Times New Roman"/>
          <w:b w:val="0"/>
          <w:i w:val="0"/>
          <w:sz w:val="24"/>
        </w:rPr>
        <w:t>This statement is made in support of my challenge to the decision to exclude me from the University of Law, communicated by letter dated 13 May 2024 and authored by Rachel Edge, Secretary of the Stage 3 Support to Study Panel.</w:t>
      </w:r>
    </w:p>
    <w:p>
      <w:pPr>
        <w:spacing w:line="360" w:lineRule="auto" w:before="0" w:after="0"/>
        <w:ind w:left="958" w:hanging="958"/>
        <w:jc w:val="both"/>
      </w:pPr>
      <w:r>
        <w:rPr>
          <w:rFonts w:ascii="Times New Roman" w:hAnsi="Times New Roman" w:eastAsia="Times New Roman" w:cs="Times New Roman"/>
          <w:b/>
          <w:i w:val="0"/>
          <w:sz w:val="24"/>
        </w:rPr>
        <w:t>3.</w:t>
        <w:tab/>
      </w:r>
      <w:r>
        <w:rPr>
          <w:rFonts w:ascii="Times New Roman" w:hAnsi="Times New Roman" w:eastAsia="Times New Roman" w:cs="Times New Roman"/>
          <w:b w:val="0"/>
          <w:i w:val="0"/>
          <w:sz w:val="24"/>
        </w:rPr>
        <w:t>The evidence relied upon in this statement is drawn entirely from the Defendant's own records: an export of my institutional inbox comprising 1,837 pages (referred to herein as 'DC23667') and my sent-items engagement record comprising 214 pages (referred to herein as 'the Engagement PDF'). Highlighted screenshots of the relevant pages are available at the URLs set out in Schedule 2 of this statement.</w:t>
      </w:r>
    </w:p>
    <w:p>
      <w:pPr>
        <w:spacing w:line="360" w:lineRule="auto" w:before="0" w:after="0"/>
        <w:ind w:left="958" w:hanging="958"/>
        <w:jc w:val="both"/>
      </w:pPr>
      <w:r>
        <w:rPr>
          <w:rFonts w:ascii="Times New Roman" w:hAnsi="Times New Roman" w:eastAsia="Times New Roman" w:cs="Times New Roman"/>
          <w:b/>
          <w:i w:val="0"/>
          <w:sz w:val="24"/>
        </w:rPr>
        <w:t>4.</w:t>
        <w:tab/>
      </w:r>
      <w:r>
        <w:rPr>
          <w:rFonts w:ascii="Times New Roman" w:hAnsi="Times New Roman" w:eastAsia="Times New Roman" w:cs="Times New Roman"/>
          <w:b w:val="0"/>
          <w:i w:val="0"/>
          <w:sz w:val="24"/>
        </w:rPr>
        <w:t>I have had the opportunity to review the letter of 13 May 2024 and the supporting documentation. I contend that the exclusion decision was reached in breach of procedural fairness, in breach of the institution's duty of care, and in breach of the Equality Act 2010.</w:t>
      </w:r>
    </w:p>
    <w:p>
      <w:pPr>
        <w:spacing w:line="240" w:lineRule="auto" w:before="240" w:after="80"/>
        <w:jc w:val="left"/>
      </w:pPr>
      <w:r>
        <w:rPr>
          <w:rFonts w:ascii="Times New Roman" w:hAnsi="Times New Roman" w:eastAsia="Times New Roman" w:cs="Times New Roman"/>
          <w:b/>
          <w:i w:val="0"/>
          <w:sz w:val="28"/>
        </w:rPr>
        <w:t xml:space="preserve">II. </w:t>
      </w:r>
      <w:r>
        <w:rPr>
          <w:rFonts w:ascii="Times New Roman" w:hAnsi="Times New Roman" w:eastAsia="Times New Roman" w:cs="Times New Roman"/>
          <w:b/>
          <w:i w:val="0"/>
          <w:sz w:val="28"/>
        </w:rPr>
        <w:t>BACKGROUND</w:t>
      </w:r>
    </w:p>
    <w:p>
      <w:pPr>
        <w:spacing w:line="360" w:lineRule="auto" w:before="0" w:after="0"/>
        <w:ind w:left="958" w:hanging="958"/>
        <w:jc w:val="both"/>
      </w:pPr>
      <w:r>
        <w:rPr>
          <w:rFonts w:ascii="Times New Roman" w:hAnsi="Times New Roman" w:eastAsia="Times New Roman" w:cs="Times New Roman"/>
          <w:b/>
          <w:i w:val="0"/>
          <w:sz w:val="24"/>
        </w:rPr>
        <w:t>5.</w:t>
        <w:tab/>
      </w:r>
      <w:r>
        <w:rPr>
          <w:rFonts w:ascii="Times New Roman" w:hAnsi="Times New Roman" w:eastAsia="Times New Roman" w:cs="Times New Roman"/>
          <w:b w:val="0"/>
          <w:i w:val="0"/>
          <w:sz w:val="24"/>
        </w:rPr>
        <w:t>I enrolled at the University of Law on or about September 2022. I hold a diagnosis of autism spectrum condition, which was disclosed to the Defendant prior to and during my studies. A University Learning and Inclusion Plan (ULIP) was put in place to provide for adjustments in accordance with the Equality Act 2010, section 20.</w:t>
      </w:r>
    </w:p>
    <w:p>
      <w:pPr>
        <w:spacing w:line="360" w:lineRule="auto" w:before="0" w:after="0"/>
        <w:ind w:left="958" w:hanging="958"/>
        <w:jc w:val="both"/>
      </w:pPr>
      <w:r>
        <w:rPr>
          <w:rFonts w:ascii="Times New Roman" w:hAnsi="Times New Roman" w:eastAsia="Times New Roman" w:cs="Times New Roman"/>
          <w:b/>
          <w:i w:val="0"/>
          <w:sz w:val="24"/>
        </w:rPr>
        <w:t>6.</w:t>
        <w:tab/>
      </w:r>
      <w:r>
        <w:rPr>
          <w:rFonts w:ascii="Times New Roman" w:hAnsi="Times New Roman" w:eastAsia="Times New Roman" w:cs="Times New Roman"/>
          <w:b w:val="0"/>
          <w:i w:val="0"/>
          <w:sz w:val="24"/>
        </w:rPr>
        <w:t>During the academic year 2023–2024, I experienced significant personal difficulties including housing repossession, financial hardship, and a mental health crisis. These difficulties were disclosed to the Defendant through multiple channels, as set out in Part III below.</w:t>
      </w:r>
    </w:p>
    <w:p>
      <w:pPr>
        <w:spacing w:line="360" w:lineRule="auto" w:before="0" w:after="0"/>
        <w:ind w:left="958" w:hanging="958"/>
        <w:jc w:val="both"/>
      </w:pPr>
      <w:r>
        <w:rPr>
          <w:rFonts w:ascii="Times New Roman" w:hAnsi="Times New Roman" w:eastAsia="Times New Roman" w:cs="Times New Roman"/>
          <w:b/>
          <w:i w:val="0"/>
          <w:sz w:val="24"/>
        </w:rPr>
        <w:t>7.</w:t>
        <w:tab/>
      </w:r>
      <w:r>
        <w:rPr>
          <w:rFonts w:ascii="Times New Roman" w:hAnsi="Times New Roman" w:eastAsia="Times New Roman" w:cs="Times New Roman"/>
          <w:b w:val="0"/>
          <w:i w:val="0"/>
          <w:sz w:val="24"/>
        </w:rPr>
        <w:t>On 15 February 2024, Debbie Shortland, the Designated Safeguarding Lead at the University of Law, sent an email to statutory health and safeguarding services in Westminster. The email stated in material part: "he has suicidal thoughts... Ben stated that if this meeting was not held... he would end his life. We have made referrals today to statutory health and safeguarding services in Westminster." This email is at DC23667 page 540. I refer to the highlighted screenshot at Exhibit BM7.</w:t>
      </w:r>
    </w:p>
    <w:p>
      <w:pPr>
        <w:spacing w:line="360" w:lineRule="auto" w:before="0" w:after="0"/>
        <w:ind w:left="958" w:hanging="958"/>
        <w:jc w:val="both"/>
      </w:pPr>
      <w:r>
        <w:rPr>
          <w:rFonts w:ascii="Times New Roman" w:hAnsi="Times New Roman" w:eastAsia="Times New Roman" w:cs="Times New Roman"/>
          <w:b/>
          <w:i w:val="0"/>
          <w:sz w:val="24"/>
        </w:rPr>
        <w:t>8.</w:t>
        <w:tab/>
      </w:r>
      <w:r>
        <w:rPr>
          <w:rFonts w:ascii="Times New Roman" w:hAnsi="Times New Roman" w:eastAsia="Times New Roman" w:cs="Times New Roman"/>
          <w:b w:val="0"/>
          <w:i w:val="0"/>
          <w:sz w:val="24"/>
        </w:rPr>
        <w:t>On the same day, 15 February 2024, I sent an email to mentalhealthservice@law.ac.uk and Debbie.Shortland@law.ac.uk with the subject line "Not one call or check in followg Repossesion." This email is at Engagement PDF page 25. I refer to the highlighted screenshot at Exhibit BM8.</w:t>
      </w:r>
    </w:p>
    <w:p>
      <w:pPr>
        <w:spacing w:line="240" w:lineRule="auto" w:before="240" w:after="80"/>
        <w:jc w:val="left"/>
      </w:pPr>
      <w:r>
        <w:rPr>
          <w:rFonts w:ascii="Times New Roman" w:hAnsi="Times New Roman" w:eastAsia="Times New Roman" w:cs="Times New Roman"/>
          <w:b/>
          <w:i w:val="0"/>
          <w:sz w:val="28"/>
        </w:rPr>
        <w:t xml:space="preserve">III. </w:t>
      </w:r>
      <w:r>
        <w:rPr>
          <w:rFonts w:ascii="Times New Roman" w:hAnsi="Times New Roman" w:eastAsia="Times New Roman" w:cs="Times New Roman"/>
          <w:b/>
          <w:i w:val="0"/>
          <w:sz w:val="28"/>
        </w:rPr>
        <w:t>THE CLAIM OF NON-ENGAGEMENT</w:t>
      </w:r>
    </w:p>
    <w:p>
      <w:pPr>
        <w:spacing w:line="360" w:lineRule="auto" w:before="0" w:after="0"/>
        <w:ind w:left="958" w:hanging="958"/>
        <w:jc w:val="both"/>
      </w:pPr>
      <w:r>
        <w:rPr>
          <w:rFonts w:ascii="Times New Roman" w:hAnsi="Times New Roman" w:eastAsia="Times New Roman" w:cs="Times New Roman"/>
          <w:b/>
          <w:i w:val="0"/>
          <w:sz w:val="24"/>
        </w:rPr>
        <w:t>9.</w:t>
        <w:tab/>
      </w:r>
      <w:r>
        <w:rPr>
          <w:rFonts w:ascii="Times New Roman" w:hAnsi="Times New Roman" w:eastAsia="Times New Roman" w:cs="Times New Roman"/>
          <w:b w:val="0"/>
          <w:i w:val="0"/>
          <w:sz w:val="24"/>
        </w:rPr>
        <w:t xml:space="preserve">The letter of 13 May 2024 states: </w:t>
      </w:r>
      <w:r>
        <w:rPr>
          <w:rFonts w:ascii="Times New Roman" w:hAnsi="Times New Roman" w:eastAsia="Times New Roman" w:cs="Times New Roman"/>
          <w:b w:val="0"/>
          <w:i/>
          <w:sz w:val="24"/>
        </w:rPr>
        <w:t>"You did not engage with the course."</w:t>
      </w:r>
      <w:r>
        <w:rPr>
          <w:rFonts w:ascii="Times New Roman" w:hAnsi="Times New Roman" w:eastAsia="Times New Roman" w:cs="Times New Roman"/>
          <w:b w:val="0"/>
          <w:i w:val="0"/>
          <w:sz w:val="24"/>
        </w:rPr>
        <w:t xml:space="preserve"> This claim is made without citation of any specific evidence. I set out below the evidence which demonstrates that this assertion is false.</w:t>
      </w:r>
    </w:p>
    <w:p>
      <w:pPr>
        <w:spacing w:line="360" w:lineRule="auto" w:before="0" w:after="0"/>
        <w:ind w:left="958" w:hanging="958"/>
        <w:jc w:val="both"/>
      </w:pPr>
      <w:r>
        <w:rPr>
          <w:rFonts w:ascii="Times New Roman" w:hAnsi="Times New Roman" w:eastAsia="Times New Roman" w:cs="Times New Roman"/>
          <w:b/>
          <w:i w:val="0"/>
          <w:sz w:val="24"/>
        </w:rPr>
        <w:t>10.</w:t>
        <w:tab/>
      </w:r>
      <w:r>
        <w:rPr>
          <w:rFonts w:ascii="Times New Roman" w:hAnsi="Times New Roman" w:eastAsia="Times New Roman" w:cs="Times New Roman"/>
          <w:b w:val="0"/>
          <w:i w:val="0"/>
          <w:sz w:val="24"/>
        </w:rPr>
        <w:t>My email address, ben.mak71@law.ac.uk, appears on 855 pages of the DC23667 inbox export. The Engagement PDF records 93 emails SENT by me during the relevant period. I contacted 81 unique email addresses, of which 25 or more were @law.ac.uk addresses. I refer to the highlighted screenshot at Exhibit BM1.</w:t>
      </w:r>
    </w:p>
    <w:p>
      <w:pPr>
        <w:spacing w:line="360" w:lineRule="auto" w:before="0" w:after="0"/>
        <w:ind w:left="958" w:hanging="958"/>
        <w:jc w:val="both"/>
      </w:pPr>
      <w:r>
        <w:rPr>
          <w:rFonts w:ascii="Times New Roman" w:hAnsi="Times New Roman" w:eastAsia="Times New Roman" w:cs="Times New Roman"/>
          <w:b/>
          <w:i w:val="0"/>
          <w:sz w:val="24"/>
        </w:rPr>
        <w:t>11.</w:t>
        <w:tab/>
      </w:r>
      <w:r>
        <w:rPr>
          <w:rFonts w:ascii="Times New Roman" w:hAnsi="Times New Roman" w:eastAsia="Times New Roman" w:cs="Times New Roman"/>
          <w:b w:val="0"/>
          <w:i w:val="0"/>
          <w:sz w:val="24"/>
        </w:rPr>
        <w:t>I engaged with my academic coach, Chris Hooley, throughout the period. Hooley appears on 23 pages of DC23667. I received 20 emails from him. Course materials — including worksheet slides, mock assessment materials, and revision tips — were delivered to me via email throughout the year. I refer to the highlighted screenshots at Exhibits BM3 and BM4.</w:t>
      </w:r>
    </w:p>
    <w:p>
      <w:pPr>
        <w:spacing w:line="360" w:lineRule="auto" w:before="0" w:after="0"/>
        <w:ind w:left="958" w:hanging="958"/>
        <w:jc w:val="both"/>
      </w:pPr>
      <w:r>
        <w:rPr>
          <w:rFonts w:ascii="Times New Roman" w:hAnsi="Times New Roman" w:eastAsia="Times New Roman" w:cs="Times New Roman"/>
          <w:b/>
          <w:i w:val="0"/>
          <w:sz w:val="24"/>
        </w:rPr>
        <w:t>12.</w:t>
        <w:tab/>
      </w:r>
      <w:r>
        <w:rPr>
          <w:rFonts w:ascii="Times New Roman" w:hAnsi="Times New Roman" w:eastAsia="Times New Roman" w:cs="Times New Roman"/>
          <w:b w:val="0"/>
          <w:i w:val="0"/>
          <w:sz w:val="24"/>
        </w:rPr>
        <w:t xml:space="preserve">The letter states: </w:t>
      </w:r>
      <w:r>
        <w:rPr>
          <w:rFonts w:ascii="Times New Roman" w:hAnsi="Times New Roman" w:eastAsia="Times New Roman" w:cs="Times New Roman"/>
          <w:b w:val="0"/>
          <w:i/>
          <w:sz w:val="24"/>
        </w:rPr>
        <w:t>"You did not liaise with your PSL Salome Verrell and the Student Journey Advice team."</w:t>
      </w:r>
      <w:r>
        <w:rPr>
          <w:rFonts w:ascii="Times New Roman" w:hAnsi="Times New Roman" w:eastAsia="Times New Roman" w:cs="Times New Roman"/>
          <w:b w:val="0"/>
          <w:i w:val="0"/>
          <w:sz w:val="24"/>
        </w:rPr>
        <w:t xml:space="preserve"> Salome Verrell appears on 13 pages of DC23667. Seven emails were received from Salome; six were sent to Salome. On 26 April 2024 — 17 days before the exclusion decision — Salome sent the Revision Hotline Schedule directly to me. I refer to the highlighted screenshot at Exhibit BM2.</w:t>
      </w:r>
    </w:p>
    <w:p>
      <w:pPr>
        <w:spacing w:line="360" w:lineRule="auto" w:before="0" w:after="0"/>
        <w:ind w:left="958" w:hanging="958"/>
        <w:jc w:val="both"/>
      </w:pPr>
      <w:r>
        <w:rPr>
          <w:rFonts w:ascii="Times New Roman" w:hAnsi="Times New Roman" w:eastAsia="Times New Roman" w:cs="Times New Roman"/>
          <w:b/>
          <w:i w:val="0"/>
          <w:sz w:val="24"/>
        </w:rPr>
        <w:t>13.</w:t>
        <w:tab/>
      </w:r>
      <w:r>
        <w:rPr>
          <w:rFonts w:ascii="Times New Roman" w:hAnsi="Times New Roman" w:eastAsia="Times New Roman" w:cs="Times New Roman"/>
          <w:b w:val="0"/>
          <w:i w:val="0"/>
          <w:sz w:val="24"/>
        </w:rPr>
        <w:t>On 2 November 2023, Salome replied to me in correspondence captioned "RE: Hey" (Engagement PDF page 139). On 7 December 2023, Debbie Shortland CC'd Salome on correspondence captioned "meet Ben for course support" (Engagement PDF page 121). The communication channel between myself and my PSL was open and active.</w:t>
      </w:r>
    </w:p>
    <w:p>
      <w:pPr>
        <w:spacing w:line="240" w:lineRule="auto" w:before="240" w:after="80"/>
        <w:jc w:val="left"/>
      </w:pPr>
      <w:r>
        <w:rPr>
          <w:rFonts w:ascii="Times New Roman" w:hAnsi="Times New Roman" w:eastAsia="Times New Roman" w:cs="Times New Roman"/>
          <w:b/>
          <w:i w:val="0"/>
          <w:sz w:val="28"/>
        </w:rPr>
        <w:t xml:space="preserve">IV. </w:t>
      </w:r>
      <w:r>
        <w:rPr>
          <w:rFonts w:ascii="Times New Roman" w:hAnsi="Times New Roman" w:eastAsia="Times New Roman" w:cs="Times New Roman"/>
          <w:b/>
          <w:i w:val="0"/>
          <w:sz w:val="28"/>
        </w:rPr>
        <w:t>THE CLAIM OF NO PROGRESSION</w:t>
      </w:r>
    </w:p>
    <w:p>
      <w:pPr>
        <w:spacing w:line="360" w:lineRule="auto" w:before="0" w:after="0"/>
        <w:ind w:left="958" w:hanging="958"/>
        <w:jc w:val="both"/>
      </w:pPr>
      <w:r>
        <w:rPr>
          <w:rFonts w:ascii="Times New Roman" w:hAnsi="Times New Roman" w:eastAsia="Times New Roman" w:cs="Times New Roman"/>
          <w:b/>
          <w:i w:val="0"/>
          <w:sz w:val="24"/>
        </w:rPr>
        <w:t>14.</w:t>
        <w:tab/>
      </w:r>
      <w:r>
        <w:rPr>
          <w:rFonts w:ascii="Times New Roman" w:hAnsi="Times New Roman" w:eastAsia="Times New Roman" w:cs="Times New Roman"/>
          <w:b w:val="0"/>
          <w:i w:val="0"/>
          <w:sz w:val="24"/>
        </w:rPr>
        <w:t xml:space="preserve">The letter states: </w:t>
      </w:r>
      <w:r>
        <w:rPr>
          <w:rFonts w:ascii="Times New Roman" w:hAnsi="Times New Roman" w:eastAsia="Times New Roman" w:cs="Times New Roman"/>
          <w:b w:val="0"/>
          <w:i/>
          <w:sz w:val="24"/>
        </w:rPr>
        <w:t>"There has been no progression since the first Support to Study meeting. You did not address any of the actions in the Action Plan."</w:t>
      </w:r>
      <w:r>
        <w:rPr>
          <w:rFonts w:ascii="Times New Roman" w:hAnsi="Times New Roman" w:eastAsia="Times New Roman" w:cs="Times New Roman"/>
          <w:b w:val="0"/>
          <w:i w:val="0"/>
          <w:sz w:val="24"/>
        </w:rPr>
        <w:t xml:space="preserve"> I address each Action Plan item in turn.</w:t>
      </w:r>
    </w:p>
    <w:p>
      <w:pPr>
        <w:spacing w:line="360" w:lineRule="auto" w:before="0" w:after="0"/>
        <w:ind w:left="958" w:hanging="958"/>
        <w:jc w:val="both"/>
      </w:pPr>
      <w:r>
        <w:rPr>
          <w:rFonts w:ascii="Times New Roman" w:hAnsi="Times New Roman" w:eastAsia="Times New Roman" w:cs="Times New Roman"/>
          <w:b/>
          <w:i w:val="0"/>
          <w:sz w:val="24"/>
        </w:rPr>
        <w:t>15.</w:t>
        <w:tab/>
      </w:r>
      <w:r>
        <w:rPr>
          <w:rFonts w:ascii="Times New Roman" w:hAnsi="Times New Roman" w:eastAsia="Times New Roman" w:cs="Times New Roman"/>
          <w:b w:val="0"/>
          <w:i w:val="0"/>
          <w:sz w:val="24"/>
        </w:rPr>
        <w:t>Action Plan item 3 required me to review my ULIP with a DIS advisor. On or after 1 February 2024, Angele Venchard of the Disability and Inclusion Service emailed me stating: "As promised by the DIS Manager, Brian, we are happy to help going forward" and offered a ULIP review and appointment booking. This offer was initiated by the institution. DC23667 page 640. I refer to the highlighted screenshot at Exhibit BM5.</w:t>
      </w:r>
    </w:p>
    <w:p>
      <w:pPr>
        <w:spacing w:line="360" w:lineRule="auto" w:before="0" w:after="0"/>
        <w:ind w:left="958" w:hanging="958"/>
        <w:jc w:val="both"/>
      </w:pPr>
      <w:r>
        <w:rPr>
          <w:rFonts w:ascii="Times New Roman" w:hAnsi="Times New Roman" w:eastAsia="Times New Roman" w:cs="Times New Roman"/>
          <w:b/>
          <w:i w:val="0"/>
          <w:sz w:val="24"/>
        </w:rPr>
        <w:t>16.</w:t>
        <w:tab/>
      </w:r>
      <w:r>
        <w:rPr>
          <w:rFonts w:ascii="Times New Roman" w:hAnsi="Times New Roman" w:eastAsia="Times New Roman" w:cs="Times New Roman"/>
          <w:b w:val="0"/>
          <w:i w:val="0"/>
          <w:sz w:val="24"/>
        </w:rPr>
        <w:t>No documented follow-up was made by the institution when the appointment was not booked. I contacted the Disability Support Service on five separate occasions. Engagement PDF page 188 records my email to disabilitysupportservice@law.ac.uk regarding a DSA application.</w:t>
      </w:r>
    </w:p>
    <w:p>
      <w:pPr>
        <w:spacing w:line="360" w:lineRule="auto" w:before="0" w:after="0"/>
        <w:ind w:left="958" w:hanging="958"/>
        <w:jc w:val="both"/>
      </w:pPr>
      <w:r>
        <w:rPr>
          <w:rFonts w:ascii="Times New Roman" w:hAnsi="Times New Roman" w:eastAsia="Times New Roman" w:cs="Times New Roman"/>
          <w:b/>
          <w:i w:val="0"/>
          <w:sz w:val="24"/>
        </w:rPr>
        <w:t>17.</w:t>
        <w:tab/>
      </w:r>
      <w:r>
        <w:rPr>
          <w:rFonts w:ascii="Times New Roman" w:hAnsi="Times New Roman" w:eastAsia="Times New Roman" w:cs="Times New Roman"/>
          <w:b w:val="0"/>
          <w:i w:val="0"/>
          <w:sz w:val="24"/>
        </w:rPr>
        <w:t>The letter's assertion of "no progression" is measured solely against on-campus attendance. During the same period, I was engaged with: Debbie Shortland (Designated Safeguarding Lead), who made referrals to Westminster statutory services on 15 February 2024; Richard Jones at Shelter (10 pages of correspondence regarding housing support); Stonewall Housing; and Survivors UK. Welfare, legal, and housing progression — all directly affecting my ability to engage with my course — were not considered by the Panel.</w:t>
      </w:r>
    </w:p>
    <w:p>
      <w:pPr>
        <w:spacing w:line="240" w:lineRule="auto" w:before="240" w:after="80"/>
        <w:jc w:val="left"/>
      </w:pPr>
      <w:r>
        <w:rPr>
          <w:rFonts w:ascii="Times New Roman" w:hAnsi="Times New Roman" w:eastAsia="Times New Roman" w:cs="Times New Roman"/>
          <w:b/>
          <w:i w:val="0"/>
          <w:sz w:val="28"/>
        </w:rPr>
        <w:t xml:space="preserve">V. </w:t>
      </w:r>
      <w:r>
        <w:rPr>
          <w:rFonts w:ascii="Times New Roman" w:hAnsi="Times New Roman" w:eastAsia="Times New Roman" w:cs="Times New Roman"/>
          <w:b/>
          <w:i w:val="0"/>
          <w:sz w:val="28"/>
        </w:rPr>
        <w:t>PROCEDURAL FAILURES</w:t>
      </w:r>
    </w:p>
    <w:p>
      <w:pPr>
        <w:spacing w:line="360" w:lineRule="auto" w:before="0" w:after="0"/>
        <w:ind w:left="958" w:hanging="958"/>
        <w:jc w:val="both"/>
      </w:pPr>
      <w:r>
        <w:rPr>
          <w:rFonts w:ascii="Times New Roman" w:hAnsi="Times New Roman" w:eastAsia="Times New Roman" w:cs="Times New Roman"/>
          <w:b/>
          <w:i w:val="0"/>
          <w:sz w:val="24"/>
        </w:rPr>
        <w:t>18.</w:t>
        <w:tab/>
      </w:r>
      <w:r>
        <w:rPr>
          <w:rFonts w:ascii="Times New Roman" w:hAnsi="Times New Roman" w:eastAsia="Times New Roman" w:cs="Times New Roman"/>
          <w:b w:val="0"/>
          <w:i w:val="0"/>
          <w:sz w:val="24"/>
        </w:rPr>
        <w:t>The Appeal Email. On 12 March 2024 at 16:09:06, an appeal email was sent from authority@legaldueprocess.com to Jane Chappell, Salome Verrell, Megan Liskevich, Brian Lutchmiah, and Sandie Gaines. I was CC'd at ben.mak71@law.ac.uk. The email carried an attachment: Uni of law appeal 2024.pdf (5MB). This email is at DC23667 page 388. I refer to the highlighted screenshot at Exhibit BM6.</w:t>
      </w:r>
    </w:p>
    <w:p>
      <w:pPr>
        <w:spacing w:line="360" w:lineRule="auto" w:before="0" w:after="0"/>
        <w:ind w:left="958" w:hanging="958"/>
        <w:jc w:val="both"/>
      </w:pPr>
      <w:r>
        <w:rPr>
          <w:rFonts w:ascii="Times New Roman" w:hAnsi="Times New Roman" w:eastAsia="Times New Roman" w:cs="Times New Roman"/>
          <w:b/>
          <w:i w:val="0"/>
          <w:sz w:val="24"/>
        </w:rPr>
        <w:t>19.</w:t>
        <w:tab/>
      </w:r>
      <w:r>
        <w:rPr>
          <w:rFonts w:ascii="Times New Roman" w:hAnsi="Times New Roman" w:eastAsia="Times New Roman" w:cs="Times New Roman"/>
          <w:b w:val="0"/>
          <w:i w:val="0"/>
          <w:sz w:val="24"/>
        </w:rPr>
        <w:t xml:space="preserve">The letter of 13 May 2024 states that this email </w:t>
      </w:r>
      <w:r>
        <w:rPr>
          <w:rFonts w:ascii="Times New Roman" w:hAnsi="Times New Roman" w:eastAsia="Times New Roman" w:cs="Times New Roman"/>
          <w:b w:val="0"/>
          <w:i/>
          <w:sz w:val="24"/>
        </w:rPr>
        <w:t>"was delivered into the junk boxes of the respective colleagues."</w:t>
      </w:r>
      <w:r>
        <w:rPr>
          <w:rFonts w:ascii="Times New Roman" w:hAnsi="Times New Roman" w:eastAsia="Times New Roman" w:cs="Times New Roman"/>
          <w:b w:val="0"/>
          <w:i w:val="0"/>
          <w:sz w:val="24"/>
        </w:rPr>
        <w:t xml:space="preserve"> This email appears in the DC23667 inbox export — the very archive from which the Defendant compiled its case against me. It was CC'd to my own institutional address. It was received. It was stored. DC23667 page 526 records that the institution was aware of quarantine issues on its Exchange system. I refer to the highlighted screenshot at Exhibit BM9.</w:t>
      </w:r>
    </w:p>
    <w:p>
      <w:pPr>
        <w:spacing w:line="360" w:lineRule="auto" w:before="0" w:after="0"/>
        <w:ind w:left="958" w:hanging="958"/>
        <w:jc w:val="both"/>
      </w:pPr>
      <w:r>
        <w:rPr>
          <w:rFonts w:ascii="Times New Roman" w:hAnsi="Times New Roman" w:eastAsia="Times New Roman" w:cs="Times New Roman"/>
          <w:b/>
          <w:i w:val="0"/>
          <w:sz w:val="24"/>
        </w:rPr>
        <w:t>20.</w:t>
        <w:tab/>
      </w:r>
      <w:r>
        <w:rPr>
          <w:rFonts w:ascii="Times New Roman" w:hAnsi="Times New Roman" w:eastAsia="Times New Roman" w:cs="Times New Roman"/>
          <w:b w:val="0"/>
          <w:i w:val="0"/>
          <w:sz w:val="24"/>
        </w:rPr>
        <w:t>The email in question is a three-page formal submission citing Equality Act 2010 sections 20(3) and 20(4); twelve or more specific University of Law policy page references; formal questions requiring answers; and specific procedural objections to the Stage 2 process. It raises safeguarding as an extenuating circumstance. The Panel's reasoning for dismissing it is not recorded. It existed for 62 days before the exclusion decision was made.</w:t>
      </w:r>
    </w:p>
    <w:p>
      <w:pPr>
        <w:spacing w:line="360" w:lineRule="auto" w:before="0" w:after="0"/>
        <w:ind w:left="958" w:hanging="958"/>
        <w:jc w:val="both"/>
      </w:pPr>
      <w:r>
        <w:rPr>
          <w:rFonts w:ascii="Times New Roman" w:hAnsi="Times New Roman" w:eastAsia="Times New Roman" w:cs="Times New Roman"/>
          <w:b/>
          <w:i w:val="0"/>
          <w:sz w:val="24"/>
        </w:rPr>
        <w:t>21.</w:t>
        <w:tab/>
      </w:r>
      <w:r>
        <w:rPr>
          <w:rFonts w:ascii="Times New Roman" w:hAnsi="Times New Roman" w:eastAsia="Times New Roman" w:cs="Times New Roman"/>
          <w:b w:val="0"/>
          <w:i w:val="0"/>
          <w:sz w:val="24"/>
        </w:rPr>
        <w:t>The Stage 2 Review Meeting. The Stage 2 meeting was held on 7 March 2024. I was not in attendance. I contend that no 15-minute meeting reminder was sent, contrary to the institution's standard practice. I was at my computer at the time the meeting was scheduled. The meeting was held 20 days after the suicidal disclosure documented at paragraph 8 above. No welfare check was conducted before the meeting proceeded and a decision was made about my future in my absence.</w:t>
      </w:r>
    </w:p>
    <w:p>
      <w:pPr>
        <w:spacing w:line="360" w:lineRule="auto" w:before="0" w:after="0"/>
        <w:ind w:left="958" w:hanging="958"/>
        <w:jc w:val="both"/>
      </w:pPr>
      <w:r>
        <w:rPr>
          <w:rFonts w:ascii="Times New Roman" w:hAnsi="Times New Roman" w:eastAsia="Times New Roman" w:cs="Times New Roman"/>
          <w:b/>
          <w:i w:val="0"/>
          <w:sz w:val="24"/>
        </w:rPr>
        <w:t>22.</w:t>
        <w:tab/>
      </w:r>
      <w:r>
        <w:rPr>
          <w:rFonts w:ascii="Times New Roman" w:hAnsi="Times New Roman" w:eastAsia="Times New Roman" w:cs="Times New Roman"/>
          <w:b w:val="0"/>
          <w:i w:val="0"/>
          <w:sz w:val="24"/>
        </w:rPr>
        <w:t>The Stage 3 Notification. The Stage 3 Notification was issued by Sandie Gaines on 18 March 2024 — six calendar days after the appeal email was sent. The Stage 3 Notification makes no reference to the appeal having been received or considered. Whether the appeal was in junk or not, six days is insufficient time to discover, retrieve, read, and consider a three-page Equality Act submission before escalating the process.</w:t>
      </w:r>
    </w:p>
    <w:p>
      <w:pPr>
        <w:spacing w:line="360" w:lineRule="auto" w:before="0" w:after="0"/>
        <w:ind w:left="958" w:hanging="958"/>
        <w:jc w:val="both"/>
      </w:pPr>
      <w:r>
        <w:rPr>
          <w:rFonts w:ascii="Times New Roman" w:hAnsi="Times New Roman" w:eastAsia="Times New Roman" w:cs="Times New Roman"/>
          <w:b/>
          <w:i w:val="0"/>
          <w:sz w:val="24"/>
        </w:rPr>
        <w:t>23.</w:t>
        <w:tab/>
      </w:r>
      <w:r>
        <w:rPr>
          <w:rFonts w:ascii="Times New Roman" w:hAnsi="Times New Roman" w:eastAsia="Times New Roman" w:cs="Times New Roman"/>
          <w:b w:val="0"/>
          <w:i w:val="0"/>
          <w:sz w:val="24"/>
        </w:rPr>
        <w:t>The 26-Day Silence. The Stage 3 meeting was held on 17 April 2024. The exclusion letter was dated 13 May 2024. Between those dates: twenty-six days of silence. No communication. No interim letter. No acknowledgement that a decision was pending. No welfare check. On 10 May 2024, the institution sent me a module evaluation reminder. On 13 May 2024, it sent the exclusion letter.</w:t>
      </w:r>
    </w:p>
    <w:p>
      <w:pPr>
        <w:spacing w:line="240" w:lineRule="auto" w:before="240" w:after="80"/>
        <w:jc w:val="left"/>
      </w:pPr>
      <w:r>
        <w:rPr>
          <w:rFonts w:ascii="Times New Roman" w:hAnsi="Times New Roman" w:eastAsia="Times New Roman" w:cs="Times New Roman"/>
          <w:b/>
          <w:i w:val="0"/>
          <w:sz w:val="28"/>
        </w:rPr>
        <w:t xml:space="preserve">VI. </w:t>
      </w:r>
      <w:r>
        <w:rPr>
          <w:rFonts w:ascii="Times New Roman" w:hAnsi="Times New Roman" w:eastAsia="Times New Roman" w:cs="Times New Roman"/>
          <w:b/>
          <w:i w:val="0"/>
          <w:sz w:val="28"/>
        </w:rPr>
        <w:t>SAFEGUARDING</w:t>
      </w:r>
    </w:p>
    <w:p>
      <w:pPr>
        <w:spacing w:line="360" w:lineRule="auto" w:before="0" w:after="0"/>
        <w:ind w:left="958" w:hanging="958"/>
        <w:jc w:val="both"/>
      </w:pPr>
      <w:r>
        <w:rPr>
          <w:rFonts w:ascii="Times New Roman" w:hAnsi="Times New Roman" w:eastAsia="Times New Roman" w:cs="Times New Roman"/>
          <w:b/>
          <w:i w:val="0"/>
          <w:sz w:val="24"/>
        </w:rPr>
        <w:t>24.</w:t>
        <w:tab/>
      </w:r>
      <w:r>
        <w:rPr>
          <w:rFonts w:ascii="Times New Roman" w:hAnsi="Times New Roman" w:eastAsia="Times New Roman" w:cs="Times New Roman"/>
          <w:b w:val="0"/>
          <w:i w:val="0"/>
          <w:sz w:val="24"/>
        </w:rPr>
        <w:t>The disclosure of suicidal ideation on 15 February 2024 was made formally, in writing, by the Designated Safeguarding Lead, with referrals to statutory services. This disclosure does not appear in any subsequent academic decision documentation. It does not feature in the Stage 2 meeting of 7 March 2024. It does not feature in the Stage 3 letter of 13 May 2024. It was compartmentalised away from the process that ended my education. I refer to the highlighted screenshot at Exhibit BM7.</w:t>
      </w:r>
    </w:p>
    <w:p>
      <w:pPr>
        <w:spacing w:line="360" w:lineRule="auto" w:before="0" w:after="0"/>
        <w:ind w:left="958" w:hanging="958"/>
        <w:jc w:val="both"/>
      </w:pPr>
      <w:r>
        <w:rPr>
          <w:rFonts w:ascii="Times New Roman" w:hAnsi="Times New Roman" w:eastAsia="Times New Roman" w:cs="Times New Roman"/>
          <w:b/>
          <w:i w:val="0"/>
          <w:sz w:val="24"/>
        </w:rPr>
        <w:t>25.</w:t>
        <w:tab/>
      </w:r>
      <w:r>
        <w:rPr>
          <w:rFonts w:ascii="Times New Roman" w:hAnsi="Times New Roman" w:eastAsia="Times New Roman" w:cs="Times New Roman"/>
          <w:b w:val="0"/>
          <w:i w:val="0"/>
          <w:sz w:val="24"/>
        </w:rPr>
        <w:t>Megan Liskevich, Mental Health Advisor, sat on the Stage 2 panel. The suicidal disclosure was 20 days old. She did not raise it. She did not request a welfare check. She did not pause the proceedings. This is the person whose role is specifically to assess mental health risk.</w:t>
      </w:r>
    </w:p>
    <w:p>
      <w:pPr>
        <w:spacing w:line="360" w:lineRule="auto" w:before="0" w:after="0"/>
        <w:ind w:left="958" w:hanging="958"/>
        <w:jc w:val="both"/>
      </w:pPr>
      <w:r>
        <w:rPr>
          <w:rFonts w:ascii="Times New Roman" w:hAnsi="Times New Roman" w:eastAsia="Times New Roman" w:cs="Times New Roman"/>
          <w:b/>
          <w:i w:val="0"/>
          <w:sz w:val="24"/>
        </w:rPr>
        <w:t>26.</w:t>
        <w:tab/>
      </w:r>
      <w:r>
        <w:rPr>
          <w:rFonts w:ascii="Times New Roman" w:hAnsi="Times New Roman" w:eastAsia="Times New Roman" w:cs="Times New Roman"/>
          <w:b w:val="0"/>
          <w:i w:val="0"/>
          <w:sz w:val="24"/>
        </w:rPr>
        <w:t>I contend that safeguarding and academic progression cannot lawfully be treated as separate systems. A suicidal disclosure documented by the Designated Safeguarding Lead must inform any subsequent academic decision about that student. This is not optional. It is a baseline duty of care.</w:t>
      </w:r>
    </w:p>
    <w:p>
      <w:pPr>
        <w:spacing w:line="240" w:lineRule="auto" w:before="240" w:after="80"/>
        <w:jc w:val="left"/>
      </w:pPr>
      <w:r>
        <w:rPr>
          <w:rFonts w:ascii="Times New Roman" w:hAnsi="Times New Roman" w:eastAsia="Times New Roman" w:cs="Times New Roman"/>
          <w:b/>
          <w:i w:val="0"/>
          <w:sz w:val="28"/>
        </w:rPr>
        <w:t xml:space="preserve">VII. </w:t>
      </w:r>
      <w:r>
        <w:rPr>
          <w:rFonts w:ascii="Times New Roman" w:hAnsi="Times New Roman" w:eastAsia="Times New Roman" w:cs="Times New Roman"/>
          <w:b/>
          <w:i w:val="0"/>
          <w:sz w:val="28"/>
        </w:rPr>
        <w:t>CONFLICTS OF INTEREST</w:t>
      </w:r>
    </w:p>
    <w:p>
      <w:pPr>
        <w:spacing w:line="360" w:lineRule="auto" w:before="0" w:after="0"/>
        <w:ind w:left="958" w:hanging="958"/>
        <w:jc w:val="both"/>
      </w:pPr>
      <w:r>
        <w:rPr>
          <w:rFonts w:ascii="Times New Roman" w:hAnsi="Times New Roman" w:eastAsia="Times New Roman" w:cs="Times New Roman"/>
          <w:b/>
          <w:i w:val="0"/>
          <w:sz w:val="24"/>
        </w:rPr>
        <w:t>27.</w:t>
        <w:tab/>
      </w:r>
      <w:r>
        <w:rPr>
          <w:rFonts w:ascii="Times New Roman" w:hAnsi="Times New Roman" w:eastAsia="Times New Roman" w:cs="Times New Roman"/>
          <w:b w:val="0"/>
          <w:i w:val="0"/>
          <w:sz w:val="24"/>
        </w:rPr>
        <w:t>Brian Lutchmiah — Conflict of Interest. Brian Lutchmiah is the DIS Manager. On or after 1 February 2024, he promised ULIP support, which was actioned by Angele Venchard (DC23667 page 640). Brian Lutchmiah subsequently sat, without recusal, on the Stage 2 panel. The Stage 3 letter states that Action Plan item 3 — which was the ULIP review promised by Lutchmiah — was not completed. He judged whether his own promise was kept. He did not recuse himself. He did not flag the conflict. I refer to the highlighted screenshot at Exhibit BM5.</w:t>
      </w:r>
    </w:p>
    <w:p>
      <w:pPr>
        <w:spacing w:line="360" w:lineRule="auto" w:before="0" w:after="0"/>
        <w:ind w:left="958" w:hanging="958"/>
        <w:jc w:val="both"/>
      </w:pPr>
      <w:r>
        <w:rPr>
          <w:rFonts w:ascii="Times New Roman" w:hAnsi="Times New Roman" w:eastAsia="Times New Roman" w:cs="Times New Roman"/>
          <w:b/>
          <w:i w:val="0"/>
          <w:sz w:val="24"/>
        </w:rPr>
        <w:t>28.</w:t>
        <w:tab/>
      </w:r>
      <w:r>
        <w:rPr>
          <w:rFonts w:ascii="Times New Roman" w:hAnsi="Times New Roman" w:eastAsia="Times New Roman" w:cs="Times New Roman"/>
          <w:b w:val="0"/>
          <w:i w:val="0"/>
          <w:sz w:val="24"/>
        </w:rPr>
        <w:t>Salome Verrell — Prior Knowledge. Salome Verrell was CC'd on three support and safeguarding-related emails in November and December 2023 (Engagement PDF pages 121, 126, 127). She was aware of my autism diagnosis, my financial situation, and my need for course support. She sat on the Stage 2 panel. She sent me a group email on 26 April 2024 — 17 days before my exclusion. The claim that I "did not liaise with my PSL" is directly contradicted by her own correspondence record.</w:t>
      </w:r>
    </w:p>
    <w:p>
      <w:pPr>
        <w:spacing w:line="240" w:lineRule="auto" w:before="240" w:after="80"/>
        <w:jc w:val="left"/>
      </w:pPr>
      <w:r>
        <w:rPr>
          <w:rFonts w:ascii="Times New Roman" w:hAnsi="Times New Roman" w:eastAsia="Times New Roman" w:cs="Times New Roman"/>
          <w:b/>
          <w:i w:val="0"/>
          <w:sz w:val="28"/>
        </w:rPr>
        <w:t xml:space="preserve">VIII. </w:t>
      </w:r>
      <w:r>
        <w:rPr>
          <w:rFonts w:ascii="Times New Roman" w:hAnsi="Times New Roman" w:eastAsia="Times New Roman" w:cs="Times New Roman"/>
          <w:b/>
          <w:i w:val="0"/>
          <w:sz w:val="28"/>
        </w:rPr>
        <w:t>INSTITUTIONAL INCOHERENCE</w:t>
      </w:r>
    </w:p>
    <w:p>
      <w:pPr>
        <w:spacing w:line="360" w:lineRule="auto" w:before="0" w:after="0"/>
        <w:ind w:left="958" w:hanging="958"/>
        <w:jc w:val="both"/>
      </w:pPr>
      <w:r>
        <w:rPr>
          <w:rFonts w:ascii="Times New Roman" w:hAnsi="Times New Roman" w:eastAsia="Times New Roman" w:cs="Times New Roman"/>
          <w:b/>
          <w:i w:val="0"/>
          <w:sz w:val="24"/>
        </w:rPr>
        <w:t>29.</w:t>
        <w:tab/>
      </w:r>
      <w:r>
        <w:rPr>
          <w:rFonts w:ascii="Times New Roman" w:hAnsi="Times New Roman" w:eastAsia="Times New Roman" w:cs="Times New Roman"/>
          <w:b w:val="0"/>
          <w:i w:val="0"/>
          <w:sz w:val="24"/>
        </w:rPr>
        <w:t>On 10 May 2024, Teaching Quality Evaluation sent me a reminder to submit feedback on my modules: Law of Organisations, Administrative Law &amp; Human Rights, Practice, and Tort Law. The institution was asking for my course feedback. Three days before ending my course. DC23667 page 95. I refer to the highlighted screenshot at Exhibit BM10.</w:t>
      </w:r>
    </w:p>
    <w:p>
      <w:pPr>
        <w:spacing w:line="360" w:lineRule="auto" w:before="0" w:after="0"/>
        <w:ind w:left="958" w:hanging="958"/>
        <w:jc w:val="both"/>
      </w:pPr>
      <w:r>
        <w:rPr>
          <w:rFonts w:ascii="Times New Roman" w:hAnsi="Times New Roman" w:eastAsia="Times New Roman" w:cs="Times New Roman"/>
          <w:b/>
          <w:i w:val="0"/>
          <w:sz w:val="24"/>
        </w:rPr>
        <w:t>30.</w:t>
        <w:tab/>
      </w:r>
      <w:r>
        <w:rPr>
          <w:rFonts w:ascii="Times New Roman" w:hAnsi="Times New Roman" w:eastAsia="Times New Roman" w:cs="Times New Roman"/>
          <w:b w:val="0"/>
          <w:i w:val="0"/>
          <w:sz w:val="24"/>
        </w:rPr>
        <w:t>On 13 May 2024 at 15:04, Pro Bono (London) emailed me advertising summer term pro bono opportunities. On the same day, Rachel Edge sent the exclusion letter. The exclusion was not communicated across the institution before it was enacted. I refer to the highlighted screenshot at Exhibit BM11.</w:t>
      </w:r>
    </w:p>
    <w:p>
      <w:pPr>
        <w:spacing w:line="360" w:lineRule="auto" w:before="0" w:after="0"/>
        <w:ind w:left="958" w:hanging="958"/>
        <w:jc w:val="both"/>
      </w:pPr>
      <w:r>
        <w:rPr>
          <w:rFonts w:ascii="Times New Roman" w:hAnsi="Times New Roman" w:eastAsia="Times New Roman" w:cs="Times New Roman"/>
          <w:b/>
          <w:i w:val="0"/>
          <w:sz w:val="24"/>
        </w:rPr>
        <w:t>31.</w:t>
        <w:tab/>
      </w:r>
      <w:r>
        <w:rPr>
          <w:rFonts w:ascii="Times New Roman" w:hAnsi="Times New Roman" w:eastAsia="Times New Roman" w:cs="Times New Roman"/>
          <w:b w:val="0"/>
          <w:i w:val="0"/>
          <w:sz w:val="24"/>
        </w:rPr>
        <w:t>The institution's own Exchange system — ulaw365.onmicrosoft.com — was generating documented Undeliverable bounces in January and February 2024. A quarantine filter was known to be misfiring on SharePoint links. The appeal email arrived in March on this same system. The "junk" defence is an infrastructure failure owned by the institution. I refer to the highlighted screenshot at Exhibit BM12.</w:t>
      </w:r>
    </w:p>
    <w:p>
      <w:pPr>
        <w:spacing w:line="240" w:lineRule="auto" w:before="240" w:after="80"/>
        <w:jc w:val="left"/>
      </w:pPr>
      <w:r>
        <w:rPr>
          <w:rFonts w:ascii="Times New Roman" w:hAnsi="Times New Roman" w:eastAsia="Times New Roman" w:cs="Times New Roman"/>
          <w:b/>
          <w:i w:val="0"/>
          <w:sz w:val="28"/>
        </w:rPr>
        <w:t xml:space="preserve">IX. </w:t>
      </w:r>
      <w:r>
        <w:rPr>
          <w:rFonts w:ascii="Times New Roman" w:hAnsi="Times New Roman" w:eastAsia="Times New Roman" w:cs="Times New Roman"/>
          <w:b/>
          <w:i w:val="0"/>
          <w:sz w:val="28"/>
        </w:rPr>
        <w:t>RELIEF SOUGHT</w:t>
      </w:r>
    </w:p>
    <w:p>
      <w:pPr>
        <w:spacing w:line="360" w:lineRule="auto" w:before="0" w:after="0"/>
        <w:ind w:left="958" w:hanging="958"/>
        <w:jc w:val="both"/>
      </w:pPr>
      <w:r>
        <w:rPr>
          <w:rFonts w:ascii="Times New Roman" w:hAnsi="Times New Roman" w:eastAsia="Times New Roman" w:cs="Times New Roman"/>
          <w:b/>
          <w:i w:val="0"/>
          <w:sz w:val="24"/>
        </w:rPr>
        <w:t>32.</w:t>
        <w:tab/>
      </w:r>
      <w:r>
        <w:rPr>
          <w:rFonts w:ascii="Times New Roman" w:hAnsi="Times New Roman" w:eastAsia="Times New Roman" w:cs="Times New Roman"/>
          <w:b w:val="0"/>
          <w:i w:val="0"/>
          <w:sz w:val="24"/>
        </w:rPr>
        <w:t>On the basis of the evidence set out in this statement, I respectfully request that:</w:t>
      </w:r>
    </w:p>
    <w:p>
      <w:pPr>
        <w:spacing w:line="360" w:lineRule="auto" w:before="0" w:after="0"/>
        <w:ind w:left="1417" w:hanging="567"/>
        <w:jc w:val="both"/>
      </w:pPr>
      <w:r>
        <w:rPr>
          <w:rFonts w:ascii="Times New Roman" w:hAnsi="Times New Roman" w:eastAsia="Times New Roman" w:cs="Times New Roman"/>
          <w:b/>
          <w:i w:val="0"/>
          <w:sz w:val="24"/>
        </w:rPr>
        <w:t>(a)</w:t>
        <w:tab/>
      </w:r>
      <w:r>
        <w:rPr>
          <w:rFonts w:ascii="Times New Roman" w:hAnsi="Times New Roman" w:eastAsia="Times New Roman" w:cs="Times New Roman"/>
          <w:b w:val="0"/>
          <w:i w:val="0"/>
          <w:sz w:val="24"/>
        </w:rPr>
        <w:t>the exclusion decision of 13 May 2024 be set aside on the ground that it was reached in breach of procedural fairness, in breach of the institution's duty of care, and in breach of the Equality Act 2010;</w:t>
      </w:r>
    </w:p>
    <w:p>
      <w:pPr>
        <w:spacing w:line="360" w:lineRule="auto" w:before="0" w:after="0"/>
        <w:ind w:left="1417" w:hanging="567"/>
        <w:jc w:val="both"/>
      </w:pPr>
      <w:r>
        <w:rPr>
          <w:rFonts w:ascii="Times New Roman" w:hAnsi="Times New Roman" w:eastAsia="Times New Roman" w:cs="Times New Roman"/>
          <w:b/>
          <w:i w:val="0"/>
          <w:sz w:val="24"/>
        </w:rPr>
        <w:t>(b)</w:t>
        <w:tab/>
      </w:r>
      <w:r>
        <w:rPr>
          <w:rFonts w:ascii="Times New Roman" w:hAnsi="Times New Roman" w:eastAsia="Times New Roman" w:cs="Times New Roman"/>
          <w:b w:val="0"/>
          <w:i w:val="0"/>
          <w:sz w:val="24"/>
        </w:rPr>
        <w:t>the matter be referred to an independent review panel;</w:t>
      </w:r>
    </w:p>
    <w:p>
      <w:pPr>
        <w:spacing w:line="360" w:lineRule="auto" w:before="0" w:after="0"/>
        <w:ind w:left="1417" w:hanging="567"/>
        <w:jc w:val="both"/>
      </w:pPr>
      <w:r>
        <w:rPr>
          <w:rFonts w:ascii="Times New Roman" w:hAnsi="Times New Roman" w:eastAsia="Times New Roman" w:cs="Times New Roman"/>
          <w:b/>
          <w:i w:val="0"/>
          <w:sz w:val="24"/>
        </w:rPr>
        <w:t>(c)</w:t>
        <w:tab/>
      </w:r>
      <w:r>
        <w:rPr>
          <w:rFonts w:ascii="Times New Roman" w:hAnsi="Times New Roman" w:eastAsia="Times New Roman" w:cs="Times New Roman"/>
          <w:b w:val="0"/>
          <w:i w:val="0"/>
          <w:sz w:val="24"/>
        </w:rPr>
        <w:t>a full safeguarding review be conducted in relation to the events of February and March 2024; and</w:t>
      </w:r>
    </w:p>
    <w:p>
      <w:pPr>
        <w:spacing w:line="360" w:lineRule="auto" w:before="0" w:after="0"/>
        <w:ind w:left="1417" w:hanging="567"/>
        <w:jc w:val="both"/>
      </w:pPr>
      <w:r>
        <w:rPr>
          <w:rFonts w:ascii="Times New Roman" w:hAnsi="Times New Roman" w:eastAsia="Times New Roman" w:cs="Times New Roman"/>
          <w:b/>
          <w:i w:val="0"/>
          <w:sz w:val="24"/>
        </w:rPr>
        <w:t>(d)</w:t>
        <w:tab/>
      </w:r>
      <w:r>
        <w:rPr>
          <w:rFonts w:ascii="Times New Roman" w:hAnsi="Times New Roman" w:eastAsia="Times New Roman" w:cs="Times New Roman"/>
          <w:b w:val="0"/>
          <w:i w:val="0"/>
          <w:sz w:val="24"/>
        </w:rPr>
        <w:t>my registration at the University of Law be reinstated pending the outcome of that review.</w:t>
      </w:r>
    </w:p>
    <w:p>
      <w:pPr>
        <w:spacing w:line="240" w:lineRule="auto" w:before="240" w:after="80"/>
        <w:jc w:val="left"/>
      </w:pPr>
      <w:r>
        <w:rPr>
          <w:rFonts w:ascii="Times New Roman" w:hAnsi="Times New Roman" w:eastAsia="Times New Roman" w:cs="Times New Roman"/>
          <w:b/>
          <w:i w:val="0"/>
          <w:sz w:val="26"/>
        </w:rPr>
        <w:t>Schedule 1 — Exhibits</w:t>
      </w:r>
    </w:p>
    <w:p>
      <w:pPr>
        <w:spacing w:line="240" w:lineRule="auto" w:before="240" w:after="80"/>
        <w:jc w:val="left"/>
      </w:pPr>
      <w:r>
        <w:rPr>
          <w:rFonts w:ascii="Times New Roman" w:hAnsi="Times New Roman" w:eastAsia="Times New Roman" w:cs="Times New Roman"/>
          <w:b/>
          <w:i w:val="0"/>
          <w:sz w:val="26"/>
        </w:rPr>
        <w:t>Schedule of Exhibits</w:t>
      </w:r>
    </w:p>
    <w:p>
      <w:pPr>
        <w:spacing w:line="360" w:lineRule="auto" w:before="0" w:after="0"/>
        <w:ind w:left="958" w:hanging="958"/>
        <w:jc w:val="both"/>
      </w:pPr>
      <w:r>
        <w:rPr>
          <w:rFonts w:ascii="Times New Roman" w:hAnsi="Times New Roman" w:eastAsia="Times New Roman" w:cs="Times New Roman"/>
          <w:b/>
          <w:i w:val="0"/>
          <w:sz w:val="24"/>
        </w:rPr>
        <w:t>Exhibit BM1:</w:t>
        <w:tab/>
      </w:r>
      <w:r>
        <w:rPr>
          <w:rFonts w:ascii="Times New Roman" w:hAnsi="Times New Roman" w:eastAsia="Times New Roman" w:cs="Times New Roman"/>
          <w:b w:val="0"/>
          <w:i w:val="0"/>
          <w:sz w:val="24"/>
        </w:rPr>
        <w:t>Highlighted evidence: engagement volume — 93 sent, 81 addresses. Source: Engagement PDF P25.</w:t>
      </w:r>
    </w:p>
    <w:p>
      <w:pPr>
        <w:spacing w:line="360" w:lineRule="auto" w:before="0" w:after="0"/>
        <w:ind w:left="958" w:hanging="958"/>
        <w:jc w:val="both"/>
      </w:pPr>
      <w:r>
        <w:rPr>
          <w:rFonts w:ascii="Times New Roman" w:hAnsi="Times New Roman" w:eastAsia="Times New Roman" w:cs="Times New Roman"/>
          <w:b/>
          <w:i w:val="0"/>
          <w:sz w:val="24"/>
        </w:rPr>
        <w:t>Exhibit BM2:</w:t>
        <w:tab/>
      </w:r>
      <w:r>
        <w:rPr>
          <w:rFonts w:ascii="Times New Roman" w:hAnsi="Times New Roman" w:eastAsia="Times New Roman" w:cs="Times New Roman"/>
          <w:b w:val="0"/>
          <w:i w:val="0"/>
          <w:sz w:val="24"/>
        </w:rPr>
        <w:t>Highlighted evidence: Salome Verrell Revision Hotline — 26 April 2024. Source: DC23667 P153.</w:t>
      </w:r>
    </w:p>
    <w:p>
      <w:pPr>
        <w:spacing w:line="360" w:lineRule="auto" w:before="0" w:after="0"/>
        <w:ind w:left="958" w:hanging="958"/>
        <w:jc w:val="both"/>
      </w:pPr>
      <w:r>
        <w:rPr>
          <w:rFonts w:ascii="Times New Roman" w:hAnsi="Times New Roman" w:eastAsia="Times New Roman" w:cs="Times New Roman"/>
          <w:b/>
          <w:i w:val="0"/>
          <w:sz w:val="24"/>
        </w:rPr>
        <w:t>Exhibit BM3:</w:t>
        <w:tab/>
      </w:r>
      <w:r>
        <w:rPr>
          <w:rFonts w:ascii="Times New Roman" w:hAnsi="Times New Roman" w:eastAsia="Times New Roman" w:cs="Times New Roman"/>
          <w:b w:val="0"/>
          <w:i w:val="0"/>
          <w:sz w:val="24"/>
        </w:rPr>
        <w:t>Highlighted evidence: Chris Hooley academic coach correspondence. Source: Engagement PDF P184.</w:t>
      </w:r>
    </w:p>
    <w:p>
      <w:pPr>
        <w:spacing w:line="360" w:lineRule="auto" w:before="0" w:after="0"/>
        <w:ind w:left="958" w:hanging="958"/>
        <w:jc w:val="both"/>
      </w:pPr>
      <w:r>
        <w:rPr>
          <w:rFonts w:ascii="Times New Roman" w:hAnsi="Times New Roman" w:eastAsia="Times New Roman" w:cs="Times New Roman"/>
          <w:b/>
          <w:i w:val="0"/>
          <w:sz w:val="24"/>
        </w:rPr>
        <w:t>Exhibit BM4:</w:t>
        <w:tab/>
      </w:r>
      <w:r>
        <w:rPr>
          <w:rFonts w:ascii="Times New Roman" w:hAnsi="Times New Roman" w:eastAsia="Times New Roman" w:cs="Times New Roman"/>
          <w:b w:val="0"/>
          <w:i w:val="0"/>
          <w:sz w:val="24"/>
        </w:rPr>
        <w:t>Highlighted evidence: Hooley — RE: Checking in. Source: Engagement PDF P141.</w:t>
      </w:r>
    </w:p>
    <w:p>
      <w:pPr>
        <w:spacing w:line="360" w:lineRule="auto" w:before="0" w:after="0"/>
        <w:ind w:left="958" w:hanging="958"/>
        <w:jc w:val="both"/>
      </w:pPr>
      <w:r>
        <w:rPr>
          <w:rFonts w:ascii="Times New Roman" w:hAnsi="Times New Roman" w:eastAsia="Times New Roman" w:cs="Times New Roman"/>
          <w:b/>
          <w:i w:val="0"/>
          <w:sz w:val="24"/>
        </w:rPr>
        <w:t>Exhibit BM5:</w:t>
        <w:tab/>
      </w:r>
      <w:r>
        <w:rPr>
          <w:rFonts w:ascii="Times New Roman" w:hAnsi="Times New Roman" w:eastAsia="Times New Roman" w:cs="Times New Roman"/>
          <w:b w:val="0"/>
          <w:i w:val="0"/>
          <w:sz w:val="24"/>
        </w:rPr>
        <w:t>Highlighted evidence: Angele Venchard ULIP review offer. Source: DC23667 P640.</w:t>
      </w:r>
    </w:p>
    <w:p>
      <w:pPr>
        <w:spacing w:line="360" w:lineRule="auto" w:before="0" w:after="0"/>
        <w:ind w:left="958" w:hanging="958"/>
        <w:jc w:val="both"/>
      </w:pPr>
      <w:r>
        <w:rPr>
          <w:rFonts w:ascii="Times New Roman" w:hAnsi="Times New Roman" w:eastAsia="Times New Roman" w:cs="Times New Roman"/>
          <w:b/>
          <w:i w:val="0"/>
          <w:sz w:val="24"/>
        </w:rPr>
        <w:t>Exhibit BM6:</w:t>
        <w:tab/>
      </w:r>
      <w:r>
        <w:rPr>
          <w:rFonts w:ascii="Times New Roman" w:hAnsi="Times New Roman" w:eastAsia="Times New Roman" w:cs="Times New Roman"/>
          <w:b w:val="0"/>
          <w:i w:val="0"/>
          <w:sz w:val="24"/>
        </w:rPr>
        <w:t>Highlighted evidence: Appeal email — 12 March 2024, all recipients. Source: DC23667 P388.</w:t>
      </w:r>
    </w:p>
    <w:p>
      <w:pPr>
        <w:spacing w:line="360" w:lineRule="auto" w:before="0" w:after="0"/>
        <w:ind w:left="958" w:hanging="958"/>
        <w:jc w:val="both"/>
      </w:pPr>
      <w:r>
        <w:rPr>
          <w:rFonts w:ascii="Times New Roman" w:hAnsi="Times New Roman" w:eastAsia="Times New Roman" w:cs="Times New Roman"/>
          <w:b/>
          <w:i w:val="0"/>
          <w:sz w:val="24"/>
        </w:rPr>
        <w:t>Exhibit BM7:</w:t>
        <w:tab/>
      </w:r>
      <w:r>
        <w:rPr>
          <w:rFonts w:ascii="Times New Roman" w:hAnsi="Times New Roman" w:eastAsia="Times New Roman" w:cs="Times New Roman"/>
          <w:b w:val="0"/>
          <w:i w:val="0"/>
          <w:sz w:val="24"/>
        </w:rPr>
        <w:t>Highlighted evidence: Shortland URGENT safeguarding — 15 February 2024. Source: DC23667 P540.</w:t>
      </w:r>
    </w:p>
    <w:p>
      <w:pPr>
        <w:spacing w:line="360" w:lineRule="auto" w:before="0" w:after="0"/>
        <w:ind w:left="958" w:hanging="958"/>
        <w:jc w:val="both"/>
      </w:pPr>
      <w:r>
        <w:rPr>
          <w:rFonts w:ascii="Times New Roman" w:hAnsi="Times New Roman" w:eastAsia="Times New Roman" w:cs="Times New Roman"/>
          <w:b/>
          <w:i w:val="0"/>
          <w:sz w:val="24"/>
        </w:rPr>
        <w:t>Exhibit BM8:</w:t>
        <w:tab/>
      </w:r>
      <w:r>
        <w:rPr>
          <w:rFonts w:ascii="Times New Roman" w:hAnsi="Times New Roman" w:eastAsia="Times New Roman" w:cs="Times New Roman"/>
          <w:b w:val="0"/>
          <w:i w:val="0"/>
          <w:sz w:val="24"/>
        </w:rPr>
        <w:t>Highlighted evidence: SENT to MH service + Shortland — 15 February 2024. Source: Engagement PDF P25.</w:t>
      </w:r>
    </w:p>
    <w:p>
      <w:pPr>
        <w:spacing w:line="360" w:lineRule="auto" w:before="0" w:after="0"/>
        <w:ind w:left="958" w:hanging="958"/>
        <w:jc w:val="both"/>
      </w:pPr>
      <w:r>
        <w:rPr>
          <w:rFonts w:ascii="Times New Roman" w:hAnsi="Times New Roman" w:eastAsia="Times New Roman" w:cs="Times New Roman"/>
          <w:b/>
          <w:i w:val="0"/>
          <w:sz w:val="24"/>
        </w:rPr>
        <w:t>Exhibit BM9:</w:t>
        <w:tab/>
      </w:r>
      <w:r>
        <w:rPr>
          <w:rFonts w:ascii="Times New Roman" w:hAnsi="Times New Roman" w:eastAsia="Times New Roman" w:cs="Times New Roman"/>
          <w:b w:val="0"/>
          <w:i w:val="0"/>
          <w:sz w:val="24"/>
        </w:rPr>
        <w:t>Highlighted evidence: Email quarantine awareness. Source: DC23667 P526.</w:t>
      </w:r>
    </w:p>
    <w:p>
      <w:pPr>
        <w:spacing w:line="360" w:lineRule="auto" w:before="0" w:after="0"/>
        <w:ind w:left="958" w:hanging="958"/>
        <w:jc w:val="both"/>
      </w:pPr>
      <w:r>
        <w:rPr>
          <w:rFonts w:ascii="Times New Roman" w:hAnsi="Times New Roman" w:eastAsia="Times New Roman" w:cs="Times New Roman"/>
          <w:b/>
          <w:i w:val="0"/>
          <w:sz w:val="24"/>
        </w:rPr>
        <w:t>Exhibit BM10:</w:t>
        <w:tab/>
      </w:r>
      <w:r>
        <w:rPr>
          <w:rFonts w:ascii="Times New Roman" w:hAnsi="Times New Roman" w:eastAsia="Times New Roman" w:cs="Times New Roman"/>
          <w:b w:val="0"/>
          <w:i w:val="0"/>
          <w:sz w:val="24"/>
        </w:rPr>
        <w:t>Highlighted evidence: Module evaluation reminder — 10 May 2024. Source: DC23667 P95.</w:t>
      </w:r>
    </w:p>
    <w:p>
      <w:pPr>
        <w:spacing w:line="360" w:lineRule="auto" w:before="0" w:after="0"/>
        <w:ind w:left="958" w:hanging="958"/>
        <w:jc w:val="both"/>
      </w:pPr>
      <w:r>
        <w:rPr>
          <w:rFonts w:ascii="Times New Roman" w:hAnsi="Times New Roman" w:eastAsia="Times New Roman" w:cs="Times New Roman"/>
          <w:b/>
          <w:i w:val="0"/>
          <w:sz w:val="24"/>
        </w:rPr>
        <w:t>Exhibit BM11:</w:t>
        <w:tab/>
      </w:r>
      <w:r>
        <w:rPr>
          <w:rFonts w:ascii="Times New Roman" w:hAnsi="Times New Roman" w:eastAsia="Times New Roman" w:cs="Times New Roman"/>
          <w:b w:val="0"/>
          <w:i w:val="0"/>
          <w:sz w:val="24"/>
        </w:rPr>
        <w:t>Highlighted evidence: Pro Bono email — 13 May 2024 (same day as exclusion). Source: DC23667 P83.</w:t>
      </w:r>
    </w:p>
    <w:p>
      <w:pPr>
        <w:spacing w:line="360" w:lineRule="auto" w:before="0" w:after="0"/>
        <w:ind w:left="958" w:hanging="958"/>
        <w:jc w:val="both"/>
      </w:pPr>
      <w:r>
        <w:rPr>
          <w:rFonts w:ascii="Times New Roman" w:hAnsi="Times New Roman" w:eastAsia="Times New Roman" w:cs="Times New Roman"/>
          <w:b/>
          <w:i w:val="0"/>
          <w:sz w:val="24"/>
        </w:rPr>
        <w:t>Exhibit BM12:</w:t>
        <w:tab/>
      </w:r>
      <w:r>
        <w:rPr>
          <w:rFonts w:ascii="Times New Roman" w:hAnsi="Times New Roman" w:eastAsia="Times New Roman" w:cs="Times New Roman"/>
          <w:b w:val="0"/>
          <w:i w:val="0"/>
          <w:sz w:val="24"/>
        </w:rPr>
        <w:t>Highlighted evidence: Undeliverable bounces — ulaw365. Source: Engagement PDF P65, P67.</w:t>
      </w:r>
    </w:p>
    <w:p>
      <w:pPr>
        <w:spacing w:line="240" w:lineRule="auto" w:before="240" w:after="80"/>
        <w:jc w:val="left"/>
      </w:pPr>
      <w:r>
        <w:rPr>
          <w:rFonts w:ascii="Times New Roman" w:hAnsi="Times New Roman" w:eastAsia="Times New Roman" w:cs="Times New Roman"/>
          <w:b/>
          <w:i w:val="0"/>
          <w:sz w:val="26"/>
        </w:rPr>
        <w:t>Schedule 2 — Evidence URLs</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r>
              <w:rPr>
                <w:rFonts w:ascii="Times New Roman" w:hAnsi="Times New Roman"/>
                <w:b/>
                <w:sz w:val="20"/>
              </w:rPr>
              <w:t>Ref</w:t>
            </w:r>
          </w:p>
        </w:tc>
        <w:tc>
          <w:tcPr>
            <w:tcW w:type="dxa" w:w="2835"/>
          </w:tcPr>
          <w:p>
            <w:r>
              <w:rPr>
                <w:rFonts w:ascii="Times New Roman" w:hAnsi="Times New Roman"/>
                <w:b/>
                <w:sz w:val="20"/>
              </w:rPr>
              <w:t>Content</w:t>
            </w:r>
          </w:p>
        </w:tc>
        <w:tc>
          <w:tcPr>
            <w:tcW w:type="dxa" w:w="2835"/>
          </w:tcPr>
          <w:p>
            <w:r>
              <w:rPr>
                <w:rFonts w:ascii="Times New Roman" w:hAnsi="Times New Roman"/>
                <w:b/>
                <w:sz w:val="20"/>
              </w:rPr>
              <w:t>URL</w:t>
            </w:r>
          </w:p>
        </w:tc>
      </w:tr>
      <w:tr>
        <w:tc>
          <w:tcPr>
            <w:tcW w:type="dxa" w:w="2835"/>
          </w:tcPr>
          <w:p>
            <w:r>
              <w:rPr>
                <w:rFonts w:ascii="Times New Roman" w:hAnsi="Times New Roman"/>
                <w:sz w:val="18"/>
              </w:rPr>
              <w:t>P0083</w:t>
            </w:r>
          </w:p>
        </w:tc>
        <w:tc>
          <w:tcPr>
            <w:tcW w:type="dxa" w:w="2835"/>
          </w:tcPr>
          <w:p>
            <w:r>
              <w:rPr>
                <w:rFonts w:ascii="Times New Roman" w:hAnsi="Times New Roman"/>
                <w:sz w:val="18"/>
              </w:rPr>
              <w:t>Pro Bono email — same day as exclusion</w:t>
            </w:r>
          </w:p>
        </w:tc>
        <w:tc>
          <w:tcPr>
            <w:tcW w:type="dxa" w:w="2835"/>
          </w:tcPr>
          <w:p>
            <w:r>
              <w:rPr>
                <w:rFonts w:ascii="Times New Roman" w:hAnsi="Times New Roman"/>
                <w:sz w:val="18"/>
              </w:rPr>
              <w:t>https://tvecnfdqakrevzaeifpk.supabase.co/storage/v1/object/public/UNI%20OF%20LAW/DC23667_EVIDENCE_HIGHLIGHTS/P0083_SAME_DAY_PROBONO.png</w:t>
            </w:r>
          </w:p>
        </w:tc>
      </w:tr>
      <w:tr>
        <w:tc>
          <w:tcPr>
            <w:tcW w:type="dxa" w:w="2835"/>
          </w:tcPr>
          <w:p>
            <w:r>
              <w:rPr>
                <w:rFonts w:ascii="Times New Roman" w:hAnsi="Times New Roman"/>
                <w:sz w:val="18"/>
              </w:rPr>
              <w:t>P0084</w:t>
            </w:r>
          </w:p>
        </w:tc>
        <w:tc>
          <w:tcPr>
            <w:tcW w:type="dxa" w:w="2835"/>
          </w:tcPr>
          <w:p>
            <w:r>
              <w:rPr>
                <w:rFonts w:ascii="Times New Roman" w:hAnsi="Times New Roman"/>
                <w:sz w:val="18"/>
              </w:rPr>
              <w:t>Stage 3 decision letter (Rachel Edge)</w:t>
            </w:r>
          </w:p>
        </w:tc>
        <w:tc>
          <w:tcPr>
            <w:tcW w:type="dxa" w:w="2835"/>
          </w:tcPr>
          <w:p>
            <w:r>
              <w:rPr>
                <w:rFonts w:ascii="Times New Roman" w:hAnsi="Times New Roman"/>
                <w:sz w:val="18"/>
              </w:rPr>
              <w:t>https://tvecnfdqakrevzaeifpk.supabase.co/storage/v1/object/public/UNI%20OF%20LAW/DC23667_EVIDENCE_HIGHLIGHTS/P0084_evidence.png</w:t>
            </w:r>
          </w:p>
        </w:tc>
      </w:tr>
      <w:tr>
        <w:tc>
          <w:tcPr>
            <w:tcW w:type="dxa" w:w="2835"/>
          </w:tcPr>
          <w:p>
            <w:r>
              <w:rPr>
                <w:rFonts w:ascii="Times New Roman" w:hAnsi="Times New Roman"/>
                <w:sz w:val="18"/>
              </w:rPr>
              <w:t>P0095</w:t>
            </w:r>
          </w:p>
        </w:tc>
        <w:tc>
          <w:tcPr>
            <w:tcW w:type="dxa" w:w="2835"/>
          </w:tcPr>
          <w:p>
            <w:r>
              <w:rPr>
                <w:rFonts w:ascii="Times New Roman" w:hAnsi="Times New Roman"/>
                <w:sz w:val="18"/>
              </w:rPr>
              <w:t>Module eval reminder — 3 days before exclusion</w:t>
            </w:r>
          </w:p>
        </w:tc>
        <w:tc>
          <w:tcPr>
            <w:tcW w:type="dxa" w:w="2835"/>
          </w:tcPr>
          <w:p>
            <w:r>
              <w:rPr>
                <w:rFonts w:ascii="Times New Roman" w:hAnsi="Times New Roman"/>
                <w:sz w:val="18"/>
              </w:rPr>
              <w:t>https://tvecnfdqakrevzaeifpk.supabase.co/storage/v1/object/public/UNI%20OF%20LAW/DC23667_EVIDENCE_HIGHLIGHTS/P0095_MODULE_EVAL_3_DAYS.png</w:t>
            </w:r>
          </w:p>
        </w:tc>
      </w:tr>
      <w:tr>
        <w:tc>
          <w:tcPr>
            <w:tcW w:type="dxa" w:w="2835"/>
          </w:tcPr>
          <w:p>
            <w:r>
              <w:rPr>
                <w:rFonts w:ascii="Times New Roman" w:hAnsi="Times New Roman"/>
                <w:sz w:val="18"/>
              </w:rPr>
              <w:t>P0153</w:t>
            </w:r>
          </w:p>
        </w:tc>
        <w:tc>
          <w:tcPr>
            <w:tcW w:type="dxa" w:w="2835"/>
          </w:tcPr>
          <w:p>
            <w:r>
              <w:rPr>
                <w:rFonts w:ascii="Times New Roman" w:hAnsi="Times New Roman"/>
                <w:sz w:val="18"/>
              </w:rPr>
              <w:t>Salome Revision Hotline — 26 Apr 2024</w:t>
            </w:r>
          </w:p>
        </w:tc>
        <w:tc>
          <w:tcPr>
            <w:tcW w:type="dxa" w:w="2835"/>
          </w:tcPr>
          <w:p>
            <w:r>
              <w:rPr>
                <w:rFonts w:ascii="Times New Roman" w:hAnsi="Times New Roman"/>
                <w:sz w:val="18"/>
              </w:rPr>
              <w:t>https://tvecnfdqakrevzaeifpk.supabase.co/storage/v1/object/public/UNI%20OF%20LAW/DC23667_EVIDENCE_HIGHLIGHTS/P0153_evidence.png</w:t>
            </w:r>
          </w:p>
        </w:tc>
      </w:tr>
      <w:tr>
        <w:tc>
          <w:tcPr>
            <w:tcW w:type="dxa" w:w="2835"/>
          </w:tcPr>
          <w:p>
            <w:r>
              <w:rPr>
                <w:rFonts w:ascii="Times New Roman" w:hAnsi="Times New Roman"/>
                <w:sz w:val="18"/>
              </w:rPr>
              <w:t>P0363</w:t>
            </w:r>
          </w:p>
        </w:tc>
        <w:tc>
          <w:tcPr>
            <w:tcW w:type="dxa" w:w="2835"/>
          </w:tcPr>
          <w:p>
            <w:r>
              <w:rPr>
                <w:rFonts w:ascii="Times New Roman" w:hAnsi="Times New Roman"/>
                <w:sz w:val="18"/>
              </w:rPr>
              <w:t>Stage 3 Notification (Sandie Gaines)</w:t>
            </w:r>
          </w:p>
        </w:tc>
        <w:tc>
          <w:tcPr>
            <w:tcW w:type="dxa" w:w="2835"/>
          </w:tcPr>
          <w:p>
            <w:r>
              <w:rPr>
                <w:rFonts w:ascii="Times New Roman" w:hAnsi="Times New Roman"/>
                <w:sz w:val="18"/>
              </w:rPr>
              <w:t>https://tvecnfdqakrevzaeifpk.supabase.co/storage/v1/object/public/UNI%20OF%20LAW/DC23667_EVIDENCE_HIGHLIGHTS/P0363_evidence.png</w:t>
            </w:r>
          </w:p>
        </w:tc>
      </w:tr>
      <w:tr>
        <w:tc>
          <w:tcPr>
            <w:tcW w:type="dxa" w:w="2835"/>
          </w:tcPr>
          <w:p>
            <w:r>
              <w:rPr>
                <w:rFonts w:ascii="Times New Roman" w:hAnsi="Times New Roman"/>
                <w:sz w:val="18"/>
              </w:rPr>
              <w:t>P0388</w:t>
            </w:r>
          </w:p>
        </w:tc>
        <w:tc>
          <w:tcPr>
            <w:tcW w:type="dxa" w:w="2835"/>
          </w:tcPr>
          <w:p>
            <w:r>
              <w:rPr>
                <w:rFonts w:ascii="Times New Roman" w:hAnsi="Times New Roman"/>
                <w:sz w:val="18"/>
              </w:rPr>
              <w:t>Appeal email — 12 Mar 2024</w:t>
            </w:r>
          </w:p>
        </w:tc>
        <w:tc>
          <w:tcPr>
            <w:tcW w:type="dxa" w:w="2835"/>
          </w:tcPr>
          <w:p>
            <w:r>
              <w:rPr>
                <w:rFonts w:ascii="Times New Roman" w:hAnsi="Times New Roman"/>
                <w:sz w:val="18"/>
              </w:rPr>
              <w:t>https://tvecnfdqakrevzaeifpk.supabase.co/storage/v1/object/public/UNI%20OF%20LAW/DC23667_EVIDENCE_HIGHLIGHTS/P0388_evidence.png</w:t>
            </w:r>
          </w:p>
        </w:tc>
      </w:tr>
      <w:tr>
        <w:tc>
          <w:tcPr>
            <w:tcW w:type="dxa" w:w="2835"/>
          </w:tcPr>
          <w:p>
            <w:r>
              <w:rPr>
                <w:rFonts w:ascii="Times New Roman" w:hAnsi="Times New Roman"/>
                <w:sz w:val="18"/>
              </w:rPr>
              <w:t>P0389</w:t>
            </w:r>
          </w:p>
        </w:tc>
        <w:tc>
          <w:tcPr>
            <w:tcW w:type="dxa" w:w="2835"/>
          </w:tcPr>
          <w:p>
            <w:r>
              <w:rPr>
                <w:rFonts w:ascii="Times New Roman" w:hAnsi="Times New Roman"/>
                <w:sz w:val="18"/>
              </w:rPr>
              <w:t>Equality Act citations</w:t>
            </w:r>
          </w:p>
        </w:tc>
        <w:tc>
          <w:tcPr>
            <w:tcW w:type="dxa" w:w="2835"/>
          </w:tcPr>
          <w:p>
            <w:r>
              <w:rPr>
                <w:rFonts w:ascii="Times New Roman" w:hAnsi="Times New Roman"/>
                <w:sz w:val="18"/>
              </w:rPr>
              <w:t>https://tvecnfdqakrevzaeifpk.supabase.co/storage/v1/object/public/UNI%20OF%20LAW/DC23667_EVIDENCE_HIGHLIGHTS/P0389_evidence.png</w:t>
            </w:r>
          </w:p>
        </w:tc>
      </w:tr>
      <w:tr>
        <w:tc>
          <w:tcPr>
            <w:tcW w:type="dxa" w:w="2835"/>
          </w:tcPr>
          <w:p>
            <w:r>
              <w:rPr>
                <w:rFonts w:ascii="Times New Roman" w:hAnsi="Times New Roman"/>
                <w:sz w:val="18"/>
              </w:rPr>
              <w:t>P0390</w:t>
            </w:r>
          </w:p>
        </w:tc>
        <w:tc>
          <w:tcPr>
            <w:tcW w:type="dxa" w:w="2835"/>
          </w:tcPr>
          <w:p>
            <w:r>
              <w:rPr>
                <w:rFonts w:ascii="Times New Roman" w:hAnsi="Times New Roman"/>
                <w:sz w:val="18"/>
              </w:rPr>
              <w:t>Safeguarding ref 28 Feb</w:t>
            </w:r>
          </w:p>
        </w:tc>
        <w:tc>
          <w:tcPr>
            <w:tcW w:type="dxa" w:w="2835"/>
          </w:tcPr>
          <w:p>
            <w:r>
              <w:rPr>
                <w:rFonts w:ascii="Times New Roman" w:hAnsi="Times New Roman"/>
                <w:sz w:val="18"/>
              </w:rPr>
              <w:t>https://tvecnfdqakrevzaeifpk.supabase.co/storage/v1/object/public/UNI%20OF%20LAW/DC23667_EVIDENCE_HIGHLIGHTS/P0390_evidence.png</w:t>
            </w:r>
          </w:p>
        </w:tc>
      </w:tr>
      <w:tr>
        <w:tc>
          <w:tcPr>
            <w:tcW w:type="dxa" w:w="2835"/>
          </w:tcPr>
          <w:p>
            <w:r>
              <w:rPr>
                <w:rFonts w:ascii="Times New Roman" w:hAnsi="Times New Roman"/>
                <w:sz w:val="18"/>
              </w:rPr>
              <w:t>P0481</w:t>
            </w:r>
          </w:p>
        </w:tc>
        <w:tc>
          <w:tcPr>
            <w:tcW w:type="dxa" w:w="2835"/>
          </w:tcPr>
          <w:p>
            <w:r>
              <w:rPr>
                <w:rFonts w:ascii="Times New Roman" w:hAnsi="Times New Roman"/>
                <w:sz w:val="18"/>
              </w:rPr>
              <w:t>Absence reminder — 29 Feb 2024</w:t>
            </w:r>
          </w:p>
        </w:tc>
        <w:tc>
          <w:tcPr>
            <w:tcW w:type="dxa" w:w="2835"/>
          </w:tcPr>
          <w:p>
            <w:r>
              <w:rPr>
                <w:rFonts w:ascii="Times New Roman" w:hAnsi="Times New Roman"/>
                <w:sz w:val="18"/>
              </w:rPr>
              <w:t>https://tvecnfdqakrevzaeifpk.supabase.co/storage/v1/object/public/UNI%20OF%20LAW/DC23667_EVIDENCE_HIGHLIGHTS/P0481_evidence.png</w:t>
            </w:r>
          </w:p>
        </w:tc>
      </w:tr>
      <w:tr>
        <w:tc>
          <w:tcPr>
            <w:tcW w:type="dxa" w:w="2835"/>
          </w:tcPr>
          <w:p>
            <w:r>
              <w:rPr>
                <w:rFonts w:ascii="Times New Roman" w:hAnsi="Times New Roman"/>
                <w:sz w:val="18"/>
              </w:rPr>
              <w:t>P0526</w:t>
            </w:r>
          </w:p>
        </w:tc>
        <w:tc>
          <w:tcPr>
            <w:tcW w:type="dxa" w:w="2835"/>
          </w:tcPr>
          <w:p>
            <w:r>
              <w:rPr>
                <w:rFonts w:ascii="Times New Roman" w:hAnsi="Times New Roman"/>
                <w:sz w:val="18"/>
              </w:rPr>
              <w:t>Quarantine awareness</w:t>
            </w:r>
          </w:p>
        </w:tc>
        <w:tc>
          <w:tcPr>
            <w:tcW w:type="dxa" w:w="2835"/>
          </w:tcPr>
          <w:p>
            <w:r>
              <w:rPr>
                <w:rFonts w:ascii="Times New Roman" w:hAnsi="Times New Roman"/>
                <w:sz w:val="18"/>
              </w:rPr>
              <w:t>https://tvecnfdqakrevzaeifpk.supabase.co/storage/v1/object/public/UNI%20OF%20LAW/DC23667_EVIDENCE_HIGHLIGHTS/P0526_evidence.png</w:t>
            </w:r>
          </w:p>
        </w:tc>
      </w:tr>
      <w:tr>
        <w:tc>
          <w:tcPr>
            <w:tcW w:type="dxa" w:w="2835"/>
          </w:tcPr>
          <w:p>
            <w:r>
              <w:rPr>
                <w:rFonts w:ascii="Times New Roman" w:hAnsi="Times New Roman"/>
                <w:sz w:val="18"/>
              </w:rPr>
              <w:t>P0540</w:t>
            </w:r>
          </w:p>
        </w:tc>
        <w:tc>
          <w:tcPr>
            <w:tcW w:type="dxa" w:w="2835"/>
          </w:tcPr>
          <w:p>
            <w:r>
              <w:rPr>
                <w:rFonts w:ascii="Times New Roman" w:hAnsi="Times New Roman"/>
                <w:sz w:val="18"/>
              </w:rPr>
              <w:t>Shortland URGENT safeguarding — 15 Feb</w:t>
            </w:r>
          </w:p>
        </w:tc>
        <w:tc>
          <w:tcPr>
            <w:tcW w:type="dxa" w:w="2835"/>
          </w:tcPr>
          <w:p>
            <w:r>
              <w:rPr>
                <w:rFonts w:ascii="Times New Roman" w:hAnsi="Times New Roman"/>
                <w:sz w:val="18"/>
              </w:rPr>
              <w:t>https://tvecnfdqakrevzaeifpk.supabase.co/storage/v1/object/public/UNI%20OF%20LAW/DC23667_EVIDENCE_HIGHLIGHTS/P0540_evidence.png</w:t>
            </w:r>
          </w:p>
        </w:tc>
      </w:tr>
      <w:tr>
        <w:tc>
          <w:tcPr>
            <w:tcW w:type="dxa" w:w="2835"/>
          </w:tcPr>
          <w:p>
            <w:r>
              <w:rPr>
                <w:rFonts w:ascii="Times New Roman" w:hAnsi="Times New Roman"/>
                <w:sz w:val="18"/>
              </w:rPr>
              <w:t>P0640</w:t>
            </w:r>
          </w:p>
        </w:tc>
        <w:tc>
          <w:tcPr>
            <w:tcW w:type="dxa" w:w="2835"/>
          </w:tcPr>
          <w:p>
            <w:r>
              <w:rPr>
                <w:rFonts w:ascii="Times New Roman" w:hAnsi="Times New Roman"/>
                <w:sz w:val="18"/>
              </w:rPr>
              <w:t>Venchard ULIP review offer</w:t>
            </w:r>
          </w:p>
        </w:tc>
        <w:tc>
          <w:tcPr>
            <w:tcW w:type="dxa" w:w="2835"/>
          </w:tcPr>
          <w:p>
            <w:r>
              <w:rPr>
                <w:rFonts w:ascii="Times New Roman" w:hAnsi="Times New Roman"/>
                <w:sz w:val="18"/>
              </w:rPr>
              <w:t>https://tvecnfdqakrevzaeifpk.supabase.co/storage/v1/object/public/UNI%20OF%20LAW/DC23667_EVIDENCE_HIGHLIGHTS/P0640_evidence.png</w:t>
            </w:r>
          </w:p>
        </w:tc>
      </w:tr>
      <w:tr>
        <w:tc>
          <w:tcPr>
            <w:tcW w:type="dxa" w:w="2835"/>
          </w:tcPr>
          <w:p>
            <w:r>
              <w:rPr>
                <w:rFonts w:ascii="Times New Roman" w:hAnsi="Times New Roman"/>
                <w:sz w:val="18"/>
              </w:rPr>
              <w:t>ENG25</w:t>
            </w:r>
          </w:p>
        </w:tc>
        <w:tc>
          <w:tcPr>
            <w:tcW w:type="dxa" w:w="2835"/>
          </w:tcPr>
          <w:p>
            <w:r>
              <w:rPr>
                <w:rFonts w:ascii="Times New Roman" w:hAnsi="Times New Roman"/>
                <w:sz w:val="18"/>
              </w:rPr>
              <w:t>SENT to MH service + Shortland — 15 Feb</w:t>
            </w:r>
          </w:p>
        </w:tc>
        <w:tc>
          <w:tcPr>
            <w:tcW w:type="dxa" w:w="2835"/>
          </w:tcPr>
          <w:p>
            <w:r>
              <w:rPr>
                <w:rFonts w:ascii="Times New Roman" w:hAnsi="Times New Roman"/>
                <w:sz w:val="18"/>
              </w:rPr>
              <w:t>https://tvecnfdqakrevzaeifpk.supabase.co/storage/v1/object/public/UNI%20OF%20LAW/DC23667_EVIDENCE_HIGHLIGHTS/ENG_P0025_evidence.png</w:t>
            </w:r>
          </w:p>
        </w:tc>
      </w:tr>
      <w:tr>
        <w:tc>
          <w:tcPr>
            <w:tcW w:type="dxa" w:w="2835"/>
          </w:tcPr>
          <w:p>
            <w:r>
              <w:rPr>
                <w:rFonts w:ascii="Times New Roman" w:hAnsi="Times New Roman"/>
                <w:sz w:val="18"/>
              </w:rPr>
              <w:t>ENG65</w:t>
            </w:r>
          </w:p>
        </w:tc>
        <w:tc>
          <w:tcPr>
            <w:tcW w:type="dxa" w:w="2835"/>
          </w:tcPr>
          <w:p>
            <w:r>
              <w:rPr>
                <w:rFonts w:ascii="Times New Roman" w:hAnsi="Times New Roman"/>
                <w:sz w:val="18"/>
              </w:rPr>
              <w:t>Undeliverable bounce — ulaw365</w:t>
            </w:r>
          </w:p>
        </w:tc>
        <w:tc>
          <w:tcPr>
            <w:tcW w:type="dxa" w:w="2835"/>
          </w:tcPr>
          <w:p>
            <w:r>
              <w:rPr>
                <w:rFonts w:ascii="Times New Roman" w:hAnsi="Times New Roman"/>
                <w:sz w:val="18"/>
              </w:rPr>
              <w:t>https://tvecnfdqakrevzaeifpk.supabase.co/storage/v1/object/public/UNI%20OF%20LAW/DC23667_EVIDENCE_HIGHLIGHTS/ENG_P0065_UNDELIVERABLE.png</w:t>
            </w:r>
          </w:p>
        </w:tc>
      </w:tr>
      <w:tr>
        <w:tc>
          <w:tcPr>
            <w:tcW w:type="dxa" w:w="2835"/>
          </w:tcPr>
          <w:p>
            <w:r>
              <w:rPr>
                <w:rFonts w:ascii="Times New Roman" w:hAnsi="Times New Roman"/>
                <w:sz w:val="18"/>
              </w:rPr>
              <w:t>ENG67</w:t>
            </w:r>
          </w:p>
        </w:tc>
        <w:tc>
          <w:tcPr>
            <w:tcW w:type="dxa" w:w="2835"/>
          </w:tcPr>
          <w:p>
            <w:r>
              <w:rPr>
                <w:rFonts w:ascii="Times New Roman" w:hAnsi="Times New Roman"/>
                <w:sz w:val="18"/>
              </w:rPr>
              <w:t>Second undeliverable bounce</w:t>
            </w:r>
          </w:p>
        </w:tc>
        <w:tc>
          <w:tcPr>
            <w:tcW w:type="dxa" w:w="2835"/>
          </w:tcPr>
          <w:p>
            <w:r>
              <w:rPr>
                <w:rFonts w:ascii="Times New Roman" w:hAnsi="Times New Roman"/>
                <w:sz w:val="18"/>
              </w:rPr>
              <w:t>https://tvecnfdqakrevzaeifpk.supabase.co/storage/v1/object/public/UNI%20OF%20LAW/DC23667_EVIDENCE_HIGHLIGHTS/ENG_P0067_UNDELIVERABLE.png</w:t>
            </w:r>
          </w:p>
        </w:tc>
      </w:tr>
      <w:tr>
        <w:tc>
          <w:tcPr>
            <w:tcW w:type="dxa" w:w="2835"/>
          </w:tcPr>
          <w:p>
            <w:r>
              <w:rPr>
                <w:rFonts w:ascii="Times New Roman" w:hAnsi="Times New Roman"/>
                <w:sz w:val="18"/>
              </w:rPr>
              <w:t>ENG121</w:t>
            </w:r>
          </w:p>
        </w:tc>
        <w:tc>
          <w:tcPr>
            <w:tcW w:type="dxa" w:w="2835"/>
          </w:tcPr>
          <w:p>
            <w:r>
              <w:rPr>
                <w:rFonts w:ascii="Times New Roman" w:hAnsi="Times New Roman"/>
                <w:sz w:val="18"/>
              </w:rPr>
              <w:t>Shortland — meet Ben (CC Salome, Megan)</w:t>
            </w:r>
          </w:p>
        </w:tc>
        <w:tc>
          <w:tcPr>
            <w:tcW w:type="dxa" w:w="2835"/>
          </w:tcPr>
          <w:p>
            <w:r>
              <w:rPr>
                <w:rFonts w:ascii="Times New Roman" w:hAnsi="Times New Roman"/>
                <w:sz w:val="18"/>
              </w:rPr>
              <w:t>https://tvecnfdqakrevzaeifpk.supabase.co/storage/v1/object/public/UNI%20OF%20LAW/DC23667_EVIDENCE_HIGHLIGHTS/ENG_P0121_evidence.png</w:t>
            </w:r>
          </w:p>
        </w:tc>
      </w:tr>
      <w:tr>
        <w:tc>
          <w:tcPr>
            <w:tcW w:type="dxa" w:w="2835"/>
          </w:tcPr>
          <w:p>
            <w:r>
              <w:rPr>
                <w:rFonts w:ascii="Times New Roman" w:hAnsi="Times New Roman"/>
                <w:sz w:val="18"/>
              </w:rPr>
              <w:t>ENG126</w:t>
            </w:r>
          </w:p>
        </w:tc>
        <w:tc>
          <w:tcPr>
            <w:tcW w:type="dxa" w:w="2835"/>
          </w:tcPr>
          <w:p>
            <w:r>
              <w:rPr>
                <w:rFonts w:ascii="Times New Roman" w:hAnsi="Times New Roman"/>
                <w:sz w:val="18"/>
              </w:rPr>
              <w:t>Shortland — meeting scheduling</w:t>
            </w:r>
          </w:p>
        </w:tc>
        <w:tc>
          <w:tcPr>
            <w:tcW w:type="dxa" w:w="2835"/>
          </w:tcPr>
          <w:p>
            <w:r>
              <w:rPr>
                <w:rFonts w:ascii="Times New Roman" w:hAnsi="Times New Roman"/>
                <w:sz w:val="18"/>
              </w:rPr>
              <w:t>https://tvecnfdqakrevzaeifpk.supabase.co/storage/v1/object/public/UNI%20OF%20LAW/DC23667_EVIDENCE_HIGHLIGHTS/ENG_P0126_evidence.png</w:t>
            </w:r>
          </w:p>
        </w:tc>
      </w:tr>
      <w:tr>
        <w:tc>
          <w:tcPr>
            <w:tcW w:type="dxa" w:w="2835"/>
          </w:tcPr>
          <w:p>
            <w:r>
              <w:rPr>
                <w:rFonts w:ascii="Times New Roman" w:hAnsi="Times New Roman"/>
                <w:sz w:val="18"/>
              </w:rPr>
              <w:t>ENG127</w:t>
            </w:r>
          </w:p>
        </w:tc>
        <w:tc>
          <w:tcPr>
            <w:tcW w:type="dxa" w:w="2835"/>
          </w:tcPr>
          <w:p>
            <w:r>
              <w:rPr>
                <w:rFonts w:ascii="Times New Roman" w:hAnsi="Times New Roman"/>
                <w:sz w:val="18"/>
              </w:rPr>
              <w:t>Shortland — access to education (CC Salome)</w:t>
            </w:r>
          </w:p>
        </w:tc>
        <w:tc>
          <w:tcPr>
            <w:tcW w:type="dxa" w:w="2835"/>
          </w:tcPr>
          <w:p>
            <w:r>
              <w:rPr>
                <w:rFonts w:ascii="Times New Roman" w:hAnsi="Times New Roman"/>
                <w:sz w:val="18"/>
              </w:rPr>
              <w:t>https://tvecnfdqakrevzaeifpk.supabase.co/storage/v1/object/public/UNI%20OF%20LAW/DC23667_EVIDENCE_HIGHLIGHTS/ENG_P0127_SHORTLAND_CC_SALOME.png</w:t>
            </w:r>
          </w:p>
        </w:tc>
      </w:tr>
    </w:tbl>
    <w:p>
      <w:pPr>
        <w:spacing w:line="240" w:lineRule="auto" w:before="0" w:after="360"/>
      </w:pPr>
    </w:p>
    <w:p>
      <w:pPr>
        <w:spacing w:line="240" w:lineRule="auto" w:before="240" w:after="80"/>
        <w:jc w:val="left"/>
      </w:pPr>
      <w:r>
        <w:rPr>
          <w:rFonts w:ascii="Times New Roman" w:hAnsi="Times New Roman" w:eastAsia="Times New Roman" w:cs="Times New Roman"/>
          <w:b/>
          <w:i w:val="0"/>
          <w:sz w:val="26"/>
        </w:rPr>
        <w:t>Statement of Truth</w:t>
      </w:r>
    </w:p>
    <w:p>
      <w:pPr>
        <w:spacing w:line="360" w:lineRule="auto" w:before="0" w:after="360"/>
        <w:jc w:val="both"/>
      </w:pPr>
      <w:r>
        <w:rPr>
          <w:rFonts w:ascii="Times New Roman" w:hAnsi="Times New Roman" w:eastAsia="Times New Roman" w:cs="Times New Roman"/>
          <w:b w:val="0"/>
          <w:i w:val="0"/>
          <w:sz w:val="24"/>
        </w:rPr>
        <w:t>I believe that the facts stated in this document are true. I understand that proceedings for contempt of court may be brought against anyone who makes, or causes to be made, a false statement in a document verified by a statement of truth without an honest belief in its truth.</w:t>
      </w:r>
    </w:p>
    <w:p>
      <w:pPr>
        <w:spacing w:line="240" w:lineRule="auto" w:before="0" w:after="480"/>
      </w:pPr>
    </w:p>
    <w:p>
      <w:pPr>
        <w:spacing w:line="240" w:lineRule="auto" w:before="0" w:after="40"/>
      </w:pPr>
      <w:r>
        <w:rPr>
          <w:rFonts w:ascii="Times New Roman" w:hAnsi="Times New Roman" w:eastAsia="Times New Roman" w:cs="Times New Roman"/>
          <w:b w:val="0"/>
          <w:i w:val="0"/>
          <w:sz w:val="24"/>
        </w:rPr>
        <w:t>__________________________________________</w:t>
      </w:r>
    </w:p>
    <w:p>
      <w:pPr>
        <w:spacing w:line="240" w:lineRule="auto" w:before="0" w:after="0"/>
      </w:pPr>
      <w:r>
        <w:rPr>
          <w:rFonts w:ascii="Times New Roman" w:hAnsi="Times New Roman" w:eastAsia="Times New Roman" w:cs="Times New Roman"/>
          <w:b/>
          <w:i w:val="0"/>
          <w:sz w:val="24"/>
        </w:rPr>
        <w:t>Signed: Benjamin Mak</w:t>
      </w:r>
    </w:p>
    <w:p>
      <w:pPr>
        <w:spacing w:line="240" w:lineRule="auto" w:before="0" w:after="240"/>
      </w:pPr>
      <w:r>
        <w:rPr>
          <w:rFonts w:ascii="Times New Roman" w:hAnsi="Times New Roman" w:eastAsia="Times New Roman" w:cs="Times New Roman"/>
          <w:b w:val="0"/>
          <w:i w:val="0"/>
          <w:sz w:val="24"/>
        </w:rPr>
        <w:t>Claimant</w:t>
      </w:r>
    </w:p>
    <w:p>
      <w:pPr>
        <w:spacing w:line="240" w:lineRule="auto" w:before="0" w:after="0"/>
      </w:pPr>
      <w:r>
        <w:rPr>
          <w:rFonts w:ascii="Times New Roman" w:hAnsi="Times New Roman" w:eastAsia="Times New Roman" w:cs="Times New Roman"/>
          <w:b w:val="0"/>
          <w:i w:val="0"/>
          <w:sz w:val="24"/>
        </w:rPr>
        <w:t>Date: 4 February 2026</w:t>
      </w:r>
    </w:p>
    <w:sectPr w:rsidR="00FC693F" w:rsidRPr="0006063C" w:rsidSect="00034616">
      <w:footerReference w:type="default" r:id="rId9"/>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0"/>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