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itle"/>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Heading1"/>
      </w:pPr>
      <w:bookmarkStart w:id="0" w:name="introduction"/>
      <w:r>
        <w:t>Introduction</w:t>
      </w:r>
    </w:p>
    <w:p w14:paraId="167D903D" w14:textId="77777777" w:rsidR="00CD6E3F" w:rsidRDefault="00000000" w:rsidP="007C0141">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yperlink"/>
          </w:rPr>
          <w:t>Piketty, 2014</w:t>
        </w:r>
      </w:hyperlink>
      <w:r>
        <w:t xml:space="preserve">; </w:t>
      </w:r>
      <w:hyperlink w:anchor="ref-streeck_politics_2014">
        <w:r>
          <w:rPr>
            <w:rStyle w:val="Hyperlink"/>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yperlink"/>
          </w:rPr>
          <w:t>Alesina &amp; Angeletos, 2005</w:t>
        </w:r>
      </w:hyperlink>
      <w:r>
        <w:t xml:space="preserve">; </w:t>
      </w:r>
      <w:hyperlink w:anchor="ref-dimick_models_2018">
        <w:r>
          <w:rPr>
            <w:rStyle w:val="Hyperlink"/>
          </w:rPr>
          <w:t>Dimick et al., 2018</w:t>
        </w:r>
      </w:hyperlink>
      <w:r>
        <w:t>), the legitimization of economic inequality (</w:t>
      </w:r>
      <w:hyperlink w:anchor="ref-schroder_income_2017">
        <w:r>
          <w:rPr>
            <w:rStyle w:val="Hyperlink"/>
          </w:rPr>
          <w:t>Schröder, 2017</w:t>
        </w:r>
      </w:hyperlink>
      <w:r>
        <w:t>) and the functioning of meritocracy (</w:t>
      </w:r>
      <w:hyperlink w:anchor="ref-atria_economic_2020">
        <w:r>
          <w:rPr>
            <w:rStyle w:val="Hyperlink"/>
          </w:rPr>
          <w:t>Atria et al., 2020</w:t>
        </w:r>
      </w:hyperlink>
      <w:r>
        <w:t xml:space="preserve">; </w:t>
      </w:r>
      <w:hyperlink w:anchor="ref-duru-bellat_who_2012">
        <w:r>
          <w:rPr>
            <w:rStyle w:val="Hyperlink"/>
          </w:rPr>
          <w:t xml:space="preserve">Duru-Bellat &amp; Tenret, </w:t>
        </w:r>
        <w:r>
          <w:rPr>
            <w:rStyle w:val="Hyperlink"/>
          </w:rPr>
          <w:lastRenderedPageBreak/>
          <w:t>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yperlink"/>
          </w:rPr>
          <w:t>Goldthorpe, 2003</w:t>
        </w:r>
      </w:hyperlink>
      <w:r>
        <w:t xml:space="preserve">; </w:t>
      </w:r>
      <w:hyperlink w:anchor="ref-sandel_tyranny_2020">
        <w:r>
          <w:rPr>
            <w:rStyle w:val="Hyperlink"/>
          </w:rPr>
          <w:t>Sandel, 2020</w:t>
        </w:r>
      </w:hyperlink>
      <w:r>
        <w:t>).</w:t>
      </w:r>
    </w:p>
    <w:p w14:paraId="6A133D83" w14:textId="77777777" w:rsidR="00CD6E3F" w:rsidRDefault="00000000" w:rsidP="007C0141">
      <w:pPr>
        <w:pStyle w:val="BodyText"/>
      </w:pPr>
      <w:r>
        <w:t>In general, meritocracy has been defined as a system of distribution of resources and rewards based on individual merit, which in its original conception is a combination of talent and effort (</w:t>
      </w:r>
      <w:hyperlink w:anchor="ref-young_rise_1962">
        <w:r>
          <w:rPr>
            <w:rStyle w:val="Hyperlink"/>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yperlink"/>
          </w:rPr>
          <w:t>Breen &amp; Goldthorpe, 1999</w:t>
        </w:r>
      </w:hyperlink>
      <w:r>
        <w:t xml:space="preserve">; </w:t>
      </w:r>
      <w:hyperlink w:anchor="ref-land_we_2006">
        <w:r>
          <w:rPr>
            <w:rStyle w:val="Hyperlink"/>
          </w:rPr>
          <w:t>Land, 2006</w:t>
        </w:r>
      </w:hyperlink>
      <w:r>
        <w:t xml:space="preserve">; </w:t>
      </w:r>
      <w:hyperlink w:anchor="ref-saunders_might_1995">
        <w:r>
          <w:rPr>
            <w:rStyle w:val="Hyperlink"/>
          </w:rPr>
          <w:t>Saunders, 1995</w:t>
        </w:r>
      </w:hyperlink>
      <w:r>
        <w:t xml:space="preserve">; </w:t>
      </w:r>
      <w:hyperlink w:anchor="ref-yair_meritocracy_2007">
        <w:r>
          <w:rPr>
            <w:rStyle w:val="Hyperlink"/>
          </w:rPr>
          <w:t>Yair, 2007</w:t>
        </w:r>
      </w:hyperlink>
      <w:r>
        <w:t xml:space="preserve">; </w:t>
      </w:r>
      <w:hyperlink w:anchor="ref-young_rise_1962">
        <w:r>
          <w:rPr>
            <w:rStyle w:val="Hyperlink"/>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yperlink"/>
          </w:rPr>
          <w:t>Hadjar, 2008</w:t>
        </w:r>
      </w:hyperlink>
      <w:r>
        <w:t xml:space="preserve">; </w:t>
      </w:r>
      <w:hyperlink w:anchor="ref-madeira_primes_2019">
        <w:r>
          <w:rPr>
            <w:rStyle w:val="Hyperlink"/>
          </w:rPr>
          <w:t>Madeira et al., 2019</w:t>
        </w:r>
      </w:hyperlink>
      <w:r>
        <w:t xml:space="preserve">; </w:t>
      </w:r>
      <w:hyperlink w:anchor="ref-preminger_meritocracy_2020">
        <w:r>
          <w:rPr>
            <w:rStyle w:val="Hyperlink"/>
          </w:rPr>
          <w:t>Preminger, 2020</w:t>
        </w:r>
      </w:hyperlink>
      <w:r>
        <w:t xml:space="preserve">; </w:t>
      </w:r>
      <w:hyperlink w:anchor="ref-trump_when_2020">
        <w:r>
          <w:rPr>
            <w:rStyle w:val="Hyperlink"/>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yperlink"/>
          </w:rPr>
          <w:t>Arrow et al., 2000</w:t>
        </w:r>
      </w:hyperlink>
      <w:r>
        <w:t xml:space="preserve">; </w:t>
      </w:r>
      <w:hyperlink w:anchor="ref-goldthorpe_myth_2003">
        <w:r>
          <w:rPr>
            <w:rStyle w:val="Hyperlink"/>
          </w:rPr>
          <w:t>Goldthorpe, 2003</w:t>
        </w:r>
      </w:hyperlink>
      <w:r>
        <w:t xml:space="preserve">; </w:t>
      </w:r>
      <w:hyperlink w:anchor="ref-khan_privilege_2013">
        <w:r>
          <w:rPr>
            <w:rStyle w:val="Hyperlink"/>
          </w:rPr>
          <w:t>Khan, 2013</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xml:space="preserve">; </w:t>
      </w:r>
      <w:hyperlink w:anchor="ref-witteveen_reconsidering_2020">
        <w:r>
          <w:rPr>
            <w:rStyle w:val="Hyperlink"/>
          </w:rPr>
          <w:t>Witteveen &amp; Attewell, 2020</w:t>
        </w:r>
      </w:hyperlink>
      <w:r>
        <w:t>).</w:t>
      </w:r>
    </w:p>
    <w:p w14:paraId="7F2BC41F" w14:textId="77777777" w:rsidR="00CD6E3F" w:rsidRDefault="00000000" w:rsidP="007C0141">
      <w:pPr>
        <w:pStyle w:val="BodyText"/>
      </w:pPr>
      <w:r>
        <w:t>Due to the role that meritocratic beliefs play in the justification of individual achievement (or failure) in contemporary societies (</w:t>
      </w:r>
      <w:hyperlink w:anchor="ref-hadjar_meritokratie_2008">
        <w:r>
          <w:rPr>
            <w:rStyle w:val="Hyperlink"/>
          </w:rPr>
          <w:t>Hadjar, 2008</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yperlink"/>
          </w:rPr>
          <w:t>Girerd &amp; Bonnot, 2020</w:t>
        </w:r>
      </w:hyperlink>
      <w:r>
        <w:t xml:space="preserve">, </w:t>
      </w:r>
      <w:hyperlink w:anchor="ref-girerd_neoliberalism_2020">
        <w:r>
          <w:rPr>
            <w:rStyle w:val="Hyperlink"/>
          </w:rPr>
          <w:t>2020</w:t>
        </w:r>
      </w:hyperlink>
      <w:r>
        <w:t xml:space="preserve">; </w:t>
      </w:r>
      <w:hyperlink w:anchor="ref-madeira_primes_2019">
        <w:r>
          <w:rPr>
            <w:rStyle w:val="Hyperlink"/>
          </w:rPr>
          <w:t>Madeira et al., 2019</w:t>
        </w:r>
      </w:hyperlink>
      <w:r>
        <w:t>), as well as the effects of meritocratic beliefs in educational (</w:t>
      </w:r>
      <w:hyperlink w:anchor="ref-generett_stories_2020">
        <w:r>
          <w:rPr>
            <w:rStyle w:val="Hyperlink"/>
          </w:rPr>
          <w:t>Generett &amp; Olson, 2020</w:t>
        </w:r>
      </w:hyperlink>
      <w:r>
        <w:t xml:space="preserve">; </w:t>
      </w:r>
      <w:hyperlink w:anchor="ref-owens_engines_2020">
        <w:r>
          <w:rPr>
            <w:rStyle w:val="Hyperlink"/>
          </w:rPr>
          <w:t>Owens &amp; de St Croix, 2020</w:t>
        </w:r>
      </w:hyperlink>
      <w:r>
        <w:t>) and organizational contexts (</w:t>
      </w:r>
      <w:hyperlink w:anchor="ref-aiello_new_2019">
        <w:r>
          <w:rPr>
            <w:rStyle w:val="Hyperlink"/>
          </w:rPr>
          <w:t>Aiello et al., 2019</w:t>
        </w:r>
      </w:hyperlink>
      <w:r>
        <w:t xml:space="preserve">; </w:t>
      </w:r>
      <w:hyperlink w:anchor="ref-perez_advancing_2020">
        <w:r>
          <w:rPr>
            <w:rStyle w:val="Hyperlink"/>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yperlink"/>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rsidP="007C0141">
      <w:pPr>
        <w:pStyle w:val="BodyText"/>
      </w:pPr>
      <w:r>
        <w:t xml:space="preserve">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w:t>
      </w:r>
      <w:r w:rsidRPr="005C4299">
        <w:rPr>
          <w:color w:val="000000" w:themeColor="text1"/>
        </w:rPr>
        <w:t xml:space="preserve">(the reason to use this survey wave instead of the last one on social inequality from 2019 is that the 2009 version includes some key items used in meritocratic reserach that were removed in 2019). </w:t>
      </w:r>
      <w:proofErr w:type="gramStart"/>
      <w:r>
        <w:t>Taking into account</w:t>
      </w:r>
      <w:proofErr w:type="gramEnd"/>
      <w:r>
        <w:t xml:space="preserve">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Heading2"/>
      </w:pPr>
      <w:bookmarkStart w:id="1" w:name="blackbox"/>
      <w:r>
        <w:t>The black box of meritocratic beliefs</w:t>
      </w:r>
    </w:p>
    <w:p w14:paraId="0C42C765" w14:textId="77777777" w:rsidR="00CD6E3F" w:rsidRDefault="00000000" w:rsidP="007C0141">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rsidP="007C0141">
      <w:pPr>
        <w:pStyle w:val="Compact"/>
        <w:numPr>
          <w:ilvl w:val="0"/>
          <w:numId w:val="15"/>
        </w:numPr>
      </w:pPr>
      <w:r>
        <w:rPr>
          <w:i/>
          <w:iCs/>
        </w:rPr>
        <w:t>Conceptual components</w:t>
      </w:r>
      <w:r>
        <w:t>: Is merit only effort?</w:t>
      </w:r>
    </w:p>
    <w:p w14:paraId="7A8CD477" w14:textId="77777777" w:rsidR="00CD6E3F" w:rsidRDefault="00000000" w:rsidP="007C0141">
      <w:pPr>
        <w:pStyle w:val="FirstParagraph"/>
      </w:pPr>
      <w:r>
        <w:t>One recent definition of meritocracy by Mijs (</w:t>
      </w:r>
      <w:hyperlink w:anchor="ref-mijs_paradox_2019">
        <w:r>
          <w:rPr>
            <w:rStyle w:val="Hyperlink"/>
          </w:rPr>
          <w:t>2019</w:t>
        </w:r>
      </w:hyperlink>
      <w:r>
        <w:t>) is the following: “When I discuss meritocracy beliefs, I am referring to citizens’ belief in the importance of hard work relative to structural factors.” (</w:t>
      </w:r>
      <w:hyperlink w:anchor="ref-mijs_paradox_2019">
        <w:r>
          <w:rPr>
            <w:rStyle w:val="Hyperlink"/>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3DDB34F4" w:rsidR="00CD6E3F" w:rsidRPr="005C4299" w:rsidRDefault="00000000" w:rsidP="007C0141">
      <w:pPr>
        <w:pStyle w:val="BodyText"/>
      </w:pPr>
      <w:r w:rsidRPr="0051025C">
        <w:t>The item used by Mijs (</w:t>
      </w:r>
      <w:hyperlink w:anchor="ref-mijs_paradox_2019">
        <w:r w:rsidRPr="0051025C">
          <w:rPr>
            <w:rStyle w:val="Hyperlink"/>
            <w:color w:val="000000" w:themeColor="text1"/>
          </w:rPr>
          <w:t>2019</w:t>
        </w:r>
      </w:hyperlink>
      <w:r w:rsidRPr="0051025C">
        <w:t>) is part of an item’s battery which is available in several international surveys, usually called “reasons to get ahead</w:t>
      </w:r>
      <w:r w:rsidR="0051025C" w:rsidRPr="0051025C">
        <w:t>”</w:t>
      </w:r>
      <w:r w:rsidRPr="0051025C">
        <w:t xml:space="preserve">. </w:t>
      </w:r>
      <w:r w:rsidR="0051025C">
        <w:t>In the ISSP, this battery</w:t>
      </w:r>
      <w:r w:rsidR="005C4299">
        <w:t xml:space="preserve"> belongs to the social inequality module---see Roberts et al. (2023) for a recent overview </w:t>
      </w:r>
      <w:r w:rsidR="007C0141">
        <w:t>of</w:t>
      </w:r>
      <w:r w:rsidR="005C4299">
        <w:t xml:space="preserve"> this module. </w:t>
      </w:r>
      <w:r>
        <w:t>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yperlink"/>
          </w:rPr>
          <w:t>Bubak, 2019</w:t>
        </w:r>
      </w:hyperlink>
      <w:r>
        <w:t xml:space="preserve">; </w:t>
      </w:r>
      <w:hyperlink w:anchor="ref-girerd_neoliberalism_2020">
        <w:r>
          <w:rPr>
            <w:rStyle w:val="Hyperlink"/>
          </w:rPr>
          <w:t>Girerd &amp; Bonnot, 2020</w:t>
        </w:r>
      </w:hyperlink>
      <w:r>
        <w:t>), raising the question: Is effort the only (or main) dimension behind the concept of meritocracy?</w:t>
      </w:r>
    </w:p>
    <w:p w14:paraId="6495599F" w14:textId="77777777" w:rsidR="00CD6E3F" w:rsidRDefault="00000000" w:rsidP="007C0141">
      <w:pPr>
        <w:pStyle w:val="BodyText"/>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yperlink"/>
          </w:rPr>
          <w:t>Atria et al., 2020</w:t>
        </w:r>
      </w:hyperlink>
      <w:r>
        <w:t>). Therefore, we suggest that a concept (and measure) of meritocracy benefits from including both talent and effort, as in Young’s original conception.</w:t>
      </w:r>
    </w:p>
    <w:p w14:paraId="509C25E4" w14:textId="77777777" w:rsidR="00CD6E3F" w:rsidRDefault="00000000" w:rsidP="007C0141">
      <w:pPr>
        <w:pStyle w:val="Compact"/>
        <w:numPr>
          <w:ilvl w:val="0"/>
          <w:numId w:val="16"/>
        </w:numPr>
      </w:pPr>
      <w:r>
        <w:t>Beliefs?</w:t>
      </w:r>
    </w:p>
    <w:p w14:paraId="116682B5" w14:textId="77777777" w:rsidR="00CD6E3F" w:rsidRDefault="00000000" w:rsidP="007C0141">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w:t>
      </w:r>
      <w:r>
        <w:lastRenderedPageBreak/>
        <w:t xml:space="preserve">illustrate this point, let us consider the commonly used “reasons to get ahead” items’ battery, mentioned above. Some versions of this battery ask “how important you think it is for getting 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rsidP="007C0141">
      <w:pPr>
        <w:pStyle w:val="BodyText"/>
      </w:pPr>
      <w:r>
        <w:t>The term belief has an ambiguous character in the literature, conceived as “idea-elements” by Converse (</w:t>
      </w:r>
      <w:hyperlink w:anchor="ref-converse_nature_1964">
        <w:r>
          <w:rPr>
            <w:rStyle w:val="Hyperlink"/>
          </w:rPr>
          <w:t>1964</w:t>
        </w:r>
      </w:hyperlink>
      <w:r>
        <w:t>) or “considerations” by Zaller (</w:t>
      </w:r>
      <w:hyperlink w:anchor="ref-zaller_nature_1992">
        <w:r>
          <w:rPr>
            <w:rStyle w:val="Hyperlink"/>
          </w:rPr>
          <w:t>1992</w:t>
        </w:r>
      </w:hyperlink>
      <w:r>
        <w:t>). As Kluegel &amp; Smith (</w:t>
      </w:r>
      <w:hyperlink w:anchor="ref-kluegel_beliefs_1986">
        <w:r>
          <w:rPr>
            <w:rStyle w:val="Hyperlink"/>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yperlink"/>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yperlink"/>
          </w:rPr>
          <w:t>2014</w:t>
        </w:r>
      </w:hyperlink>
      <w:r>
        <w:t>), the term belief is used to talk about what Janmaat (</w:t>
      </w:r>
      <w:hyperlink w:anchor="ref-janmaat_subjective_2013">
        <w:r>
          <w:rPr>
            <w:rStyle w:val="Hyperlink"/>
          </w:rPr>
          <w:t>2013</w:t>
        </w:r>
      </w:hyperlink>
      <w:r>
        <w:t>) refers to as perceptions, whereas other authors use general terms such as attitudes (</w:t>
      </w:r>
      <w:hyperlink w:anchor="ref-kunovich_systems_2007">
        <w:r>
          <w:rPr>
            <w:rStyle w:val="Hyperlink"/>
          </w:rPr>
          <w:t>Kunovich &amp; Slomczynski, 2007</w:t>
        </w:r>
      </w:hyperlink>
      <w:r>
        <w:t>). The first attempt to shed light on this issue in meritocracy research was made by Duru-Bellat &amp; Tenret (</w:t>
      </w:r>
      <w:hyperlink w:anchor="ref-duru-bellat_who_2012">
        <w:r>
          <w:rPr>
            <w:rStyle w:val="Hyperlink"/>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rsidP="007C0141">
      <w:pPr>
        <w:pStyle w:val="BodyText"/>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yperlink"/>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yperlink"/>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w:t>
      </w:r>
      <w:r>
        <w:lastRenderedPageBreak/>
        <w:t>meritocracy than to someone perceiving low meritocracy. To avoid the confusion generated by the term “belief”, we propose the terms meritocratic preferences (“what should be”), and meritocratic perceptions (“what is”), as they better reflect the two facets of meritocracy under scrutiny (</w:t>
      </w:r>
      <w:hyperlink w:anchor="ref-castillo_meritocracia_2019">
        <w:r>
          <w:rPr>
            <w:rStyle w:val="Hyperlink"/>
          </w:rPr>
          <w:t>Castillo et al., 2019</w:t>
        </w:r>
      </w:hyperlink>
      <w:r>
        <w:t>).</w:t>
      </w:r>
    </w:p>
    <w:p w14:paraId="76EAA338" w14:textId="77777777" w:rsidR="00CD6E3F" w:rsidRDefault="00000000" w:rsidP="007C0141">
      <w:pPr>
        <w:pStyle w:val="Compact"/>
        <w:numPr>
          <w:ilvl w:val="0"/>
          <w:numId w:val="17"/>
        </w:numPr>
      </w:pPr>
      <w:r>
        <w:t>Non-meritocratic aspects</w:t>
      </w:r>
    </w:p>
    <w:p w14:paraId="22848E83" w14:textId="77777777" w:rsidR="00CD6E3F" w:rsidRDefault="00000000" w:rsidP="007C0141">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yperlink"/>
          </w:rPr>
          <w:t>1936</w:t>
        </w:r>
      </w:hyperlink>
      <w:r>
        <w:t>). For instance, Kunovich &amp; Slomczynski (</w:t>
      </w:r>
      <w:hyperlink w:anchor="ref-kunovich_systems_2007">
        <w:r>
          <w:rPr>
            <w:rStyle w:val="Hyperlink"/>
          </w:rPr>
          <w:t>2007</w:t>
        </w:r>
      </w:hyperlink>
      <w:r>
        <w:t>) used an items’ battery following the question “How important each should be in deciding pay…” (as Duru-Bellat &amp; Tenret (</w:t>
      </w:r>
      <w:hyperlink w:anchor="ref-duru-bellat_who_2012">
        <w:r>
          <w:rPr>
            <w:rStyle w:val="Hyperlink"/>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yperlink"/>
          </w:rPr>
          <w:t>2015</w:t>
        </w:r>
      </w:hyperlink>
      <w:r>
        <w:t>), using the same principles applied in the “Preference for the Merit Principle Scale” (</w:t>
      </w:r>
      <w:hyperlink w:anchor="ref-davey_preference_1999">
        <w:r>
          <w:rPr>
            <w:rStyle w:val="Hyperlink"/>
          </w:rPr>
          <w:t>Davey et al., 1999</w:t>
        </w:r>
      </w:hyperlink>
      <w:r>
        <w:t>).</w:t>
      </w:r>
    </w:p>
    <w:p w14:paraId="525BF21C" w14:textId="77777777" w:rsidR="00CD6E3F" w:rsidRDefault="00000000" w:rsidP="007C0141">
      <w:pPr>
        <w:pStyle w:val="BodyText"/>
      </w:pPr>
      <w:r>
        <w:t>The assumption that meritocratic and non-meritocratic elements are poles of the same continuum was tested by Reynolds &amp; Xian (</w:t>
      </w:r>
      <w:hyperlink w:anchor="ref-reynolds_perceptions_2014">
        <w:r>
          <w:rPr>
            <w:rStyle w:val="Hyperlink"/>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yperlink"/>
          </w:rPr>
          <w:t>2007</w:t>
        </w:r>
      </w:hyperlink>
      <w:r>
        <w:t>) also did. Similarly, Roex et al. (</w:t>
      </w:r>
      <w:hyperlink w:anchor="ref-roex_attitudes_2018">
        <w:r>
          <w:rPr>
            <w:rStyle w:val="Hyperlink"/>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w:t>
      </w:r>
      <w:r>
        <w:lastRenderedPageBreak/>
        <w:t>in this regard, and of course the associated factors to such differences. Although the use of the concept “non-meritocratic” is very broad, we prefer to use it instead of other terms like ascription, given that this last one leaves out aspects such as the use of personal relationships as a way to achieve success.</w:t>
      </w:r>
    </w:p>
    <w:p w14:paraId="2C63F0B1" w14:textId="77777777" w:rsidR="00CD6E3F" w:rsidRDefault="00000000" w:rsidP="007C0141">
      <w:pPr>
        <w:pStyle w:val="Compact"/>
        <w:numPr>
          <w:ilvl w:val="0"/>
          <w:numId w:val="18"/>
        </w:numPr>
      </w:pPr>
      <w:r>
        <w:t>Accounting for measurement error</w:t>
      </w:r>
    </w:p>
    <w:p w14:paraId="11158BF2" w14:textId="77777777" w:rsidR="00CD6E3F" w:rsidRDefault="00000000" w:rsidP="007C0141">
      <w:pPr>
        <w:pStyle w:val="FirstParagraph"/>
      </w:pPr>
      <w:r>
        <w:t>Finally, most meritocracy studies have not adequately considered the issue of latent structures and measurement error (</w:t>
      </w:r>
      <w:hyperlink w:anchor="ref-ansolabehere_strength_2008">
        <w:r>
          <w:rPr>
            <w:rStyle w:val="Hyperlink"/>
          </w:rPr>
          <w:t>Ansolabehere et al., 2008</w:t>
        </w:r>
      </w:hyperlink>
      <w:r>
        <w:t xml:space="preserve">; </w:t>
      </w:r>
      <w:hyperlink w:anchor="ref-bollen_structural_1989">
        <w:r>
          <w:rPr>
            <w:rStyle w:val="Hyperlink"/>
          </w:rPr>
          <w:t>Bollen, 1989</w:t>
        </w:r>
      </w:hyperlink>
      <w:r>
        <w:t xml:space="preserve">; </w:t>
      </w:r>
      <w:hyperlink w:anchor="ref-brown_confirmatory_2015">
        <w:r>
          <w:rPr>
            <w:rStyle w:val="Hyperlink"/>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yperlink"/>
          </w:rPr>
          <w:t>Kunovich &amp; Slomczynski, 2007, pp. 653–654</w:t>
        </w:r>
      </w:hyperlink>
      <w:r>
        <w:t>). Although Reynolds and Xian (</w:t>
      </w:r>
      <w:hyperlink w:anchor="ref-reynolds_perceptions_2014">
        <w:r>
          <w:rPr>
            <w:rStyle w:val="Hyperlink"/>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rsidP="007C0141">
      <w:pPr>
        <w:pStyle w:val="BodyText"/>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Heading2"/>
      </w:pPr>
      <w:bookmarkStart w:id="2" w:name="instrumentprop"/>
      <w:bookmarkEnd w:id="1"/>
      <w:r>
        <w:t>A conceptual proposal for studying meritocracy</w:t>
      </w:r>
    </w:p>
    <w:p w14:paraId="492FA0F3" w14:textId="77777777" w:rsidR="00CD6E3F" w:rsidRDefault="00000000" w:rsidP="007C0141">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yperlink"/>
          </w:rPr>
          <w:t>Davidov, 2009</w:t>
        </w:r>
      </w:hyperlink>
      <w:r>
        <w:t>). In this regard, it differs from the proposal of “Preference for the Merit Principle Scale” (</w:t>
      </w:r>
      <w:hyperlink w:anchor="ref-davey_preference_1999">
        <w:r>
          <w:rPr>
            <w:rStyle w:val="Hyperlink"/>
          </w:rPr>
          <w:t>Davey et al., 1999</w:t>
        </w:r>
      </w:hyperlink>
      <w:r>
        <w:t>), as they use 15 items for just one dimension (aside from the problem of reverse-coding non-meritocratic items).</w:t>
      </w:r>
    </w:p>
    <w:p w14:paraId="754CCCAA" w14:textId="77777777" w:rsidR="00CD6E3F" w:rsidRDefault="00000000" w:rsidP="007C0141">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7"/>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rsidP="007C0141">
      <w:pPr>
        <w:pStyle w:val="BodyText"/>
      </w:pPr>
      <w:r>
        <w:t>The columns “Perceptions” and “Preferences” represent the distinction between these two concepts, usually confused under the label “beliefs” (</w:t>
      </w:r>
      <w:hyperlink w:anchor="ref-castillo_meritocracia_2019">
        <w:r>
          <w:rPr>
            <w:rStyle w:val="Hyperlink"/>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yperlink"/>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rsidP="007C0141">
      <w:pPr>
        <w:pStyle w:val="BodyText"/>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Heading1"/>
      </w:pPr>
      <w:bookmarkStart w:id="3" w:name="methodology"/>
      <w:bookmarkEnd w:id="0"/>
      <w:bookmarkEnd w:id="2"/>
      <w:r>
        <w:t>Methodology</w:t>
      </w:r>
    </w:p>
    <w:p w14:paraId="5405F48E" w14:textId="77777777" w:rsidR="00CD6E3F" w:rsidRDefault="00000000" w:rsidP="007C0141">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Heading1"/>
      </w:pPr>
      <w:bookmarkStart w:id="4" w:name="X837df1d06a50d825b4f3700b412469f5a973b3d"/>
      <w:bookmarkEnd w:id="3"/>
      <w:r>
        <w:t>Study 1: Analyzing meritocratic beliefs with ISSP data</w:t>
      </w:r>
    </w:p>
    <w:p w14:paraId="702004F1" w14:textId="77777777" w:rsidR="00CD6E3F" w:rsidRDefault="00000000">
      <w:pPr>
        <w:pStyle w:val="Heading2"/>
      </w:pPr>
      <w:bookmarkStart w:id="5" w:name="data"/>
      <w:r>
        <w:t>Data</w:t>
      </w:r>
    </w:p>
    <w:p w14:paraId="176A7F2C" w14:textId="77777777" w:rsidR="00CD6E3F" w:rsidRDefault="00000000" w:rsidP="007C0141">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yperlink"/>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Heading2"/>
      </w:pPr>
      <w:bookmarkStart w:id="6" w:name="variables"/>
      <w:bookmarkEnd w:id="5"/>
      <w:r>
        <w:lastRenderedPageBreak/>
        <w:t>Variables</w:t>
      </w:r>
    </w:p>
    <w:p w14:paraId="15E7C566" w14:textId="77777777" w:rsidR="00CD6E3F" w:rsidRDefault="00000000" w:rsidP="007C0141">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Style1"/>
        <w:tblW w:w="5000" w:type="pct"/>
        <w:tblLook w:val="0020" w:firstRow="1" w:lastRow="0" w:firstColumn="0" w:lastColumn="0" w:noHBand="0" w:noVBand="0"/>
        <w:tblCaption w:val="Table 1: Items of the ISSP meritocratic perceptions and preferences measures"/>
      </w:tblPr>
      <w:tblGrid>
        <w:gridCol w:w="1472"/>
        <w:gridCol w:w="2061"/>
        <w:gridCol w:w="5493"/>
      </w:tblGrid>
      <w:tr w:rsidR="00CD6E3F" w14:paraId="1FDC6EFC" w14:textId="77777777" w:rsidTr="00C348BB">
        <w:trPr>
          <w:cnfStyle w:val="100000000000" w:firstRow="1" w:lastRow="0" w:firstColumn="0" w:lastColumn="0" w:oddVBand="0" w:evenVBand="0" w:oddHBand="0" w:evenHBand="0" w:firstRowFirstColumn="0" w:firstRowLastColumn="0" w:lastRowFirstColumn="0" w:lastRowLastColumn="0"/>
        </w:trPr>
        <w:tc>
          <w:tcPr>
            <w:tcW w:w="0" w:type="auto"/>
          </w:tcPr>
          <w:p w14:paraId="671B60B2" w14:textId="77777777" w:rsidR="00CD6E3F" w:rsidRDefault="00000000" w:rsidP="007C0141">
            <w:pPr>
              <w:pStyle w:val="Compact"/>
            </w:pPr>
            <w:r>
              <w:t>Component</w:t>
            </w:r>
          </w:p>
        </w:tc>
        <w:tc>
          <w:tcPr>
            <w:tcW w:w="0" w:type="auto"/>
          </w:tcPr>
          <w:p w14:paraId="20597B30" w14:textId="77777777" w:rsidR="00CD6E3F" w:rsidRDefault="00000000" w:rsidP="007C0141">
            <w:pPr>
              <w:pStyle w:val="Compact"/>
            </w:pPr>
            <w:r>
              <w:t>Dimensions</w:t>
            </w:r>
          </w:p>
        </w:tc>
        <w:tc>
          <w:tcPr>
            <w:tcW w:w="0" w:type="auto"/>
          </w:tcPr>
          <w:p w14:paraId="23D790D8" w14:textId="77777777" w:rsidR="00CD6E3F" w:rsidRDefault="00000000" w:rsidP="007C0141">
            <w:pPr>
              <w:pStyle w:val="Compact"/>
            </w:pPr>
            <w:r>
              <w:t>Item</w:t>
            </w:r>
          </w:p>
        </w:tc>
      </w:tr>
      <w:tr w:rsidR="00CD6E3F" w14:paraId="373B0579" w14:textId="77777777" w:rsidTr="00C348BB">
        <w:tc>
          <w:tcPr>
            <w:tcW w:w="0" w:type="auto"/>
          </w:tcPr>
          <w:p w14:paraId="669A7C15" w14:textId="77777777" w:rsidR="00CD6E3F" w:rsidRDefault="00000000" w:rsidP="007C0141">
            <w:pPr>
              <w:pStyle w:val="Compact"/>
            </w:pPr>
            <w:r>
              <w:t>Perception</w:t>
            </w:r>
          </w:p>
        </w:tc>
        <w:tc>
          <w:tcPr>
            <w:tcW w:w="0" w:type="auto"/>
          </w:tcPr>
          <w:p w14:paraId="4F9716DB" w14:textId="77777777" w:rsidR="00CD6E3F" w:rsidRDefault="00000000" w:rsidP="007C0141">
            <w:pPr>
              <w:pStyle w:val="Compact"/>
            </w:pPr>
            <w:r>
              <w:t>Meritocratic</w:t>
            </w:r>
          </w:p>
        </w:tc>
        <w:tc>
          <w:tcPr>
            <w:tcW w:w="0" w:type="auto"/>
          </w:tcPr>
          <w:p w14:paraId="7254B89B" w14:textId="77777777" w:rsidR="00CD6E3F" w:rsidRDefault="00000000" w:rsidP="007C0141">
            <w:pPr>
              <w:pStyle w:val="Compact"/>
            </w:pPr>
            <w:r>
              <w:t>How important is having ambition?</w:t>
            </w:r>
          </w:p>
        </w:tc>
      </w:tr>
      <w:tr w:rsidR="00CD6E3F" w14:paraId="57DB0EA5" w14:textId="77777777" w:rsidTr="00C348BB">
        <w:tc>
          <w:tcPr>
            <w:tcW w:w="0" w:type="auto"/>
          </w:tcPr>
          <w:p w14:paraId="6E4DD3D6" w14:textId="77777777" w:rsidR="00CD6E3F" w:rsidRDefault="00000000" w:rsidP="007C0141">
            <w:pPr>
              <w:pStyle w:val="Compact"/>
            </w:pPr>
            <w:r>
              <w:t>Perception</w:t>
            </w:r>
          </w:p>
        </w:tc>
        <w:tc>
          <w:tcPr>
            <w:tcW w:w="0" w:type="auto"/>
          </w:tcPr>
          <w:p w14:paraId="3AC4B3A0" w14:textId="77777777" w:rsidR="00CD6E3F" w:rsidRDefault="00000000" w:rsidP="007C0141">
            <w:pPr>
              <w:pStyle w:val="Compact"/>
            </w:pPr>
            <w:r>
              <w:t>Meritocratic</w:t>
            </w:r>
          </w:p>
        </w:tc>
        <w:tc>
          <w:tcPr>
            <w:tcW w:w="0" w:type="auto"/>
          </w:tcPr>
          <w:p w14:paraId="272BD6C5" w14:textId="77777777" w:rsidR="00CD6E3F" w:rsidRDefault="00000000" w:rsidP="007C0141">
            <w:pPr>
              <w:pStyle w:val="Compact"/>
            </w:pPr>
            <w:r>
              <w:t>How important is hard work?</w:t>
            </w:r>
          </w:p>
        </w:tc>
      </w:tr>
      <w:tr w:rsidR="00CD6E3F" w14:paraId="0A466CEA" w14:textId="77777777" w:rsidTr="00C348BB">
        <w:tc>
          <w:tcPr>
            <w:tcW w:w="0" w:type="auto"/>
          </w:tcPr>
          <w:p w14:paraId="09CDA9EF" w14:textId="77777777" w:rsidR="00CD6E3F" w:rsidRDefault="00000000" w:rsidP="007C0141">
            <w:pPr>
              <w:pStyle w:val="Compact"/>
            </w:pPr>
            <w:r>
              <w:t>Perception</w:t>
            </w:r>
          </w:p>
        </w:tc>
        <w:tc>
          <w:tcPr>
            <w:tcW w:w="0" w:type="auto"/>
          </w:tcPr>
          <w:p w14:paraId="31FCEF12" w14:textId="77777777" w:rsidR="00CD6E3F" w:rsidRDefault="00000000" w:rsidP="007C0141">
            <w:pPr>
              <w:pStyle w:val="Compact"/>
            </w:pPr>
            <w:r>
              <w:t>Non-meritocratic</w:t>
            </w:r>
          </w:p>
        </w:tc>
        <w:tc>
          <w:tcPr>
            <w:tcW w:w="0" w:type="auto"/>
          </w:tcPr>
          <w:p w14:paraId="4F6C56B0" w14:textId="77777777" w:rsidR="00CD6E3F" w:rsidRDefault="00000000" w:rsidP="007C0141">
            <w:pPr>
              <w:pStyle w:val="Compact"/>
            </w:pPr>
            <w:r>
              <w:t>How important is coming from a wealthy family?</w:t>
            </w:r>
          </w:p>
        </w:tc>
      </w:tr>
      <w:tr w:rsidR="00CD6E3F" w14:paraId="21532CA9" w14:textId="77777777" w:rsidTr="00C348BB">
        <w:tc>
          <w:tcPr>
            <w:tcW w:w="0" w:type="auto"/>
          </w:tcPr>
          <w:p w14:paraId="4ACD11B7" w14:textId="77777777" w:rsidR="00CD6E3F" w:rsidRDefault="00000000" w:rsidP="007C0141">
            <w:pPr>
              <w:pStyle w:val="Compact"/>
            </w:pPr>
            <w:r>
              <w:t>Perception</w:t>
            </w:r>
          </w:p>
        </w:tc>
        <w:tc>
          <w:tcPr>
            <w:tcW w:w="0" w:type="auto"/>
          </w:tcPr>
          <w:p w14:paraId="382D88F9" w14:textId="77777777" w:rsidR="00CD6E3F" w:rsidRDefault="00000000" w:rsidP="007C0141">
            <w:pPr>
              <w:pStyle w:val="Compact"/>
            </w:pPr>
            <w:r>
              <w:t>Non-meritocratic</w:t>
            </w:r>
          </w:p>
        </w:tc>
        <w:tc>
          <w:tcPr>
            <w:tcW w:w="0" w:type="auto"/>
          </w:tcPr>
          <w:p w14:paraId="45EC9D16" w14:textId="77777777" w:rsidR="00CD6E3F" w:rsidRDefault="00000000" w:rsidP="007C0141">
            <w:pPr>
              <w:pStyle w:val="Compact"/>
            </w:pPr>
            <w:r>
              <w:t>How important is having well-educated parents?</w:t>
            </w:r>
          </w:p>
        </w:tc>
      </w:tr>
      <w:tr w:rsidR="00CD6E3F" w14:paraId="49FCD7E4" w14:textId="77777777" w:rsidTr="00C348BB">
        <w:tc>
          <w:tcPr>
            <w:tcW w:w="0" w:type="auto"/>
          </w:tcPr>
          <w:p w14:paraId="0EE516CE" w14:textId="77777777" w:rsidR="00CD6E3F" w:rsidRDefault="00000000" w:rsidP="007C0141">
            <w:pPr>
              <w:pStyle w:val="Compact"/>
            </w:pPr>
            <w:r>
              <w:t>Perception</w:t>
            </w:r>
          </w:p>
        </w:tc>
        <w:tc>
          <w:tcPr>
            <w:tcW w:w="0" w:type="auto"/>
          </w:tcPr>
          <w:p w14:paraId="05A89449" w14:textId="77777777" w:rsidR="00CD6E3F" w:rsidRDefault="00000000" w:rsidP="007C0141">
            <w:pPr>
              <w:pStyle w:val="Compact"/>
            </w:pPr>
            <w:r>
              <w:t>Non-meritocratic</w:t>
            </w:r>
          </w:p>
        </w:tc>
        <w:tc>
          <w:tcPr>
            <w:tcW w:w="0" w:type="auto"/>
          </w:tcPr>
          <w:p w14:paraId="2F4D77E2" w14:textId="77777777" w:rsidR="00CD6E3F" w:rsidRDefault="00000000" w:rsidP="007C0141">
            <w:pPr>
              <w:pStyle w:val="Compact"/>
            </w:pPr>
            <w:r>
              <w:t>How important is a person’s race?</w:t>
            </w:r>
          </w:p>
        </w:tc>
      </w:tr>
      <w:tr w:rsidR="00CD6E3F" w14:paraId="6365E83E" w14:textId="77777777" w:rsidTr="00C348BB">
        <w:tc>
          <w:tcPr>
            <w:tcW w:w="0" w:type="auto"/>
          </w:tcPr>
          <w:p w14:paraId="03F327EA" w14:textId="77777777" w:rsidR="00CD6E3F" w:rsidRDefault="00000000" w:rsidP="007C0141">
            <w:pPr>
              <w:pStyle w:val="Compact"/>
            </w:pPr>
            <w:r>
              <w:t>Perception</w:t>
            </w:r>
          </w:p>
        </w:tc>
        <w:tc>
          <w:tcPr>
            <w:tcW w:w="0" w:type="auto"/>
          </w:tcPr>
          <w:p w14:paraId="224EE692" w14:textId="77777777" w:rsidR="00CD6E3F" w:rsidRDefault="00000000" w:rsidP="007C0141">
            <w:pPr>
              <w:pStyle w:val="Compact"/>
            </w:pPr>
            <w:r>
              <w:t>Non-meritocratic</w:t>
            </w:r>
          </w:p>
        </w:tc>
        <w:tc>
          <w:tcPr>
            <w:tcW w:w="0" w:type="auto"/>
          </w:tcPr>
          <w:p w14:paraId="47F0291C" w14:textId="77777777" w:rsidR="00CD6E3F" w:rsidRDefault="00000000" w:rsidP="007C0141">
            <w:pPr>
              <w:pStyle w:val="Compact"/>
            </w:pPr>
            <w:r>
              <w:t>How important is being born a man or a woman?</w:t>
            </w:r>
          </w:p>
        </w:tc>
      </w:tr>
      <w:tr w:rsidR="00CD6E3F" w14:paraId="2CE3D8FA" w14:textId="77777777" w:rsidTr="00C348BB">
        <w:tc>
          <w:tcPr>
            <w:tcW w:w="0" w:type="auto"/>
          </w:tcPr>
          <w:p w14:paraId="578B80E4" w14:textId="77777777" w:rsidR="00CD6E3F" w:rsidRDefault="00000000" w:rsidP="007C0141">
            <w:pPr>
              <w:pStyle w:val="Compact"/>
            </w:pPr>
            <w:r>
              <w:t>Perception</w:t>
            </w:r>
          </w:p>
        </w:tc>
        <w:tc>
          <w:tcPr>
            <w:tcW w:w="0" w:type="auto"/>
          </w:tcPr>
          <w:p w14:paraId="1DDC9A06" w14:textId="77777777" w:rsidR="00CD6E3F" w:rsidRDefault="00000000" w:rsidP="007C0141">
            <w:pPr>
              <w:pStyle w:val="Compact"/>
            </w:pPr>
            <w:r>
              <w:t>Non-meritocratic</w:t>
            </w:r>
          </w:p>
        </w:tc>
        <w:tc>
          <w:tcPr>
            <w:tcW w:w="0" w:type="auto"/>
          </w:tcPr>
          <w:p w14:paraId="330DA0F0" w14:textId="77777777" w:rsidR="00CD6E3F" w:rsidRDefault="00000000" w:rsidP="007C0141">
            <w:pPr>
              <w:pStyle w:val="Compact"/>
            </w:pPr>
            <w:r>
              <w:t>How important is knowing the right people</w:t>
            </w:r>
          </w:p>
        </w:tc>
      </w:tr>
      <w:tr w:rsidR="00CD6E3F" w14:paraId="7917D8F6" w14:textId="77777777" w:rsidTr="00C348BB">
        <w:tc>
          <w:tcPr>
            <w:tcW w:w="0" w:type="auto"/>
          </w:tcPr>
          <w:p w14:paraId="3C07B4BB" w14:textId="77777777" w:rsidR="00CD6E3F" w:rsidRDefault="00000000" w:rsidP="007C0141">
            <w:pPr>
              <w:pStyle w:val="Compact"/>
            </w:pPr>
            <w:r>
              <w:t>Perception</w:t>
            </w:r>
          </w:p>
        </w:tc>
        <w:tc>
          <w:tcPr>
            <w:tcW w:w="0" w:type="auto"/>
          </w:tcPr>
          <w:p w14:paraId="0EAD2F78" w14:textId="77777777" w:rsidR="00CD6E3F" w:rsidRDefault="00000000" w:rsidP="007C0141">
            <w:pPr>
              <w:pStyle w:val="Compact"/>
            </w:pPr>
            <w:r>
              <w:t>Non-meritocratic</w:t>
            </w:r>
          </w:p>
        </w:tc>
        <w:tc>
          <w:tcPr>
            <w:tcW w:w="0" w:type="auto"/>
          </w:tcPr>
          <w:p w14:paraId="2502D7A7" w14:textId="77777777" w:rsidR="00CD6E3F" w:rsidRDefault="00000000" w:rsidP="007C0141">
            <w:pPr>
              <w:pStyle w:val="Compact"/>
            </w:pPr>
            <w:r>
              <w:t>How important is having political connections</w:t>
            </w:r>
          </w:p>
        </w:tc>
      </w:tr>
      <w:tr w:rsidR="00CD6E3F" w14:paraId="02FC869E" w14:textId="77777777" w:rsidTr="00C348BB">
        <w:tc>
          <w:tcPr>
            <w:tcW w:w="0" w:type="auto"/>
          </w:tcPr>
          <w:p w14:paraId="22EB5785" w14:textId="77777777" w:rsidR="00CD6E3F" w:rsidRDefault="00000000" w:rsidP="007C0141">
            <w:pPr>
              <w:pStyle w:val="Compact"/>
            </w:pPr>
            <w:r>
              <w:t>Preference</w:t>
            </w:r>
          </w:p>
        </w:tc>
        <w:tc>
          <w:tcPr>
            <w:tcW w:w="0" w:type="auto"/>
          </w:tcPr>
          <w:p w14:paraId="3989506D" w14:textId="77777777" w:rsidR="00CD6E3F" w:rsidRDefault="00000000" w:rsidP="007C0141">
            <w:pPr>
              <w:pStyle w:val="Compact"/>
            </w:pPr>
            <w:r>
              <w:t>Meritocratic</w:t>
            </w:r>
          </w:p>
        </w:tc>
        <w:tc>
          <w:tcPr>
            <w:tcW w:w="0" w:type="auto"/>
          </w:tcPr>
          <w:p w14:paraId="63DF2788" w14:textId="77777777" w:rsidR="00CD6E3F" w:rsidRDefault="00000000" w:rsidP="007C0141">
            <w:pPr>
              <w:pStyle w:val="Compact"/>
            </w:pPr>
            <w:r>
              <w:t>How well he or she does the job?</w:t>
            </w:r>
          </w:p>
        </w:tc>
      </w:tr>
      <w:tr w:rsidR="00CD6E3F" w14:paraId="1FC508D6" w14:textId="77777777" w:rsidTr="00C348BB">
        <w:tc>
          <w:tcPr>
            <w:tcW w:w="0" w:type="auto"/>
          </w:tcPr>
          <w:p w14:paraId="2CC518B1" w14:textId="77777777" w:rsidR="00CD6E3F" w:rsidRDefault="00000000" w:rsidP="007C0141">
            <w:pPr>
              <w:pStyle w:val="Compact"/>
            </w:pPr>
            <w:r>
              <w:t>Preference</w:t>
            </w:r>
          </w:p>
        </w:tc>
        <w:tc>
          <w:tcPr>
            <w:tcW w:w="0" w:type="auto"/>
          </w:tcPr>
          <w:p w14:paraId="2051081C" w14:textId="77777777" w:rsidR="00CD6E3F" w:rsidRDefault="00000000" w:rsidP="007C0141">
            <w:pPr>
              <w:pStyle w:val="Compact"/>
            </w:pPr>
            <w:r>
              <w:t>Meritocratic</w:t>
            </w:r>
          </w:p>
        </w:tc>
        <w:tc>
          <w:tcPr>
            <w:tcW w:w="0" w:type="auto"/>
          </w:tcPr>
          <w:p w14:paraId="5FB0E16D" w14:textId="77777777" w:rsidR="00CD6E3F" w:rsidRDefault="00000000" w:rsidP="007C0141">
            <w:pPr>
              <w:pStyle w:val="Compact"/>
            </w:pPr>
            <w:r>
              <w:t>How hard he or she works at the job?</w:t>
            </w:r>
          </w:p>
        </w:tc>
      </w:tr>
      <w:tr w:rsidR="00CD6E3F" w14:paraId="61593EFC" w14:textId="77777777" w:rsidTr="00C348BB">
        <w:tc>
          <w:tcPr>
            <w:tcW w:w="0" w:type="auto"/>
          </w:tcPr>
          <w:p w14:paraId="64F0C558" w14:textId="77777777" w:rsidR="00CD6E3F" w:rsidRDefault="00000000" w:rsidP="007C0141">
            <w:pPr>
              <w:pStyle w:val="Compact"/>
            </w:pPr>
            <w:r>
              <w:t>Preference</w:t>
            </w:r>
          </w:p>
        </w:tc>
        <w:tc>
          <w:tcPr>
            <w:tcW w:w="0" w:type="auto"/>
          </w:tcPr>
          <w:p w14:paraId="03CFA560" w14:textId="77777777" w:rsidR="00CD6E3F" w:rsidRDefault="00000000" w:rsidP="007C0141">
            <w:pPr>
              <w:pStyle w:val="Compact"/>
            </w:pPr>
            <w:r>
              <w:t>Non-meritocratic</w:t>
            </w:r>
          </w:p>
        </w:tc>
        <w:tc>
          <w:tcPr>
            <w:tcW w:w="0" w:type="auto"/>
          </w:tcPr>
          <w:p w14:paraId="500816A3" w14:textId="77777777" w:rsidR="00CD6E3F" w:rsidRDefault="00000000" w:rsidP="007C0141">
            <w:pPr>
              <w:pStyle w:val="Compact"/>
            </w:pPr>
            <w:r>
              <w:t>What is needed to support a family?</w:t>
            </w:r>
          </w:p>
        </w:tc>
      </w:tr>
      <w:tr w:rsidR="00CD6E3F" w14:paraId="64DA2C3D" w14:textId="77777777" w:rsidTr="00C348BB">
        <w:tc>
          <w:tcPr>
            <w:tcW w:w="0" w:type="auto"/>
          </w:tcPr>
          <w:p w14:paraId="37D2263C" w14:textId="77777777" w:rsidR="00CD6E3F" w:rsidRDefault="00000000" w:rsidP="007C0141">
            <w:pPr>
              <w:pStyle w:val="Compact"/>
            </w:pPr>
            <w:r>
              <w:t>Preference</w:t>
            </w:r>
          </w:p>
        </w:tc>
        <w:tc>
          <w:tcPr>
            <w:tcW w:w="0" w:type="auto"/>
          </w:tcPr>
          <w:p w14:paraId="141199BA" w14:textId="77777777" w:rsidR="00CD6E3F" w:rsidRDefault="00000000" w:rsidP="007C0141">
            <w:pPr>
              <w:pStyle w:val="Compact"/>
            </w:pPr>
            <w:r>
              <w:t>Non-meritocratic</w:t>
            </w:r>
          </w:p>
        </w:tc>
        <w:tc>
          <w:tcPr>
            <w:tcW w:w="0" w:type="auto"/>
          </w:tcPr>
          <w:p w14:paraId="02432474" w14:textId="77777777" w:rsidR="00CD6E3F" w:rsidRDefault="00000000" w:rsidP="007C0141">
            <w:pPr>
              <w:pStyle w:val="Compact"/>
            </w:pPr>
            <w:r>
              <w:t>Whether the person has children to support?</w:t>
            </w:r>
          </w:p>
        </w:tc>
      </w:tr>
    </w:tbl>
    <w:p w14:paraId="20DFFF8C" w14:textId="77777777" w:rsidR="00CD6E3F" w:rsidRDefault="00000000" w:rsidP="007C0141">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w:t>
      </w:r>
      <w:proofErr w:type="gramStart"/>
      <w:r>
        <w:t>fairly important</w:t>
      </w:r>
      <w:proofErr w:type="gramEnd"/>
      <w:r>
        <w:t>, not very important, not important at all.</w:t>
      </w:r>
    </w:p>
    <w:p w14:paraId="4C5B711B" w14:textId="77777777" w:rsidR="00CD6E3F" w:rsidRDefault="00000000" w:rsidP="007C0141">
      <w:pPr>
        <w:pStyle w:val="FirstParagraph"/>
      </w:pPr>
      <w:r>
        <w:t xml:space="preserve">The classification of the items is based on criteria of internal motivation (meritocratic) and structural constraints (non-meritocratic). There were two items from the battery that were excluded from the analysis as they would not fit into the classification. The first one was </w:t>
      </w:r>
      <w:r>
        <w:lastRenderedPageBreak/>
        <w:t>“having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rsidP="007C0141">
      <w:pPr>
        <w:pStyle w:val="Compact"/>
        <w:numPr>
          <w:ilvl w:val="0"/>
          <w:numId w:val="21"/>
        </w:numPr>
      </w:pPr>
      <w:r>
        <w:rPr>
          <w:i/>
          <w:iCs/>
        </w:rPr>
        <w:t>Preferences for meritocracy-non meritocracy</w:t>
      </w:r>
      <w:r>
        <w:t xml:space="preserve">: for the operationalization of normative </w:t>
      </w:r>
      <w:proofErr w:type="gramStart"/>
      <w:r>
        <w:t>preferences</w:t>
      </w:r>
      <w:proofErr w:type="gramEnd"/>
      <w:r>
        <w:t xml:space="preserve">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Heading2"/>
      </w:pPr>
      <w:bookmarkStart w:id="7" w:name="methods"/>
      <w:bookmarkEnd w:id="6"/>
      <w:r>
        <w:t>Methods</w:t>
      </w:r>
    </w:p>
    <w:p w14:paraId="33C7D854" w14:textId="77777777" w:rsidR="00CD6E3F" w:rsidRDefault="00000000" w:rsidP="007C0141">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yperlink"/>
          </w:rPr>
          <w:t>2012</w:t>
        </w:r>
      </w:hyperlink>
      <w:r>
        <w:t>)), with diagonally weighted least squares (DWLS) estimation due to the items’ ordinal level of measurement (</w:t>
      </w:r>
      <w:hyperlink w:anchor="ref-kline_principles_2016">
        <w:r>
          <w:rPr>
            <w:rStyle w:val="Hyperlink"/>
          </w:rPr>
          <w:t>Kline, 2016</w:t>
        </w:r>
      </w:hyperlink>
      <w:r>
        <w:t xml:space="preserve">; </w:t>
      </w:r>
      <w:hyperlink w:anchor="ref-rosseel_lavaan_2012a">
        <w:r>
          <w:rPr>
            <w:rStyle w:val="Hyperlink"/>
          </w:rPr>
          <w:t>Rosseel, 2012</w:t>
        </w:r>
      </w:hyperlink>
      <w:r>
        <w:t>). As recommended by Brown (</w:t>
      </w:r>
      <w:hyperlink w:anchor="ref-brown_confirmatory_2015">
        <w:r>
          <w:rPr>
            <w:rStyle w:val="Hyperlink"/>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Heading2"/>
      </w:pPr>
      <w:bookmarkStart w:id="8" w:name="results"/>
      <w:bookmarkEnd w:id="7"/>
      <w:r>
        <w:t>Results</w:t>
      </w:r>
    </w:p>
    <w:p w14:paraId="13BAA3D9" w14:textId="77777777" w:rsidR="00CD6E3F" w:rsidRDefault="00000000">
      <w:pPr>
        <w:pStyle w:val="Heading3"/>
      </w:pPr>
      <w:bookmarkStart w:id="9" w:name="descriptive-analyses"/>
      <w:r>
        <w:t>Descriptive analyses</w:t>
      </w:r>
    </w:p>
    <w:p w14:paraId="7A2C6B55" w14:textId="77777777" w:rsidR="00CD6E3F" w:rsidRDefault="00000000" w:rsidP="007C0141">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8"/>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rsidP="007C0141">
      <w:pPr>
        <w:pStyle w:val="BodyText"/>
      </w:pPr>
      <w:r>
        <w:t>In terms of the association between the indicators, Figure 3 shows the polychoric correlation matrix. Firstly, according to the criteria suggested by Cohen (</w:t>
      </w:r>
      <w:hyperlink w:anchor="ref-cohen_statistical_1988">
        <w:r>
          <w:rPr>
            <w:rStyle w:val="Hyperlink"/>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9"/>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Heading3"/>
      </w:pPr>
      <w:bookmarkStart w:id="10" w:name="confirmatory-factor-analysis"/>
      <w:bookmarkEnd w:id="9"/>
      <w:r>
        <w:t>Confirmatory Factor Analysis</w:t>
      </w:r>
    </w:p>
    <w:p w14:paraId="229625DF" w14:textId="77777777" w:rsidR="00CD6E3F" w:rsidRDefault="00000000" w:rsidP="007C0141">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Style1"/>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711AEDF9" w14:textId="77777777" w:rsidR="00CD6E3F" w:rsidRDefault="00000000" w:rsidP="007C0141">
            <w:pPr>
              <w:pStyle w:val="Compact"/>
            </w:pPr>
            <w:r>
              <w:t>Model</w:t>
            </w:r>
          </w:p>
        </w:tc>
        <w:tc>
          <w:tcPr>
            <w:tcW w:w="0" w:type="auto"/>
          </w:tcPr>
          <w:p w14:paraId="312867DD" w14:textId="77777777" w:rsidR="00CD6E3F" w:rsidRDefault="00000000" w:rsidP="007C0141">
            <w:pPr>
              <w:pStyle w:val="Compact"/>
            </w:pPr>
            <m:oMathPara>
              <m:oMath>
                <m:r>
                  <w:rPr>
                    <w:rFonts w:ascii="Cambria Math" w:hAnsi="Cambria Math"/>
                  </w:rPr>
                  <m:t>N</m:t>
                </m:r>
              </m:oMath>
            </m:oMathPara>
          </w:p>
        </w:tc>
        <w:tc>
          <w:tcPr>
            <w:tcW w:w="0" w:type="auto"/>
          </w:tcPr>
          <w:p w14:paraId="76254D3E" w14:textId="77777777" w:rsidR="00CD6E3F" w:rsidRDefault="00000000" w:rsidP="007C0141">
            <w:pPr>
              <w:pStyle w:val="Compact"/>
            </w:pPr>
            <w:r>
              <w:t>Estimator</w:t>
            </w:r>
          </w:p>
        </w:tc>
        <w:tc>
          <w:tcPr>
            <w:tcW w:w="0" w:type="auto"/>
          </w:tcPr>
          <w:p w14:paraId="10113A10"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rsidP="007C0141">
            <w:pPr>
              <w:pStyle w:val="Compact"/>
            </w:pPr>
            <w:r>
              <w:t>df</w:t>
            </w:r>
          </w:p>
        </w:tc>
        <w:tc>
          <w:tcPr>
            <w:tcW w:w="0" w:type="auto"/>
          </w:tcPr>
          <w:p w14:paraId="4AB36FC2" w14:textId="77777777" w:rsidR="00CD6E3F" w:rsidRDefault="00000000" w:rsidP="007C0141">
            <w:pPr>
              <w:pStyle w:val="Compact"/>
            </w:pPr>
            <w:r>
              <w:t>CFI</w:t>
            </w:r>
          </w:p>
        </w:tc>
        <w:tc>
          <w:tcPr>
            <w:tcW w:w="0" w:type="auto"/>
          </w:tcPr>
          <w:p w14:paraId="60D34801" w14:textId="77777777" w:rsidR="00CD6E3F" w:rsidRDefault="00000000" w:rsidP="007C0141">
            <w:pPr>
              <w:pStyle w:val="Compact"/>
            </w:pPr>
            <w:r>
              <w:t>TLI</w:t>
            </w:r>
          </w:p>
        </w:tc>
        <w:tc>
          <w:tcPr>
            <w:tcW w:w="0" w:type="auto"/>
          </w:tcPr>
          <w:p w14:paraId="247E4919" w14:textId="77777777" w:rsidR="00CD6E3F" w:rsidRDefault="00000000" w:rsidP="007C0141">
            <w:pPr>
              <w:pStyle w:val="Compact"/>
            </w:pPr>
            <w:r>
              <w:t>RMSEA</w:t>
            </w:r>
          </w:p>
        </w:tc>
      </w:tr>
      <w:tr w:rsidR="00CD6E3F" w14:paraId="587E859A" w14:textId="77777777" w:rsidTr="000A22E7">
        <w:tc>
          <w:tcPr>
            <w:tcW w:w="0" w:type="auto"/>
          </w:tcPr>
          <w:p w14:paraId="3E1C17B4" w14:textId="77777777" w:rsidR="00CD6E3F" w:rsidRDefault="00000000" w:rsidP="007C0141">
            <w:pPr>
              <w:pStyle w:val="Compact"/>
            </w:pPr>
            <w:r>
              <w:t>First order</w:t>
            </w:r>
          </w:p>
        </w:tc>
        <w:tc>
          <w:tcPr>
            <w:tcW w:w="0" w:type="auto"/>
          </w:tcPr>
          <w:p w14:paraId="56C62DA1" w14:textId="77777777" w:rsidR="00CD6E3F" w:rsidRDefault="00000000" w:rsidP="007C0141">
            <w:pPr>
              <w:pStyle w:val="Compact"/>
            </w:pPr>
            <w:r>
              <w:t>46594</w:t>
            </w:r>
          </w:p>
        </w:tc>
        <w:tc>
          <w:tcPr>
            <w:tcW w:w="0" w:type="auto"/>
          </w:tcPr>
          <w:p w14:paraId="0BD16025" w14:textId="77777777" w:rsidR="00CD6E3F" w:rsidRDefault="00000000" w:rsidP="007C0141">
            <w:pPr>
              <w:pStyle w:val="Compact"/>
            </w:pPr>
            <w:r>
              <w:t>DWLS</w:t>
            </w:r>
          </w:p>
        </w:tc>
        <w:tc>
          <w:tcPr>
            <w:tcW w:w="0" w:type="auto"/>
          </w:tcPr>
          <w:p w14:paraId="7A621912" w14:textId="77777777" w:rsidR="00CD6E3F" w:rsidRDefault="00000000" w:rsidP="007C0141">
            <w:pPr>
              <w:pStyle w:val="Compact"/>
            </w:pPr>
            <w:r>
              <w:t>21308.535</w:t>
            </w:r>
          </w:p>
        </w:tc>
        <w:tc>
          <w:tcPr>
            <w:tcW w:w="0" w:type="auto"/>
          </w:tcPr>
          <w:p w14:paraId="2068B922" w14:textId="77777777" w:rsidR="00CD6E3F" w:rsidRDefault="00000000" w:rsidP="007C0141">
            <w:pPr>
              <w:pStyle w:val="Compact"/>
            </w:pPr>
            <w:r>
              <w:t>48</w:t>
            </w:r>
          </w:p>
        </w:tc>
        <w:tc>
          <w:tcPr>
            <w:tcW w:w="0" w:type="auto"/>
          </w:tcPr>
          <w:p w14:paraId="6C930EE9" w14:textId="77777777" w:rsidR="00CD6E3F" w:rsidRDefault="00000000" w:rsidP="007C0141">
            <w:pPr>
              <w:pStyle w:val="Compact"/>
            </w:pPr>
            <w:r>
              <w:t>0.959</w:t>
            </w:r>
          </w:p>
        </w:tc>
        <w:tc>
          <w:tcPr>
            <w:tcW w:w="0" w:type="auto"/>
          </w:tcPr>
          <w:p w14:paraId="60AFFE5F" w14:textId="77777777" w:rsidR="00CD6E3F" w:rsidRDefault="00000000" w:rsidP="007C0141">
            <w:pPr>
              <w:pStyle w:val="Compact"/>
            </w:pPr>
            <w:r>
              <w:t>0.944</w:t>
            </w:r>
          </w:p>
        </w:tc>
        <w:tc>
          <w:tcPr>
            <w:tcW w:w="0" w:type="auto"/>
          </w:tcPr>
          <w:p w14:paraId="5ABE7AEC" w14:textId="77777777" w:rsidR="00CD6E3F" w:rsidRDefault="00000000" w:rsidP="007C0141">
            <w:pPr>
              <w:pStyle w:val="Compact"/>
            </w:pPr>
            <w:r>
              <w:t>0.098</w:t>
            </w:r>
          </w:p>
        </w:tc>
      </w:tr>
      <w:tr w:rsidR="00CD6E3F" w14:paraId="340CB73D" w14:textId="77777777" w:rsidTr="000A22E7">
        <w:tc>
          <w:tcPr>
            <w:tcW w:w="0" w:type="auto"/>
          </w:tcPr>
          <w:p w14:paraId="08D844EF" w14:textId="77777777" w:rsidR="00CD6E3F" w:rsidRDefault="00000000" w:rsidP="007C0141">
            <w:pPr>
              <w:pStyle w:val="Compact"/>
            </w:pPr>
            <w:r>
              <w:t>Second order</w:t>
            </w:r>
          </w:p>
        </w:tc>
        <w:tc>
          <w:tcPr>
            <w:tcW w:w="0" w:type="auto"/>
          </w:tcPr>
          <w:p w14:paraId="6BD92C16" w14:textId="77777777" w:rsidR="00CD6E3F" w:rsidRDefault="00000000" w:rsidP="007C0141">
            <w:pPr>
              <w:pStyle w:val="Compact"/>
            </w:pPr>
            <w:r>
              <w:t>46594</w:t>
            </w:r>
          </w:p>
        </w:tc>
        <w:tc>
          <w:tcPr>
            <w:tcW w:w="0" w:type="auto"/>
          </w:tcPr>
          <w:p w14:paraId="057D28BB" w14:textId="77777777" w:rsidR="00CD6E3F" w:rsidRDefault="00000000" w:rsidP="007C0141">
            <w:pPr>
              <w:pStyle w:val="Compact"/>
            </w:pPr>
            <w:r>
              <w:t>DWLS</w:t>
            </w:r>
          </w:p>
        </w:tc>
        <w:tc>
          <w:tcPr>
            <w:tcW w:w="0" w:type="auto"/>
          </w:tcPr>
          <w:p w14:paraId="2D902E3B" w14:textId="77777777" w:rsidR="00CD6E3F" w:rsidRDefault="00000000" w:rsidP="007C0141">
            <w:pPr>
              <w:pStyle w:val="Compact"/>
            </w:pPr>
            <w:r>
              <w:t>4472.369</w:t>
            </w:r>
          </w:p>
        </w:tc>
        <w:tc>
          <w:tcPr>
            <w:tcW w:w="0" w:type="auto"/>
          </w:tcPr>
          <w:p w14:paraId="0F4A4BED" w14:textId="77777777" w:rsidR="00CD6E3F" w:rsidRDefault="00000000" w:rsidP="007C0141">
            <w:pPr>
              <w:pStyle w:val="Compact"/>
            </w:pPr>
            <w:r>
              <w:t>45</w:t>
            </w:r>
          </w:p>
        </w:tc>
        <w:tc>
          <w:tcPr>
            <w:tcW w:w="0" w:type="auto"/>
          </w:tcPr>
          <w:p w14:paraId="304F894F" w14:textId="77777777" w:rsidR="00CD6E3F" w:rsidRDefault="00000000" w:rsidP="007C0141">
            <w:pPr>
              <w:pStyle w:val="Compact"/>
            </w:pPr>
            <w:r>
              <w:t>0.992</w:t>
            </w:r>
          </w:p>
        </w:tc>
        <w:tc>
          <w:tcPr>
            <w:tcW w:w="0" w:type="auto"/>
          </w:tcPr>
          <w:p w14:paraId="765356BD" w14:textId="77777777" w:rsidR="00CD6E3F" w:rsidRDefault="00000000" w:rsidP="007C0141">
            <w:pPr>
              <w:pStyle w:val="Compact"/>
            </w:pPr>
            <w:r>
              <w:t>0.988</w:t>
            </w:r>
          </w:p>
        </w:tc>
        <w:tc>
          <w:tcPr>
            <w:tcW w:w="0" w:type="auto"/>
          </w:tcPr>
          <w:p w14:paraId="763395F4" w14:textId="77777777" w:rsidR="00CD6E3F" w:rsidRDefault="00000000" w:rsidP="007C0141">
            <w:pPr>
              <w:pStyle w:val="Compact"/>
            </w:pPr>
            <w:r>
              <w:t>0.046</w:t>
            </w:r>
          </w:p>
        </w:tc>
      </w:tr>
    </w:tbl>
    <w:p w14:paraId="66DE73E7" w14:textId="77777777" w:rsidR="00CD6E3F" w:rsidRDefault="00000000" w:rsidP="007C0141">
      <w:pPr>
        <w:pStyle w:val="BodyText"/>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0"/>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rsidP="007C0141">
      <w:pPr>
        <w:pStyle w:val="BodyText"/>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rsidP="007C0141">
      <w:pPr>
        <w:pStyle w:val="BodyText"/>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rsidP="007C0141">
      <w:pPr>
        <w:pStyle w:val="BodyText"/>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1"/>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rsidP="007C0141">
      <w:pPr>
        <w:pStyle w:val="BodyText"/>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yperlink"/>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2"/>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Heading2"/>
      </w:pPr>
      <w:bookmarkStart w:id="11" w:name="discussion-study-1"/>
      <w:bookmarkEnd w:id="8"/>
      <w:bookmarkEnd w:id="10"/>
      <w:r>
        <w:lastRenderedPageBreak/>
        <w:t>Discussion Study 1</w:t>
      </w:r>
    </w:p>
    <w:p w14:paraId="5905A9D5" w14:textId="77777777" w:rsidR="00CD6E3F" w:rsidRDefault="00000000" w:rsidP="007C0141">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rsidP="007C0141">
      <w:pPr>
        <w:pStyle w:val="BodyText"/>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Heading1"/>
      </w:pPr>
      <w:bookmarkStart w:id="12" w:name="Xfdfcc76aed25504e76c5a609b72417ea2aaf3d3"/>
      <w:bookmarkEnd w:id="4"/>
      <w:bookmarkEnd w:id="11"/>
      <w:r>
        <w:lastRenderedPageBreak/>
        <w:t>Study 2: A proposal for a multidimensional measure of meritocratic beliefs</w:t>
      </w:r>
    </w:p>
    <w:p w14:paraId="62C75D7A" w14:textId="77777777" w:rsidR="00CD6E3F" w:rsidRDefault="00000000" w:rsidP="007C0141">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Heading2"/>
      </w:pPr>
      <w:bookmarkStart w:id="13" w:name="data-1"/>
      <w:r>
        <w:t>Data</w:t>
      </w:r>
    </w:p>
    <w:p w14:paraId="3AF1D844" w14:textId="77777777" w:rsidR="00CD6E3F" w:rsidRDefault="00000000" w:rsidP="007C0141">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3">
        <w:r>
          <w:rPr>
            <w:rStyle w:val="Hyperlink"/>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yperlink"/>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yperlink"/>
          </w:rPr>
          <w:t>Boas et al., 2020</w:t>
        </w:r>
      </w:hyperlink>
      <w:r>
        <w:t xml:space="preserve">; </w:t>
      </w:r>
      <w:hyperlink w:anchor="ref-zhang_quota_2018">
        <w:r>
          <w:rPr>
            <w:rStyle w:val="Hyperlink"/>
          </w:rPr>
          <w:t>Zhang et al., 2018</w:t>
        </w:r>
      </w:hyperlink>
      <w:r>
        <w:t>). This survey was designed as a three-wave panel and the data used in this analysis corresponds to the first wave.</w:t>
      </w:r>
    </w:p>
    <w:p w14:paraId="6B02853D" w14:textId="77777777" w:rsidR="00CD6E3F" w:rsidRDefault="00000000" w:rsidP="007C0141">
      <w:pPr>
        <w:pStyle w:val="BodyText"/>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Heading2"/>
      </w:pPr>
      <w:bookmarkStart w:id="14" w:name="study-design"/>
      <w:bookmarkEnd w:id="13"/>
      <w:r>
        <w:t>Study design</w:t>
      </w:r>
    </w:p>
    <w:p w14:paraId="53C98F39" w14:textId="77777777" w:rsidR="00CD6E3F" w:rsidRDefault="00000000">
      <w:pPr>
        <w:pStyle w:val="Heading3"/>
      </w:pPr>
      <w:bookmarkStart w:id="15" w:name="instrument"/>
      <w:r>
        <w:t>Instrument</w:t>
      </w:r>
    </w:p>
    <w:p w14:paraId="7688675A" w14:textId="77777777" w:rsidR="00CD6E3F" w:rsidRDefault="00000000" w:rsidP="007C0141">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yperlink"/>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yperlink"/>
          </w:rPr>
          <w:t>Duru-Bellat &amp; Tenret, 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w:t>
      </w:r>
    </w:p>
    <w:p w14:paraId="69F1EC3E" w14:textId="77777777" w:rsidR="00CD6E3F" w:rsidRDefault="00000000" w:rsidP="007C0141">
      <w:pPr>
        <w:pStyle w:val="BodyText"/>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Style1"/>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9"/>
        <w:gridCol w:w="3618"/>
      </w:tblGrid>
      <w:tr w:rsidR="00CD6E3F" w14:paraId="1DAF47CD"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1B894BFE" w14:textId="77777777" w:rsidR="00CD6E3F" w:rsidRDefault="00000000" w:rsidP="007C0141">
            <w:pPr>
              <w:pStyle w:val="Compact"/>
            </w:pPr>
            <w:r>
              <w:t>Component</w:t>
            </w:r>
          </w:p>
        </w:tc>
        <w:tc>
          <w:tcPr>
            <w:tcW w:w="0" w:type="auto"/>
          </w:tcPr>
          <w:p w14:paraId="7D3508BE" w14:textId="77777777" w:rsidR="00CD6E3F" w:rsidRDefault="00000000" w:rsidP="007C0141">
            <w:pPr>
              <w:pStyle w:val="Compact"/>
            </w:pPr>
            <w:r>
              <w:t>Dimensions</w:t>
            </w:r>
          </w:p>
        </w:tc>
        <w:tc>
          <w:tcPr>
            <w:tcW w:w="0" w:type="auto"/>
          </w:tcPr>
          <w:p w14:paraId="769D5293" w14:textId="77777777" w:rsidR="00CD6E3F" w:rsidRDefault="00000000" w:rsidP="007C0141">
            <w:pPr>
              <w:pStyle w:val="Compact"/>
            </w:pPr>
            <w:r>
              <w:t>Items</w:t>
            </w:r>
          </w:p>
        </w:tc>
        <w:tc>
          <w:tcPr>
            <w:tcW w:w="0" w:type="auto"/>
          </w:tcPr>
          <w:p w14:paraId="0C75C911" w14:textId="77777777" w:rsidR="00CD6E3F" w:rsidRDefault="00000000" w:rsidP="007C0141">
            <w:pPr>
              <w:pStyle w:val="Compact"/>
            </w:pPr>
            <w:r>
              <w:t>Items ISSP (2009,2019)</w:t>
            </w:r>
          </w:p>
        </w:tc>
      </w:tr>
      <w:tr w:rsidR="00CD6E3F" w14:paraId="005221AF" w14:textId="77777777" w:rsidTr="000A22E7">
        <w:tc>
          <w:tcPr>
            <w:tcW w:w="0" w:type="auto"/>
          </w:tcPr>
          <w:p w14:paraId="686246E8" w14:textId="77777777" w:rsidR="00CD6E3F" w:rsidRDefault="00000000" w:rsidP="007C0141">
            <w:pPr>
              <w:pStyle w:val="Compact"/>
            </w:pPr>
            <w:r>
              <w:t>Perception</w:t>
            </w:r>
          </w:p>
        </w:tc>
        <w:tc>
          <w:tcPr>
            <w:tcW w:w="0" w:type="auto"/>
          </w:tcPr>
          <w:p w14:paraId="1D471E68" w14:textId="77777777" w:rsidR="00CD6E3F" w:rsidRDefault="00000000" w:rsidP="007C0141">
            <w:pPr>
              <w:pStyle w:val="Compact"/>
            </w:pPr>
            <w:r>
              <w:t>Meritocratic</w:t>
            </w:r>
          </w:p>
        </w:tc>
        <w:tc>
          <w:tcPr>
            <w:tcW w:w="0" w:type="auto"/>
          </w:tcPr>
          <w:p w14:paraId="4C663361" w14:textId="77777777" w:rsidR="00CD6E3F" w:rsidRDefault="00000000" w:rsidP="007C0141">
            <w:pPr>
              <w:pStyle w:val="Compact"/>
            </w:pPr>
            <w:r>
              <w:t>Those who make more effort get greater rewards than those who make less effort.</w:t>
            </w:r>
          </w:p>
        </w:tc>
        <w:tc>
          <w:tcPr>
            <w:tcW w:w="0" w:type="auto"/>
          </w:tcPr>
          <w:p w14:paraId="07CDE18A" w14:textId="77777777" w:rsidR="00CD6E3F" w:rsidRDefault="00000000" w:rsidP="007C0141">
            <w:pPr>
              <w:pStyle w:val="Compact"/>
            </w:pPr>
            <w:r>
              <w:t>How important is hard work?</w:t>
            </w:r>
          </w:p>
        </w:tc>
      </w:tr>
      <w:tr w:rsidR="00CD6E3F" w14:paraId="2F14FD99" w14:textId="77777777" w:rsidTr="000A22E7">
        <w:tc>
          <w:tcPr>
            <w:tcW w:w="0" w:type="auto"/>
          </w:tcPr>
          <w:p w14:paraId="69E2F30A" w14:textId="77777777" w:rsidR="00CD6E3F" w:rsidRDefault="00000000" w:rsidP="007C0141">
            <w:pPr>
              <w:pStyle w:val="Compact"/>
            </w:pPr>
            <w:r>
              <w:t>Perception</w:t>
            </w:r>
          </w:p>
        </w:tc>
        <w:tc>
          <w:tcPr>
            <w:tcW w:w="0" w:type="auto"/>
          </w:tcPr>
          <w:p w14:paraId="4292B6E1" w14:textId="77777777" w:rsidR="00CD6E3F" w:rsidRDefault="00000000" w:rsidP="007C0141">
            <w:pPr>
              <w:pStyle w:val="Compact"/>
            </w:pPr>
            <w:r>
              <w:t>Meritocratic</w:t>
            </w:r>
          </w:p>
        </w:tc>
        <w:tc>
          <w:tcPr>
            <w:tcW w:w="0" w:type="auto"/>
          </w:tcPr>
          <w:p w14:paraId="117E9B5A" w14:textId="77777777" w:rsidR="00CD6E3F" w:rsidRDefault="00000000" w:rsidP="007C0141">
            <w:pPr>
              <w:pStyle w:val="Compact"/>
            </w:pPr>
            <w:r>
              <w:t>Those with more talent get greater rewards than those who have less talent.</w:t>
            </w:r>
          </w:p>
        </w:tc>
        <w:tc>
          <w:tcPr>
            <w:tcW w:w="0" w:type="auto"/>
          </w:tcPr>
          <w:p w14:paraId="411A755B" w14:textId="77777777" w:rsidR="00CD6E3F" w:rsidRDefault="00000000" w:rsidP="007C0141">
            <w:pPr>
              <w:pStyle w:val="Compact"/>
            </w:pPr>
            <w:r>
              <w:t>-</w:t>
            </w:r>
          </w:p>
        </w:tc>
      </w:tr>
      <w:tr w:rsidR="00CD6E3F" w14:paraId="34FAEDB2" w14:textId="77777777" w:rsidTr="000A22E7">
        <w:tc>
          <w:tcPr>
            <w:tcW w:w="0" w:type="auto"/>
          </w:tcPr>
          <w:p w14:paraId="5351B2BE" w14:textId="77777777" w:rsidR="00CD6E3F" w:rsidRDefault="00000000" w:rsidP="007C0141">
            <w:pPr>
              <w:pStyle w:val="Compact"/>
            </w:pPr>
            <w:r>
              <w:t>Perception</w:t>
            </w:r>
          </w:p>
        </w:tc>
        <w:tc>
          <w:tcPr>
            <w:tcW w:w="0" w:type="auto"/>
          </w:tcPr>
          <w:p w14:paraId="00430CE7" w14:textId="77777777" w:rsidR="00CD6E3F" w:rsidRDefault="00000000" w:rsidP="007C0141">
            <w:pPr>
              <w:pStyle w:val="Compact"/>
            </w:pPr>
            <w:r>
              <w:t>Non meritocratic</w:t>
            </w:r>
          </w:p>
        </w:tc>
        <w:tc>
          <w:tcPr>
            <w:tcW w:w="0" w:type="auto"/>
          </w:tcPr>
          <w:p w14:paraId="2752A048" w14:textId="77777777" w:rsidR="00CD6E3F" w:rsidRDefault="00000000" w:rsidP="007C0141">
            <w:pPr>
              <w:pStyle w:val="Compact"/>
            </w:pPr>
            <w:r>
              <w:t>Those who have rich parents manage to get ahead.</w:t>
            </w:r>
          </w:p>
        </w:tc>
        <w:tc>
          <w:tcPr>
            <w:tcW w:w="0" w:type="auto"/>
          </w:tcPr>
          <w:p w14:paraId="27DBC400" w14:textId="77777777" w:rsidR="00CD6E3F" w:rsidRDefault="00000000" w:rsidP="007C0141">
            <w:pPr>
              <w:pStyle w:val="Compact"/>
            </w:pPr>
            <w:r>
              <w:t>How important is coming from a wealthy family?</w:t>
            </w:r>
          </w:p>
        </w:tc>
      </w:tr>
      <w:tr w:rsidR="00CD6E3F" w14:paraId="73B5A142" w14:textId="77777777" w:rsidTr="000A22E7">
        <w:tc>
          <w:tcPr>
            <w:tcW w:w="0" w:type="auto"/>
          </w:tcPr>
          <w:p w14:paraId="197D9A43" w14:textId="77777777" w:rsidR="00CD6E3F" w:rsidRDefault="00000000" w:rsidP="007C0141">
            <w:pPr>
              <w:pStyle w:val="Compact"/>
            </w:pPr>
            <w:r>
              <w:t>Perception</w:t>
            </w:r>
          </w:p>
        </w:tc>
        <w:tc>
          <w:tcPr>
            <w:tcW w:w="0" w:type="auto"/>
          </w:tcPr>
          <w:p w14:paraId="0293B298" w14:textId="77777777" w:rsidR="00CD6E3F" w:rsidRDefault="00000000" w:rsidP="007C0141">
            <w:pPr>
              <w:pStyle w:val="Compact"/>
            </w:pPr>
            <w:r>
              <w:t>Non meritocratic</w:t>
            </w:r>
          </w:p>
        </w:tc>
        <w:tc>
          <w:tcPr>
            <w:tcW w:w="0" w:type="auto"/>
          </w:tcPr>
          <w:p w14:paraId="773711CF" w14:textId="77777777" w:rsidR="00CD6E3F" w:rsidRDefault="00000000" w:rsidP="007C0141">
            <w:pPr>
              <w:pStyle w:val="Compact"/>
            </w:pPr>
            <w:r>
              <w:t>Those who have good contacts manage to get ahead.</w:t>
            </w:r>
          </w:p>
        </w:tc>
        <w:tc>
          <w:tcPr>
            <w:tcW w:w="0" w:type="auto"/>
          </w:tcPr>
          <w:p w14:paraId="16B332EE" w14:textId="77777777" w:rsidR="00CD6E3F" w:rsidRDefault="00000000" w:rsidP="007C0141">
            <w:pPr>
              <w:pStyle w:val="Compact"/>
            </w:pPr>
            <w:r>
              <w:t>How important is knowing the right people</w:t>
            </w:r>
          </w:p>
        </w:tc>
      </w:tr>
      <w:tr w:rsidR="00CD6E3F" w14:paraId="38636492" w14:textId="77777777" w:rsidTr="000A22E7">
        <w:tc>
          <w:tcPr>
            <w:tcW w:w="0" w:type="auto"/>
          </w:tcPr>
          <w:p w14:paraId="19F86826" w14:textId="77777777" w:rsidR="00CD6E3F" w:rsidRDefault="00000000" w:rsidP="007C0141">
            <w:pPr>
              <w:pStyle w:val="Compact"/>
            </w:pPr>
            <w:r>
              <w:t>Preference</w:t>
            </w:r>
          </w:p>
        </w:tc>
        <w:tc>
          <w:tcPr>
            <w:tcW w:w="0" w:type="auto"/>
          </w:tcPr>
          <w:p w14:paraId="69C0475A" w14:textId="77777777" w:rsidR="00CD6E3F" w:rsidRDefault="00000000" w:rsidP="007C0141">
            <w:pPr>
              <w:pStyle w:val="Compact"/>
            </w:pPr>
            <w:r>
              <w:t>Meritocratic</w:t>
            </w:r>
          </w:p>
        </w:tc>
        <w:tc>
          <w:tcPr>
            <w:tcW w:w="0" w:type="auto"/>
          </w:tcPr>
          <w:p w14:paraId="107E47D3" w14:textId="77777777" w:rsidR="00CD6E3F" w:rsidRDefault="00000000" w:rsidP="007C0141">
            <w:pPr>
              <w:pStyle w:val="Compact"/>
            </w:pPr>
            <w:r>
              <w:t>Those who make more effort should get greater rewards than those who make less effort.</w:t>
            </w:r>
          </w:p>
        </w:tc>
        <w:tc>
          <w:tcPr>
            <w:tcW w:w="0" w:type="auto"/>
          </w:tcPr>
          <w:p w14:paraId="5796345B" w14:textId="77777777" w:rsidR="00CD6E3F" w:rsidRDefault="00000000" w:rsidP="007C0141">
            <w:pPr>
              <w:pStyle w:val="Compact"/>
            </w:pPr>
            <w:r>
              <w:t>In deciding how much people ought to earn, how important each of these things be (…) How hard he or she works at the job?¹</w:t>
            </w:r>
          </w:p>
        </w:tc>
      </w:tr>
      <w:tr w:rsidR="00CD6E3F" w14:paraId="2A6C605A" w14:textId="77777777" w:rsidTr="000A22E7">
        <w:tc>
          <w:tcPr>
            <w:tcW w:w="0" w:type="auto"/>
          </w:tcPr>
          <w:p w14:paraId="581602E3" w14:textId="77777777" w:rsidR="00CD6E3F" w:rsidRDefault="00000000" w:rsidP="007C0141">
            <w:pPr>
              <w:pStyle w:val="Compact"/>
            </w:pPr>
            <w:r>
              <w:t>Preference</w:t>
            </w:r>
          </w:p>
        </w:tc>
        <w:tc>
          <w:tcPr>
            <w:tcW w:w="0" w:type="auto"/>
          </w:tcPr>
          <w:p w14:paraId="5F79B41A" w14:textId="77777777" w:rsidR="00CD6E3F" w:rsidRDefault="00000000" w:rsidP="007C0141">
            <w:pPr>
              <w:pStyle w:val="Compact"/>
            </w:pPr>
            <w:r>
              <w:t>Meritocratic</w:t>
            </w:r>
          </w:p>
        </w:tc>
        <w:tc>
          <w:tcPr>
            <w:tcW w:w="0" w:type="auto"/>
          </w:tcPr>
          <w:p w14:paraId="5AFF2A07" w14:textId="77777777" w:rsidR="00CD6E3F" w:rsidRDefault="00000000" w:rsidP="007C0141">
            <w:pPr>
              <w:pStyle w:val="Compact"/>
            </w:pPr>
            <w:r>
              <w:t>Those who have more talent should get greater rewards than those who have less talent.</w:t>
            </w:r>
          </w:p>
        </w:tc>
        <w:tc>
          <w:tcPr>
            <w:tcW w:w="0" w:type="auto"/>
          </w:tcPr>
          <w:p w14:paraId="09FC2D8E" w14:textId="77777777" w:rsidR="00CD6E3F" w:rsidRDefault="00000000" w:rsidP="007C0141">
            <w:pPr>
              <w:pStyle w:val="Compact"/>
            </w:pPr>
            <w:r>
              <w:t>(…) How well he or she does the job?¹</w:t>
            </w:r>
          </w:p>
        </w:tc>
      </w:tr>
      <w:tr w:rsidR="00CD6E3F" w14:paraId="45C4648C" w14:textId="77777777" w:rsidTr="000A22E7">
        <w:tc>
          <w:tcPr>
            <w:tcW w:w="0" w:type="auto"/>
          </w:tcPr>
          <w:p w14:paraId="1AB92647" w14:textId="77777777" w:rsidR="00CD6E3F" w:rsidRDefault="00000000" w:rsidP="007C0141">
            <w:pPr>
              <w:pStyle w:val="Compact"/>
            </w:pPr>
            <w:r>
              <w:t>Preference</w:t>
            </w:r>
          </w:p>
        </w:tc>
        <w:tc>
          <w:tcPr>
            <w:tcW w:w="0" w:type="auto"/>
          </w:tcPr>
          <w:p w14:paraId="4BFE3381" w14:textId="77777777" w:rsidR="00CD6E3F" w:rsidRDefault="00000000" w:rsidP="007C0141">
            <w:pPr>
              <w:pStyle w:val="Compact"/>
            </w:pPr>
            <w:r>
              <w:t>Non meritocratic</w:t>
            </w:r>
          </w:p>
        </w:tc>
        <w:tc>
          <w:tcPr>
            <w:tcW w:w="0" w:type="auto"/>
          </w:tcPr>
          <w:p w14:paraId="720AC12A" w14:textId="77777777" w:rsidR="00CD6E3F" w:rsidRDefault="00000000" w:rsidP="007C0141">
            <w:pPr>
              <w:pStyle w:val="Compact"/>
            </w:pPr>
            <w:r>
              <w:t>It is fine if those with rich parents get ahead.</w:t>
            </w:r>
          </w:p>
        </w:tc>
        <w:tc>
          <w:tcPr>
            <w:tcW w:w="0" w:type="auto"/>
          </w:tcPr>
          <w:p w14:paraId="21A15847" w14:textId="77777777" w:rsidR="00CD6E3F" w:rsidRDefault="00000000" w:rsidP="007C0141">
            <w:pPr>
              <w:pStyle w:val="Compact"/>
            </w:pPr>
            <w:r>
              <w:t>-</w:t>
            </w:r>
          </w:p>
        </w:tc>
      </w:tr>
      <w:tr w:rsidR="00CD6E3F" w14:paraId="55A83D50" w14:textId="77777777" w:rsidTr="000A22E7">
        <w:tc>
          <w:tcPr>
            <w:tcW w:w="0" w:type="auto"/>
          </w:tcPr>
          <w:p w14:paraId="1A523703" w14:textId="77777777" w:rsidR="00CD6E3F" w:rsidRDefault="00000000" w:rsidP="007C0141">
            <w:pPr>
              <w:pStyle w:val="Compact"/>
            </w:pPr>
            <w:r>
              <w:t>Preference</w:t>
            </w:r>
          </w:p>
        </w:tc>
        <w:tc>
          <w:tcPr>
            <w:tcW w:w="0" w:type="auto"/>
          </w:tcPr>
          <w:p w14:paraId="5F1533FF" w14:textId="77777777" w:rsidR="00CD6E3F" w:rsidRDefault="00000000" w:rsidP="007C0141">
            <w:pPr>
              <w:pStyle w:val="Compact"/>
            </w:pPr>
            <w:r>
              <w:t>Non meritocratic</w:t>
            </w:r>
          </w:p>
        </w:tc>
        <w:tc>
          <w:tcPr>
            <w:tcW w:w="0" w:type="auto"/>
          </w:tcPr>
          <w:p w14:paraId="4B78A988" w14:textId="77777777" w:rsidR="00CD6E3F" w:rsidRDefault="00000000" w:rsidP="007C0141">
            <w:pPr>
              <w:pStyle w:val="Compact"/>
            </w:pPr>
            <w:r>
              <w:t>It is fine if those with good contacts get ahead.</w:t>
            </w:r>
          </w:p>
        </w:tc>
        <w:tc>
          <w:tcPr>
            <w:tcW w:w="0" w:type="auto"/>
          </w:tcPr>
          <w:p w14:paraId="6F0CB5D2" w14:textId="77777777" w:rsidR="00CD6E3F" w:rsidRDefault="00000000" w:rsidP="007C0141">
            <w:pPr>
              <w:pStyle w:val="Compact"/>
            </w:pPr>
            <w:r>
              <w:t>-</w:t>
            </w:r>
          </w:p>
        </w:tc>
      </w:tr>
      <w:tr w:rsidR="00CD6E3F" w14:paraId="3F96B99F" w14:textId="77777777" w:rsidTr="000A22E7">
        <w:tc>
          <w:tcPr>
            <w:tcW w:w="0" w:type="auto"/>
          </w:tcPr>
          <w:p w14:paraId="32450200" w14:textId="77777777" w:rsidR="00CD6E3F" w:rsidRDefault="00000000" w:rsidP="007C0141">
            <w:pPr>
              <w:pStyle w:val="Compact"/>
            </w:pPr>
            <w:r>
              <w:lastRenderedPageBreak/>
              <w:t>Preference</w:t>
            </w:r>
          </w:p>
        </w:tc>
        <w:tc>
          <w:tcPr>
            <w:tcW w:w="0" w:type="auto"/>
          </w:tcPr>
          <w:p w14:paraId="1C6A8EF9" w14:textId="77777777" w:rsidR="00CD6E3F" w:rsidRDefault="00000000" w:rsidP="007C0141">
            <w:pPr>
              <w:pStyle w:val="Compact"/>
            </w:pPr>
            <w:r>
              <w:t>Non meritocratic</w:t>
            </w:r>
          </w:p>
        </w:tc>
        <w:tc>
          <w:tcPr>
            <w:tcW w:w="0" w:type="auto"/>
          </w:tcPr>
          <w:p w14:paraId="3EFB992F" w14:textId="77777777" w:rsidR="00CD6E3F" w:rsidRDefault="00000000" w:rsidP="007C0141">
            <w:pPr>
              <w:pStyle w:val="Compact"/>
            </w:pPr>
            <w:r>
              <w:t>-</w:t>
            </w:r>
          </w:p>
        </w:tc>
        <w:tc>
          <w:tcPr>
            <w:tcW w:w="0" w:type="auto"/>
          </w:tcPr>
          <w:p w14:paraId="553078CA" w14:textId="77777777" w:rsidR="00CD6E3F" w:rsidRDefault="00000000" w:rsidP="007C0141">
            <w:pPr>
              <w:pStyle w:val="Compact"/>
            </w:pPr>
            <w:r>
              <w:t>(…) What is needed to support a family?¹²</w:t>
            </w:r>
          </w:p>
        </w:tc>
      </w:tr>
      <w:tr w:rsidR="00CD6E3F" w14:paraId="78F7CDDA" w14:textId="77777777" w:rsidTr="000A22E7">
        <w:tc>
          <w:tcPr>
            <w:tcW w:w="0" w:type="auto"/>
          </w:tcPr>
          <w:p w14:paraId="145BD33E" w14:textId="77777777" w:rsidR="00CD6E3F" w:rsidRDefault="00000000" w:rsidP="007C0141">
            <w:pPr>
              <w:pStyle w:val="Compact"/>
            </w:pPr>
            <w:r>
              <w:t>Preference</w:t>
            </w:r>
          </w:p>
        </w:tc>
        <w:tc>
          <w:tcPr>
            <w:tcW w:w="0" w:type="auto"/>
          </w:tcPr>
          <w:p w14:paraId="21C3BA22" w14:textId="77777777" w:rsidR="00CD6E3F" w:rsidRDefault="00000000" w:rsidP="007C0141">
            <w:pPr>
              <w:pStyle w:val="Compact"/>
            </w:pPr>
            <w:r>
              <w:t>Non meritocratic</w:t>
            </w:r>
          </w:p>
        </w:tc>
        <w:tc>
          <w:tcPr>
            <w:tcW w:w="0" w:type="auto"/>
          </w:tcPr>
          <w:p w14:paraId="6CC85E33" w14:textId="77777777" w:rsidR="00CD6E3F" w:rsidRDefault="00000000" w:rsidP="007C0141">
            <w:pPr>
              <w:pStyle w:val="Compact"/>
            </w:pPr>
            <w:r>
              <w:t>-</w:t>
            </w:r>
          </w:p>
        </w:tc>
        <w:tc>
          <w:tcPr>
            <w:tcW w:w="0" w:type="auto"/>
          </w:tcPr>
          <w:p w14:paraId="5DD2BF0A" w14:textId="77777777" w:rsidR="00CD6E3F" w:rsidRDefault="00000000" w:rsidP="007C0141">
            <w:pPr>
              <w:pStyle w:val="Compact"/>
            </w:pPr>
            <w:r>
              <w:t>(…) Whether the person has children to support²</w:t>
            </w:r>
          </w:p>
        </w:tc>
      </w:tr>
    </w:tbl>
    <w:p w14:paraId="3BCB8CD0" w14:textId="77777777" w:rsidR="004113AD" w:rsidRDefault="004113AD" w:rsidP="004113AD">
      <w:pPr>
        <w:spacing w:line="240" w:lineRule="auto"/>
      </w:pPr>
      <w:r w:rsidRPr="004113AD">
        <w:rPr>
          <w:vertAlign w:val="superscript"/>
        </w:rPr>
        <w:t xml:space="preserve">1 </w:t>
      </w:r>
      <w:r w:rsidRPr="004113AD">
        <w:t>Items present only in ISSP 2009</w:t>
      </w:r>
    </w:p>
    <w:p w14:paraId="55A121A0" w14:textId="4EC3777B" w:rsidR="00CD6E3F" w:rsidRDefault="004113AD" w:rsidP="004113AD">
      <w:pPr>
        <w:spacing w:line="240" w:lineRule="auto"/>
      </w:pPr>
      <w:r w:rsidRPr="004113AD">
        <w:rPr>
          <w:vertAlign w:val="superscript"/>
        </w:rPr>
        <w:t>2</w:t>
      </w:r>
      <w:r>
        <w:t xml:space="preserve"> </w:t>
      </w:r>
      <w:r w:rsidRPr="004113AD">
        <w:t>ISSP items that are not equivalent with the new measurement proposal</w:t>
      </w:r>
      <w:r>
        <w:br w:type="page"/>
      </w:r>
    </w:p>
    <w:p w14:paraId="2193D3AA" w14:textId="77777777" w:rsidR="00CD6E3F" w:rsidRDefault="00000000">
      <w:pPr>
        <w:pStyle w:val="Heading3"/>
      </w:pPr>
      <w:bookmarkStart w:id="16" w:name="administration-sets"/>
      <w:bookmarkEnd w:id="15"/>
      <w:r>
        <w:lastRenderedPageBreak/>
        <w:t>Administration sets</w:t>
      </w:r>
    </w:p>
    <w:p w14:paraId="3F2BE0BF" w14:textId="77777777" w:rsidR="00CD6E3F" w:rsidRDefault="00000000" w:rsidP="007C0141">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4"/>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Heading2"/>
      </w:pPr>
      <w:bookmarkStart w:id="17" w:name="methods-1"/>
      <w:bookmarkEnd w:id="14"/>
      <w:bookmarkEnd w:id="16"/>
      <w:r>
        <w:t>Methods</w:t>
      </w:r>
    </w:p>
    <w:p w14:paraId="6DED364D" w14:textId="77777777" w:rsidR="00CD6E3F" w:rsidRDefault="00000000" w:rsidP="007C0141">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yperlink"/>
          </w:rPr>
          <w:t>2012</w:t>
        </w:r>
      </w:hyperlink>
      <w:r>
        <w:t xml:space="preserve">)), with diagonally weighted least squares (DWLS) estimation due to the items’ ordinal </w:t>
      </w:r>
      <w:r>
        <w:lastRenderedPageBreak/>
        <w:t>level of measurement (</w:t>
      </w:r>
      <w:hyperlink w:anchor="ref-kline_principles_2016">
        <w:r>
          <w:rPr>
            <w:rStyle w:val="Hyperlink"/>
          </w:rPr>
          <w:t>Kline, 2016</w:t>
        </w:r>
      </w:hyperlink>
      <w:r>
        <w:t xml:space="preserve">; </w:t>
      </w:r>
      <w:hyperlink w:anchor="ref-rosseel_lavaan_2012a">
        <w:r>
          <w:rPr>
            <w:rStyle w:val="Hyperlink"/>
          </w:rPr>
          <w:t>Rosseel, 2012</w:t>
        </w:r>
      </w:hyperlink>
      <w:r>
        <w:t>). The fit indexes and cut-off criteria were the same as the ones used in Study 1.</w:t>
      </w:r>
    </w:p>
    <w:p w14:paraId="404925ED" w14:textId="77777777" w:rsidR="00CD6E3F" w:rsidRDefault="00000000" w:rsidP="007C0141">
      <w:pPr>
        <w:pStyle w:val="BodyText"/>
      </w:pPr>
      <w:r>
        <w:t xml:space="preserve">A pre-registration was made in the OSF platform, available at the following link: </w:t>
      </w:r>
      <w:hyperlink r:id="rId15">
        <w:r>
          <w:rPr>
            <w:rStyle w:val="Hyperlink"/>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Heading2"/>
      </w:pPr>
      <w:bookmarkStart w:id="18" w:name="results-1"/>
      <w:bookmarkEnd w:id="17"/>
      <w:r>
        <w:t>Results</w:t>
      </w:r>
    </w:p>
    <w:p w14:paraId="4043C85B" w14:textId="77777777" w:rsidR="00CD6E3F" w:rsidRDefault="00000000">
      <w:pPr>
        <w:pStyle w:val="Heading3"/>
      </w:pPr>
      <w:bookmarkStart w:id="19" w:name="descriptive-analyses-1"/>
      <w:r>
        <w:t>Descriptive analyses</w:t>
      </w:r>
    </w:p>
    <w:p w14:paraId="036A304A" w14:textId="77777777" w:rsidR="00CD6E3F" w:rsidRDefault="00000000" w:rsidP="007C0141">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16"/>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rsidP="007C0141">
      <w:pPr>
        <w:pStyle w:val="BodyText"/>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yperlink"/>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Heading3"/>
      </w:pPr>
      <w:bookmarkStart w:id="20" w:name="confirmatory-factor-analysis-1"/>
      <w:bookmarkEnd w:id="19"/>
      <w:r>
        <w:t>Confirmatory Factor Analysis</w:t>
      </w:r>
    </w:p>
    <w:p w14:paraId="2B9D44A0" w14:textId="77777777" w:rsidR="00CD6E3F" w:rsidRDefault="00000000" w:rsidP="007C0141">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rsidP="007C0141">
      <w:pPr>
        <w:pStyle w:val="BodyText"/>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075666F6" w14:textId="77777777" w:rsidR="000A22E7" w:rsidRDefault="000A22E7" w:rsidP="007C0141">
      <w:pPr>
        <w:pStyle w:val="BodyText"/>
      </w:pPr>
    </w:p>
    <w:p w14:paraId="2F436D5A" w14:textId="77777777" w:rsidR="002A683B" w:rsidRDefault="002A683B">
      <w:pPr>
        <w:pStyle w:val="TableCaption"/>
      </w:pPr>
    </w:p>
    <w:p w14:paraId="04EBFC66" w14:textId="718C526F" w:rsidR="00CD6E3F" w:rsidRDefault="00000000">
      <w:pPr>
        <w:pStyle w:val="TableCaption"/>
      </w:pPr>
      <w:r>
        <w:t>Table 4: Summary fit indices according to order versions</w:t>
      </w:r>
    </w:p>
    <w:tbl>
      <w:tblPr>
        <w:tblStyle w:val="Style1"/>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6C3E7B6A" w14:textId="77777777" w:rsidR="00CD6E3F" w:rsidRDefault="00000000" w:rsidP="007C0141">
            <w:pPr>
              <w:pStyle w:val="Compact"/>
            </w:pPr>
            <w:r>
              <w:t>Model</w:t>
            </w:r>
          </w:p>
        </w:tc>
        <w:tc>
          <w:tcPr>
            <w:tcW w:w="0" w:type="auto"/>
          </w:tcPr>
          <w:p w14:paraId="341191B6" w14:textId="77777777" w:rsidR="00CD6E3F" w:rsidRDefault="00000000" w:rsidP="007C0141">
            <w:pPr>
              <w:pStyle w:val="Compact"/>
            </w:pPr>
            <m:oMathPara>
              <m:oMath>
                <m:r>
                  <w:rPr>
                    <w:rFonts w:ascii="Cambria Math" w:hAnsi="Cambria Math"/>
                  </w:rPr>
                  <m:t>N</m:t>
                </m:r>
              </m:oMath>
            </m:oMathPara>
          </w:p>
        </w:tc>
        <w:tc>
          <w:tcPr>
            <w:tcW w:w="0" w:type="auto"/>
          </w:tcPr>
          <w:p w14:paraId="210FC4DE" w14:textId="77777777" w:rsidR="00CD6E3F" w:rsidRDefault="00000000" w:rsidP="007C0141">
            <w:pPr>
              <w:pStyle w:val="Compact"/>
            </w:pPr>
            <w:r>
              <w:t>Estimator</w:t>
            </w:r>
          </w:p>
        </w:tc>
        <w:tc>
          <w:tcPr>
            <w:tcW w:w="0" w:type="auto"/>
          </w:tcPr>
          <w:p w14:paraId="750032A4" w14:textId="77777777" w:rsidR="00CD6E3F"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rsidP="007C0141">
            <w:pPr>
              <w:pStyle w:val="Compact"/>
            </w:pPr>
            <w:r>
              <w:t>df</w:t>
            </w:r>
          </w:p>
        </w:tc>
        <w:tc>
          <w:tcPr>
            <w:tcW w:w="0" w:type="auto"/>
          </w:tcPr>
          <w:p w14:paraId="5958CE8F" w14:textId="77777777" w:rsidR="00CD6E3F" w:rsidRDefault="00000000" w:rsidP="007C0141">
            <w:pPr>
              <w:pStyle w:val="Compact"/>
            </w:pPr>
            <w:r>
              <w:t>CFI</w:t>
            </w:r>
          </w:p>
        </w:tc>
        <w:tc>
          <w:tcPr>
            <w:tcW w:w="0" w:type="auto"/>
          </w:tcPr>
          <w:p w14:paraId="3EF939BD" w14:textId="77777777" w:rsidR="00CD6E3F" w:rsidRDefault="00000000" w:rsidP="007C0141">
            <w:pPr>
              <w:pStyle w:val="Compact"/>
            </w:pPr>
            <w:r>
              <w:t>TLI</w:t>
            </w:r>
          </w:p>
        </w:tc>
        <w:tc>
          <w:tcPr>
            <w:tcW w:w="0" w:type="auto"/>
          </w:tcPr>
          <w:p w14:paraId="7A28CFD0" w14:textId="77777777" w:rsidR="00CD6E3F" w:rsidRDefault="00000000" w:rsidP="007C0141">
            <w:pPr>
              <w:pStyle w:val="Compact"/>
            </w:pPr>
            <w:r>
              <w:t>RMSEA</w:t>
            </w:r>
          </w:p>
        </w:tc>
      </w:tr>
      <w:tr w:rsidR="00CD6E3F" w14:paraId="05DF20C3" w14:textId="77777777" w:rsidTr="000A22E7">
        <w:tc>
          <w:tcPr>
            <w:tcW w:w="0" w:type="auto"/>
          </w:tcPr>
          <w:p w14:paraId="03FF7C55" w14:textId="77777777" w:rsidR="00CD6E3F" w:rsidRDefault="00000000" w:rsidP="007C0141">
            <w:pPr>
              <w:pStyle w:val="Compact"/>
            </w:pPr>
            <w:r>
              <w:t>Version 1</w:t>
            </w:r>
          </w:p>
        </w:tc>
        <w:tc>
          <w:tcPr>
            <w:tcW w:w="0" w:type="auto"/>
          </w:tcPr>
          <w:p w14:paraId="7B5172FC" w14:textId="77777777" w:rsidR="00CD6E3F" w:rsidRDefault="00000000" w:rsidP="007C0141">
            <w:pPr>
              <w:pStyle w:val="Compact"/>
            </w:pPr>
            <w:r>
              <w:t>712</w:t>
            </w:r>
          </w:p>
        </w:tc>
        <w:tc>
          <w:tcPr>
            <w:tcW w:w="0" w:type="auto"/>
          </w:tcPr>
          <w:p w14:paraId="7EB530E5" w14:textId="77777777" w:rsidR="00CD6E3F" w:rsidRDefault="00000000" w:rsidP="007C0141">
            <w:pPr>
              <w:pStyle w:val="Compact"/>
            </w:pPr>
            <w:r>
              <w:t>DWLS</w:t>
            </w:r>
          </w:p>
        </w:tc>
        <w:tc>
          <w:tcPr>
            <w:tcW w:w="0" w:type="auto"/>
          </w:tcPr>
          <w:p w14:paraId="0821AB12" w14:textId="77777777" w:rsidR="00CD6E3F" w:rsidRDefault="00000000" w:rsidP="007C0141">
            <w:pPr>
              <w:pStyle w:val="Compact"/>
            </w:pPr>
            <w:r>
              <w:t>25.631</w:t>
            </w:r>
          </w:p>
        </w:tc>
        <w:tc>
          <w:tcPr>
            <w:tcW w:w="0" w:type="auto"/>
          </w:tcPr>
          <w:p w14:paraId="0EAC77FB" w14:textId="77777777" w:rsidR="00CD6E3F" w:rsidRDefault="00000000" w:rsidP="007C0141">
            <w:pPr>
              <w:pStyle w:val="Compact"/>
            </w:pPr>
            <w:r>
              <w:t>14</w:t>
            </w:r>
          </w:p>
        </w:tc>
        <w:tc>
          <w:tcPr>
            <w:tcW w:w="0" w:type="auto"/>
          </w:tcPr>
          <w:p w14:paraId="098392A2" w14:textId="77777777" w:rsidR="00CD6E3F" w:rsidRDefault="00000000" w:rsidP="007C0141">
            <w:pPr>
              <w:pStyle w:val="Compact"/>
            </w:pPr>
            <w:r>
              <w:t>0.998</w:t>
            </w:r>
          </w:p>
        </w:tc>
        <w:tc>
          <w:tcPr>
            <w:tcW w:w="0" w:type="auto"/>
          </w:tcPr>
          <w:p w14:paraId="179CF80B" w14:textId="77777777" w:rsidR="00CD6E3F" w:rsidRDefault="00000000" w:rsidP="007C0141">
            <w:pPr>
              <w:pStyle w:val="Compact"/>
            </w:pPr>
            <w:r>
              <w:t>0.996</w:t>
            </w:r>
          </w:p>
        </w:tc>
        <w:tc>
          <w:tcPr>
            <w:tcW w:w="0" w:type="auto"/>
          </w:tcPr>
          <w:p w14:paraId="7BE47165" w14:textId="77777777" w:rsidR="00CD6E3F" w:rsidRDefault="00000000" w:rsidP="007C0141">
            <w:pPr>
              <w:pStyle w:val="Compact"/>
            </w:pPr>
            <w:r>
              <w:t>0.034</w:t>
            </w:r>
          </w:p>
        </w:tc>
      </w:tr>
      <w:tr w:rsidR="00CD6E3F" w14:paraId="550D3D42" w14:textId="77777777" w:rsidTr="000A22E7">
        <w:tc>
          <w:tcPr>
            <w:tcW w:w="0" w:type="auto"/>
          </w:tcPr>
          <w:p w14:paraId="5BF89010" w14:textId="77777777" w:rsidR="00CD6E3F" w:rsidRDefault="00000000" w:rsidP="007C0141">
            <w:pPr>
              <w:pStyle w:val="Compact"/>
            </w:pPr>
            <w:r>
              <w:t>Version 2</w:t>
            </w:r>
          </w:p>
        </w:tc>
        <w:tc>
          <w:tcPr>
            <w:tcW w:w="0" w:type="auto"/>
          </w:tcPr>
          <w:p w14:paraId="69BB8AA1" w14:textId="77777777" w:rsidR="00CD6E3F" w:rsidRDefault="00000000" w:rsidP="007C0141">
            <w:pPr>
              <w:pStyle w:val="Compact"/>
            </w:pPr>
            <w:r>
              <w:t>717</w:t>
            </w:r>
          </w:p>
        </w:tc>
        <w:tc>
          <w:tcPr>
            <w:tcW w:w="0" w:type="auto"/>
          </w:tcPr>
          <w:p w14:paraId="5AC23401" w14:textId="77777777" w:rsidR="00CD6E3F" w:rsidRDefault="00000000" w:rsidP="007C0141">
            <w:pPr>
              <w:pStyle w:val="Compact"/>
            </w:pPr>
            <w:r>
              <w:t>DWLS</w:t>
            </w:r>
          </w:p>
        </w:tc>
        <w:tc>
          <w:tcPr>
            <w:tcW w:w="0" w:type="auto"/>
          </w:tcPr>
          <w:p w14:paraId="6751EB52" w14:textId="77777777" w:rsidR="00CD6E3F" w:rsidRDefault="00000000" w:rsidP="007C0141">
            <w:pPr>
              <w:pStyle w:val="Compact"/>
            </w:pPr>
            <w:r>
              <w:t>67.652</w:t>
            </w:r>
          </w:p>
        </w:tc>
        <w:tc>
          <w:tcPr>
            <w:tcW w:w="0" w:type="auto"/>
          </w:tcPr>
          <w:p w14:paraId="4CBD8447" w14:textId="77777777" w:rsidR="00CD6E3F" w:rsidRDefault="00000000" w:rsidP="007C0141">
            <w:pPr>
              <w:pStyle w:val="Compact"/>
            </w:pPr>
            <w:r>
              <w:t>14</w:t>
            </w:r>
          </w:p>
        </w:tc>
        <w:tc>
          <w:tcPr>
            <w:tcW w:w="0" w:type="auto"/>
          </w:tcPr>
          <w:p w14:paraId="1D886951" w14:textId="77777777" w:rsidR="00CD6E3F" w:rsidRDefault="00000000" w:rsidP="007C0141">
            <w:pPr>
              <w:pStyle w:val="Compact"/>
            </w:pPr>
            <w:r>
              <w:t>0.984</w:t>
            </w:r>
          </w:p>
        </w:tc>
        <w:tc>
          <w:tcPr>
            <w:tcW w:w="0" w:type="auto"/>
          </w:tcPr>
          <w:p w14:paraId="153D13E2" w14:textId="77777777" w:rsidR="00CD6E3F" w:rsidRDefault="00000000" w:rsidP="007C0141">
            <w:pPr>
              <w:pStyle w:val="Compact"/>
            </w:pPr>
            <w:r>
              <w:t>0.967</w:t>
            </w:r>
          </w:p>
        </w:tc>
        <w:tc>
          <w:tcPr>
            <w:tcW w:w="0" w:type="auto"/>
          </w:tcPr>
          <w:p w14:paraId="63307534" w14:textId="77777777" w:rsidR="00CD6E3F" w:rsidRDefault="00000000" w:rsidP="007C0141">
            <w:pPr>
              <w:pStyle w:val="Compact"/>
            </w:pPr>
            <w:r>
              <w:t>0.073</w:t>
            </w:r>
          </w:p>
        </w:tc>
      </w:tr>
      <w:tr w:rsidR="00CD6E3F" w14:paraId="08E7566C" w14:textId="77777777" w:rsidTr="000A22E7">
        <w:tc>
          <w:tcPr>
            <w:tcW w:w="0" w:type="auto"/>
          </w:tcPr>
          <w:p w14:paraId="77F3DFFE" w14:textId="77777777" w:rsidR="00CD6E3F" w:rsidRDefault="00000000" w:rsidP="007C0141">
            <w:pPr>
              <w:pStyle w:val="Compact"/>
            </w:pPr>
            <w:r>
              <w:t>Version 3</w:t>
            </w:r>
          </w:p>
        </w:tc>
        <w:tc>
          <w:tcPr>
            <w:tcW w:w="0" w:type="auto"/>
          </w:tcPr>
          <w:p w14:paraId="61E51D5D" w14:textId="77777777" w:rsidR="00CD6E3F" w:rsidRDefault="00000000" w:rsidP="007C0141">
            <w:pPr>
              <w:pStyle w:val="Compact"/>
            </w:pPr>
            <w:r>
              <w:t>712</w:t>
            </w:r>
          </w:p>
        </w:tc>
        <w:tc>
          <w:tcPr>
            <w:tcW w:w="0" w:type="auto"/>
          </w:tcPr>
          <w:p w14:paraId="2DA46FFF" w14:textId="77777777" w:rsidR="00CD6E3F" w:rsidRDefault="00000000" w:rsidP="007C0141">
            <w:pPr>
              <w:pStyle w:val="Compact"/>
            </w:pPr>
            <w:r>
              <w:t>DWLS</w:t>
            </w:r>
          </w:p>
        </w:tc>
        <w:tc>
          <w:tcPr>
            <w:tcW w:w="0" w:type="auto"/>
          </w:tcPr>
          <w:p w14:paraId="1869631B" w14:textId="77777777" w:rsidR="00CD6E3F" w:rsidRDefault="00000000" w:rsidP="007C0141">
            <w:pPr>
              <w:pStyle w:val="Compact"/>
            </w:pPr>
            <w:r>
              <w:t>41.633</w:t>
            </w:r>
          </w:p>
        </w:tc>
        <w:tc>
          <w:tcPr>
            <w:tcW w:w="0" w:type="auto"/>
          </w:tcPr>
          <w:p w14:paraId="1E0BB1A4" w14:textId="77777777" w:rsidR="00CD6E3F" w:rsidRDefault="00000000" w:rsidP="007C0141">
            <w:pPr>
              <w:pStyle w:val="Compact"/>
            </w:pPr>
            <w:r>
              <w:t>14</w:t>
            </w:r>
          </w:p>
        </w:tc>
        <w:tc>
          <w:tcPr>
            <w:tcW w:w="0" w:type="auto"/>
          </w:tcPr>
          <w:p w14:paraId="41AAA836" w14:textId="77777777" w:rsidR="00CD6E3F" w:rsidRDefault="00000000" w:rsidP="007C0141">
            <w:pPr>
              <w:pStyle w:val="Compact"/>
            </w:pPr>
            <w:r>
              <w:t>0.991</w:t>
            </w:r>
          </w:p>
        </w:tc>
        <w:tc>
          <w:tcPr>
            <w:tcW w:w="0" w:type="auto"/>
          </w:tcPr>
          <w:p w14:paraId="4B03EBF8" w14:textId="77777777" w:rsidR="00CD6E3F" w:rsidRDefault="00000000" w:rsidP="007C0141">
            <w:pPr>
              <w:pStyle w:val="Compact"/>
            </w:pPr>
            <w:r>
              <w:t>0.981</w:t>
            </w:r>
          </w:p>
        </w:tc>
        <w:tc>
          <w:tcPr>
            <w:tcW w:w="0" w:type="auto"/>
          </w:tcPr>
          <w:p w14:paraId="70806674" w14:textId="77777777" w:rsidR="00CD6E3F" w:rsidRDefault="00000000" w:rsidP="007C0141">
            <w:pPr>
              <w:pStyle w:val="Compact"/>
            </w:pPr>
            <w:r>
              <w:t>0.053</w:t>
            </w:r>
          </w:p>
        </w:tc>
      </w:tr>
    </w:tbl>
    <w:p w14:paraId="2DEB1E77" w14:textId="77777777" w:rsidR="00CD6E3F" w:rsidRDefault="00000000" w:rsidP="007C0141">
      <w:pPr>
        <w:pStyle w:val="BodyText"/>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18"/>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rsidP="007C0141">
      <w:pPr>
        <w:pStyle w:val="BodyText"/>
      </w:pPr>
      <w:r>
        <w:lastRenderedPageBreak/>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rsidP="007C0141">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Heading2"/>
      </w:pPr>
      <w:bookmarkStart w:id="21" w:name="discussion-study-2"/>
      <w:bookmarkEnd w:id="18"/>
      <w:bookmarkEnd w:id="20"/>
      <w:r>
        <w:t>Discussion Study 2</w:t>
      </w:r>
    </w:p>
    <w:p w14:paraId="4C7C9563" w14:textId="77777777" w:rsidR="00CD6E3F" w:rsidRDefault="00000000" w:rsidP="007C0141">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w:t>
      </w:r>
      <w:r>
        <w:lastRenderedPageBreak/>
        <w:t>preference of it). It can also serve to studies about how each of these dimensions is associated with or moderated by individual and country level variables.</w:t>
      </w:r>
    </w:p>
    <w:p w14:paraId="627BC2A5" w14:textId="77777777" w:rsidR="00CD6E3F" w:rsidRDefault="00000000">
      <w:pPr>
        <w:pStyle w:val="Heading1"/>
      </w:pPr>
      <w:bookmarkStart w:id="22" w:name="conclusions"/>
      <w:bookmarkEnd w:id="12"/>
      <w:bookmarkEnd w:id="21"/>
      <w:r>
        <w:t>Conclusions</w:t>
      </w:r>
    </w:p>
    <w:p w14:paraId="40E70FF4" w14:textId="77777777" w:rsidR="00CD6E3F" w:rsidRDefault="00000000" w:rsidP="007C0141">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rsidP="007C0141">
      <w:pPr>
        <w:pStyle w:val="BodyText"/>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w:t>
      </w:r>
      <w:r>
        <w:lastRenderedPageBreak/>
        <w:t>especially relevant in times of economic crisis and growing inequalities, which could entail changes in the legitimation of the current distributive structure based on meritocratic ideals.</w:t>
      </w:r>
    </w:p>
    <w:p w14:paraId="0E9D05BD" w14:textId="77777777" w:rsidR="00CD6E3F" w:rsidRDefault="00000000" w:rsidP="007C0141">
      <w:pPr>
        <w:pStyle w:val="BodyText"/>
      </w:pPr>
      <w:r>
        <w:t>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Heading1"/>
      </w:pPr>
      <w:bookmarkStart w:id="23" w:name="transparency-statement"/>
      <w:bookmarkEnd w:id="22"/>
      <w:r>
        <w:t>Transparency statement</w:t>
      </w:r>
    </w:p>
    <w:p w14:paraId="30C02C6C" w14:textId="77777777" w:rsidR="00CD6E3F" w:rsidRDefault="00000000" w:rsidP="007C0141">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Heading1"/>
      </w:pPr>
      <w:bookmarkStart w:id="24" w:name="references"/>
      <w:bookmarkEnd w:id="23"/>
      <w:r>
        <w:t>References</w:t>
      </w:r>
    </w:p>
    <w:p w14:paraId="3E7045A9" w14:textId="77777777" w:rsidR="00CD6E3F" w:rsidRDefault="00000000">
      <w:pPr>
        <w:pStyle w:val="Bibliography"/>
      </w:pPr>
      <w:bookmarkStart w:id="25" w:name="ref-aiello_new_2019"/>
      <w:bookmarkStart w:id="26"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19">
        <w:r>
          <w:rPr>
            <w:rStyle w:val="Hyperlink"/>
          </w:rPr>
          <w:t>https://doi.org/10.1080/02692171.2019.1608917</w:t>
        </w:r>
      </w:hyperlink>
    </w:p>
    <w:p w14:paraId="742D4C51" w14:textId="77777777" w:rsidR="00CD6E3F" w:rsidRDefault="00000000">
      <w:pPr>
        <w:pStyle w:val="Bibliography"/>
      </w:pPr>
      <w:bookmarkStart w:id="27" w:name="ref-alesina_fairness_2005"/>
      <w:bookmarkEnd w:id="25"/>
      <w:r>
        <w:t xml:space="preserve">Alesina, A., &amp; Angeletos, G. (2005). Fairness and redistribution. </w:t>
      </w:r>
      <w:r>
        <w:rPr>
          <w:i/>
          <w:iCs/>
        </w:rPr>
        <w:t>American Economic Review</w:t>
      </w:r>
      <w:r>
        <w:t>, 960–980.</w:t>
      </w:r>
    </w:p>
    <w:p w14:paraId="08D5BD29" w14:textId="77777777" w:rsidR="00CD6E3F" w:rsidRDefault="00000000">
      <w:pPr>
        <w:pStyle w:val="Bibliography"/>
      </w:pPr>
      <w:bookmarkStart w:id="28" w:name="ref-ansolabehere_strength_2008"/>
      <w:bookmarkEnd w:id="27"/>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0">
        <w:r>
          <w:rPr>
            <w:rStyle w:val="Hyperlink"/>
          </w:rPr>
          <w:t>https://doi.org/10.1017/S0003055408080210</w:t>
        </w:r>
      </w:hyperlink>
    </w:p>
    <w:p w14:paraId="0AC67995" w14:textId="77777777" w:rsidR="00CD6E3F" w:rsidRDefault="00000000">
      <w:pPr>
        <w:pStyle w:val="Bibliography"/>
      </w:pPr>
      <w:bookmarkStart w:id="29" w:name="ref-arrow_meritocracy_2000"/>
      <w:bookmarkEnd w:id="28"/>
      <w:r>
        <w:lastRenderedPageBreak/>
        <w:t xml:space="preserve">Arrow, K. J., Bowles, S., &amp; Durlauf, S. N. (Eds.). (2000). </w:t>
      </w:r>
      <w:r>
        <w:rPr>
          <w:i/>
          <w:iCs/>
        </w:rPr>
        <w:t>Meritocracy and economic inequality</w:t>
      </w:r>
      <w:r>
        <w:t>. Princeton University Press.</w:t>
      </w:r>
    </w:p>
    <w:p w14:paraId="7B32F8A1" w14:textId="77777777" w:rsidR="00CD6E3F" w:rsidRDefault="00000000">
      <w:pPr>
        <w:pStyle w:val="Bibliography"/>
      </w:pPr>
      <w:bookmarkStart w:id="30" w:name="ref-atria_economic_2020"/>
      <w:bookmarkEnd w:id="29"/>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1">
        <w:r>
          <w:rPr>
            <w:rStyle w:val="Hyperlink"/>
          </w:rPr>
          <w:t>https://doi.org/10.1177/0002764220941214</w:t>
        </w:r>
      </w:hyperlink>
    </w:p>
    <w:p w14:paraId="6D793ED5" w14:textId="77777777" w:rsidR="00CD6E3F" w:rsidRDefault="00000000">
      <w:pPr>
        <w:pStyle w:val="Bibliography"/>
      </w:pPr>
      <w:bookmarkStart w:id="31" w:name="ref-boas_recruiting_2020"/>
      <w:bookmarkEnd w:id="30"/>
      <w:r>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2">
        <w:r>
          <w:rPr>
            <w:rStyle w:val="Hyperlink"/>
          </w:rPr>
          <w:t>https://doi.org/10.1017/psrm.2018.28</w:t>
        </w:r>
      </w:hyperlink>
    </w:p>
    <w:p w14:paraId="5F6C6571" w14:textId="77777777" w:rsidR="00CD6E3F" w:rsidRDefault="00000000">
      <w:pPr>
        <w:pStyle w:val="Bibliography"/>
      </w:pPr>
      <w:bookmarkStart w:id="32" w:name="ref-bollen_structural_1989"/>
      <w:bookmarkEnd w:id="31"/>
      <w:r>
        <w:t xml:space="preserve">Bollen, K. A. (1989). </w:t>
      </w:r>
      <w:r>
        <w:rPr>
          <w:i/>
          <w:iCs/>
        </w:rPr>
        <w:t>Structural equations with latent variables</w:t>
      </w:r>
      <w:r>
        <w:t>. Wiley.</w:t>
      </w:r>
    </w:p>
    <w:p w14:paraId="5C7C87D3" w14:textId="77777777" w:rsidR="00CD6E3F" w:rsidRDefault="00000000">
      <w:pPr>
        <w:pStyle w:val="Bibliography"/>
      </w:pPr>
      <w:bookmarkStart w:id="33" w:name="ref-breen_class_1999"/>
      <w:bookmarkEnd w:id="32"/>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3">
        <w:r>
          <w:rPr>
            <w:rStyle w:val="Hyperlink"/>
          </w:rPr>
          <w:t>https://doi.org/10.1111/j.1468-4446.1999.00001.x</w:t>
        </w:r>
      </w:hyperlink>
    </w:p>
    <w:p w14:paraId="30739972" w14:textId="77777777" w:rsidR="00CD6E3F" w:rsidRDefault="00000000">
      <w:pPr>
        <w:pStyle w:val="Bibliography"/>
      </w:pPr>
      <w:bookmarkStart w:id="34" w:name="ref-brown_confirmatory_2015"/>
      <w:bookmarkEnd w:id="33"/>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phy"/>
        <w:rPr>
          <w:lang w:val="es-CL"/>
        </w:rPr>
      </w:pPr>
      <w:bookmarkStart w:id="35" w:name="ref-bubak_perceptions_2019"/>
      <w:bookmarkEnd w:id="34"/>
      <w:r>
        <w:t xml:space="preserve">Bubak, O. (2019). Perceptions of meritocracy: A note on China. </w:t>
      </w:r>
      <w:r>
        <w:rPr>
          <w:i/>
          <w:iCs/>
        </w:rPr>
        <w:t>Asian Journal of Comparative Politics</w:t>
      </w:r>
      <w:r>
        <w:t xml:space="preserve">, </w:t>
      </w:r>
      <w:r>
        <w:rPr>
          <w:i/>
          <w:iCs/>
        </w:rPr>
        <w:t>4</w:t>
      </w:r>
      <w:r>
        <w:t xml:space="preserve">(2), 192–209. </w:t>
      </w:r>
      <w:hyperlink r:id="rId24">
        <w:r w:rsidRPr="0042789A">
          <w:rPr>
            <w:rStyle w:val="Hyperlink"/>
            <w:lang w:val="es-CL"/>
          </w:rPr>
          <w:t>https://doi.org/10.1177/2057891118806065</w:t>
        </w:r>
      </w:hyperlink>
    </w:p>
    <w:p w14:paraId="703402C4" w14:textId="77777777" w:rsidR="00CD6E3F" w:rsidRPr="0042789A" w:rsidRDefault="00000000">
      <w:pPr>
        <w:pStyle w:val="Bibliography"/>
        <w:rPr>
          <w:lang w:val="es-CL"/>
        </w:rPr>
      </w:pPr>
      <w:bookmarkStart w:id="36" w:name="ref-castillo_meritocracia_2019"/>
      <w:bookmarkEnd w:id="35"/>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5">
        <w:r w:rsidRPr="0042789A">
          <w:rPr>
            <w:rStyle w:val="Hyperlink"/>
            <w:lang w:val="es-CL"/>
          </w:rPr>
          <w:t>https://doi.org/10.3989/ris.2019.77.1.17.114</w:t>
        </w:r>
      </w:hyperlink>
    </w:p>
    <w:p w14:paraId="165B0879" w14:textId="77777777" w:rsidR="00CD6E3F" w:rsidRPr="0042789A" w:rsidRDefault="00000000">
      <w:pPr>
        <w:pStyle w:val="Bibliography"/>
        <w:rPr>
          <w:lang w:val="es-CL"/>
        </w:rPr>
      </w:pPr>
      <w:bookmarkStart w:id="37" w:name="ref-cep_encuesta_2019"/>
      <w:bookmarkEnd w:id="36"/>
      <w:r w:rsidRPr="0042789A">
        <w:rPr>
          <w:lang w:val="es-CL"/>
        </w:rPr>
        <w:t xml:space="preserve">CEP. (2019). </w:t>
      </w:r>
      <w:r w:rsidRPr="0042789A">
        <w:rPr>
          <w:i/>
          <w:iCs/>
          <w:lang w:val="es-CL"/>
        </w:rPr>
        <w:t>Encuesta CEP Mayo 2019</w:t>
      </w:r>
      <w:r w:rsidRPr="0042789A">
        <w:rPr>
          <w:lang w:val="es-CL"/>
        </w:rPr>
        <w:t>.</w:t>
      </w:r>
    </w:p>
    <w:p w14:paraId="3D60D9C2" w14:textId="77777777" w:rsidR="00CD6E3F" w:rsidRDefault="00000000">
      <w:pPr>
        <w:pStyle w:val="Bibliography"/>
      </w:pPr>
      <w:bookmarkStart w:id="38" w:name="ref-chen_sensitivity_2007"/>
      <w:bookmarkEnd w:id="37"/>
      <w:r w:rsidRPr="007C0141">
        <w:t xml:space="preserve">Chen, F. F. (2007). </w:t>
      </w:r>
      <w:r>
        <w:t xml:space="preserve">Sensitivity of Goodness of Fit Indexes to Lack of Measurement Invariance. </w:t>
      </w:r>
      <w:r>
        <w:rPr>
          <w:i/>
          <w:iCs/>
        </w:rPr>
        <w:t>Structural Equation Modeling: A Multidisciplinary Journal</w:t>
      </w:r>
      <w:r>
        <w:t xml:space="preserve">, </w:t>
      </w:r>
      <w:r>
        <w:rPr>
          <w:i/>
          <w:iCs/>
        </w:rPr>
        <w:t>14</w:t>
      </w:r>
      <w:r>
        <w:t xml:space="preserve">(3), 464–504. </w:t>
      </w:r>
      <w:hyperlink r:id="rId26">
        <w:r>
          <w:rPr>
            <w:rStyle w:val="Hyperlink"/>
          </w:rPr>
          <w:t>https://doi.org/10.1080/10705510701301834</w:t>
        </w:r>
      </w:hyperlink>
    </w:p>
    <w:p w14:paraId="478EAC1C" w14:textId="77777777" w:rsidR="00CD6E3F" w:rsidRDefault="00000000">
      <w:pPr>
        <w:pStyle w:val="Bibliography"/>
      </w:pPr>
      <w:bookmarkStart w:id="39" w:name="ref-cheung_evaluating_2002"/>
      <w:bookmarkEnd w:id="38"/>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27">
        <w:r>
          <w:rPr>
            <w:rStyle w:val="Hyperlink"/>
          </w:rPr>
          <w:t>https://doi.org/10.1207/S15328007SEM0902_5</w:t>
        </w:r>
      </w:hyperlink>
    </w:p>
    <w:p w14:paraId="476D96B2" w14:textId="77777777" w:rsidR="00CD6E3F" w:rsidRDefault="00000000">
      <w:pPr>
        <w:pStyle w:val="Bibliography"/>
      </w:pPr>
      <w:bookmarkStart w:id="40" w:name="ref-cohen_statistical_1988"/>
      <w:bookmarkEnd w:id="39"/>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phy"/>
      </w:pPr>
      <w:bookmarkStart w:id="41" w:name="ref-converse_nature_1964"/>
      <w:bookmarkEnd w:id="40"/>
      <w:r>
        <w:lastRenderedPageBreak/>
        <w:t xml:space="preserve">Converse, P. E. (1964). The nature of belief systems in mass publics (1964). </w:t>
      </w:r>
      <w:r>
        <w:rPr>
          <w:i/>
          <w:iCs/>
        </w:rPr>
        <w:t>Critical Review</w:t>
      </w:r>
      <w:r>
        <w:t xml:space="preserve">, </w:t>
      </w:r>
      <w:r>
        <w:rPr>
          <w:i/>
          <w:iCs/>
        </w:rPr>
        <w:t>18</w:t>
      </w:r>
      <w:r>
        <w:t xml:space="preserve">(1-3), 1–74. </w:t>
      </w:r>
      <w:hyperlink r:id="rId28">
        <w:r>
          <w:rPr>
            <w:rStyle w:val="Hyperlink"/>
          </w:rPr>
          <w:t>https://doi.org/10.1080/08913810608443650</w:t>
        </w:r>
      </w:hyperlink>
    </w:p>
    <w:p w14:paraId="3F64A0CD" w14:textId="77777777" w:rsidR="00CD6E3F" w:rsidRDefault="00000000">
      <w:pPr>
        <w:pStyle w:val="Bibliography"/>
      </w:pPr>
      <w:bookmarkStart w:id="42" w:name="ref-davey_preference_1999"/>
      <w:bookmarkEnd w:id="41"/>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phy"/>
      </w:pPr>
      <w:bookmarkStart w:id="43" w:name="ref-davidov_measurement_2009"/>
      <w:bookmarkEnd w:id="42"/>
      <w:r>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29">
        <w:r>
          <w:rPr>
            <w:rStyle w:val="Hyperlink"/>
          </w:rPr>
          <w:t>https://doi.org/10.1093/pan/mpn014</w:t>
        </w:r>
      </w:hyperlink>
    </w:p>
    <w:p w14:paraId="5F7E7278" w14:textId="77777777" w:rsidR="00CD6E3F" w:rsidRPr="0042789A" w:rsidRDefault="00000000">
      <w:pPr>
        <w:pStyle w:val="Bibliography"/>
        <w:rPr>
          <w:lang w:val="es-CL"/>
        </w:rPr>
      </w:pPr>
      <w:bookmarkStart w:id="44" w:name="ref-davidov_measurement_2014"/>
      <w:bookmarkEnd w:id="43"/>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0">
        <w:r w:rsidRPr="0042789A">
          <w:rPr>
            <w:rStyle w:val="Hyperlink"/>
            <w:lang w:val="es-CL"/>
          </w:rPr>
          <w:t>https://doi.org/10.1146/annurev-soc-071913-043137</w:t>
        </w:r>
      </w:hyperlink>
    </w:p>
    <w:p w14:paraId="10FA4D73" w14:textId="77777777" w:rsidR="00CD6E3F" w:rsidRDefault="00000000">
      <w:pPr>
        <w:pStyle w:val="Bibliography"/>
      </w:pPr>
      <w:bookmarkStart w:id="45" w:name="ref-dimick_models_2018"/>
      <w:bookmarkEnd w:id="44"/>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1">
        <w:r>
          <w:rPr>
            <w:rStyle w:val="Hyperlink"/>
          </w:rPr>
          <w:t>https://doi.org/10.1146/annurev-polisci-091515-030034</w:t>
        </w:r>
      </w:hyperlink>
    </w:p>
    <w:p w14:paraId="6D79DECF" w14:textId="77777777" w:rsidR="00CD6E3F" w:rsidRDefault="00000000">
      <w:pPr>
        <w:pStyle w:val="Bibliography"/>
      </w:pPr>
      <w:bookmarkStart w:id="46" w:name="ref-dimitrov_testing_2010"/>
      <w:bookmarkEnd w:id="45"/>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2">
        <w:r>
          <w:rPr>
            <w:rStyle w:val="Hyperlink"/>
          </w:rPr>
          <w:t>https://doi.org/10.1177/0748175610373459</w:t>
        </w:r>
      </w:hyperlink>
    </w:p>
    <w:p w14:paraId="7765A794" w14:textId="77777777" w:rsidR="00CD6E3F" w:rsidRDefault="00000000">
      <w:pPr>
        <w:pStyle w:val="Bibliography"/>
      </w:pPr>
      <w:bookmarkStart w:id="47" w:name="ref-duru-bellat_who_2012"/>
      <w:bookmarkEnd w:id="46"/>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3">
        <w:r>
          <w:rPr>
            <w:rStyle w:val="Hyperlink"/>
          </w:rPr>
          <w:t>https://doi.org/10.1086/661290</w:t>
        </w:r>
      </w:hyperlink>
    </w:p>
    <w:p w14:paraId="11DAC6B0" w14:textId="77777777" w:rsidR="00CD6E3F" w:rsidRDefault="00000000">
      <w:pPr>
        <w:pStyle w:val="Bibliography"/>
      </w:pPr>
      <w:bookmarkStart w:id="48" w:name="ref-fischer_are_2011"/>
      <w:bookmarkEnd w:id="47"/>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4">
        <w:r>
          <w:rPr>
            <w:rStyle w:val="Hyperlink"/>
          </w:rPr>
          <w:t>https://doi.org/10.1007/s11211-011-0142-7</w:t>
        </w:r>
      </w:hyperlink>
    </w:p>
    <w:p w14:paraId="11051366" w14:textId="77777777" w:rsidR="00CD6E3F" w:rsidRDefault="00000000">
      <w:pPr>
        <w:pStyle w:val="Bibliography"/>
      </w:pPr>
      <w:bookmarkStart w:id="49" w:name="ref-generett_stories_2020"/>
      <w:bookmarkEnd w:id="48"/>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5">
        <w:r>
          <w:rPr>
            <w:rStyle w:val="Hyperlink"/>
          </w:rPr>
          <w:t>https://doi.org/10.1177/0042085918817342</w:t>
        </w:r>
      </w:hyperlink>
    </w:p>
    <w:p w14:paraId="0AC5F225" w14:textId="77777777" w:rsidR="00CD6E3F" w:rsidRDefault="00000000">
      <w:pPr>
        <w:pStyle w:val="Bibliography"/>
      </w:pPr>
      <w:bookmarkStart w:id="50" w:name="ref-girerd_neoliberalism_2020"/>
      <w:bookmarkEnd w:id="49"/>
      <w:r>
        <w:lastRenderedPageBreak/>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36">
        <w:r>
          <w:rPr>
            <w:rStyle w:val="Hyperlink"/>
          </w:rPr>
          <w:t>https://doi.org/10.1007/s11211-020-00347-8</w:t>
        </w:r>
      </w:hyperlink>
    </w:p>
    <w:p w14:paraId="66E730DC" w14:textId="77777777" w:rsidR="00CD6E3F" w:rsidRDefault="00000000">
      <w:pPr>
        <w:pStyle w:val="Bibliography"/>
      </w:pPr>
      <w:bookmarkStart w:id="51" w:name="ref-goldthorpe_myth_2003"/>
      <w:bookmarkEnd w:id="50"/>
      <w:r>
        <w:t xml:space="preserve">Goldthorpe, J. (2003). The myth of education-based meritocracy. </w:t>
      </w:r>
      <w:r>
        <w:rPr>
          <w:i/>
          <w:iCs/>
        </w:rPr>
        <w:t>New Economy</w:t>
      </w:r>
      <w:r>
        <w:t xml:space="preserve">, </w:t>
      </w:r>
      <w:r>
        <w:rPr>
          <w:i/>
          <w:iCs/>
        </w:rPr>
        <w:t>10</w:t>
      </w:r>
      <w:r>
        <w:t xml:space="preserve">(4), 234–239. </w:t>
      </w:r>
      <w:hyperlink r:id="rId37">
        <w:r>
          <w:rPr>
            <w:rStyle w:val="Hyperlink"/>
          </w:rPr>
          <w:t>https://doi.org/10.1046/j.1468-0041.2003.00324.x</w:t>
        </w:r>
      </w:hyperlink>
    </w:p>
    <w:p w14:paraId="4E4A4355" w14:textId="77777777" w:rsidR="00CD6E3F" w:rsidRPr="0042789A" w:rsidRDefault="00000000">
      <w:pPr>
        <w:pStyle w:val="Bibliography"/>
        <w:rPr>
          <w:lang w:val="es-CL"/>
        </w:rPr>
      </w:pPr>
      <w:bookmarkStart w:id="52" w:name="ref-hadjar_meritokratie_2008"/>
      <w:bookmarkEnd w:id="51"/>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phy"/>
      </w:pPr>
      <w:bookmarkStart w:id="53" w:name="ref-ishida_trends_2005"/>
      <w:bookmarkEnd w:id="52"/>
      <w:proofErr w:type="spellStart"/>
      <w:r w:rsidRPr="0042789A">
        <w:rPr>
          <w:lang w:val="es-CL"/>
        </w:rPr>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phy"/>
      </w:pPr>
      <w:bookmarkStart w:id="54" w:name="X3773a2f2526dae14af3f0b9367b07f869ed33cb"/>
      <w:bookmarkEnd w:id="53"/>
      <w:r>
        <w:t xml:space="preserve">ISSP-Research-Group. (2017). </w:t>
      </w:r>
      <w:r>
        <w:rPr>
          <w:i/>
          <w:iCs/>
        </w:rPr>
        <w:t>International Social Survey Programme: Social Inequality Dataset IV - ISSP 2009</w:t>
      </w:r>
      <w:r>
        <w:t xml:space="preserve">. GESIS Data Archive. </w:t>
      </w:r>
      <w:hyperlink r:id="rId38">
        <w:r>
          <w:rPr>
            <w:rStyle w:val="Hyperlink"/>
          </w:rPr>
          <w:t>https://doi.org/10.4232/1.12777</w:t>
        </w:r>
      </w:hyperlink>
    </w:p>
    <w:p w14:paraId="7DFC70AA" w14:textId="77777777" w:rsidR="00CD6E3F" w:rsidRDefault="00000000">
      <w:pPr>
        <w:pStyle w:val="Bibliography"/>
      </w:pPr>
      <w:bookmarkStart w:id="55" w:name="ref-janmaat_subjective_2013"/>
      <w:bookmarkEnd w:id="54"/>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39">
        <w:r>
          <w:rPr>
            <w:rStyle w:val="Hyperlink"/>
          </w:rPr>
          <w:t>https://doi.org/10.1017/S0003975613000209</w:t>
        </w:r>
      </w:hyperlink>
    </w:p>
    <w:p w14:paraId="587B1EA5" w14:textId="77777777" w:rsidR="00CD6E3F" w:rsidRDefault="00000000">
      <w:pPr>
        <w:pStyle w:val="Bibliography"/>
      </w:pPr>
      <w:bookmarkStart w:id="56" w:name="ref-khan_privilege_2013"/>
      <w:bookmarkEnd w:id="55"/>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phy"/>
      </w:pPr>
      <w:bookmarkStart w:id="57" w:name="ref-kline_principles_2016"/>
      <w:bookmarkEnd w:id="56"/>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phy"/>
      </w:pPr>
      <w:bookmarkStart w:id="58" w:name="ref-kluegel_beliefs_1986"/>
      <w:bookmarkEnd w:id="57"/>
      <w:r>
        <w:t xml:space="preserve">Kluegel, J. R., &amp; Smith, E. R. (1986). </w:t>
      </w:r>
      <w:r>
        <w:rPr>
          <w:i/>
          <w:iCs/>
        </w:rPr>
        <w:t>Beliefs about Inequality: Americans’ Views of What Is and What Ought to Be</w:t>
      </w:r>
      <w:r>
        <w:t xml:space="preserve"> (First). Routledge. </w:t>
      </w:r>
      <w:hyperlink r:id="rId40">
        <w:r>
          <w:rPr>
            <w:rStyle w:val="Hyperlink"/>
          </w:rPr>
          <w:t>https://doi.org/10.4324/9781351329002</w:t>
        </w:r>
      </w:hyperlink>
    </w:p>
    <w:p w14:paraId="751BEEC9" w14:textId="77777777" w:rsidR="00CD6E3F" w:rsidRDefault="00000000">
      <w:pPr>
        <w:pStyle w:val="Bibliography"/>
      </w:pPr>
      <w:bookmarkStart w:id="59" w:name="ref-kunovich_systems_2007"/>
      <w:bookmarkEnd w:id="58"/>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1">
        <w:r>
          <w:rPr>
            <w:rStyle w:val="Hyperlink"/>
          </w:rPr>
          <w:t>https://doi.org/10.1093/esr/jcm026</w:t>
        </w:r>
      </w:hyperlink>
    </w:p>
    <w:p w14:paraId="4BA481D1" w14:textId="77777777" w:rsidR="00CD6E3F" w:rsidRDefault="00000000">
      <w:pPr>
        <w:pStyle w:val="Bibliography"/>
      </w:pPr>
      <w:bookmarkStart w:id="60" w:name="ref-land_we_2006"/>
      <w:bookmarkEnd w:id="59"/>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2">
        <w:r>
          <w:rPr>
            <w:rStyle w:val="Hyperlink"/>
          </w:rPr>
          <w:t>https://doi.org/10.1111/j.1467-923X.2006.00780.x</w:t>
        </w:r>
      </w:hyperlink>
    </w:p>
    <w:p w14:paraId="0114FEE1" w14:textId="77777777" w:rsidR="00CD6E3F" w:rsidRDefault="00000000">
      <w:pPr>
        <w:pStyle w:val="Bibliography"/>
      </w:pPr>
      <w:bookmarkStart w:id="61" w:name="ref-linton_study_1936"/>
      <w:bookmarkEnd w:id="60"/>
      <w:r>
        <w:t xml:space="preserve">Linton, R. (1936). </w:t>
      </w:r>
      <w:r>
        <w:rPr>
          <w:i/>
          <w:iCs/>
        </w:rPr>
        <w:t>The Study of Man</w:t>
      </w:r>
      <w:r>
        <w:t>. D. Appleton-Century.</w:t>
      </w:r>
    </w:p>
    <w:p w14:paraId="1D82A9F3" w14:textId="77777777" w:rsidR="00CD6E3F" w:rsidRDefault="00000000">
      <w:pPr>
        <w:pStyle w:val="Bibliography"/>
      </w:pPr>
      <w:bookmarkStart w:id="62" w:name="ref-lundberg_what_2021"/>
      <w:bookmarkEnd w:id="61"/>
      <w:r>
        <w:lastRenderedPageBreak/>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3">
        <w:r>
          <w:rPr>
            <w:rStyle w:val="Hyperlink"/>
          </w:rPr>
          <w:t>https://doi.org/10.1177/00031224211004187</w:t>
        </w:r>
      </w:hyperlink>
    </w:p>
    <w:p w14:paraId="38BE8933" w14:textId="77777777" w:rsidR="00CD6E3F" w:rsidRDefault="00000000">
      <w:pPr>
        <w:pStyle w:val="Bibliography"/>
      </w:pPr>
      <w:bookmarkStart w:id="63" w:name="ref-madeira_primes_2019"/>
      <w:bookmarkEnd w:id="62"/>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4">
        <w:r>
          <w:rPr>
            <w:rStyle w:val="Hyperlink"/>
          </w:rPr>
          <w:t>https://doi.org/10.3389/fpsyg.2019.02007</w:t>
        </w:r>
      </w:hyperlink>
    </w:p>
    <w:p w14:paraId="00A2382B" w14:textId="77777777" w:rsidR="00CD6E3F" w:rsidRDefault="00000000">
      <w:pPr>
        <w:pStyle w:val="Bibliography"/>
      </w:pPr>
      <w:bookmarkStart w:id="64" w:name="ref-markovits_meritocracy_2019"/>
      <w:bookmarkEnd w:id="63"/>
      <w:r>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phy"/>
      </w:pPr>
      <w:bookmarkStart w:id="65" w:name="ref-mijs_paradox_2019"/>
      <w:bookmarkEnd w:id="64"/>
      <w:r>
        <w:t xml:space="preserve">Mijs, J. J. B. (2019). The paradox of inequality: Income inequality and belief in meritocracy go hand in hand. </w:t>
      </w:r>
      <w:r>
        <w:rPr>
          <w:i/>
          <w:iCs/>
        </w:rPr>
        <w:t>Socio-Economic Review</w:t>
      </w:r>
      <w:r>
        <w:t xml:space="preserve">. </w:t>
      </w:r>
      <w:hyperlink r:id="rId45">
        <w:r>
          <w:rPr>
            <w:rStyle w:val="Hyperlink"/>
          </w:rPr>
          <w:t>https://doi.org/10.1093/ser/mwy051</w:t>
        </w:r>
      </w:hyperlink>
    </w:p>
    <w:p w14:paraId="53F99117" w14:textId="77777777" w:rsidR="00CD6E3F" w:rsidRDefault="00000000">
      <w:pPr>
        <w:pStyle w:val="Bibliography"/>
      </w:pPr>
      <w:bookmarkStart w:id="66" w:name="ref-milfont_testing_2010"/>
      <w:bookmarkEnd w:id="65"/>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46">
        <w:r>
          <w:rPr>
            <w:rStyle w:val="Hyperlink"/>
          </w:rPr>
          <w:t>https://doi.org/10.1007/s11135-007-9143-x</w:t>
        </w:r>
      </w:hyperlink>
    </w:p>
    <w:p w14:paraId="283FFCA5" w14:textId="77777777" w:rsidR="00CD6E3F" w:rsidRDefault="00000000">
      <w:pPr>
        <w:pStyle w:val="Bibliography"/>
      </w:pPr>
      <w:bookmarkStart w:id="67" w:name="ref-millsap_statistical_2011"/>
      <w:bookmarkEnd w:id="66"/>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phy"/>
      </w:pPr>
      <w:bookmarkStart w:id="68" w:name="ref-newman_false_2015"/>
      <w:bookmarkEnd w:id="67"/>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47">
        <w:r>
          <w:rPr>
            <w:rStyle w:val="Hyperlink"/>
          </w:rPr>
          <w:t>https://doi.org/10.1111/ajps.12153</w:t>
        </w:r>
      </w:hyperlink>
    </w:p>
    <w:p w14:paraId="61FE261A" w14:textId="77777777" w:rsidR="00CD6E3F" w:rsidRDefault="00000000">
      <w:pPr>
        <w:pStyle w:val="Bibliography"/>
      </w:pPr>
      <w:bookmarkStart w:id="69" w:name="ref-newsom_longitudinal_2015"/>
      <w:bookmarkEnd w:id="68"/>
      <w:r>
        <w:t xml:space="preserve">Newsom, J. T. (2015). </w:t>
      </w:r>
      <w:r>
        <w:rPr>
          <w:i/>
          <w:iCs/>
        </w:rPr>
        <w:t>Longitudinal structural equation modeling: A comprehensive introduction</w:t>
      </w:r>
      <w:r>
        <w:t>. Routledge.</w:t>
      </w:r>
    </w:p>
    <w:p w14:paraId="6E0892E7" w14:textId="77777777" w:rsidR="00CD6E3F" w:rsidRDefault="00000000">
      <w:pPr>
        <w:pStyle w:val="Bibliography"/>
      </w:pPr>
      <w:bookmarkStart w:id="70" w:name="ref-owens_engines_2020"/>
      <w:bookmarkEnd w:id="69"/>
      <w:r>
        <w:t xml:space="preserve">Owens, J., &amp; de St Croix, T. (2020). ENGINES OF SOCIAL MOBILITY? NAVIGATING MERITOCRATIC EDUCATION DISCOURSE IN AN UNEQUAL SOCIETY. </w:t>
      </w:r>
      <w:r>
        <w:rPr>
          <w:i/>
          <w:iCs/>
        </w:rPr>
        <w:t>British Journal of Educational Studies</w:t>
      </w:r>
      <w:r>
        <w:t xml:space="preserve">, 1–21. </w:t>
      </w:r>
      <w:hyperlink r:id="rId48">
        <w:r>
          <w:rPr>
            <w:rStyle w:val="Hyperlink"/>
          </w:rPr>
          <w:t>https://doi.org/10.1080/00071005.2019.1708863</w:t>
        </w:r>
      </w:hyperlink>
    </w:p>
    <w:p w14:paraId="59F8917E" w14:textId="77777777" w:rsidR="00CD6E3F" w:rsidRDefault="00000000">
      <w:pPr>
        <w:pStyle w:val="Bibliography"/>
      </w:pPr>
      <w:bookmarkStart w:id="71" w:name="ref-perez_advancing_2020"/>
      <w:bookmarkEnd w:id="70"/>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49">
        <w:r>
          <w:rPr>
            <w:rStyle w:val="Hyperlink"/>
          </w:rPr>
          <w:t>https://doi.org/10.1080/14759551.2019.1601723</w:t>
        </w:r>
      </w:hyperlink>
    </w:p>
    <w:p w14:paraId="2FF26611" w14:textId="77777777" w:rsidR="00CD6E3F" w:rsidRDefault="00000000">
      <w:pPr>
        <w:pStyle w:val="Bibliography"/>
      </w:pPr>
      <w:bookmarkStart w:id="72" w:name="ref-piketty_capital_2014"/>
      <w:bookmarkEnd w:id="71"/>
      <w:r>
        <w:lastRenderedPageBreak/>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phy"/>
      </w:pPr>
      <w:bookmarkStart w:id="73" w:name="ref-preminger_meritocracy_2020"/>
      <w:bookmarkEnd w:id="72"/>
      <w:r>
        <w:t xml:space="preserve">Preminger, J. (2020). Meritocracy in the service of ethnocracy. </w:t>
      </w:r>
      <w:r>
        <w:rPr>
          <w:i/>
          <w:iCs/>
        </w:rPr>
        <w:t>Citizenship Studies</w:t>
      </w:r>
      <w:r>
        <w:t xml:space="preserve">, </w:t>
      </w:r>
      <w:r>
        <w:rPr>
          <w:i/>
          <w:iCs/>
        </w:rPr>
        <w:t>24</w:t>
      </w:r>
      <w:r>
        <w:t xml:space="preserve">(2), 247–263. </w:t>
      </w:r>
      <w:hyperlink r:id="rId50">
        <w:r>
          <w:rPr>
            <w:rStyle w:val="Hyperlink"/>
          </w:rPr>
          <w:t>https://doi.org/10.1080/13621025.2020.1720604</w:t>
        </w:r>
      </w:hyperlink>
    </w:p>
    <w:p w14:paraId="6B2D88DC" w14:textId="77777777" w:rsidR="00CD6E3F" w:rsidRDefault="00000000">
      <w:pPr>
        <w:pStyle w:val="Bibliography"/>
      </w:pPr>
      <w:bookmarkStart w:id="74" w:name="ref-reynolds_perceptions_2014"/>
      <w:bookmarkEnd w:id="73"/>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1">
        <w:r>
          <w:rPr>
            <w:rStyle w:val="Hyperlink"/>
          </w:rPr>
          <w:t>https://doi.org/10.1016/j.rssm.2014.03.001</w:t>
        </w:r>
      </w:hyperlink>
    </w:p>
    <w:p w14:paraId="4CE847C6" w14:textId="77777777" w:rsidR="00CD6E3F" w:rsidRDefault="00000000">
      <w:pPr>
        <w:pStyle w:val="Bibliography"/>
      </w:pPr>
      <w:bookmarkStart w:id="75" w:name="ref-roex_attitudes_2018"/>
      <w:bookmarkEnd w:id="74"/>
      <w:proofErr w:type="spellStart"/>
      <w:r w:rsidRPr="0042789A">
        <w:rPr>
          <w:lang w:val="es-CL"/>
        </w:rPr>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2">
        <w:r>
          <w:rPr>
            <w:rStyle w:val="Hyperlink"/>
          </w:rPr>
          <w:t>https://doi.org/10.1177/0001699317748340</w:t>
        </w:r>
      </w:hyperlink>
    </w:p>
    <w:p w14:paraId="061652DF" w14:textId="77777777" w:rsidR="00CD6E3F" w:rsidRDefault="00000000">
      <w:pPr>
        <w:pStyle w:val="Bibliography"/>
      </w:pPr>
      <w:bookmarkStart w:id="76" w:name="ref-rosseel_lavaan_2012a"/>
      <w:bookmarkEnd w:id="75"/>
      <w:r>
        <w:t xml:space="preserve">Rosseel, Y. (2012). Lavaan : An R Package for Structural Equation Modeling. </w:t>
      </w:r>
      <w:r>
        <w:rPr>
          <w:i/>
          <w:iCs/>
        </w:rPr>
        <w:t>Journal of Statistical Software</w:t>
      </w:r>
      <w:r>
        <w:t xml:space="preserve">, </w:t>
      </w:r>
      <w:r>
        <w:rPr>
          <w:i/>
          <w:iCs/>
        </w:rPr>
        <w:t>48</w:t>
      </w:r>
      <w:r>
        <w:t xml:space="preserve">(2). </w:t>
      </w:r>
      <w:hyperlink r:id="rId53">
        <w:r>
          <w:rPr>
            <w:rStyle w:val="Hyperlink"/>
          </w:rPr>
          <w:t>https://doi.org/10.18637/jss.v048.i02</w:t>
        </w:r>
      </w:hyperlink>
    </w:p>
    <w:p w14:paraId="2175E39F" w14:textId="77777777" w:rsidR="00CD6E3F" w:rsidRDefault="00000000">
      <w:pPr>
        <w:pStyle w:val="Bibliography"/>
      </w:pPr>
      <w:bookmarkStart w:id="77" w:name="ref-sandel_tyranny_2020"/>
      <w:bookmarkEnd w:id="76"/>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phy"/>
      </w:pPr>
      <w:bookmarkStart w:id="78" w:name="ref-saunders_might_1995"/>
      <w:bookmarkEnd w:id="77"/>
      <w:r>
        <w:t xml:space="preserve">Saunders, P. (1995). Might Britain be a Meritocracy? </w:t>
      </w:r>
      <w:r>
        <w:rPr>
          <w:i/>
          <w:iCs/>
        </w:rPr>
        <w:t>Sociology</w:t>
      </w:r>
      <w:r>
        <w:t xml:space="preserve">, </w:t>
      </w:r>
      <w:r>
        <w:rPr>
          <w:i/>
          <w:iCs/>
        </w:rPr>
        <w:t>29</w:t>
      </w:r>
      <w:r>
        <w:t xml:space="preserve">(1), 23–41. </w:t>
      </w:r>
      <w:hyperlink r:id="rId54">
        <w:r>
          <w:rPr>
            <w:rStyle w:val="Hyperlink"/>
          </w:rPr>
          <w:t>https://doi.org/10.1177/0038038595029001003</w:t>
        </w:r>
      </w:hyperlink>
    </w:p>
    <w:p w14:paraId="0E6E7D21" w14:textId="77777777" w:rsidR="00CD6E3F" w:rsidRDefault="00000000">
      <w:pPr>
        <w:pStyle w:val="Bibliography"/>
      </w:pPr>
      <w:bookmarkStart w:id="79" w:name="ref-schroder_income_2017"/>
      <w:bookmarkEnd w:id="78"/>
      <w:r>
        <w:t xml:space="preserve">Schröder, M. (2017). Is income inequality related to tolerance for inequality? </w:t>
      </w:r>
      <w:r>
        <w:rPr>
          <w:i/>
          <w:iCs/>
        </w:rPr>
        <w:t>Social Justice Research</w:t>
      </w:r>
      <w:r>
        <w:t xml:space="preserve">, </w:t>
      </w:r>
      <w:r>
        <w:rPr>
          <w:i/>
          <w:iCs/>
        </w:rPr>
        <w:t>30</w:t>
      </w:r>
      <w:r>
        <w:t xml:space="preserve">(1), 23–47. </w:t>
      </w:r>
      <w:hyperlink r:id="rId55">
        <w:r>
          <w:rPr>
            <w:rStyle w:val="Hyperlink"/>
          </w:rPr>
          <w:t>https://doi.org/10.1007/s11211-016-0276-8</w:t>
        </w:r>
      </w:hyperlink>
    </w:p>
    <w:p w14:paraId="3FC310DD" w14:textId="77777777" w:rsidR="00CD6E3F" w:rsidRDefault="00000000">
      <w:pPr>
        <w:pStyle w:val="Bibliography"/>
      </w:pPr>
      <w:bookmarkStart w:id="80" w:name="ref-sonhing_merit_2011"/>
      <w:bookmarkEnd w:id="79"/>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56">
        <w:r>
          <w:rPr>
            <w:rStyle w:val="Hyperlink"/>
          </w:rPr>
          <w:t>https://doi.org/10.1037/a0024618</w:t>
        </w:r>
      </w:hyperlink>
    </w:p>
    <w:p w14:paraId="396AB8C4" w14:textId="77777777" w:rsidR="00CD6E3F" w:rsidRDefault="00000000">
      <w:pPr>
        <w:pStyle w:val="Bibliography"/>
      </w:pPr>
      <w:bookmarkStart w:id="81" w:name="ref-streeck_politics_2014"/>
      <w:bookmarkEnd w:id="80"/>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57">
        <w:r>
          <w:rPr>
            <w:rStyle w:val="Hyperlink"/>
          </w:rPr>
          <w:t>https://doi.org/10.1111/geer.12032</w:t>
        </w:r>
      </w:hyperlink>
    </w:p>
    <w:p w14:paraId="4E3EFFCF" w14:textId="77777777" w:rsidR="00CD6E3F" w:rsidRDefault="00000000">
      <w:pPr>
        <w:pStyle w:val="Bibliography"/>
      </w:pPr>
      <w:bookmarkStart w:id="82" w:name="ref-trump_when_2020"/>
      <w:bookmarkEnd w:id="81"/>
      <w:r>
        <w:t xml:space="preserve">Trump, K.-S. (2020). When and why is economic inequality seen as fair. </w:t>
      </w:r>
      <w:r>
        <w:rPr>
          <w:i/>
          <w:iCs/>
        </w:rPr>
        <w:t>Current Opinion in Behavioral Sciences</w:t>
      </w:r>
      <w:r>
        <w:t xml:space="preserve">, </w:t>
      </w:r>
      <w:r>
        <w:rPr>
          <w:i/>
          <w:iCs/>
        </w:rPr>
        <w:t>34</w:t>
      </w:r>
      <w:r>
        <w:t xml:space="preserve">, 46–51. </w:t>
      </w:r>
      <w:hyperlink r:id="rId58">
        <w:r>
          <w:rPr>
            <w:rStyle w:val="Hyperlink"/>
          </w:rPr>
          <w:t>https://doi.org/10.1016/j.cobeha.2019.12.001</w:t>
        </w:r>
      </w:hyperlink>
    </w:p>
    <w:p w14:paraId="61E88269" w14:textId="77777777" w:rsidR="00CD6E3F" w:rsidRDefault="00000000">
      <w:pPr>
        <w:pStyle w:val="Bibliography"/>
      </w:pPr>
      <w:bookmarkStart w:id="83" w:name="ref-vandeschoot_checklist_2012"/>
      <w:bookmarkEnd w:id="82"/>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59">
        <w:r>
          <w:rPr>
            <w:rStyle w:val="Hyperlink"/>
          </w:rPr>
          <w:t>https://doi.org/10.1080/17405629.2012.686740</w:t>
        </w:r>
      </w:hyperlink>
    </w:p>
    <w:p w14:paraId="2FDFEAA9" w14:textId="77777777" w:rsidR="00CD6E3F" w:rsidRDefault="00000000">
      <w:pPr>
        <w:pStyle w:val="Bibliography"/>
      </w:pPr>
      <w:bookmarkStart w:id="84" w:name="ref-witteveen_reconsidering_2020"/>
      <w:bookmarkEnd w:id="83"/>
      <w:r>
        <w:lastRenderedPageBreak/>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0">
        <w:r>
          <w:rPr>
            <w:rStyle w:val="Hyperlink"/>
          </w:rPr>
          <w:t>https://doi.org/10.1016/j.rssm.2020.100479</w:t>
        </w:r>
      </w:hyperlink>
    </w:p>
    <w:p w14:paraId="3C3A1A2E" w14:textId="77777777" w:rsidR="00CD6E3F" w:rsidRDefault="00000000">
      <w:pPr>
        <w:pStyle w:val="Bibliography"/>
      </w:pPr>
      <w:bookmarkStart w:id="85" w:name="ref-yair_meritocracy_2007"/>
      <w:bookmarkEnd w:id="84"/>
      <w:r>
        <w:t xml:space="preserve">Yair, G. (2007). Meritocracy. In G. Ritzer (Ed.), </w:t>
      </w:r>
      <w:r>
        <w:rPr>
          <w:i/>
          <w:iCs/>
        </w:rPr>
        <w:t>The blackwell encyclopedia of sociology</w:t>
      </w:r>
      <w:r>
        <w:t>. Blackwell Publishing Ltd.</w:t>
      </w:r>
    </w:p>
    <w:p w14:paraId="1C0B26D0" w14:textId="77777777" w:rsidR="00CD6E3F" w:rsidRDefault="00000000">
      <w:pPr>
        <w:pStyle w:val="Bibliography"/>
      </w:pPr>
      <w:bookmarkStart w:id="86" w:name="ref-young_rise_1962"/>
      <w:bookmarkEnd w:id="85"/>
      <w:r>
        <w:t xml:space="preserve">Young, M. (1962). </w:t>
      </w:r>
      <w:r>
        <w:rPr>
          <w:i/>
          <w:iCs/>
        </w:rPr>
        <w:t>The rise of the meritocracy</w:t>
      </w:r>
      <w:r>
        <w:t>. Penguin Books.</w:t>
      </w:r>
    </w:p>
    <w:p w14:paraId="72DCB3B4" w14:textId="77777777" w:rsidR="00CD6E3F" w:rsidRDefault="00000000">
      <w:pPr>
        <w:pStyle w:val="Bibliography"/>
      </w:pPr>
      <w:bookmarkStart w:id="87" w:name="ref-zaller_nature_1992"/>
      <w:bookmarkEnd w:id="86"/>
      <w:r>
        <w:t xml:space="preserve">Zaller, J. R. (1992). </w:t>
      </w:r>
      <w:r>
        <w:rPr>
          <w:i/>
          <w:iCs/>
        </w:rPr>
        <w:t>The Nature and Origins of Mass Opinion</w:t>
      </w:r>
      <w:r>
        <w:t xml:space="preserve"> (First). Cambridge University Press. </w:t>
      </w:r>
      <w:hyperlink r:id="rId61">
        <w:r>
          <w:rPr>
            <w:rStyle w:val="Hyperlink"/>
          </w:rPr>
          <w:t>https://doi.org/10.1017/CBO9780511818691</w:t>
        </w:r>
      </w:hyperlink>
    </w:p>
    <w:p w14:paraId="17E6FECC" w14:textId="77777777" w:rsidR="00CD6E3F" w:rsidRDefault="00000000">
      <w:pPr>
        <w:pStyle w:val="Bibliography"/>
      </w:pPr>
      <w:bookmarkStart w:id="88" w:name="ref-zhang_quota_2018"/>
      <w:bookmarkEnd w:id="87"/>
      <w:r>
        <w:t xml:space="preserve">Zhang, B., Mildenberger, M., Howe, P. D., Marlon, J., Rosenthal, S. A., &amp; Leiserowitz, A. (2018). Quota sampling using Facebook advertisements. </w:t>
      </w:r>
      <w:r>
        <w:rPr>
          <w:i/>
          <w:iCs/>
        </w:rPr>
        <w:t>Political Science Research and Methods</w:t>
      </w:r>
      <w:r>
        <w:t xml:space="preserve">, 1–7. </w:t>
      </w:r>
      <w:hyperlink r:id="rId62">
        <w:r>
          <w:rPr>
            <w:rStyle w:val="Hyperlink"/>
          </w:rPr>
          <w:t>https://doi.org/10.1017/psrm.2018.49</w:t>
        </w:r>
      </w:hyperlink>
    </w:p>
    <w:bookmarkEnd w:id="26"/>
    <w:bookmarkEnd w:id="88"/>
    <w:p w14:paraId="13C99C13" w14:textId="77777777" w:rsidR="00CD6E3F" w:rsidRDefault="00CD6E3F" w:rsidP="007C0141">
      <w:pPr>
        <w:pStyle w:val="BodyText"/>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Style1"/>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18611224" w14:textId="77777777" w:rsidR="00CD6E3F" w:rsidRDefault="00000000" w:rsidP="007C0141">
            <w:pPr>
              <w:pStyle w:val="Compact"/>
            </w:pPr>
            <w:r>
              <w:t>Country</w:t>
            </w:r>
          </w:p>
        </w:tc>
        <w:tc>
          <w:tcPr>
            <w:tcW w:w="0" w:type="auto"/>
          </w:tcPr>
          <w:p w14:paraId="5F01B357" w14:textId="77777777" w:rsidR="00CD6E3F" w:rsidRDefault="00000000" w:rsidP="007C0141">
            <w:pPr>
              <w:pStyle w:val="Compact"/>
            </w:pPr>
            <w:r>
              <w:t>N</w:t>
            </w:r>
          </w:p>
        </w:tc>
        <w:tc>
          <w:tcPr>
            <w:tcW w:w="0" w:type="auto"/>
          </w:tcPr>
          <w:p w14:paraId="5F49ED4A" w14:textId="77777777" w:rsidR="00CD6E3F" w:rsidRDefault="00000000" w:rsidP="007C0141">
            <w:pPr>
              <w:pStyle w:val="Compact"/>
            </w:pPr>
            <w:r>
              <w:t>Country</w:t>
            </w:r>
          </w:p>
        </w:tc>
        <w:tc>
          <w:tcPr>
            <w:tcW w:w="0" w:type="auto"/>
          </w:tcPr>
          <w:p w14:paraId="3221242C" w14:textId="77777777" w:rsidR="00CD6E3F" w:rsidRDefault="00000000" w:rsidP="007C0141">
            <w:pPr>
              <w:pStyle w:val="Compact"/>
            </w:pPr>
            <w:r>
              <w:t>N</w:t>
            </w:r>
          </w:p>
        </w:tc>
      </w:tr>
      <w:tr w:rsidR="00CD6E3F" w14:paraId="1D1FBA22" w14:textId="77777777" w:rsidTr="000A22E7">
        <w:tc>
          <w:tcPr>
            <w:tcW w:w="0" w:type="auto"/>
          </w:tcPr>
          <w:p w14:paraId="0311C789" w14:textId="77777777" w:rsidR="00CD6E3F" w:rsidRDefault="00000000" w:rsidP="007C0141">
            <w:pPr>
              <w:pStyle w:val="Compact"/>
            </w:pPr>
            <w:r>
              <w:t>Argentina</w:t>
            </w:r>
          </w:p>
        </w:tc>
        <w:tc>
          <w:tcPr>
            <w:tcW w:w="0" w:type="auto"/>
          </w:tcPr>
          <w:p w14:paraId="5C208BCA" w14:textId="77777777" w:rsidR="00CD6E3F" w:rsidRDefault="00000000" w:rsidP="007C0141">
            <w:pPr>
              <w:pStyle w:val="Compact"/>
            </w:pPr>
            <w:r>
              <w:t>997</w:t>
            </w:r>
          </w:p>
        </w:tc>
        <w:tc>
          <w:tcPr>
            <w:tcW w:w="0" w:type="auto"/>
          </w:tcPr>
          <w:p w14:paraId="679FA6FD" w14:textId="77777777" w:rsidR="00CD6E3F" w:rsidRDefault="00000000" w:rsidP="007C0141">
            <w:pPr>
              <w:pStyle w:val="Compact"/>
            </w:pPr>
            <w:r>
              <w:t>Latvia</w:t>
            </w:r>
          </w:p>
        </w:tc>
        <w:tc>
          <w:tcPr>
            <w:tcW w:w="0" w:type="auto"/>
          </w:tcPr>
          <w:p w14:paraId="72D62A3F" w14:textId="77777777" w:rsidR="00CD6E3F" w:rsidRDefault="00000000" w:rsidP="007C0141">
            <w:pPr>
              <w:pStyle w:val="Compact"/>
            </w:pPr>
            <w:r>
              <w:t>972</w:t>
            </w:r>
          </w:p>
        </w:tc>
      </w:tr>
      <w:tr w:rsidR="00CD6E3F" w14:paraId="48090E06" w14:textId="77777777" w:rsidTr="000A22E7">
        <w:tc>
          <w:tcPr>
            <w:tcW w:w="0" w:type="auto"/>
          </w:tcPr>
          <w:p w14:paraId="65347EF2" w14:textId="77777777" w:rsidR="00CD6E3F" w:rsidRDefault="00000000" w:rsidP="007C0141">
            <w:pPr>
              <w:pStyle w:val="Compact"/>
            </w:pPr>
            <w:r>
              <w:t>Australia</w:t>
            </w:r>
          </w:p>
        </w:tc>
        <w:tc>
          <w:tcPr>
            <w:tcW w:w="0" w:type="auto"/>
          </w:tcPr>
          <w:p w14:paraId="29F6E687" w14:textId="77777777" w:rsidR="00CD6E3F" w:rsidRDefault="00000000" w:rsidP="007C0141">
            <w:pPr>
              <w:pStyle w:val="Compact"/>
            </w:pPr>
            <w:r>
              <w:t>1259</w:t>
            </w:r>
          </w:p>
        </w:tc>
        <w:tc>
          <w:tcPr>
            <w:tcW w:w="0" w:type="auto"/>
          </w:tcPr>
          <w:p w14:paraId="7FF68FFF" w14:textId="77777777" w:rsidR="00CD6E3F" w:rsidRDefault="00000000" w:rsidP="007C0141">
            <w:pPr>
              <w:pStyle w:val="Compact"/>
            </w:pPr>
            <w:r>
              <w:t>Lithuania</w:t>
            </w:r>
          </w:p>
        </w:tc>
        <w:tc>
          <w:tcPr>
            <w:tcW w:w="0" w:type="auto"/>
          </w:tcPr>
          <w:p w14:paraId="30FF2A5D" w14:textId="77777777" w:rsidR="00CD6E3F" w:rsidRDefault="00000000" w:rsidP="007C0141">
            <w:pPr>
              <w:pStyle w:val="Compact"/>
            </w:pPr>
            <w:r>
              <w:t>781</w:t>
            </w:r>
          </w:p>
        </w:tc>
      </w:tr>
      <w:tr w:rsidR="00CD6E3F" w14:paraId="45CD9523" w14:textId="77777777" w:rsidTr="000A22E7">
        <w:tc>
          <w:tcPr>
            <w:tcW w:w="0" w:type="auto"/>
          </w:tcPr>
          <w:p w14:paraId="1E6BC6A9" w14:textId="77777777" w:rsidR="00CD6E3F" w:rsidRDefault="00000000" w:rsidP="007C0141">
            <w:pPr>
              <w:pStyle w:val="Compact"/>
            </w:pPr>
            <w:r>
              <w:t>Austria</w:t>
            </w:r>
          </w:p>
        </w:tc>
        <w:tc>
          <w:tcPr>
            <w:tcW w:w="0" w:type="auto"/>
          </w:tcPr>
          <w:p w14:paraId="27B10A00" w14:textId="77777777" w:rsidR="00CD6E3F" w:rsidRDefault="00000000" w:rsidP="007C0141">
            <w:pPr>
              <w:pStyle w:val="Compact"/>
            </w:pPr>
            <w:r>
              <w:t>900</w:t>
            </w:r>
          </w:p>
        </w:tc>
        <w:tc>
          <w:tcPr>
            <w:tcW w:w="0" w:type="auto"/>
          </w:tcPr>
          <w:p w14:paraId="4DD97C37" w14:textId="77777777" w:rsidR="00CD6E3F" w:rsidRDefault="00000000" w:rsidP="007C0141">
            <w:pPr>
              <w:pStyle w:val="Compact"/>
            </w:pPr>
            <w:r>
              <w:t>New Zealand</w:t>
            </w:r>
          </w:p>
        </w:tc>
        <w:tc>
          <w:tcPr>
            <w:tcW w:w="0" w:type="auto"/>
          </w:tcPr>
          <w:p w14:paraId="2B7F1822" w14:textId="77777777" w:rsidR="00CD6E3F" w:rsidRDefault="00000000" w:rsidP="007C0141">
            <w:pPr>
              <w:pStyle w:val="Compact"/>
            </w:pPr>
            <w:r>
              <w:t>834</w:t>
            </w:r>
          </w:p>
        </w:tc>
      </w:tr>
      <w:tr w:rsidR="00CD6E3F" w14:paraId="2BCD0FA9" w14:textId="77777777" w:rsidTr="000A22E7">
        <w:tc>
          <w:tcPr>
            <w:tcW w:w="0" w:type="auto"/>
          </w:tcPr>
          <w:p w14:paraId="7ADF2FCF" w14:textId="77777777" w:rsidR="00CD6E3F" w:rsidRDefault="00000000" w:rsidP="007C0141">
            <w:pPr>
              <w:pStyle w:val="Compact"/>
            </w:pPr>
            <w:r>
              <w:t>Belgium</w:t>
            </w:r>
          </w:p>
        </w:tc>
        <w:tc>
          <w:tcPr>
            <w:tcW w:w="0" w:type="auto"/>
          </w:tcPr>
          <w:p w14:paraId="5F3A1F12" w14:textId="77777777" w:rsidR="00CD6E3F" w:rsidRDefault="00000000" w:rsidP="007C0141">
            <w:pPr>
              <w:pStyle w:val="Compact"/>
            </w:pPr>
            <w:r>
              <w:t>895</w:t>
            </w:r>
          </w:p>
        </w:tc>
        <w:tc>
          <w:tcPr>
            <w:tcW w:w="0" w:type="auto"/>
          </w:tcPr>
          <w:p w14:paraId="53C6CD94" w14:textId="77777777" w:rsidR="00CD6E3F" w:rsidRDefault="00000000" w:rsidP="007C0141">
            <w:pPr>
              <w:pStyle w:val="Compact"/>
            </w:pPr>
            <w:r>
              <w:t>Norway</w:t>
            </w:r>
          </w:p>
        </w:tc>
        <w:tc>
          <w:tcPr>
            <w:tcW w:w="0" w:type="auto"/>
          </w:tcPr>
          <w:p w14:paraId="0CC99104" w14:textId="77777777" w:rsidR="00CD6E3F" w:rsidRDefault="00000000" w:rsidP="007C0141">
            <w:pPr>
              <w:pStyle w:val="Compact"/>
            </w:pPr>
            <w:r>
              <w:t>997</w:t>
            </w:r>
          </w:p>
        </w:tc>
      </w:tr>
      <w:tr w:rsidR="00CD6E3F" w14:paraId="318C531A" w14:textId="77777777" w:rsidTr="000A22E7">
        <w:tc>
          <w:tcPr>
            <w:tcW w:w="0" w:type="auto"/>
          </w:tcPr>
          <w:p w14:paraId="74DE8BA0" w14:textId="77777777" w:rsidR="00CD6E3F" w:rsidRDefault="00000000" w:rsidP="007C0141">
            <w:pPr>
              <w:pStyle w:val="Compact"/>
            </w:pPr>
            <w:r>
              <w:t>Bulgaria</w:t>
            </w:r>
          </w:p>
        </w:tc>
        <w:tc>
          <w:tcPr>
            <w:tcW w:w="0" w:type="auto"/>
          </w:tcPr>
          <w:p w14:paraId="189F7309" w14:textId="77777777" w:rsidR="00CD6E3F" w:rsidRDefault="00000000" w:rsidP="007C0141">
            <w:pPr>
              <w:pStyle w:val="Compact"/>
            </w:pPr>
            <w:r>
              <w:t>709</w:t>
            </w:r>
          </w:p>
        </w:tc>
        <w:tc>
          <w:tcPr>
            <w:tcW w:w="0" w:type="auto"/>
          </w:tcPr>
          <w:p w14:paraId="380CE820" w14:textId="77777777" w:rsidR="00CD6E3F" w:rsidRDefault="00000000" w:rsidP="007C0141">
            <w:pPr>
              <w:pStyle w:val="Compact"/>
            </w:pPr>
            <w:r>
              <w:t>Philippines</w:t>
            </w:r>
          </w:p>
        </w:tc>
        <w:tc>
          <w:tcPr>
            <w:tcW w:w="0" w:type="auto"/>
          </w:tcPr>
          <w:p w14:paraId="6231F4E1" w14:textId="77777777" w:rsidR="00CD6E3F" w:rsidRDefault="00000000" w:rsidP="007C0141">
            <w:pPr>
              <w:pStyle w:val="Compact"/>
            </w:pPr>
            <w:r>
              <w:t>1161</w:t>
            </w:r>
          </w:p>
        </w:tc>
      </w:tr>
      <w:tr w:rsidR="00CD6E3F" w14:paraId="0DC3A20D" w14:textId="77777777" w:rsidTr="000A22E7">
        <w:tc>
          <w:tcPr>
            <w:tcW w:w="0" w:type="auto"/>
          </w:tcPr>
          <w:p w14:paraId="6F5CCD7B" w14:textId="77777777" w:rsidR="00CD6E3F" w:rsidRDefault="00000000" w:rsidP="007C0141">
            <w:pPr>
              <w:pStyle w:val="Compact"/>
            </w:pPr>
            <w:r>
              <w:t>Chile</w:t>
            </w:r>
          </w:p>
        </w:tc>
        <w:tc>
          <w:tcPr>
            <w:tcW w:w="0" w:type="auto"/>
          </w:tcPr>
          <w:p w14:paraId="5643DAFF" w14:textId="77777777" w:rsidR="00CD6E3F" w:rsidRDefault="00000000" w:rsidP="007C0141">
            <w:pPr>
              <w:pStyle w:val="Compact"/>
            </w:pPr>
            <w:r>
              <w:t>1373</w:t>
            </w:r>
          </w:p>
        </w:tc>
        <w:tc>
          <w:tcPr>
            <w:tcW w:w="0" w:type="auto"/>
          </w:tcPr>
          <w:p w14:paraId="04355776" w14:textId="77777777" w:rsidR="00CD6E3F" w:rsidRDefault="00000000" w:rsidP="007C0141">
            <w:pPr>
              <w:pStyle w:val="Compact"/>
            </w:pPr>
            <w:r>
              <w:t>Poland</w:t>
            </w:r>
          </w:p>
        </w:tc>
        <w:tc>
          <w:tcPr>
            <w:tcW w:w="0" w:type="auto"/>
          </w:tcPr>
          <w:p w14:paraId="0D68EFC9" w14:textId="77777777" w:rsidR="00CD6E3F" w:rsidRDefault="00000000" w:rsidP="007C0141">
            <w:pPr>
              <w:pStyle w:val="Compact"/>
            </w:pPr>
            <w:r>
              <w:t>995</w:t>
            </w:r>
          </w:p>
        </w:tc>
      </w:tr>
      <w:tr w:rsidR="00CD6E3F" w14:paraId="01F769E3" w14:textId="77777777" w:rsidTr="000A22E7">
        <w:tc>
          <w:tcPr>
            <w:tcW w:w="0" w:type="auto"/>
          </w:tcPr>
          <w:p w14:paraId="252C90C2" w14:textId="77777777" w:rsidR="00CD6E3F" w:rsidRDefault="00000000" w:rsidP="007C0141">
            <w:pPr>
              <w:pStyle w:val="Compact"/>
            </w:pPr>
            <w:r>
              <w:t>China</w:t>
            </w:r>
          </w:p>
        </w:tc>
        <w:tc>
          <w:tcPr>
            <w:tcW w:w="0" w:type="auto"/>
          </w:tcPr>
          <w:p w14:paraId="39BA399E" w14:textId="77777777" w:rsidR="00CD6E3F" w:rsidRDefault="00000000" w:rsidP="007C0141">
            <w:pPr>
              <w:pStyle w:val="Compact"/>
            </w:pPr>
            <w:r>
              <w:t>2687</w:t>
            </w:r>
          </w:p>
        </w:tc>
        <w:tc>
          <w:tcPr>
            <w:tcW w:w="0" w:type="auto"/>
          </w:tcPr>
          <w:p w14:paraId="384145C1" w14:textId="77777777" w:rsidR="00CD6E3F" w:rsidRDefault="00000000" w:rsidP="007C0141">
            <w:pPr>
              <w:pStyle w:val="Compact"/>
            </w:pPr>
            <w:r>
              <w:t>Russia</w:t>
            </w:r>
          </w:p>
        </w:tc>
        <w:tc>
          <w:tcPr>
            <w:tcW w:w="0" w:type="auto"/>
          </w:tcPr>
          <w:p w14:paraId="3B1DD169" w14:textId="77777777" w:rsidR="00CD6E3F" w:rsidRDefault="00000000" w:rsidP="007C0141">
            <w:pPr>
              <w:pStyle w:val="Compact"/>
            </w:pPr>
            <w:r>
              <w:t>1201</w:t>
            </w:r>
          </w:p>
        </w:tc>
      </w:tr>
      <w:tr w:rsidR="00CD6E3F" w14:paraId="69D495A1" w14:textId="77777777" w:rsidTr="000A22E7">
        <w:tc>
          <w:tcPr>
            <w:tcW w:w="0" w:type="auto"/>
          </w:tcPr>
          <w:p w14:paraId="0BA5DA8C" w14:textId="77777777" w:rsidR="00CD6E3F" w:rsidRDefault="00000000" w:rsidP="007C0141">
            <w:pPr>
              <w:pStyle w:val="Compact"/>
            </w:pPr>
            <w:r>
              <w:t>Croatia</w:t>
            </w:r>
          </w:p>
        </w:tc>
        <w:tc>
          <w:tcPr>
            <w:tcW w:w="0" w:type="auto"/>
          </w:tcPr>
          <w:p w14:paraId="74BDDF5C" w14:textId="77777777" w:rsidR="00CD6E3F" w:rsidRDefault="00000000" w:rsidP="007C0141">
            <w:pPr>
              <w:pStyle w:val="Compact"/>
            </w:pPr>
            <w:r>
              <w:t>995</w:t>
            </w:r>
          </w:p>
        </w:tc>
        <w:tc>
          <w:tcPr>
            <w:tcW w:w="0" w:type="auto"/>
          </w:tcPr>
          <w:p w14:paraId="332ECD97" w14:textId="77777777" w:rsidR="00CD6E3F" w:rsidRDefault="00000000" w:rsidP="007C0141">
            <w:pPr>
              <w:pStyle w:val="Compact"/>
            </w:pPr>
            <w:r>
              <w:t>Slovakia</w:t>
            </w:r>
          </w:p>
        </w:tc>
        <w:tc>
          <w:tcPr>
            <w:tcW w:w="0" w:type="auto"/>
          </w:tcPr>
          <w:p w14:paraId="2591EA41" w14:textId="77777777" w:rsidR="00CD6E3F" w:rsidRDefault="00000000" w:rsidP="007C0141">
            <w:pPr>
              <w:pStyle w:val="Compact"/>
            </w:pPr>
            <w:r>
              <w:t>1064</w:t>
            </w:r>
          </w:p>
        </w:tc>
      </w:tr>
      <w:tr w:rsidR="00CD6E3F" w14:paraId="4C57E12B" w14:textId="77777777" w:rsidTr="000A22E7">
        <w:tc>
          <w:tcPr>
            <w:tcW w:w="0" w:type="auto"/>
          </w:tcPr>
          <w:p w14:paraId="1B7D2F69" w14:textId="77777777" w:rsidR="00CD6E3F" w:rsidRDefault="00000000" w:rsidP="007C0141">
            <w:pPr>
              <w:pStyle w:val="Compact"/>
            </w:pPr>
            <w:r>
              <w:t>Cyprus</w:t>
            </w:r>
          </w:p>
        </w:tc>
        <w:tc>
          <w:tcPr>
            <w:tcW w:w="0" w:type="auto"/>
          </w:tcPr>
          <w:p w14:paraId="2C909488" w14:textId="77777777" w:rsidR="00CD6E3F" w:rsidRDefault="00000000" w:rsidP="007C0141">
            <w:pPr>
              <w:pStyle w:val="Compact"/>
            </w:pPr>
            <w:r>
              <w:t>889</w:t>
            </w:r>
          </w:p>
        </w:tc>
        <w:tc>
          <w:tcPr>
            <w:tcW w:w="0" w:type="auto"/>
          </w:tcPr>
          <w:p w14:paraId="419EE086" w14:textId="77777777" w:rsidR="00CD6E3F" w:rsidRDefault="00000000" w:rsidP="007C0141">
            <w:pPr>
              <w:pStyle w:val="Compact"/>
            </w:pPr>
            <w:r>
              <w:t>Slovenia</w:t>
            </w:r>
          </w:p>
        </w:tc>
        <w:tc>
          <w:tcPr>
            <w:tcW w:w="0" w:type="auto"/>
          </w:tcPr>
          <w:p w14:paraId="07185A96" w14:textId="77777777" w:rsidR="00CD6E3F" w:rsidRDefault="00000000" w:rsidP="007C0141">
            <w:pPr>
              <w:pStyle w:val="Compact"/>
            </w:pPr>
            <w:r>
              <w:t>934</w:t>
            </w:r>
          </w:p>
        </w:tc>
      </w:tr>
      <w:tr w:rsidR="00CD6E3F" w14:paraId="4C249C1A" w14:textId="77777777" w:rsidTr="000A22E7">
        <w:tc>
          <w:tcPr>
            <w:tcW w:w="0" w:type="auto"/>
          </w:tcPr>
          <w:p w14:paraId="6265FCB2" w14:textId="77777777" w:rsidR="00CD6E3F" w:rsidRDefault="00000000" w:rsidP="007C0141">
            <w:pPr>
              <w:pStyle w:val="Compact"/>
            </w:pPr>
            <w:r>
              <w:t>Czechia</w:t>
            </w:r>
          </w:p>
        </w:tc>
        <w:tc>
          <w:tcPr>
            <w:tcW w:w="0" w:type="auto"/>
          </w:tcPr>
          <w:p w14:paraId="7D9C1CD7" w14:textId="77777777" w:rsidR="00CD6E3F" w:rsidRDefault="00000000" w:rsidP="007C0141">
            <w:pPr>
              <w:pStyle w:val="Compact"/>
            </w:pPr>
            <w:r>
              <w:t>1098</w:t>
            </w:r>
          </w:p>
        </w:tc>
        <w:tc>
          <w:tcPr>
            <w:tcW w:w="0" w:type="auto"/>
          </w:tcPr>
          <w:p w14:paraId="690B5EB0" w14:textId="77777777" w:rsidR="00CD6E3F" w:rsidRDefault="00000000" w:rsidP="007C0141">
            <w:pPr>
              <w:pStyle w:val="Compact"/>
            </w:pPr>
            <w:r>
              <w:t>South Africa</w:t>
            </w:r>
          </w:p>
        </w:tc>
        <w:tc>
          <w:tcPr>
            <w:tcW w:w="0" w:type="auto"/>
          </w:tcPr>
          <w:p w14:paraId="743C6611" w14:textId="77777777" w:rsidR="00CD6E3F" w:rsidRDefault="00000000" w:rsidP="007C0141">
            <w:pPr>
              <w:pStyle w:val="Compact"/>
            </w:pPr>
            <w:r>
              <w:t>3011</w:t>
            </w:r>
          </w:p>
        </w:tc>
      </w:tr>
      <w:tr w:rsidR="00CD6E3F" w14:paraId="59FDCE64" w14:textId="77777777" w:rsidTr="000A22E7">
        <w:tc>
          <w:tcPr>
            <w:tcW w:w="0" w:type="auto"/>
          </w:tcPr>
          <w:p w14:paraId="33856A16" w14:textId="77777777" w:rsidR="00CD6E3F" w:rsidRDefault="00000000" w:rsidP="007C0141">
            <w:pPr>
              <w:pStyle w:val="Compact"/>
            </w:pPr>
            <w:r>
              <w:t>Denmark</w:t>
            </w:r>
          </w:p>
        </w:tc>
        <w:tc>
          <w:tcPr>
            <w:tcW w:w="0" w:type="auto"/>
          </w:tcPr>
          <w:p w14:paraId="2043A343" w14:textId="77777777" w:rsidR="00CD6E3F" w:rsidRDefault="00000000" w:rsidP="007C0141">
            <w:pPr>
              <w:pStyle w:val="Compact"/>
            </w:pPr>
            <w:r>
              <w:t>1160</w:t>
            </w:r>
          </w:p>
        </w:tc>
        <w:tc>
          <w:tcPr>
            <w:tcW w:w="0" w:type="auto"/>
          </w:tcPr>
          <w:p w14:paraId="5DDB0FF0" w14:textId="77777777" w:rsidR="00CD6E3F" w:rsidRDefault="00000000" w:rsidP="007C0141">
            <w:pPr>
              <w:pStyle w:val="Compact"/>
            </w:pPr>
            <w:r>
              <w:t>South Korea</w:t>
            </w:r>
          </w:p>
        </w:tc>
        <w:tc>
          <w:tcPr>
            <w:tcW w:w="0" w:type="auto"/>
          </w:tcPr>
          <w:p w14:paraId="37FF58C8" w14:textId="77777777" w:rsidR="00CD6E3F" w:rsidRDefault="00000000" w:rsidP="007C0141">
            <w:pPr>
              <w:pStyle w:val="Compact"/>
            </w:pPr>
            <w:r>
              <w:t>1546</w:t>
            </w:r>
          </w:p>
        </w:tc>
      </w:tr>
      <w:tr w:rsidR="00CD6E3F" w14:paraId="1263B19C" w14:textId="77777777" w:rsidTr="000A22E7">
        <w:tc>
          <w:tcPr>
            <w:tcW w:w="0" w:type="auto"/>
          </w:tcPr>
          <w:p w14:paraId="78E3B515" w14:textId="77777777" w:rsidR="00CD6E3F" w:rsidRDefault="00000000" w:rsidP="007C0141">
            <w:pPr>
              <w:pStyle w:val="Compact"/>
            </w:pPr>
            <w:r>
              <w:t>Estonia</w:t>
            </w:r>
          </w:p>
        </w:tc>
        <w:tc>
          <w:tcPr>
            <w:tcW w:w="0" w:type="auto"/>
          </w:tcPr>
          <w:p w14:paraId="52A6CFE7" w14:textId="77777777" w:rsidR="00CD6E3F" w:rsidRDefault="00000000" w:rsidP="007C0141">
            <w:pPr>
              <w:pStyle w:val="Compact"/>
            </w:pPr>
            <w:r>
              <w:t>822</w:t>
            </w:r>
          </w:p>
        </w:tc>
        <w:tc>
          <w:tcPr>
            <w:tcW w:w="0" w:type="auto"/>
          </w:tcPr>
          <w:p w14:paraId="6482B2B3" w14:textId="77777777" w:rsidR="00CD6E3F" w:rsidRDefault="00000000" w:rsidP="007C0141">
            <w:pPr>
              <w:pStyle w:val="Compact"/>
            </w:pPr>
            <w:r>
              <w:t>Spain</w:t>
            </w:r>
          </w:p>
        </w:tc>
        <w:tc>
          <w:tcPr>
            <w:tcW w:w="0" w:type="auto"/>
          </w:tcPr>
          <w:p w14:paraId="050E5872" w14:textId="77777777" w:rsidR="00CD6E3F" w:rsidRDefault="00000000" w:rsidP="007C0141">
            <w:pPr>
              <w:pStyle w:val="Compact"/>
            </w:pPr>
            <w:r>
              <w:t>1011</w:t>
            </w:r>
          </w:p>
        </w:tc>
      </w:tr>
      <w:tr w:rsidR="00CD6E3F" w14:paraId="72D7A72B" w14:textId="77777777" w:rsidTr="000A22E7">
        <w:tc>
          <w:tcPr>
            <w:tcW w:w="0" w:type="auto"/>
          </w:tcPr>
          <w:p w14:paraId="15A156E3" w14:textId="77777777" w:rsidR="00CD6E3F" w:rsidRDefault="00000000" w:rsidP="007C0141">
            <w:pPr>
              <w:pStyle w:val="Compact"/>
            </w:pPr>
            <w:r>
              <w:t>Finland</w:t>
            </w:r>
          </w:p>
        </w:tc>
        <w:tc>
          <w:tcPr>
            <w:tcW w:w="0" w:type="auto"/>
          </w:tcPr>
          <w:p w14:paraId="698EF231" w14:textId="77777777" w:rsidR="00CD6E3F" w:rsidRDefault="00000000" w:rsidP="007C0141">
            <w:pPr>
              <w:pStyle w:val="Compact"/>
            </w:pPr>
            <w:r>
              <w:t>668</w:t>
            </w:r>
          </w:p>
        </w:tc>
        <w:tc>
          <w:tcPr>
            <w:tcW w:w="0" w:type="auto"/>
          </w:tcPr>
          <w:p w14:paraId="2BEE36B1" w14:textId="77777777" w:rsidR="00CD6E3F" w:rsidRDefault="00000000" w:rsidP="007C0141">
            <w:pPr>
              <w:pStyle w:val="Compact"/>
            </w:pPr>
            <w:r>
              <w:t>Sweden</w:t>
            </w:r>
          </w:p>
        </w:tc>
        <w:tc>
          <w:tcPr>
            <w:tcW w:w="0" w:type="auto"/>
          </w:tcPr>
          <w:p w14:paraId="6CB4E590" w14:textId="77777777" w:rsidR="00CD6E3F" w:rsidRDefault="00000000" w:rsidP="007C0141">
            <w:pPr>
              <w:pStyle w:val="Compact"/>
            </w:pPr>
            <w:r>
              <w:t>865</w:t>
            </w:r>
          </w:p>
        </w:tc>
      </w:tr>
      <w:tr w:rsidR="00CD6E3F" w14:paraId="6EA8E60A" w14:textId="77777777" w:rsidTr="000A22E7">
        <w:tc>
          <w:tcPr>
            <w:tcW w:w="0" w:type="auto"/>
          </w:tcPr>
          <w:p w14:paraId="5634FF27" w14:textId="77777777" w:rsidR="00CD6E3F" w:rsidRDefault="00000000" w:rsidP="007C0141">
            <w:pPr>
              <w:pStyle w:val="Compact"/>
            </w:pPr>
            <w:r>
              <w:t>France</w:t>
            </w:r>
          </w:p>
        </w:tc>
        <w:tc>
          <w:tcPr>
            <w:tcW w:w="0" w:type="auto"/>
          </w:tcPr>
          <w:p w14:paraId="4A2D4F9D" w14:textId="77777777" w:rsidR="00CD6E3F" w:rsidRDefault="00000000" w:rsidP="007C0141">
            <w:pPr>
              <w:pStyle w:val="Compact"/>
            </w:pPr>
            <w:r>
              <w:t>2104</w:t>
            </w:r>
          </w:p>
        </w:tc>
        <w:tc>
          <w:tcPr>
            <w:tcW w:w="0" w:type="auto"/>
          </w:tcPr>
          <w:p w14:paraId="475408B6" w14:textId="77777777" w:rsidR="00CD6E3F" w:rsidRDefault="00000000" w:rsidP="007C0141">
            <w:pPr>
              <w:pStyle w:val="Compact"/>
            </w:pPr>
            <w:r>
              <w:t>Switzerland</w:t>
            </w:r>
          </w:p>
        </w:tc>
        <w:tc>
          <w:tcPr>
            <w:tcW w:w="0" w:type="auto"/>
          </w:tcPr>
          <w:p w14:paraId="7DDEFD50" w14:textId="77777777" w:rsidR="00CD6E3F" w:rsidRDefault="00000000" w:rsidP="007C0141">
            <w:pPr>
              <w:pStyle w:val="Compact"/>
            </w:pPr>
            <w:r>
              <w:t>1145</w:t>
            </w:r>
          </w:p>
        </w:tc>
      </w:tr>
      <w:tr w:rsidR="00CD6E3F" w14:paraId="49249971" w14:textId="77777777" w:rsidTr="000A22E7">
        <w:tc>
          <w:tcPr>
            <w:tcW w:w="0" w:type="auto"/>
          </w:tcPr>
          <w:p w14:paraId="608DF0C3" w14:textId="77777777" w:rsidR="00CD6E3F" w:rsidRDefault="00000000" w:rsidP="007C0141">
            <w:pPr>
              <w:pStyle w:val="Compact"/>
            </w:pPr>
            <w:r>
              <w:t>Germany</w:t>
            </w:r>
          </w:p>
        </w:tc>
        <w:tc>
          <w:tcPr>
            <w:tcW w:w="0" w:type="auto"/>
          </w:tcPr>
          <w:p w14:paraId="405A4EAB" w14:textId="77777777" w:rsidR="00CD6E3F" w:rsidRDefault="00000000" w:rsidP="007C0141">
            <w:pPr>
              <w:pStyle w:val="Compact"/>
            </w:pPr>
            <w:r>
              <w:t>1174</w:t>
            </w:r>
          </w:p>
        </w:tc>
        <w:tc>
          <w:tcPr>
            <w:tcW w:w="0" w:type="auto"/>
          </w:tcPr>
          <w:p w14:paraId="6388CA30" w14:textId="77777777" w:rsidR="00CD6E3F" w:rsidRDefault="00000000" w:rsidP="007C0141">
            <w:pPr>
              <w:pStyle w:val="Compact"/>
            </w:pPr>
            <w:r>
              <w:t>Taiwan</w:t>
            </w:r>
          </w:p>
        </w:tc>
        <w:tc>
          <w:tcPr>
            <w:tcW w:w="0" w:type="auto"/>
          </w:tcPr>
          <w:p w14:paraId="11C18C00" w14:textId="77777777" w:rsidR="00CD6E3F" w:rsidRDefault="00000000" w:rsidP="007C0141">
            <w:pPr>
              <w:pStyle w:val="Compact"/>
            </w:pPr>
            <w:r>
              <w:t>1919</w:t>
            </w:r>
          </w:p>
        </w:tc>
      </w:tr>
      <w:tr w:rsidR="00CD6E3F" w14:paraId="09A20362" w14:textId="77777777" w:rsidTr="000A22E7">
        <w:tc>
          <w:tcPr>
            <w:tcW w:w="0" w:type="auto"/>
          </w:tcPr>
          <w:p w14:paraId="1C1F5BCB" w14:textId="77777777" w:rsidR="00CD6E3F" w:rsidRDefault="00000000" w:rsidP="007C0141">
            <w:pPr>
              <w:pStyle w:val="Compact"/>
            </w:pPr>
            <w:r>
              <w:t>Hungary</w:t>
            </w:r>
          </w:p>
        </w:tc>
        <w:tc>
          <w:tcPr>
            <w:tcW w:w="0" w:type="auto"/>
          </w:tcPr>
          <w:p w14:paraId="7A11491E" w14:textId="77777777" w:rsidR="00CD6E3F" w:rsidRDefault="00000000" w:rsidP="007C0141">
            <w:pPr>
              <w:pStyle w:val="Compact"/>
            </w:pPr>
            <w:r>
              <w:t>947</w:t>
            </w:r>
          </w:p>
        </w:tc>
        <w:tc>
          <w:tcPr>
            <w:tcW w:w="0" w:type="auto"/>
          </w:tcPr>
          <w:p w14:paraId="042F03F4" w14:textId="77777777" w:rsidR="00CD6E3F" w:rsidRDefault="00000000" w:rsidP="007C0141">
            <w:pPr>
              <w:pStyle w:val="Compact"/>
            </w:pPr>
            <w:r>
              <w:t>Turkey</w:t>
            </w:r>
          </w:p>
        </w:tc>
        <w:tc>
          <w:tcPr>
            <w:tcW w:w="0" w:type="auto"/>
          </w:tcPr>
          <w:p w14:paraId="1AB76B74" w14:textId="77777777" w:rsidR="00CD6E3F" w:rsidRDefault="00000000" w:rsidP="007C0141">
            <w:pPr>
              <w:pStyle w:val="Compact"/>
            </w:pPr>
            <w:r>
              <w:t>1375</w:t>
            </w:r>
          </w:p>
        </w:tc>
      </w:tr>
      <w:tr w:rsidR="00CD6E3F" w14:paraId="5007CFB8" w14:textId="77777777" w:rsidTr="000A22E7">
        <w:tc>
          <w:tcPr>
            <w:tcW w:w="0" w:type="auto"/>
          </w:tcPr>
          <w:p w14:paraId="27686998" w14:textId="77777777" w:rsidR="00CD6E3F" w:rsidRDefault="00000000" w:rsidP="007C0141">
            <w:pPr>
              <w:pStyle w:val="Compact"/>
            </w:pPr>
            <w:r>
              <w:t>Iceland</w:t>
            </w:r>
          </w:p>
        </w:tc>
        <w:tc>
          <w:tcPr>
            <w:tcW w:w="0" w:type="auto"/>
          </w:tcPr>
          <w:p w14:paraId="6BA7BF63" w14:textId="77777777" w:rsidR="00CD6E3F" w:rsidRDefault="00000000" w:rsidP="007C0141">
            <w:pPr>
              <w:pStyle w:val="Compact"/>
            </w:pPr>
            <w:r>
              <w:t>860</w:t>
            </w:r>
          </w:p>
        </w:tc>
        <w:tc>
          <w:tcPr>
            <w:tcW w:w="0" w:type="auto"/>
          </w:tcPr>
          <w:p w14:paraId="1D662AA2" w14:textId="77777777" w:rsidR="00CD6E3F" w:rsidRDefault="00000000" w:rsidP="007C0141">
            <w:pPr>
              <w:pStyle w:val="Compact"/>
            </w:pPr>
            <w:r>
              <w:t>Ukraine</w:t>
            </w:r>
          </w:p>
        </w:tc>
        <w:tc>
          <w:tcPr>
            <w:tcW w:w="0" w:type="auto"/>
          </w:tcPr>
          <w:p w14:paraId="737E5174" w14:textId="77777777" w:rsidR="00CD6E3F" w:rsidRDefault="00000000" w:rsidP="007C0141">
            <w:pPr>
              <w:pStyle w:val="Compact"/>
            </w:pPr>
            <w:r>
              <w:t>1387</w:t>
            </w:r>
          </w:p>
        </w:tc>
      </w:tr>
      <w:tr w:rsidR="00CD6E3F" w14:paraId="60AAEF02" w14:textId="77777777" w:rsidTr="000A22E7">
        <w:tc>
          <w:tcPr>
            <w:tcW w:w="0" w:type="auto"/>
          </w:tcPr>
          <w:p w14:paraId="56B893FE" w14:textId="77777777" w:rsidR="00CD6E3F" w:rsidRDefault="00000000" w:rsidP="007C0141">
            <w:pPr>
              <w:pStyle w:val="Compact"/>
            </w:pPr>
            <w:r>
              <w:t>Israel</w:t>
            </w:r>
          </w:p>
        </w:tc>
        <w:tc>
          <w:tcPr>
            <w:tcW w:w="0" w:type="auto"/>
          </w:tcPr>
          <w:p w14:paraId="0212626D" w14:textId="77777777" w:rsidR="00CD6E3F" w:rsidRDefault="00000000" w:rsidP="007C0141">
            <w:pPr>
              <w:pStyle w:val="Compact"/>
            </w:pPr>
            <w:r>
              <w:t>1109</w:t>
            </w:r>
          </w:p>
        </w:tc>
        <w:tc>
          <w:tcPr>
            <w:tcW w:w="0" w:type="auto"/>
          </w:tcPr>
          <w:p w14:paraId="16569956" w14:textId="77777777" w:rsidR="00CD6E3F" w:rsidRDefault="00000000" w:rsidP="007C0141">
            <w:pPr>
              <w:pStyle w:val="Compact"/>
            </w:pPr>
            <w:r>
              <w:t>United Kingdom</w:t>
            </w:r>
          </w:p>
        </w:tc>
        <w:tc>
          <w:tcPr>
            <w:tcW w:w="0" w:type="auto"/>
          </w:tcPr>
          <w:p w14:paraId="13453264" w14:textId="77777777" w:rsidR="00CD6E3F" w:rsidRDefault="00000000" w:rsidP="007C0141">
            <w:pPr>
              <w:pStyle w:val="Compact"/>
            </w:pPr>
            <w:r>
              <w:t>764</w:t>
            </w:r>
          </w:p>
        </w:tc>
      </w:tr>
      <w:tr w:rsidR="00CD6E3F" w14:paraId="348AD73D" w14:textId="77777777" w:rsidTr="000A22E7">
        <w:tc>
          <w:tcPr>
            <w:tcW w:w="0" w:type="auto"/>
          </w:tcPr>
          <w:p w14:paraId="18A000E9" w14:textId="77777777" w:rsidR="00CD6E3F" w:rsidRDefault="00000000" w:rsidP="007C0141">
            <w:pPr>
              <w:pStyle w:val="Compact"/>
            </w:pPr>
            <w:r>
              <w:t>Italy</w:t>
            </w:r>
          </w:p>
        </w:tc>
        <w:tc>
          <w:tcPr>
            <w:tcW w:w="0" w:type="auto"/>
          </w:tcPr>
          <w:p w14:paraId="4D4FB4AC" w14:textId="77777777" w:rsidR="00CD6E3F" w:rsidRDefault="00000000" w:rsidP="007C0141">
            <w:pPr>
              <w:pStyle w:val="Compact"/>
            </w:pPr>
            <w:r>
              <w:t>859</w:t>
            </w:r>
          </w:p>
        </w:tc>
        <w:tc>
          <w:tcPr>
            <w:tcW w:w="0" w:type="auto"/>
          </w:tcPr>
          <w:p w14:paraId="05D31603" w14:textId="77777777" w:rsidR="00CD6E3F" w:rsidRDefault="00000000" w:rsidP="007C0141">
            <w:pPr>
              <w:pStyle w:val="Compact"/>
            </w:pPr>
            <w:r>
              <w:t>United States</w:t>
            </w:r>
          </w:p>
        </w:tc>
        <w:tc>
          <w:tcPr>
            <w:tcW w:w="0" w:type="auto"/>
          </w:tcPr>
          <w:p w14:paraId="0E00174F" w14:textId="77777777" w:rsidR="00CD6E3F" w:rsidRDefault="00000000" w:rsidP="007C0141">
            <w:pPr>
              <w:pStyle w:val="Compact"/>
            </w:pPr>
            <w:r>
              <w:t>1335</w:t>
            </w:r>
          </w:p>
        </w:tc>
      </w:tr>
      <w:tr w:rsidR="00CD6E3F" w14:paraId="19888F25" w14:textId="77777777" w:rsidTr="000A22E7">
        <w:tc>
          <w:tcPr>
            <w:tcW w:w="0" w:type="auto"/>
          </w:tcPr>
          <w:p w14:paraId="4D701913" w14:textId="77777777" w:rsidR="00CD6E3F" w:rsidRDefault="00000000" w:rsidP="007C0141">
            <w:pPr>
              <w:pStyle w:val="Compact"/>
            </w:pPr>
            <w:r>
              <w:t>Japan</w:t>
            </w:r>
          </w:p>
        </w:tc>
        <w:tc>
          <w:tcPr>
            <w:tcW w:w="0" w:type="auto"/>
          </w:tcPr>
          <w:p w14:paraId="607EC68A" w14:textId="77777777" w:rsidR="00CD6E3F" w:rsidRDefault="00000000" w:rsidP="007C0141">
            <w:pPr>
              <w:pStyle w:val="Compact"/>
            </w:pPr>
            <w:r>
              <w:t>916</w:t>
            </w:r>
          </w:p>
        </w:tc>
        <w:tc>
          <w:tcPr>
            <w:tcW w:w="0" w:type="auto"/>
          </w:tcPr>
          <w:p w14:paraId="7A9397C3" w14:textId="77777777" w:rsidR="00CD6E3F" w:rsidRDefault="00000000" w:rsidP="007C0141">
            <w:pPr>
              <w:pStyle w:val="Compact"/>
            </w:pPr>
            <w:r>
              <w:t>Venezuela</w:t>
            </w:r>
          </w:p>
        </w:tc>
        <w:tc>
          <w:tcPr>
            <w:tcW w:w="0" w:type="auto"/>
          </w:tcPr>
          <w:p w14:paraId="0B3208CE" w14:textId="77777777" w:rsidR="00CD6E3F" w:rsidRDefault="00000000" w:rsidP="007C0141">
            <w:pPr>
              <w:pStyle w:val="Compact"/>
            </w:pPr>
            <w:r>
              <w:t>876</w:t>
            </w:r>
          </w:p>
        </w:tc>
      </w:tr>
    </w:tbl>
    <w:p w14:paraId="61727559" w14:textId="77777777" w:rsidR="00B45123" w:rsidRDefault="00B45123" w:rsidP="0086591D">
      <w:pPr>
        <w:spacing w:after="0" w:line="240" w:lineRule="auto"/>
      </w:pPr>
      <w:r>
        <w:t>Note: N = 46594. Source: International Social Survey</w:t>
      </w:r>
    </w:p>
    <w:p w14:paraId="26E83CC9" w14:textId="7F0CB00B" w:rsidR="00CD6E3F" w:rsidRDefault="00B45123" w:rsidP="0086591D">
      <w:pPr>
        <w:spacing w:after="0" w:line="240" w:lineRule="auto"/>
      </w:pPr>
      <w:proofErr w:type="spellStart"/>
      <w:r>
        <w:t>Programme</w:t>
      </w:r>
      <w:proofErr w:type="spellEnd"/>
      <w:r>
        <w:t xml:space="preserve"> (2009)</w:t>
      </w:r>
      <w:r>
        <w:br w:type="page"/>
      </w:r>
    </w:p>
    <w:p w14:paraId="3670A34B" w14:textId="77777777" w:rsidR="00CD6E3F" w:rsidRDefault="00000000">
      <w:pPr>
        <w:pStyle w:val="TableCaption"/>
      </w:pPr>
      <w:r>
        <w:lastRenderedPageBreak/>
        <w:t>Table 6: Representativeness of the study 2 sample.</w:t>
      </w:r>
    </w:p>
    <w:tbl>
      <w:tblPr>
        <w:tblStyle w:val="Style1"/>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1A353789" w14:textId="77777777" w:rsidR="00CD6E3F" w:rsidRDefault="00CD6E3F" w:rsidP="007C0141">
            <w:pPr>
              <w:pStyle w:val="Compact"/>
            </w:pPr>
          </w:p>
        </w:tc>
        <w:tc>
          <w:tcPr>
            <w:tcW w:w="0" w:type="auto"/>
          </w:tcPr>
          <w:p w14:paraId="06A03A98" w14:textId="77777777" w:rsidR="00CD6E3F" w:rsidRDefault="00000000" w:rsidP="007C0141">
            <w:pPr>
              <w:pStyle w:val="Compact"/>
            </w:pPr>
            <w:r>
              <w:t>Sample</w:t>
            </w:r>
          </w:p>
        </w:tc>
        <w:tc>
          <w:tcPr>
            <w:tcW w:w="0" w:type="auto"/>
          </w:tcPr>
          <w:p w14:paraId="4BF4990F" w14:textId="77777777" w:rsidR="00CD6E3F" w:rsidRDefault="00000000" w:rsidP="007C0141">
            <w:pPr>
              <w:pStyle w:val="Compact"/>
            </w:pPr>
            <w:r>
              <w:t>CEP</w:t>
            </w:r>
          </w:p>
        </w:tc>
      </w:tr>
      <w:tr w:rsidR="00CD6E3F" w14:paraId="44B34978" w14:textId="77777777" w:rsidTr="000A22E7">
        <w:tc>
          <w:tcPr>
            <w:tcW w:w="0" w:type="auto"/>
          </w:tcPr>
          <w:p w14:paraId="0AE6AE98" w14:textId="77777777" w:rsidR="00CD6E3F" w:rsidRDefault="00000000" w:rsidP="007C0141">
            <w:pPr>
              <w:pStyle w:val="Compact"/>
            </w:pPr>
            <w:r>
              <w:t>Gender</w:t>
            </w:r>
          </w:p>
        </w:tc>
        <w:tc>
          <w:tcPr>
            <w:tcW w:w="0" w:type="auto"/>
          </w:tcPr>
          <w:p w14:paraId="4EC4BC89" w14:textId="77777777" w:rsidR="00CD6E3F" w:rsidRDefault="00CD6E3F" w:rsidP="007C0141">
            <w:pPr>
              <w:pStyle w:val="Compact"/>
            </w:pPr>
          </w:p>
        </w:tc>
        <w:tc>
          <w:tcPr>
            <w:tcW w:w="0" w:type="auto"/>
          </w:tcPr>
          <w:p w14:paraId="6C81A567" w14:textId="77777777" w:rsidR="00CD6E3F" w:rsidRDefault="00CD6E3F" w:rsidP="007C0141">
            <w:pPr>
              <w:pStyle w:val="Compact"/>
            </w:pPr>
          </w:p>
        </w:tc>
      </w:tr>
      <w:tr w:rsidR="00CD6E3F" w14:paraId="347AD4E5" w14:textId="77777777" w:rsidTr="000A22E7">
        <w:tc>
          <w:tcPr>
            <w:tcW w:w="0" w:type="auto"/>
          </w:tcPr>
          <w:p w14:paraId="2D164D8C" w14:textId="77777777" w:rsidR="00CD6E3F" w:rsidRDefault="00000000" w:rsidP="007C0141">
            <w:pPr>
              <w:pStyle w:val="Compact"/>
            </w:pPr>
            <w:r>
              <w:t>Men</w:t>
            </w:r>
          </w:p>
        </w:tc>
        <w:tc>
          <w:tcPr>
            <w:tcW w:w="0" w:type="auto"/>
          </w:tcPr>
          <w:p w14:paraId="4BA9BC3D" w14:textId="77777777" w:rsidR="00CD6E3F" w:rsidRDefault="00000000" w:rsidP="007C0141">
            <w:pPr>
              <w:pStyle w:val="Compact"/>
            </w:pPr>
            <w:r>
              <w:t>49,82%</w:t>
            </w:r>
          </w:p>
        </w:tc>
        <w:tc>
          <w:tcPr>
            <w:tcW w:w="0" w:type="auto"/>
          </w:tcPr>
          <w:p w14:paraId="49A75BD5" w14:textId="77777777" w:rsidR="00CD6E3F" w:rsidRDefault="00000000" w:rsidP="007C0141">
            <w:pPr>
              <w:pStyle w:val="Compact"/>
            </w:pPr>
            <w:r>
              <w:t>50,52%</w:t>
            </w:r>
          </w:p>
        </w:tc>
      </w:tr>
      <w:tr w:rsidR="00CD6E3F" w14:paraId="02A5AABE" w14:textId="77777777" w:rsidTr="000A22E7">
        <w:tc>
          <w:tcPr>
            <w:tcW w:w="0" w:type="auto"/>
          </w:tcPr>
          <w:p w14:paraId="674618D9" w14:textId="77777777" w:rsidR="00CD6E3F" w:rsidRDefault="00000000" w:rsidP="007C0141">
            <w:pPr>
              <w:pStyle w:val="Compact"/>
            </w:pPr>
            <w:r>
              <w:t>Women</w:t>
            </w:r>
          </w:p>
        </w:tc>
        <w:tc>
          <w:tcPr>
            <w:tcW w:w="0" w:type="auto"/>
          </w:tcPr>
          <w:p w14:paraId="07343DDD" w14:textId="77777777" w:rsidR="00CD6E3F" w:rsidRDefault="00000000" w:rsidP="007C0141">
            <w:pPr>
              <w:pStyle w:val="Compact"/>
            </w:pPr>
            <w:r>
              <w:t>50.18%</w:t>
            </w:r>
          </w:p>
        </w:tc>
        <w:tc>
          <w:tcPr>
            <w:tcW w:w="0" w:type="auto"/>
          </w:tcPr>
          <w:p w14:paraId="7A35F284" w14:textId="77777777" w:rsidR="00CD6E3F" w:rsidRDefault="00000000" w:rsidP="007C0141">
            <w:pPr>
              <w:pStyle w:val="Compact"/>
            </w:pPr>
            <w:r>
              <w:t>49,47%</w:t>
            </w:r>
          </w:p>
        </w:tc>
      </w:tr>
      <w:tr w:rsidR="00CD6E3F" w14:paraId="00880820" w14:textId="77777777" w:rsidTr="000A22E7">
        <w:tc>
          <w:tcPr>
            <w:tcW w:w="0" w:type="auto"/>
          </w:tcPr>
          <w:p w14:paraId="2893E702" w14:textId="77777777" w:rsidR="00CD6E3F" w:rsidRDefault="00000000" w:rsidP="007C0141">
            <w:pPr>
              <w:pStyle w:val="Compact"/>
            </w:pPr>
            <w:r>
              <w:t>Age</w:t>
            </w:r>
          </w:p>
        </w:tc>
        <w:tc>
          <w:tcPr>
            <w:tcW w:w="0" w:type="auto"/>
          </w:tcPr>
          <w:p w14:paraId="4D12031B" w14:textId="77777777" w:rsidR="00CD6E3F" w:rsidRDefault="00CD6E3F" w:rsidP="007C0141">
            <w:pPr>
              <w:pStyle w:val="Compact"/>
            </w:pPr>
          </w:p>
        </w:tc>
        <w:tc>
          <w:tcPr>
            <w:tcW w:w="0" w:type="auto"/>
          </w:tcPr>
          <w:p w14:paraId="470E094F" w14:textId="77777777" w:rsidR="00CD6E3F" w:rsidRDefault="00CD6E3F" w:rsidP="007C0141">
            <w:pPr>
              <w:pStyle w:val="Compact"/>
            </w:pPr>
          </w:p>
        </w:tc>
      </w:tr>
      <w:tr w:rsidR="00CD6E3F" w14:paraId="16EC79D5" w14:textId="77777777" w:rsidTr="000A22E7">
        <w:tc>
          <w:tcPr>
            <w:tcW w:w="0" w:type="auto"/>
          </w:tcPr>
          <w:p w14:paraId="7DAC60BA" w14:textId="77777777" w:rsidR="00CD6E3F" w:rsidRDefault="00000000" w:rsidP="007C0141">
            <w:pPr>
              <w:pStyle w:val="Compact"/>
            </w:pPr>
            <w:r>
              <w:t>18 - 24</w:t>
            </w:r>
          </w:p>
        </w:tc>
        <w:tc>
          <w:tcPr>
            <w:tcW w:w="0" w:type="auto"/>
          </w:tcPr>
          <w:p w14:paraId="5907CD1C" w14:textId="77777777" w:rsidR="00CD6E3F" w:rsidRDefault="00000000" w:rsidP="007C0141">
            <w:pPr>
              <w:pStyle w:val="Compact"/>
            </w:pPr>
            <w:r>
              <w:t>18,55%</w:t>
            </w:r>
          </w:p>
        </w:tc>
        <w:tc>
          <w:tcPr>
            <w:tcW w:w="0" w:type="auto"/>
          </w:tcPr>
          <w:p w14:paraId="1B549533" w14:textId="77777777" w:rsidR="00CD6E3F" w:rsidRDefault="00000000" w:rsidP="007C0141">
            <w:pPr>
              <w:pStyle w:val="Compact"/>
            </w:pPr>
            <w:r>
              <w:t>18,17%</w:t>
            </w:r>
          </w:p>
        </w:tc>
      </w:tr>
      <w:tr w:rsidR="00CD6E3F" w14:paraId="7D9BC0A5" w14:textId="77777777" w:rsidTr="000A22E7">
        <w:tc>
          <w:tcPr>
            <w:tcW w:w="0" w:type="auto"/>
          </w:tcPr>
          <w:p w14:paraId="090A8B9E" w14:textId="77777777" w:rsidR="00CD6E3F" w:rsidRDefault="00000000" w:rsidP="007C0141">
            <w:pPr>
              <w:pStyle w:val="Compact"/>
            </w:pPr>
            <w:r>
              <w:t>25 - 34</w:t>
            </w:r>
          </w:p>
        </w:tc>
        <w:tc>
          <w:tcPr>
            <w:tcW w:w="0" w:type="auto"/>
          </w:tcPr>
          <w:p w14:paraId="749AD874" w14:textId="77777777" w:rsidR="00CD6E3F" w:rsidRDefault="00000000" w:rsidP="007C0141">
            <w:pPr>
              <w:pStyle w:val="Compact"/>
            </w:pPr>
            <w:r>
              <w:t>18,86%</w:t>
            </w:r>
          </w:p>
        </w:tc>
        <w:tc>
          <w:tcPr>
            <w:tcW w:w="0" w:type="auto"/>
          </w:tcPr>
          <w:p w14:paraId="736ED2D9" w14:textId="77777777" w:rsidR="00CD6E3F" w:rsidRDefault="00000000" w:rsidP="007C0141">
            <w:pPr>
              <w:pStyle w:val="Compact"/>
            </w:pPr>
            <w:r>
              <w:t>17,48%</w:t>
            </w:r>
          </w:p>
        </w:tc>
      </w:tr>
      <w:tr w:rsidR="00CD6E3F" w14:paraId="13662772" w14:textId="77777777" w:rsidTr="000A22E7">
        <w:tc>
          <w:tcPr>
            <w:tcW w:w="0" w:type="auto"/>
          </w:tcPr>
          <w:p w14:paraId="5B3A76D8" w14:textId="77777777" w:rsidR="00CD6E3F" w:rsidRDefault="00000000" w:rsidP="007C0141">
            <w:pPr>
              <w:pStyle w:val="Compact"/>
            </w:pPr>
            <w:r>
              <w:t>35 - 44</w:t>
            </w:r>
          </w:p>
        </w:tc>
        <w:tc>
          <w:tcPr>
            <w:tcW w:w="0" w:type="auto"/>
          </w:tcPr>
          <w:p w14:paraId="6CEE34E0" w14:textId="77777777" w:rsidR="00CD6E3F" w:rsidRDefault="00000000" w:rsidP="007C0141">
            <w:pPr>
              <w:pStyle w:val="Compact"/>
            </w:pPr>
            <w:r>
              <w:t>19.09%</w:t>
            </w:r>
          </w:p>
        </w:tc>
        <w:tc>
          <w:tcPr>
            <w:tcW w:w="0" w:type="auto"/>
          </w:tcPr>
          <w:p w14:paraId="096F719C" w14:textId="77777777" w:rsidR="00CD6E3F" w:rsidRDefault="00000000" w:rsidP="007C0141">
            <w:pPr>
              <w:pStyle w:val="Compact"/>
            </w:pPr>
            <w:r>
              <w:t>19,98%</w:t>
            </w:r>
          </w:p>
        </w:tc>
      </w:tr>
      <w:tr w:rsidR="00CD6E3F" w14:paraId="029253B9" w14:textId="77777777" w:rsidTr="000A22E7">
        <w:tc>
          <w:tcPr>
            <w:tcW w:w="0" w:type="auto"/>
          </w:tcPr>
          <w:p w14:paraId="5103F59D" w14:textId="77777777" w:rsidR="00CD6E3F" w:rsidRDefault="00000000" w:rsidP="007C0141">
            <w:pPr>
              <w:pStyle w:val="Compact"/>
            </w:pPr>
            <w:r>
              <w:t>45 - 54</w:t>
            </w:r>
          </w:p>
        </w:tc>
        <w:tc>
          <w:tcPr>
            <w:tcW w:w="0" w:type="auto"/>
          </w:tcPr>
          <w:p w14:paraId="1FF26087" w14:textId="77777777" w:rsidR="00CD6E3F" w:rsidRDefault="00000000" w:rsidP="007C0141">
            <w:pPr>
              <w:pStyle w:val="Compact"/>
            </w:pPr>
            <w:r>
              <w:t>17,96%</w:t>
            </w:r>
          </w:p>
        </w:tc>
        <w:tc>
          <w:tcPr>
            <w:tcW w:w="0" w:type="auto"/>
          </w:tcPr>
          <w:p w14:paraId="306DE260" w14:textId="77777777" w:rsidR="00CD6E3F" w:rsidRDefault="00000000" w:rsidP="007C0141">
            <w:pPr>
              <w:pStyle w:val="Compact"/>
            </w:pPr>
            <w:r>
              <w:t>19,23%</w:t>
            </w:r>
          </w:p>
        </w:tc>
      </w:tr>
      <w:tr w:rsidR="00CD6E3F" w14:paraId="6F618CB6" w14:textId="77777777" w:rsidTr="000A22E7">
        <w:tc>
          <w:tcPr>
            <w:tcW w:w="0" w:type="auto"/>
          </w:tcPr>
          <w:p w14:paraId="42A28153" w14:textId="77777777" w:rsidR="00CD6E3F" w:rsidRDefault="00000000" w:rsidP="007C0141">
            <w:pPr>
              <w:pStyle w:val="Compact"/>
            </w:pPr>
            <w:r>
              <w:t>55 - or more</w:t>
            </w:r>
          </w:p>
        </w:tc>
        <w:tc>
          <w:tcPr>
            <w:tcW w:w="0" w:type="auto"/>
          </w:tcPr>
          <w:p w14:paraId="6F4831EE" w14:textId="77777777" w:rsidR="00CD6E3F" w:rsidRDefault="00000000" w:rsidP="007C0141">
            <w:pPr>
              <w:pStyle w:val="Compact"/>
            </w:pPr>
            <w:r>
              <w:t>25,54%</w:t>
            </w:r>
          </w:p>
        </w:tc>
        <w:tc>
          <w:tcPr>
            <w:tcW w:w="0" w:type="auto"/>
          </w:tcPr>
          <w:p w14:paraId="3FB07411" w14:textId="77777777" w:rsidR="00CD6E3F" w:rsidRDefault="00000000" w:rsidP="007C0141">
            <w:pPr>
              <w:pStyle w:val="Compact"/>
            </w:pPr>
            <w:r>
              <w:t>25.11%</w:t>
            </w:r>
          </w:p>
        </w:tc>
      </w:tr>
      <w:tr w:rsidR="00CD6E3F" w14:paraId="3B28B507" w14:textId="77777777" w:rsidTr="000A22E7">
        <w:tc>
          <w:tcPr>
            <w:tcW w:w="0" w:type="auto"/>
          </w:tcPr>
          <w:p w14:paraId="0C600879" w14:textId="77777777" w:rsidR="00CD6E3F" w:rsidRDefault="00000000" w:rsidP="007C0141">
            <w:pPr>
              <w:pStyle w:val="Compact"/>
            </w:pPr>
            <w:r>
              <w:t>Education</w:t>
            </w:r>
          </w:p>
        </w:tc>
        <w:tc>
          <w:tcPr>
            <w:tcW w:w="0" w:type="auto"/>
          </w:tcPr>
          <w:p w14:paraId="5B31C23A" w14:textId="77777777" w:rsidR="00CD6E3F" w:rsidRDefault="00CD6E3F" w:rsidP="007C0141">
            <w:pPr>
              <w:pStyle w:val="Compact"/>
            </w:pPr>
          </w:p>
        </w:tc>
        <w:tc>
          <w:tcPr>
            <w:tcW w:w="0" w:type="auto"/>
          </w:tcPr>
          <w:p w14:paraId="1EF514B9" w14:textId="77777777" w:rsidR="00CD6E3F" w:rsidRDefault="00CD6E3F" w:rsidP="007C0141">
            <w:pPr>
              <w:pStyle w:val="Compact"/>
            </w:pPr>
          </w:p>
        </w:tc>
      </w:tr>
      <w:tr w:rsidR="00CD6E3F" w14:paraId="2173C1F9" w14:textId="77777777" w:rsidTr="000A22E7">
        <w:tc>
          <w:tcPr>
            <w:tcW w:w="0" w:type="auto"/>
          </w:tcPr>
          <w:p w14:paraId="23B5B3BF" w14:textId="77777777" w:rsidR="00CD6E3F" w:rsidRDefault="00000000" w:rsidP="007C0141">
            <w:pPr>
              <w:pStyle w:val="Compact"/>
            </w:pPr>
            <w:r>
              <w:t>Primary or less</w:t>
            </w:r>
          </w:p>
        </w:tc>
        <w:tc>
          <w:tcPr>
            <w:tcW w:w="0" w:type="auto"/>
          </w:tcPr>
          <w:p w14:paraId="0CBD76F0" w14:textId="77777777" w:rsidR="00CD6E3F" w:rsidRDefault="00000000" w:rsidP="007C0141">
            <w:pPr>
              <w:pStyle w:val="Compact"/>
            </w:pPr>
            <w:r>
              <w:t>2,93%</w:t>
            </w:r>
          </w:p>
        </w:tc>
        <w:tc>
          <w:tcPr>
            <w:tcW w:w="0" w:type="auto"/>
          </w:tcPr>
          <w:p w14:paraId="5B8892C7" w14:textId="77777777" w:rsidR="00CD6E3F" w:rsidRDefault="00000000" w:rsidP="007C0141">
            <w:pPr>
              <w:pStyle w:val="Compact"/>
            </w:pPr>
            <w:r>
              <w:t>15,88%</w:t>
            </w:r>
          </w:p>
        </w:tc>
      </w:tr>
      <w:tr w:rsidR="00CD6E3F" w14:paraId="1A9B7AA1" w14:textId="77777777" w:rsidTr="000A22E7">
        <w:tc>
          <w:tcPr>
            <w:tcW w:w="0" w:type="auto"/>
          </w:tcPr>
          <w:p w14:paraId="70E53396" w14:textId="77777777" w:rsidR="00CD6E3F" w:rsidRDefault="00000000" w:rsidP="007C0141">
            <w:pPr>
              <w:pStyle w:val="Compact"/>
            </w:pPr>
            <w:r>
              <w:t>High school</w:t>
            </w:r>
          </w:p>
        </w:tc>
        <w:tc>
          <w:tcPr>
            <w:tcW w:w="0" w:type="auto"/>
          </w:tcPr>
          <w:p w14:paraId="23F9024C" w14:textId="77777777" w:rsidR="00CD6E3F" w:rsidRDefault="00000000" w:rsidP="007C0141">
            <w:pPr>
              <w:pStyle w:val="Compact"/>
            </w:pPr>
            <w:r>
              <w:t>43,23%</w:t>
            </w:r>
          </w:p>
        </w:tc>
        <w:tc>
          <w:tcPr>
            <w:tcW w:w="0" w:type="auto"/>
          </w:tcPr>
          <w:p w14:paraId="22D9DA61" w14:textId="77777777" w:rsidR="00CD6E3F" w:rsidRDefault="00000000" w:rsidP="007C0141">
            <w:pPr>
              <w:pStyle w:val="Compact"/>
            </w:pPr>
            <w:r>
              <w:t>37,04%</w:t>
            </w:r>
          </w:p>
        </w:tc>
      </w:tr>
      <w:tr w:rsidR="00CD6E3F" w14:paraId="5B0B16C5" w14:textId="77777777" w:rsidTr="000A22E7">
        <w:tc>
          <w:tcPr>
            <w:tcW w:w="0" w:type="auto"/>
          </w:tcPr>
          <w:p w14:paraId="59BC3F97" w14:textId="77777777" w:rsidR="00CD6E3F" w:rsidRDefault="00000000" w:rsidP="007C0141">
            <w:pPr>
              <w:pStyle w:val="Compact"/>
            </w:pPr>
            <w:r>
              <w:t>Non university</w:t>
            </w:r>
          </w:p>
        </w:tc>
        <w:tc>
          <w:tcPr>
            <w:tcW w:w="0" w:type="auto"/>
          </w:tcPr>
          <w:p w14:paraId="25E05A2D" w14:textId="77777777" w:rsidR="00CD6E3F" w:rsidRDefault="00000000" w:rsidP="007C0141">
            <w:pPr>
              <w:pStyle w:val="Compact"/>
            </w:pPr>
            <w:r>
              <w:t>32,63%</w:t>
            </w:r>
          </w:p>
        </w:tc>
        <w:tc>
          <w:tcPr>
            <w:tcW w:w="0" w:type="auto"/>
          </w:tcPr>
          <w:p w14:paraId="2AF02D6A" w14:textId="77777777" w:rsidR="00CD6E3F" w:rsidRDefault="00000000" w:rsidP="007C0141">
            <w:pPr>
              <w:pStyle w:val="Compact"/>
            </w:pPr>
            <w:r>
              <w:t>28,93%</w:t>
            </w:r>
          </w:p>
        </w:tc>
      </w:tr>
      <w:tr w:rsidR="00CD6E3F" w14:paraId="1787875F" w14:textId="77777777" w:rsidTr="000A22E7">
        <w:tc>
          <w:tcPr>
            <w:tcW w:w="0" w:type="auto"/>
          </w:tcPr>
          <w:p w14:paraId="5375668C" w14:textId="77777777" w:rsidR="00CD6E3F" w:rsidRDefault="00000000" w:rsidP="007C0141">
            <w:pPr>
              <w:pStyle w:val="Compact"/>
            </w:pPr>
            <w:r>
              <w:t>University or more</w:t>
            </w:r>
          </w:p>
        </w:tc>
        <w:tc>
          <w:tcPr>
            <w:tcW w:w="0" w:type="auto"/>
          </w:tcPr>
          <w:p w14:paraId="59EBE0AD" w14:textId="77777777" w:rsidR="00CD6E3F" w:rsidRDefault="00000000" w:rsidP="007C0141">
            <w:pPr>
              <w:pStyle w:val="Compact"/>
            </w:pPr>
            <w:r>
              <w:t>21,21%</w:t>
            </w:r>
          </w:p>
        </w:tc>
        <w:tc>
          <w:tcPr>
            <w:tcW w:w="0" w:type="auto"/>
          </w:tcPr>
          <w:p w14:paraId="49172231" w14:textId="77777777" w:rsidR="00CD6E3F" w:rsidRDefault="00000000" w:rsidP="007C0141">
            <w:pPr>
              <w:pStyle w:val="Compact"/>
            </w:pPr>
            <w:r>
              <w:t>18,13%</w:t>
            </w:r>
          </w:p>
        </w:tc>
      </w:tr>
    </w:tbl>
    <w:p w14:paraId="45610B9F" w14:textId="77777777" w:rsidR="00CD6E3F" w:rsidRDefault="00000000" w:rsidP="007C0141">
      <w:pPr>
        <w:pStyle w:val="BodyText"/>
      </w:pPr>
      <w:r>
        <w:t>Additional validity analyses of study 2</w:t>
      </w:r>
    </w:p>
    <w:p w14:paraId="3707B0DF" w14:textId="77777777" w:rsidR="00CD6E3F" w:rsidRDefault="00000000" w:rsidP="007C0141">
      <w:pPr>
        <w:pStyle w:val="BodyText"/>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yperlink"/>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rsidP="007C0141">
      <w:pPr>
        <w:pStyle w:val="BodyText"/>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yperlink"/>
          </w:rPr>
          <w:t>Milfont &amp; Fischer, 2010</w:t>
        </w:r>
      </w:hyperlink>
      <w:r>
        <w:t xml:space="preserve">; </w:t>
      </w:r>
      <w:hyperlink w:anchor="ref-millsap_statistical_2011">
        <w:r>
          <w:rPr>
            <w:rStyle w:val="Hyperlink"/>
          </w:rPr>
          <w:t>Millsap, 2011</w:t>
        </w:r>
      </w:hyperlink>
      <w:r>
        <w:t xml:space="preserve">; </w:t>
      </w:r>
      <w:hyperlink w:anchor="ref-vandeschoot_checklist_2012">
        <w:r>
          <w:rPr>
            <w:rStyle w:val="Hyperlink"/>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rsidP="007C0141">
      <w:pPr>
        <w:pStyle w:val="FirstParagraph"/>
      </w:pPr>
      <w:r>
        <w:t>Data</w:t>
      </w:r>
    </w:p>
    <w:p w14:paraId="69553C99" w14:textId="77777777" w:rsidR="00CD6E3F" w:rsidRDefault="00000000" w:rsidP="007C0141">
      <w:pPr>
        <w:pStyle w:val="BodyText"/>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rsidP="007C0141">
      <w:pPr>
        <w:pStyle w:val="BodyText"/>
      </w:pPr>
      <w:r>
        <w:t>Variables</w:t>
      </w:r>
    </w:p>
    <w:p w14:paraId="30FA4D10" w14:textId="77777777" w:rsidR="00CD6E3F" w:rsidRDefault="00000000" w:rsidP="007C0141">
      <w:pPr>
        <w:pStyle w:val="BodyText"/>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rsidP="007C0141">
      <w:pPr>
        <w:pStyle w:val="BodyText"/>
      </w:pPr>
      <w:r>
        <w:t>Results</w:t>
      </w:r>
    </w:p>
    <w:p w14:paraId="660D08F7" w14:textId="77777777" w:rsidR="00CD6E3F" w:rsidRDefault="00000000" w:rsidP="007C0141">
      <w:pPr>
        <w:pStyle w:val="BodyText"/>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yperlink"/>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yperlink"/>
          </w:rPr>
          <w:t>Cheung &amp; Rensvold, 2002</w:t>
        </w:r>
      </w:hyperlink>
      <w:r>
        <w:t xml:space="preserve">; </w:t>
      </w:r>
      <w:hyperlink w:anchor="ref-dimitrov_testing_2010">
        <w:r>
          <w:rPr>
            <w:rStyle w:val="Hyperlink"/>
          </w:rPr>
          <w:t>Dimitrov, 2010</w:t>
        </w:r>
      </w:hyperlink>
      <w:r>
        <w:t xml:space="preserve">; </w:t>
      </w:r>
      <w:hyperlink w:anchor="ref-milfont_testing_2010">
        <w:r>
          <w:rPr>
            <w:rStyle w:val="Hyperlink"/>
          </w:rPr>
          <w:t>Milfont &amp; Fischer, 2010</w:t>
        </w:r>
      </w:hyperlink>
      <w:r>
        <w:t>) and the ANOVA test for means comparison in nested models (</w:t>
      </w:r>
      <w:hyperlink w:anchor="ref-newsom_longitudinal_2015">
        <w:r>
          <w:rPr>
            <w:rStyle w:val="Hyperlink"/>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Style1"/>
        <w:tblW w:w="5000" w:type="pct"/>
        <w:tblLook w:val="0020" w:firstRow="1" w:lastRow="0" w:firstColumn="0" w:lastColumn="0" w:noHBand="0" w:noVBand="0"/>
        <w:tblCaption w:val="Table 7: Multiple Group measurement invariance for Perceptions and Preferences for Meritocracy"/>
      </w:tblPr>
      <w:tblGrid>
        <w:gridCol w:w="1256"/>
        <w:gridCol w:w="1090"/>
        <w:gridCol w:w="756"/>
        <w:gridCol w:w="1551"/>
        <w:gridCol w:w="1320"/>
        <w:gridCol w:w="793"/>
        <w:gridCol w:w="1190"/>
        <w:gridCol w:w="1070"/>
      </w:tblGrid>
      <w:tr w:rsidR="00CD6E3F" w14:paraId="4D1753B9" w14:textId="77777777" w:rsidTr="000A22E7">
        <w:trPr>
          <w:cnfStyle w:val="100000000000" w:firstRow="1" w:lastRow="0" w:firstColumn="0" w:lastColumn="0" w:oddVBand="0" w:evenVBand="0" w:oddHBand="0" w:evenHBand="0" w:firstRowFirstColumn="0" w:firstRowLastColumn="0" w:lastRowFirstColumn="0" w:lastRowLastColumn="0"/>
        </w:trPr>
        <w:tc>
          <w:tcPr>
            <w:tcW w:w="0" w:type="auto"/>
          </w:tcPr>
          <w:p w14:paraId="1F2AAA6C" w14:textId="77777777" w:rsidR="00CD6E3F" w:rsidRPr="00B95AC1" w:rsidRDefault="00000000" w:rsidP="007C0141">
            <w:pPr>
              <w:pStyle w:val="Compact"/>
            </w:pPr>
            <w:r w:rsidRPr="00B95AC1">
              <w:t>Model</w:t>
            </w:r>
          </w:p>
        </w:tc>
        <w:tc>
          <w:tcPr>
            <w:tcW w:w="0" w:type="auto"/>
          </w:tcPr>
          <w:p w14:paraId="42D8B412" w14:textId="77777777" w:rsidR="00CD6E3F" w:rsidRPr="00B95AC1" w:rsidRDefault="00000000" w:rsidP="007C0141">
            <w:pPr>
              <w:pStyle w:val="Compact"/>
            </w:pPr>
            <m:oMathPara>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nor/>
                      </m:rPr>
                      <m:t>df</m:t>
                    </m:r>
                  </m:e>
                </m:d>
              </m:oMath>
            </m:oMathPara>
          </w:p>
        </w:tc>
        <w:tc>
          <w:tcPr>
            <w:tcW w:w="0" w:type="auto"/>
          </w:tcPr>
          <w:p w14:paraId="0E80F148" w14:textId="77777777" w:rsidR="00CD6E3F" w:rsidRPr="00B95AC1" w:rsidRDefault="00000000" w:rsidP="007C0141">
            <w:pPr>
              <w:pStyle w:val="Compact"/>
            </w:pPr>
            <w:r w:rsidRPr="00B95AC1">
              <w:t>CFI</w:t>
            </w:r>
          </w:p>
        </w:tc>
        <w:tc>
          <w:tcPr>
            <w:tcW w:w="0" w:type="auto"/>
          </w:tcPr>
          <w:p w14:paraId="03B5095D" w14:textId="77777777" w:rsidR="00CD6E3F" w:rsidRPr="00B95AC1" w:rsidRDefault="00000000" w:rsidP="007C0141">
            <w:pPr>
              <w:pStyle w:val="Compact"/>
            </w:pPr>
            <w:r w:rsidRPr="00B95AC1">
              <w:t>RMSEA (90 CI)</w:t>
            </w:r>
          </w:p>
        </w:tc>
        <w:tc>
          <w:tcPr>
            <w:tcW w:w="0" w:type="auto"/>
          </w:tcPr>
          <w:p w14:paraId="5334DCB9" w14:textId="77777777" w:rsidR="00CD6E3F" w:rsidRPr="00B95AC1" w:rsidRDefault="00000000" w:rsidP="007C0141">
            <w:pPr>
              <w:pStyle w:val="Compact"/>
            </w:pP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Δ</m:t>
              </m:r>
              <m:r>
                <m:rPr>
                  <m:nor/>
                </m:rPr>
                <m:t>df</m:t>
              </m:r>
            </m:oMath>
            <w:r w:rsidRPr="00B95AC1">
              <w:t>)</w:t>
            </w:r>
          </w:p>
        </w:tc>
        <w:tc>
          <w:tcPr>
            <w:tcW w:w="0" w:type="auto"/>
          </w:tcPr>
          <w:p w14:paraId="2E0477EE" w14:textId="77777777" w:rsidR="00CD6E3F" w:rsidRPr="00B95AC1" w:rsidRDefault="00000000" w:rsidP="007C0141">
            <w:pPr>
              <w:pStyle w:val="Compact"/>
            </w:pPr>
            <m:oMathPara>
              <m:oMath>
                <m:r>
                  <w:rPr>
                    <w:rFonts w:ascii="Cambria Math" w:hAnsi="Cambria Math"/>
                  </w:rPr>
                  <m:t>Δ</m:t>
                </m:r>
                <m:r>
                  <m:rPr>
                    <m:nor/>
                  </m:rPr>
                  <m:t>CFI</m:t>
                </m:r>
              </m:oMath>
            </m:oMathPara>
          </w:p>
        </w:tc>
        <w:tc>
          <w:tcPr>
            <w:tcW w:w="0" w:type="auto"/>
          </w:tcPr>
          <w:p w14:paraId="7C79AD50" w14:textId="77777777" w:rsidR="00CD6E3F" w:rsidRPr="00B95AC1" w:rsidRDefault="00000000" w:rsidP="007C0141">
            <w:pPr>
              <w:pStyle w:val="Compact"/>
            </w:pPr>
            <m:oMathPara>
              <m:oMath>
                <m:r>
                  <w:rPr>
                    <w:rFonts w:ascii="Cambria Math" w:hAnsi="Cambria Math"/>
                  </w:rPr>
                  <m:t>Δ</m:t>
                </m:r>
                <m:r>
                  <m:rPr>
                    <m:nor/>
                  </m:rPr>
                  <m:t>RMSEA</m:t>
                </m:r>
              </m:oMath>
            </m:oMathPara>
          </w:p>
        </w:tc>
        <w:tc>
          <w:tcPr>
            <w:tcW w:w="0" w:type="auto"/>
          </w:tcPr>
          <w:p w14:paraId="62FADDAE" w14:textId="77777777" w:rsidR="00CD6E3F" w:rsidRPr="00B95AC1" w:rsidRDefault="00000000" w:rsidP="007C0141">
            <w:pPr>
              <w:pStyle w:val="Compact"/>
            </w:pPr>
            <w:r w:rsidRPr="00B95AC1">
              <w:t>Decision</w:t>
            </w:r>
          </w:p>
        </w:tc>
      </w:tr>
      <w:tr w:rsidR="002910E6" w14:paraId="53DABD49" w14:textId="77777777" w:rsidTr="000A22E7">
        <w:tc>
          <w:tcPr>
            <w:tcW w:w="0" w:type="auto"/>
          </w:tcPr>
          <w:p w14:paraId="12F3AF2F" w14:textId="4190E499" w:rsidR="002910E6" w:rsidRPr="00B95AC1" w:rsidRDefault="002910E6" w:rsidP="007C0141">
            <w:pPr>
              <w:pStyle w:val="Compact"/>
            </w:pPr>
            <w:r w:rsidRPr="00B95AC1">
              <w:t>Configural</w:t>
            </w:r>
          </w:p>
        </w:tc>
        <w:tc>
          <w:tcPr>
            <w:tcW w:w="0" w:type="auto"/>
          </w:tcPr>
          <w:p w14:paraId="299462C9" w14:textId="52AF7315" w:rsidR="002910E6" w:rsidRPr="00B95AC1" w:rsidRDefault="002910E6" w:rsidP="007C0141">
            <w:pPr>
              <w:pStyle w:val="Compact"/>
            </w:pPr>
            <w:r w:rsidRPr="00B95AC1">
              <w:t>316.27 (28)</w:t>
            </w:r>
          </w:p>
        </w:tc>
        <w:tc>
          <w:tcPr>
            <w:tcW w:w="0" w:type="auto"/>
          </w:tcPr>
          <w:p w14:paraId="3C9E8226" w14:textId="11A72D4D" w:rsidR="002910E6" w:rsidRPr="00B95AC1" w:rsidRDefault="002910E6" w:rsidP="007C0141">
            <w:pPr>
              <w:pStyle w:val="Compact"/>
            </w:pPr>
            <w:r w:rsidRPr="00B95AC1">
              <w:t>0.944</w:t>
            </w:r>
          </w:p>
        </w:tc>
        <w:tc>
          <w:tcPr>
            <w:tcW w:w="0" w:type="auto"/>
          </w:tcPr>
          <w:p w14:paraId="27F3D06F" w14:textId="69AEB1D7" w:rsidR="002910E6" w:rsidRPr="00B95AC1" w:rsidRDefault="002910E6" w:rsidP="007C0141">
            <w:pPr>
              <w:pStyle w:val="Compact"/>
            </w:pPr>
            <w:r w:rsidRPr="00B95AC1">
              <w:t>0.078 (0.07-0.086)</w:t>
            </w:r>
          </w:p>
        </w:tc>
        <w:tc>
          <w:tcPr>
            <w:tcW w:w="0" w:type="auto"/>
          </w:tcPr>
          <w:p w14:paraId="4F9009FD" w14:textId="77777777" w:rsidR="002910E6" w:rsidRPr="00B95AC1" w:rsidRDefault="002910E6" w:rsidP="007C0141">
            <w:pPr>
              <w:pStyle w:val="Compact"/>
            </w:pPr>
          </w:p>
        </w:tc>
        <w:tc>
          <w:tcPr>
            <w:tcW w:w="0" w:type="auto"/>
          </w:tcPr>
          <w:p w14:paraId="63DC1CAE" w14:textId="77777777" w:rsidR="002910E6" w:rsidRPr="00B95AC1" w:rsidRDefault="002910E6" w:rsidP="007C0141">
            <w:pPr>
              <w:pStyle w:val="Compact"/>
            </w:pPr>
          </w:p>
        </w:tc>
        <w:tc>
          <w:tcPr>
            <w:tcW w:w="0" w:type="auto"/>
          </w:tcPr>
          <w:p w14:paraId="0E451D06" w14:textId="77777777" w:rsidR="002910E6" w:rsidRPr="00B95AC1" w:rsidRDefault="002910E6" w:rsidP="007C0141">
            <w:pPr>
              <w:pStyle w:val="Compact"/>
            </w:pPr>
          </w:p>
        </w:tc>
        <w:tc>
          <w:tcPr>
            <w:tcW w:w="0" w:type="auto"/>
          </w:tcPr>
          <w:p w14:paraId="0C77328B" w14:textId="77777777" w:rsidR="002910E6" w:rsidRPr="00B95AC1" w:rsidRDefault="002910E6" w:rsidP="007C0141">
            <w:pPr>
              <w:pStyle w:val="Compact"/>
            </w:pPr>
          </w:p>
        </w:tc>
      </w:tr>
      <w:tr w:rsidR="002910E6" w14:paraId="31ABAF0C" w14:textId="77777777" w:rsidTr="000A22E7">
        <w:tc>
          <w:tcPr>
            <w:tcW w:w="0" w:type="auto"/>
          </w:tcPr>
          <w:p w14:paraId="099C7B9B" w14:textId="310E0BFF" w:rsidR="002910E6" w:rsidRPr="00B95AC1" w:rsidRDefault="002910E6" w:rsidP="007C0141">
            <w:pPr>
              <w:pStyle w:val="Compact"/>
            </w:pPr>
            <w:r w:rsidRPr="00B95AC1">
              <w:t>Weak</w:t>
            </w:r>
          </w:p>
        </w:tc>
        <w:tc>
          <w:tcPr>
            <w:tcW w:w="0" w:type="auto"/>
          </w:tcPr>
          <w:p w14:paraId="533E93DE" w14:textId="02EEFACD" w:rsidR="002910E6" w:rsidRPr="00B95AC1" w:rsidRDefault="002910E6" w:rsidP="007C0141">
            <w:pPr>
              <w:pStyle w:val="Compact"/>
            </w:pPr>
            <w:r w:rsidRPr="00B95AC1">
              <w:t>323.62 (32)</w:t>
            </w:r>
          </w:p>
        </w:tc>
        <w:tc>
          <w:tcPr>
            <w:tcW w:w="0" w:type="auto"/>
          </w:tcPr>
          <w:p w14:paraId="22BB8C15" w14:textId="251830B0" w:rsidR="002910E6" w:rsidRPr="00B95AC1" w:rsidRDefault="002910E6" w:rsidP="007C0141">
            <w:pPr>
              <w:pStyle w:val="Compact"/>
            </w:pPr>
            <w:r w:rsidRPr="00B95AC1">
              <w:t>0.943</w:t>
            </w:r>
          </w:p>
        </w:tc>
        <w:tc>
          <w:tcPr>
            <w:tcW w:w="0" w:type="auto"/>
          </w:tcPr>
          <w:p w14:paraId="0FF9D2B4" w14:textId="2C109BD8" w:rsidR="002910E6" w:rsidRPr="00B95AC1" w:rsidRDefault="002910E6" w:rsidP="007C0141">
            <w:pPr>
              <w:pStyle w:val="Compact"/>
            </w:pPr>
            <w:r w:rsidRPr="00B95AC1">
              <w:t>0.073 (0.066-0.081)</w:t>
            </w:r>
          </w:p>
        </w:tc>
        <w:tc>
          <w:tcPr>
            <w:tcW w:w="0" w:type="auto"/>
          </w:tcPr>
          <w:p w14:paraId="7E150B65" w14:textId="14377807" w:rsidR="002910E6" w:rsidRPr="00B95AC1" w:rsidRDefault="002910E6" w:rsidP="007C0141">
            <w:pPr>
              <w:pStyle w:val="Compact"/>
            </w:pPr>
            <w:r w:rsidRPr="00B95AC1">
              <w:t>7.347 (4)</w:t>
            </w:r>
          </w:p>
        </w:tc>
        <w:tc>
          <w:tcPr>
            <w:tcW w:w="0" w:type="auto"/>
          </w:tcPr>
          <w:p w14:paraId="086310E4" w14:textId="2F044DC1" w:rsidR="002910E6" w:rsidRPr="00B95AC1" w:rsidRDefault="002910E6" w:rsidP="007C0141">
            <w:pPr>
              <w:pStyle w:val="Compact"/>
            </w:pPr>
            <w:r w:rsidRPr="00B95AC1">
              <w:t>-0.001</w:t>
            </w:r>
          </w:p>
        </w:tc>
        <w:tc>
          <w:tcPr>
            <w:tcW w:w="0" w:type="auto"/>
          </w:tcPr>
          <w:p w14:paraId="5B8B9D38" w14:textId="5327BB34" w:rsidR="002910E6" w:rsidRPr="00B95AC1" w:rsidRDefault="002910E6" w:rsidP="007C0141">
            <w:pPr>
              <w:pStyle w:val="Compact"/>
            </w:pPr>
            <w:r w:rsidRPr="00B95AC1">
              <w:t>-0.005</w:t>
            </w:r>
          </w:p>
        </w:tc>
        <w:tc>
          <w:tcPr>
            <w:tcW w:w="0" w:type="auto"/>
          </w:tcPr>
          <w:p w14:paraId="161B557F" w14:textId="3645AEC8" w:rsidR="002910E6" w:rsidRPr="00B95AC1" w:rsidRDefault="002910E6" w:rsidP="007C0141">
            <w:pPr>
              <w:pStyle w:val="Compact"/>
            </w:pPr>
            <w:r w:rsidRPr="00B95AC1">
              <w:t>Accept</w:t>
            </w:r>
          </w:p>
        </w:tc>
      </w:tr>
      <w:tr w:rsidR="002910E6" w14:paraId="753D59A7" w14:textId="77777777" w:rsidTr="000A22E7">
        <w:tc>
          <w:tcPr>
            <w:tcW w:w="0" w:type="auto"/>
          </w:tcPr>
          <w:p w14:paraId="226724E5" w14:textId="3156EC3B" w:rsidR="002910E6" w:rsidRPr="00B95AC1" w:rsidRDefault="002910E6" w:rsidP="007C0141">
            <w:pPr>
              <w:pStyle w:val="Compact"/>
            </w:pPr>
            <w:r w:rsidRPr="00B95AC1">
              <w:t>Strong</w:t>
            </w:r>
          </w:p>
        </w:tc>
        <w:tc>
          <w:tcPr>
            <w:tcW w:w="0" w:type="auto"/>
          </w:tcPr>
          <w:p w14:paraId="69FF2E3F" w14:textId="2341DB93" w:rsidR="002910E6" w:rsidRPr="00B95AC1" w:rsidRDefault="002910E6" w:rsidP="007C0141">
            <w:pPr>
              <w:pStyle w:val="Compact"/>
            </w:pPr>
            <w:r w:rsidRPr="00B95AC1">
              <w:t>330.66 (36)</w:t>
            </w:r>
          </w:p>
        </w:tc>
        <w:tc>
          <w:tcPr>
            <w:tcW w:w="0" w:type="auto"/>
          </w:tcPr>
          <w:p w14:paraId="7D9E048B" w14:textId="55105D44" w:rsidR="002910E6" w:rsidRPr="00B95AC1" w:rsidRDefault="002910E6" w:rsidP="007C0141">
            <w:pPr>
              <w:pStyle w:val="Compact"/>
            </w:pPr>
            <w:r w:rsidRPr="00B95AC1">
              <w:t>0.942</w:t>
            </w:r>
          </w:p>
        </w:tc>
        <w:tc>
          <w:tcPr>
            <w:tcW w:w="0" w:type="auto"/>
          </w:tcPr>
          <w:p w14:paraId="32214AA6" w14:textId="2075820C" w:rsidR="002910E6" w:rsidRPr="00B95AC1" w:rsidRDefault="002910E6" w:rsidP="007C0141">
            <w:pPr>
              <w:pStyle w:val="Compact"/>
            </w:pPr>
            <w:r w:rsidRPr="00B95AC1">
              <w:t>0.07 (0.063-0.077)</w:t>
            </w:r>
          </w:p>
        </w:tc>
        <w:tc>
          <w:tcPr>
            <w:tcW w:w="0" w:type="auto"/>
          </w:tcPr>
          <w:p w14:paraId="42398969" w14:textId="570AD69B" w:rsidR="002910E6" w:rsidRPr="00B95AC1" w:rsidRDefault="002910E6" w:rsidP="007C0141">
            <w:pPr>
              <w:pStyle w:val="Compact"/>
            </w:pPr>
            <w:r w:rsidRPr="00B95AC1">
              <w:t>7.045 (4)</w:t>
            </w:r>
          </w:p>
        </w:tc>
        <w:tc>
          <w:tcPr>
            <w:tcW w:w="0" w:type="auto"/>
          </w:tcPr>
          <w:p w14:paraId="34596972" w14:textId="55D7E6C0" w:rsidR="002910E6" w:rsidRPr="00B95AC1" w:rsidRDefault="002910E6" w:rsidP="007C0141">
            <w:pPr>
              <w:pStyle w:val="Compact"/>
            </w:pPr>
            <w:r w:rsidRPr="00B95AC1">
              <w:t>-0.001</w:t>
            </w:r>
          </w:p>
        </w:tc>
        <w:tc>
          <w:tcPr>
            <w:tcW w:w="0" w:type="auto"/>
          </w:tcPr>
          <w:p w14:paraId="652F0E42" w14:textId="56BC49E9" w:rsidR="002910E6" w:rsidRPr="00B95AC1" w:rsidRDefault="002910E6" w:rsidP="007C0141">
            <w:pPr>
              <w:pStyle w:val="Compact"/>
            </w:pPr>
            <w:r w:rsidRPr="00B95AC1">
              <w:t>-0.004</w:t>
            </w:r>
          </w:p>
        </w:tc>
        <w:tc>
          <w:tcPr>
            <w:tcW w:w="0" w:type="auto"/>
          </w:tcPr>
          <w:p w14:paraId="5942DDA1" w14:textId="106C5AA5" w:rsidR="002910E6" w:rsidRPr="00B95AC1" w:rsidRDefault="002910E6" w:rsidP="007C0141">
            <w:pPr>
              <w:pStyle w:val="Compact"/>
            </w:pPr>
            <w:r w:rsidRPr="00B95AC1">
              <w:t>Accept</w:t>
            </w:r>
          </w:p>
        </w:tc>
      </w:tr>
      <w:tr w:rsidR="002910E6" w14:paraId="227A1A5E" w14:textId="77777777" w:rsidTr="000A22E7">
        <w:tc>
          <w:tcPr>
            <w:tcW w:w="0" w:type="auto"/>
          </w:tcPr>
          <w:p w14:paraId="4DA558A6" w14:textId="119B8433" w:rsidR="002910E6" w:rsidRPr="00B95AC1" w:rsidRDefault="002910E6" w:rsidP="007C0141">
            <w:pPr>
              <w:pStyle w:val="Compact"/>
            </w:pPr>
            <w:r w:rsidRPr="00B95AC1">
              <w:t>Strict</w:t>
            </w:r>
          </w:p>
        </w:tc>
        <w:tc>
          <w:tcPr>
            <w:tcW w:w="0" w:type="auto"/>
          </w:tcPr>
          <w:p w14:paraId="5B46B13E" w14:textId="15ADD86F" w:rsidR="002910E6" w:rsidRPr="00B95AC1" w:rsidRDefault="002910E6" w:rsidP="007C0141">
            <w:pPr>
              <w:pStyle w:val="Compact"/>
            </w:pPr>
            <w:r w:rsidRPr="00B95AC1">
              <w:t>426.74 (44)</w:t>
            </w:r>
          </w:p>
        </w:tc>
        <w:tc>
          <w:tcPr>
            <w:tcW w:w="0" w:type="auto"/>
          </w:tcPr>
          <w:p w14:paraId="420A88AA" w14:textId="5916D8B9" w:rsidR="002910E6" w:rsidRPr="00B95AC1" w:rsidRDefault="002910E6" w:rsidP="007C0141">
            <w:pPr>
              <w:pStyle w:val="Compact"/>
            </w:pPr>
            <w:r w:rsidRPr="00B95AC1">
              <w:t>0.925</w:t>
            </w:r>
          </w:p>
        </w:tc>
        <w:tc>
          <w:tcPr>
            <w:tcW w:w="0" w:type="auto"/>
          </w:tcPr>
          <w:p w14:paraId="2929C63D" w14:textId="7B5B2B1C" w:rsidR="002910E6" w:rsidRPr="00B95AC1" w:rsidRDefault="002910E6" w:rsidP="007C0141">
            <w:pPr>
              <w:pStyle w:val="Compact"/>
            </w:pPr>
            <w:r w:rsidRPr="00B95AC1">
              <w:t>0.072 (0.066-0.078)</w:t>
            </w:r>
          </w:p>
        </w:tc>
        <w:tc>
          <w:tcPr>
            <w:tcW w:w="0" w:type="auto"/>
          </w:tcPr>
          <w:p w14:paraId="42A6DBE4" w14:textId="395CC12E" w:rsidR="002910E6" w:rsidRPr="00B95AC1" w:rsidRDefault="002910E6" w:rsidP="007C0141">
            <w:pPr>
              <w:pStyle w:val="Compact"/>
            </w:pPr>
            <w:r w:rsidRPr="00B95AC1">
              <w:t>96.08 (8) ***</w:t>
            </w:r>
          </w:p>
        </w:tc>
        <w:tc>
          <w:tcPr>
            <w:tcW w:w="0" w:type="auto"/>
          </w:tcPr>
          <w:p w14:paraId="164E897B" w14:textId="366BC3E0" w:rsidR="002910E6" w:rsidRPr="00B95AC1" w:rsidRDefault="002910E6" w:rsidP="007C0141">
            <w:pPr>
              <w:pStyle w:val="Compact"/>
            </w:pPr>
            <w:r w:rsidRPr="00B95AC1">
              <w:t>-0.017</w:t>
            </w:r>
          </w:p>
        </w:tc>
        <w:tc>
          <w:tcPr>
            <w:tcW w:w="0" w:type="auto"/>
          </w:tcPr>
          <w:p w14:paraId="5DFCEA61" w14:textId="5F462AC3" w:rsidR="002910E6" w:rsidRPr="00B95AC1" w:rsidRDefault="002910E6" w:rsidP="007C0141">
            <w:pPr>
              <w:pStyle w:val="Compact"/>
            </w:pPr>
            <w:r w:rsidRPr="00B95AC1">
              <w:t>0.002</w:t>
            </w:r>
          </w:p>
        </w:tc>
        <w:tc>
          <w:tcPr>
            <w:tcW w:w="0" w:type="auto"/>
          </w:tcPr>
          <w:p w14:paraId="4AB87C01" w14:textId="21E35222" w:rsidR="002910E6" w:rsidRPr="00B95AC1" w:rsidRDefault="002910E6" w:rsidP="007C0141">
            <w:pPr>
              <w:pStyle w:val="Compact"/>
            </w:pPr>
            <w:r w:rsidRPr="00B95AC1">
              <w:t>Reject</w:t>
            </w:r>
          </w:p>
        </w:tc>
      </w:tr>
      <w:tr w:rsidR="002910E6" w14:paraId="35771FEC" w14:textId="77777777" w:rsidTr="000A22E7">
        <w:tc>
          <w:tcPr>
            <w:tcW w:w="0" w:type="auto"/>
            <w:gridSpan w:val="8"/>
          </w:tcPr>
          <w:p w14:paraId="1DC1F8EB" w14:textId="2D2AB5CC" w:rsidR="002910E6" w:rsidRPr="00B95AC1" w:rsidRDefault="002910E6" w:rsidP="007C0141">
            <w:pPr>
              <w:pStyle w:val="Compact"/>
            </w:pPr>
            <w:r w:rsidRPr="00B95AC1">
              <w:t xml:space="preserve">Note: N </w:t>
            </w:r>
            <w:proofErr w:type="gramStart"/>
            <w:r w:rsidRPr="00B95AC1">
              <w:t>= ;</w:t>
            </w:r>
            <w:proofErr w:type="gramEnd"/>
            <w:r w:rsidRPr="00B95AC1">
              <w:t xml:space="preserve"> Group 1, n = 1242; Group 2, n = 2141, ***p &lt; 0.001</w:t>
            </w:r>
          </w:p>
        </w:tc>
      </w:tr>
    </w:tbl>
    <w:p w14:paraId="603D8EFE" w14:textId="77777777" w:rsidR="00CD6E3F" w:rsidRDefault="00000000" w:rsidP="007C0141">
      <w:pPr>
        <w:pStyle w:val="BodyText"/>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yperlink"/>
          </w:rPr>
          <w:t>Fischer et al., 2011</w:t>
        </w:r>
      </w:hyperlink>
      <w:r>
        <w:t>), as strict forms of measurement invariance rarely hold (</w:t>
      </w:r>
      <w:hyperlink w:anchor="ref-vandeschoot_checklist_2012">
        <w:r>
          <w:rPr>
            <w:rStyle w:val="Hyperlink"/>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yperlink"/>
          </w:rPr>
          <w:t>Chen, 2007</w:t>
        </w:r>
      </w:hyperlink>
      <w:r>
        <w:t>). Therefore, using this last standard, the level of strict invariance would hold for the meritocracy scale.</w:t>
      </w:r>
    </w:p>
    <w:p w14:paraId="34A39FBC" w14:textId="77777777" w:rsidR="00CD6E3F" w:rsidRDefault="00000000" w:rsidP="007C0141">
      <w:pPr>
        <w:pStyle w:val="BodyText"/>
      </w:pPr>
      <w:r>
        <w:t>Discusion</w:t>
      </w:r>
    </w:p>
    <w:p w14:paraId="0433B3A3" w14:textId="77777777" w:rsidR="00CD6E3F" w:rsidRDefault="00000000" w:rsidP="007C0141">
      <w:pPr>
        <w:pStyle w:val="BodyText"/>
      </w:pPr>
      <w:r>
        <w:t xml:space="preserve">Based on the measurement invariance analysis for two datasets, we found evidence supporting the equivalence of the scale when applied in different samples. This gives a more robust ground </w:t>
      </w:r>
      <w:r>
        <w:lastRenderedPageBreak/>
        <w:t>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24"/>
    </w:p>
    <w:sectPr w:rsidR="00CD6E3F"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F61F" w14:textId="77777777" w:rsidR="000025B3" w:rsidRDefault="000025B3">
      <w:pPr>
        <w:spacing w:after="0" w:line="240" w:lineRule="auto"/>
      </w:pPr>
      <w:r>
        <w:separator/>
      </w:r>
    </w:p>
  </w:endnote>
  <w:endnote w:type="continuationSeparator" w:id="0">
    <w:p w14:paraId="738F0D90" w14:textId="77777777" w:rsidR="000025B3" w:rsidRDefault="0000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3E05" w14:textId="77777777" w:rsidR="000025B3" w:rsidRDefault="000025B3">
      <w:r>
        <w:separator/>
      </w:r>
    </w:p>
  </w:footnote>
  <w:footnote w:type="continuationSeparator" w:id="0">
    <w:p w14:paraId="49440155" w14:textId="77777777" w:rsidR="000025B3" w:rsidRDefault="00002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rQUAYZUSUiwAAAA="/>
  </w:docVars>
  <w:rsids>
    <w:rsidRoot w:val="00CD6E3F"/>
    <w:rsid w:val="000025B3"/>
    <w:rsid w:val="00024BC7"/>
    <w:rsid w:val="000A22E7"/>
    <w:rsid w:val="00110007"/>
    <w:rsid w:val="001F140F"/>
    <w:rsid w:val="002910E6"/>
    <w:rsid w:val="002A683B"/>
    <w:rsid w:val="00340573"/>
    <w:rsid w:val="004113AD"/>
    <w:rsid w:val="0042789A"/>
    <w:rsid w:val="0051025C"/>
    <w:rsid w:val="005C4299"/>
    <w:rsid w:val="00710DBE"/>
    <w:rsid w:val="007C0141"/>
    <w:rsid w:val="0086591D"/>
    <w:rsid w:val="00A815C9"/>
    <w:rsid w:val="00B45123"/>
    <w:rsid w:val="00B95AC1"/>
    <w:rsid w:val="00BC1708"/>
    <w:rsid w:val="00C348BB"/>
    <w:rsid w:val="00CD6E3F"/>
    <w:rsid w:val="00CF42F2"/>
    <w:rsid w:val="00EA0E29"/>
    <w:rsid w:val="00EB79B0"/>
    <w:rsid w:val="00FA7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Heading1">
    <w:name w:val="heading 1"/>
    <w:basedOn w:val="Normal"/>
    <w:next w:val="BodyText"/>
    <w:autoRedefine/>
    <w:uiPriority w:val="9"/>
    <w:qFormat/>
    <w:rsid w:val="00DD1F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autoRedefine/>
    <w:uiPriority w:val="9"/>
    <w:unhideWhenUsed/>
    <w:qFormat/>
    <w:rsid w:val="0042789A"/>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789A"/>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141"/>
    <w:pPr>
      <w:spacing w:before="300" w:after="300" w:line="360" w:lineRule="auto"/>
    </w:p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pPr>
    <w:rPr>
      <w:sz w:val="20"/>
      <w:szCs w:val="20"/>
    </w:rPr>
  </w:style>
  <w:style w:type="paragraph" w:styleId="Bibliography">
    <w:name w:val="Bibliography"/>
    <w:basedOn w:val="Normal"/>
    <w:autoRedefine/>
    <w:qFormat/>
    <w:rsid w:val="00B7202B"/>
    <w:pPr>
      <w:ind w:left="720" w:hanging="720"/>
    </w:pPr>
    <w:rPr>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42789A"/>
    <w:pPr>
      <w:keepNext/>
    </w:pPr>
    <w:rPr>
      <w:i w:val="0"/>
    </w:rPr>
  </w:style>
  <w:style w:type="paragraph" w:customStyle="1" w:styleId="ImageCaption">
    <w:name w:val="Image Caption"/>
    <w:basedOn w:val="Captio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C0141"/>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PlainTable2">
    <w:name w:val="Plain Table 2"/>
    <w:basedOn w:val="Table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semiHidden/>
    <w:rsid w:val="0051025C"/>
    <w:pPr>
      <w:spacing w:after="0"/>
    </w:pPr>
    <w:rPr>
      <w:rFonts w:ascii="Times New Roman" w:hAnsi="Times New Roman"/>
    </w:rPr>
  </w:style>
  <w:style w:type="character" w:styleId="CommentReference">
    <w:name w:val="annotation reference"/>
    <w:basedOn w:val="DefaultParagraphFont"/>
    <w:semiHidden/>
    <w:unhideWhenUsed/>
    <w:rsid w:val="005C4299"/>
    <w:rPr>
      <w:sz w:val="16"/>
      <w:szCs w:val="16"/>
    </w:rPr>
  </w:style>
  <w:style w:type="paragraph" w:styleId="CommentText">
    <w:name w:val="annotation text"/>
    <w:basedOn w:val="Normal"/>
    <w:link w:val="CommentTextChar"/>
    <w:unhideWhenUsed/>
    <w:rsid w:val="005C4299"/>
    <w:pPr>
      <w:spacing w:line="240" w:lineRule="auto"/>
    </w:pPr>
    <w:rPr>
      <w:sz w:val="20"/>
      <w:szCs w:val="20"/>
    </w:rPr>
  </w:style>
  <w:style w:type="character" w:customStyle="1" w:styleId="CommentTextChar">
    <w:name w:val="Comment Text Char"/>
    <w:basedOn w:val="DefaultParagraphFont"/>
    <w:link w:val="CommentText"/>
    <w:rsid w:val="005C429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C4299"/>
    <w:rPr>
      <w:b/>
      <w:bCs/>
    </w:rPr>
  </w:style>
  <w:style w:type="character" w:customStyle="1" w:styleId="CommentSubjectChar">
    <w:name w:val="Comment Subject Char"/>
    <w:basedOn w:val="CommentTextChar"/>
    <w:link w:val="CommentSubject"/>
    <w:semiHidden/>
    <w:rsid w:val="005C4299"/>
    <w:rPr>
      <w:rFonts w:ascii="Times New Roman" w:hAnsi="Times New Roman"/>
      <w:b/>
      <w:bCs/>
      <w:sz w:val="20"/>
      <w:szCs w:val="20"/>
    </w:rPr>
  </w:style>
  <w:style w:type="table" w:customStyle="1" w:styleId="Style1">
    <w:name w:val="Style1"/>
    <w:basedOn w:val="TableNormal"/>
    <w:uiPriority w:val="99"/>
    <w:rsid w:val="00C348BB"/>
    <w:pPr>
      <w:spacing w:after="0"/>
    </w:pP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cBorders>
      </w:tcPr>
    </w:tblStylePr>
    <w:tblStylePr w:type="lastRow">
      <w:tblPr/>
      <w:tcPr>
        <w:tcBorders>
          <w:bottom w:val="single" w:sz="4" w:space="0" w:color="auto"/>
        </w:tcBorders>
      </w:tcPr>
    </w:tblStylePr>
  </w:style>
  <w:style w:type="table" w:styleId="TableGrid">
    <w:name w:val="Table Grid"/>
    <w:basedOn w:val="TableNormal"/>
    <w:rsid w:val="000A22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netquest.com" TargetMode="External"/><Relationship Id="rId18" Type="http://schemas.openxmlformats.org/officeDocument/2006/relationships/image" Target="media/image10.png"/><Relationship Id="rId26" Type="http://schemas.openxmlformats.org/officeDocument/2006/relationships/hyperlink" Target="https://doi.org/10.1080/10705510701301834" TargetMode="External"/><Relationship Id="rId39" Type="http://schemas.openxmlformats.org/officeDocument/2006/relationships/hyperlink" Target="https://doi.org/10.1017/S0003975613000209" TargetMode="External"/><Relationship Id="rId21" Type="http://schemas.openxmlformats.org/officeDocument/2006/relationships/hyperlink" Target="https://doi.org/10.1177/0002764220941214" TargetMode="External"/><Relationship Id="rId34" Type="http://schemas.openxmlformats.org/officeDocument/2006/relationships/hyperlink" Target="https://doi.org/10.1007/s11211-011-0142-7" TargetMode="External"/><Relationship Id="rId42" Type="http://schemas.openxmlformats.org/officeDocument/2006/relationships/hyperlink" Target="https://doi.org/10.1111/j.1467-923X.2006.00780.x" TargetMode="External"/><Relationship Id="rId47" Type="http://schemas.openxmlformats.org/officeDocument/2006/relationships/hyperlink" Target="https://doi.org/10.1111/ajps.12153" TargetMode="External"/><Relationship Id="rId50" Type="http://schemas.openxmlformats.org/officeDocument/2006/relationships/hyperlink" Target="https://doi.org/10.1080/13621025.2020.1720604" TargetMode="External"/><Relationship Id="rId55" Type="http://schemas.openxmlformats.org/officeDocument/2006/relationships/hyperlink" Target="https://doi.org/10.1007/s11211-016-0276-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93/pan/mpn014" TargetMode="External"/><Relationship Id="rId11" Type="http://schemas.openxmlformats.org/officeDocument/2006/relationships/image" Target="media/image5.png"/><Relationship Id="rId24" Type="http://schemas.openxmlformats.org/officeDocument/2006/relationships/hyperlink" Target="https://doi.org/10.1177/2057891118806065" TargetMode="External"/><Relationship Id="rId32" Type="http://schemas.openxmlformats.org/officeDocument/2006/relationships/hyperlink" Target="https://doi.org/10.1177/0748175610373459" TargetMode="External"/><Relationship Id="rId37" Type="http://schemas.openxmlformats.org/officeDocument/2006/relationships/hyperlink" Target="https://doi.org/10.1046/j.1468-0041.2003.00324.x" TargetMode="External"/><Relationship Id="rId40" Type="http://schemas.openxmlformats.org/officeDocument/2006/relationships/hyperlink" Target="https://doi.org/10.4324/9781351329002" TargetMode="External"/><Relationship Id="rId45" Type="http://schemas.openxmlformats.org/officeDocument/2006/relationships/hyperlink" Target="https://doi.org/10.1093/ser/mwy051"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016/j.cobeha.2019.12.001" TargetMode="External"/><Relationship Id="rId5" Type="http://schemas.openxmlformats.org/officeDocument/2006/relationships/footnotes" Target="footnotes.xml"/><Relationship Id="rId61" Type="http://schemas.openxmlformats.org/officeDocument/2006/relationships/hyperlink" Target="https://doi.org/10.1017/CBO9780511818691" TargetMode="External"/><Relationship Id="rId19" Type="http://schemas.openxmlformats.org/officeDocument/2006/relationships/hyperlink" Target="https://doi.org/10.1080/02692171.2019.1608917" TargetMode="External"/><Relationship Id="rId14" Type="http://schemas.openxmlformats.org/officeDocument/2006/relationships/image" Target="media/image7.png"/><Relationship Id="rId22" Type="http://schemas.openxmlformats.org/officeDocument/2006/relationships/hyperlink" Target="https://doi.org/10.1017/psrm.2018.28" TargetMode="External"/><Relationship Id="rId27" Type="http://schemas.openxmlformats.org/officeDocument/2006/relationships/hyperlink" Target="https://doi.org/10.1207/S15328007SEM0902_5" TargetMode="External"/><Relationship Id="rId30" Type="http://schemas.openxmlformats.org/officeDocument/2006/relationships/hyperlink" Target="https://doi.org/10.1146/annurev-soc-071913-043137" TargetMode="External"/><Relationship Id="rId35" Type="http://schemas.openxmlformats.org/officeDocument/2006/relationships/hyperlink" Target="https://doi.org/10.1177/0042085918817342" TargetMode="External"/><Relationship Id="rId43" Type="http://schemas.openxmlformats.org/officeDocument/2006/relationships/hyperlink" Target="https://doi.org/10.1177/00031224211004187" TargetMode="External"/><Relationship Id="rId48" Type="http://schemas.openxmlformats.org/officeDocument/2006/relationships/hyperlink" Target="https://doi.org/10.1080/00071005.2019.1708863" TargetMode="External"/><Relationship Id="rId56" Type="http://schemas.openxmlformats.org/officeDocument/2006/relationships/hyperlink" Target="https://doi.org/10.1037/a0024618"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6/j.rssm.2014.03.00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oi.org/10.3989/ris.2019.77.1.17.114" TargetMode="External"/><Relationship Id="rId33" Type="http://schemas.openxmlformats.org/officeDocument/2006/relationships/hyperlink" Target="https://doi.org/10.1086/661290" TargetMode="External"/><Relationship Id="rId38" Type="http://schemas.openxmlformats.org/officeDocument/2006/relationships/hyperlink" Target="https://doi.org/10.4232/1.12777" TargetMode="External"/><Relationship Id="rId46" Type="http://schemas.openxmlformats.org/officeDocument/2006/relationships/hyperlink" Target="https://doi.org/10.1007/s11135-007-9143-x" TargetMode="External"/><Relationship Id="rId59" Type="http://schemas.openxmlformats.org/officeDocument/2006/relationships/hyperlink" Target="https://doi.org/10.1080/17405629.2012.686740" TargetMode="External"/><Relationship Id="rId20" Type="http://schemas.openxmlformats.org/officeDocument/2006/relationships/hyperlink" Target="https://doi.org/10.1017/S0003055408080210" TargetMode="External"/><Relationship Id="rId41" Type="http://schemas.openxmlformats.org/officeDocument/2006/relationships/hyperlink" Target="https://doi.org/10.1093/esr/jcm026" TargetMode="External"/><Relationship Id="rId54" Type="http://schemas.openxmlformats.org/officeDocument/2006/relationships/hyperlink" Target="https://doi.org/10.1177/0038038595029001003" TargetMode="External"/><Relationship Id="rId62" Type="http://schemas.openxmlformats.org/officeDocument/2006/relationships/hyperlink" Target="https://doi.org/10.1017/psrm.2018.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z45y2/?view_only=adcd496887f2471597b1d6ffb46e492d" TargetMode="External"/><Relationship Id="rId23" Type="http://schemas.openxmlformats.org/officeDocument/2006/relationships/hyperlink" Target="https://doi.org/10.1111/j.1468-4446.1999.00001.x" TargetMode="External"/><Relationship Id="rId28" Type="http://schemas.openxmlformats.org/officeDocument/2006/relationships/hyperlink" Target="https://doi.org/10.1080/08913810608443650" TargetMode="External"/><Relationship Id="rId36" Type="http://schemas.openxmlformats.org/officeDocument/2006/relationships/hyperlink" Target="https://doi.org/10.1007/s11211-020-00347-8" TargetMode="External"/><Relationship Id="rId49" Type="http://schemas.openxmlformats.org/officeDocument/2006/relationships/hyperlink" Target="https://doi.org/10.1080/14759551.2019.1601723" TargetMode="External"/><Relationship Id="rId57" Type="http://schemas.openxmlformats.org/officeDocument/2006/relationships/hyperlink" Target="https://doi.org/10.1111/geer.12032" TargetMode="External"/><Relationship Id="rId10" Type="http://schemas.openxmlformats.org/officeDocument/2006/relationships/image" Target="media/image4.png"/><Relationship Id="rId31" Type="http://schemas.openxmlformats.org/officeDocument/2006/relationships/hyperlink" Target="https://doi.org/10.1146/annurev-polisci-091515-030034" TargetMode="External"/><Relationship Id="rId44" Type="http://schemas.openxmlformats.org/officeDocument/2006/relationships/hyperlink" Target="https://doi.org/10.3389/fpsyg.2019.02007" TargetMode="External"/><Relationship Id="rId52" Type="http://schemas.openxmlformats.org/officeDocument/2006/relationships/hyperlink" Target="https://doi.org/10.1177/0001699317748340" TargetMode="External"/><Relationship Id="rId60" Type="http://schemas.openxmlformats.org/officeDocument/2006/relationships/hyperlink" Target="https://doi.org/10.1016/j.rssm.2020.10047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40</Pages>
  <Words>10047</Words>
  <Characters>59218</Characters>
  <Application>Microsoft Office Word</Application>
  <DocSecurity>0</DocSecurity>
  <Lines>1168</Lines>
  <Paragraphs>490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 multidimensional approach for measuring meritocratic beliefs: Advantages, limitations and alternatives to the ISSP social inequality survey</vt:lpstr>
      <vt:lpstr>A multidimensional approach for measuring meritocratic beliefs: Advantages, limitations and alternatives to the ISSP social inequality survey</vt:lpstr>
    </vt:vector>
  </TitlesOfParts>
  <Company/>
  <LinksUpToDate>false</LinksUpToDate>
  <CharactersWithSpaces>68743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JC IS</cp:lastModifiedBy>
  <cp:revision>17</cp:revision>
  <dcterms:created xsi:type="dcterms:W3CDTF">2023-09-15T18:06:00Z</dcterms:created>
  <dcterms:modified xsi:type="dcterms:W3CDTF">2023-10-07T14:34:00Z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