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40"/>
          <w:szCs w:val="40"/>
        </w:rPr>
        <w:t xml:space="preserve">COLLABORATION FRAMEWORK</w:t>
      </w:r>
    </w:p>
    <w:p>
      <w:pPr>
        <w:pBdr>
          <w:bottom w:val="single" w:color="B8892B" w:sz="16" w:space="6"/>
        </w:pBdr>
        <w:spacing w:after="40"/>
      </w:pPr>
      <w:r>
        <w:rPr>
          <w:b/>
          <w:bCs/>
          <w:color w:val="5E0F0F"/>
          <w:sz w:val="24"/>
          <w:szCs w:val="24"/>
        </w:rPr>
        <w:t xml:space="preserve">LP SLOTS  ·  Slots &amp; Casino Streaming</w:t>
      </w:r>
    </w:p>
    <w:p>
      <w:pPr>
        <w:pBdr>
          <w:top w:val="single" w:color="B8892B" w:sz="2"/>
          <w:bottom w:val="single" w:color="B8892B" w:sz="2"/>
          <w:left w:val="single" w:color="B8892B" w:sz="2"/>
          <w:right w:val="single" w:color="B8892B" w:sz="2"/>
        </w:pBdr>
        <w:shd w:fill="F4EBD9" w:val="clear"/>
        <w:spacing w:after="300" w:before="260"/>
        <w:ind w:left="150" w:right="150"/>
      </w:pPr>
      <w:r>
        <w:rPr>
          <w:i/>
          <w:iCs/>
          <w:color w:val="5E0F0F"/>
          <w:sz w:val="20"/>
          <w:szCs w:val="20"/>
        </w:rPr>
        <w:t xml:space="preserve">This document is NOT a legally binding contract. It is a reference framework that clearly and modernly summarizes what LP SLOTS offers and what it requests in return within a collaboration with a sponsor (casino, platform, or related brand). It serves as a negotiation and mutual-understanding baseline before formalizing any specific agreement.</w:t>
      </w:r>
    </w:p>
    <w:p>
      <w:pPr>
        <w:pStyle w:val="Heading1"/>
        <w:pBdr>
          <w:bottom w:val="single" w:color="B8892B" w:sz="8" w:space="4"/>
        </w:pBdr>
        <w:spacing w:after="160" w:before="360"/>
      </w:pPr>
      <w:r>
        <w:rPr>
          <w:b/>
          <w:bCs/>
          <w:color w:val="5E0F0F"/>
          <w:sz w:val="28"/>
          <w:szCs w:val="28"/>
        </w:rPr>
        <w:t xml:space="preserve">1. Parties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Sponsor ("the Brand"): platform, casino, or brand seeking promotion.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LP SLOTS ("the Creator"): slots and casino content streamer on Twitch, Kick, YouTube, and affiliated social channels.</w:t>
      </w:r>
    </w:p>
    <w:p>
      <w:pPr>
        <w:pStyle w:val="Heading1"/>
        <w:pBdr>
          <w:bottom w:val="single" w:color="B8892B" w:sz="8" w:space="4"/>
        </w:pBdr>
        <w:spacing w:after="160" w:before="360"/>
      </w:pPr>
      <w:r>
        <w:rPr>
          <w:b/>
          <w:bCs/>
          <w:color w:val="5E0F0F"/>
          <w:sz w:val="28"/>
          <w:szCs w:val="28"/>
        </w:rPr>
        <w:t xml:space="preserve">2. Purpose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To set out, in a flexible and easily updatable way, the terms under which LP SLOTS promotes the Brand through live streams and digital content, in exchange for an agreed compensation between both parties.</w:t>
      </w:r>
    </w:p>
    <w:p>
      <w:pPr>
        <w:pStyle w:val="Heading1"/>
        <w:pBdr>
          <w:bottom w:val="single" w:color="B8892B" w:sz="8" w:space="4"/>
        </w:pBdr>
        <w:spacing w:after="160" w:before="360"/>
      </w:pPr>
      <w:r>
        <w:rPr>
          <w:b/>
          <w:bCs/>
          <w:color w:val="5E0F0F"/>
          <w:sz w:val="28"/>
          <w:szCs w:val="28"/>
        </w:rPr>
        <w:t xml:space="preserve">3. What I Offer as Creator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Live streams on Twitch and/or Kick, with a minimum duration of 1 hour per broadcast.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Brand integration throughout the entire stream (not just a one-off mention).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Banner, logo, and overlay visible on screen during the broadcast.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Custom chat command with registration/affiliate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Live explanation of promotions, bonuses, and casino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Periodic verbal mentions throughout the stream.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Affiliate link pinned in the channel description and in chat.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Short clips for TikTok, Reels, and Shorts as additional content, if agreed.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Promotion on Discord, Telegram, or other owned channels, when applicable.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Post-campaign performance report: hours streamed, views, clicks, and estimated engagement.</w:t>
      </w:r>
    </w:p>
    <w:p>
      <w:pPr>
        <w:pStyle w:val="Heading1"/>
        <w:pBdr>
          <w:bottom w:val="single" w:color="B8892B" w:sz="8" w:space="4"/>
        </w:pBdr>
        <w:spacing w:after="160" w:before="360"/>
      </w:pPr>
      <w:r>
        <w:rPr>
          <w:b/>
          <w:bCs/>
          <w:color w:val="5E0F0F"/>
          <w:sz w:val="28"/>
          <w:szCs w:val="28"/>
        </w:rPr>
        <w:t xml:space="preserve">4. What I Request from the Sponsor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Access to the casino/platform before the campaign starts, to test the experience firsthand.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 working affiliate code or tracking link of my 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Official promotional material (logos, banners, graphics) in high quality.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 direct point of contact for live support during the broadcast.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100% upfront payment of the agreed amount, unless otherwise agreed in writing.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Upfront clarity on any geographic or age restrictions tied to the promotion, if applicable.</w:t>
      </w:r>
    </w:p>
    <w:p>
      <w:pPr>
        <w:pStyle w:val="Heading1"/>
        <w:pBdr>
          <w:bottom w:val="single" w:color="B8892B" w:sz="8" w:space="4"/>
        </w:pBdr>
        <w:spacing w:after="160" w:before="360"/>
      </w:pPr>
      <w:r>
        <w:rPr>
          <w:b/>
          <w:bCs/>
          <w:color w:val="5E0F0F"/>
          <w:sz w:val="28"/>
          <w:szCs w:val="28"/>
        </w:rPr>
        <w:t xml:space="preserve">5. Economic Terms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pct" w:w="34%"/>
            <w:shd w:fill="F4EBD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5E0F0F"/>
                <w:sz w:val="21"/>
                <w:szCs w:val="21"/>
              </w:rPr>
              <w:t xml:space="preserve">Payment model</w:t>
            </w:r>
          </w:p>
        </w:tc>
        <w:tc>
          <w:tcPr>
            <w:tcW w:type="pct" w:w="66%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Fixed rate per stream, or a monthly amount agreed in advance.</w:t>
            </w:r>
          </w:p>
        </w:tc>
      </w:tr>
      <w:tr>
        <w:tc>
          <w:tcPr>
            <w:tcW w:type="pct" w:w="34%"/>
            <w:shd w:fill="F4EBD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5E0F0F"/>
                <w:sz w:val="21"/>
                <w:szCs w:val="21"/>
              </w:rPr>
              <w:t xml:space="preserve">Payment timing</w:t>
            </w:r>
          </w:p>
        </w:tc>
        <w:tc>
          <w:tcPr>
            <w:tcW w:type="pct" w:w="66%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100% upfront before the campaign begins, unless otherwise agreed in writing.</w:t>
            </w:r>
          </w:p>
        </w:tc>
      </w:tr>
      <w:tr>
        <w:tc>
          <w:tcPr>
            <w:tcW w:type="pct" w:w="34%"/>
            <w:shd w:fill="F4EBD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5E0F0F"/>
                <w:sz w:val="21"/>
                <w:szCs w:val="21"/>
              </w:rPr>
              <w:t xml:space="preserve">Accepted methods</w:t>
            </w:r>
          </w:p>
        </w:tc>
        <w:tc>
          <w:tcPr>
            <w:tcW w:type="pct" w:w="66%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USDT (TRC20), BTC, ETH, or another method agreed between the parties.</w:t>
            </w:r>
          </w:p>
        </w:tc>
      </w:tr>
      <w:tr>
        <w:tc>
          <w:tcPr>
            <w:tcW w:type="pct" w:w="34%"/>
            <w:shd w:fill="F4EBD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5E0F0F"/>
                <w:sz w:val="21"/>
                <w:szCs w:val="21"/>
              </w:rPr>
              <w:t xml:space="preserve">Rate updates</w:t>
            </w:r>
          </w:p>
        </w:tc>
        <w:tc>
          <w:tcPr>
            <w:tcW w:type="pct" w:w="66%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Rates may be revised based on audience size, reach, or campaign length.</w:t>
            </w:r>
          </w:p>
        </w:tc>
      </w:tr>
    </w:tbl>
    <w:p>
      <w:pPr>
        <w:pStyle w:val="Heading1"/>
        <w:pBdr>
          <w:bottom w:val="single" w:color="B8892B" w:sz="8" w:space="4"/>
        </w:pBdr>
        <w:spacing w:after="160" w:before="360"/>
      </w:pPr>
      <w:r>
        <w:rPr>
          <w:b/>
          <w:bCs/>
          <w:color w:val="5E0F0F"/>
          <w:sz w:val="28"/>
          <w:szCs w:val="28"/>
        </w:rPr>
        <w:t xml:space="preserve">6. Content &amp; Brand Usage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Each party retains ownership of its own trademarks, logos, and content.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Brand authorizes use of its image solely for the duration of the agreed campaign.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LP SLOTS retains ownership of its content (streams, clips, edits) and grants the Brand a limited usage license as agreed (for example, reposting on official channels).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Any paid advertising use (whitelisting, ads featuring the Creator's image) is negotiated separately.</w:t>
      </w:r>
    </w:p>
    <w:p>
      <w:pPr>
        <w:pStyle w:val="Heading1"/>
        <w:pBdr>
          <w:bottom w:val="single" w:color="B8892B" w:sz="8" w:space="4"/>
        </w:pBdr>
        <w:spacing w:after="160" w:before="360"/>
      </w:pPr>
      <w:r>
        <w:rPr>
          <w:b/>
          <w:bCs/>
          <w:color w:val="5E0F0F"/>
          <w:sz w:val="28"/>
          <w:szCs w:val="28"/>
        </w:rPr>
        <w:t xml:space="preserve">7. Confidentiality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Both parties will keep confidential any non-public information shared during the collaboration (figures, commercial terms, strategies).</w:t>
      </w:r>
    </w:p>
    <w:p>
      <w:pPr>
        <w:pStyle w:val="Heading1"/>
        <w:pBdr>
          <w:bottom w:val="single" w:color="B8892B" w:sz="8" w:space="4"/>
        </w:pBdr>
        <w:spacing w:after="160" w:before="360"/>
      </w:pPr>
      <w:r>
        <w:rPr>
          <w:b/>
          <w:bCs/>
          <w:color w:val="5E0F0F"/>
          <w:sz w:val="28"/>
          <w:szCs w:val="28"/>
        </w:rPr>
        <w:t xml:space="preserve">8. Cancellations &amp; Rescheduling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Live streaming may be affected by platform outages, technical issues, or connectivity problems. In such cases, the parties will work to reschedule within a reasonable timeframe, acting in good faith.</w:t>
      </w:r>
    </w:p>
    <w:p>
      <w:pPr>
        <w:pStyle w:val="Heading1"/>
        <w:pBdr>
          <w:bottom w:val="single" w:color="B8892B" w:sz="8" w:space="4"/>
        </w:pBdr>
        <w:spacing w:after="160" w:before="360"/>
      </w:pPr>
      <w:r>
        <w:rPr>
          <w:b/>
          <w:bCs/>
          <w:color w:val="5E0F0F"/>
          <w:sz w:val="28"/>
          <w:szCs w:val="28"/>
        </w:rPr>
        <w:t xml:space="preserve">9. Duration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framework applies for the length of the specific campaign agreed upon. It can be renewed or adjusted for future collaborations without needing to rewrite the entire document.</w:t>
      </w:r>
    </w:p>
    <w:p>
      <w:pPr>
        <w:pStyle w:val="Heading1"/>
        <w:pBdr>
          <w:bottom w:val="single" w:color="B8892B" w:sz="8" w:space="4"/>
        </w:pBdr>
        <w:spacing w:after="160" w:before="360"/>
      </w:pPr>
      <w:r>
        <w:rPr>
          <w:b/>
          <w:bCs/>
          <w:color w:val="5E0F0F"/>
          <w:sz w:val="28"/>
          <w:szCs w:val="28"/>
        </w:rPr>
        <w:t xml:space="preserve">10. Good Practices &amp; Responsible Gaming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Content is aimed exclusively at audiences of legal age (18+), per each platform's policies.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Twitch, Kick, and other platforms' Terms of Service are respected at all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Responsible gaming is promoted throughout all broadcasts.</w:t>
      </w:r>
    </w:p>
    <w:p>
      <w:pPr>
        <w:pStyle w:val="Heading1"/>
        <w:pBdr>
          <w:bottom w:val="single" w:color="B8892B" w:sz="8" w:space="4"/>
        </w:pBdr>
        <w:spacing w:after="160" w:before="360"/>
      </w:pPr>
      <w:r>
        <w:rPr>
          <w:b/>
          <w:bCs/>
          <w:color w:val="5E0F0F"/>
          <w:sz w:val="28"/>
          <w:szCs w:val="28"/>
        </w:rPr>
        <w:t xml:space="preserve">Final Note</w:t>
      </w:r>
    </w:p>
    <w:p>
      <w:pPr>
        <w:spacing w:after="120"/>
      </w:pPr>
      <w:r>
        <w:rPr>
          <w:b w:val="false"/>
          <w:bCs w:val="false"/>
          <w:i/>
          <w:iCs/>
          <w:color w:val="5B5B5B"/>
          <w:sz w:val="21"/>
          <w:szCs w:val="21"/>
        </w:rPr>
        <w:t xml:space="preserve">This document is an orientation framework between what I offer and what I request as a streamer, not a legally binding contract. If a specific campaign requires formal legal standing (due to large amounts, extended exclusivity, etc.), it is recommended to formalize it in a dedicated contract reviewed by a professional, specifying applicable law and jurisdiction.</w:t>
      </w:r>
    </w:p>
    <w:p>
      <w:pPr>
        <w:spacing w:after="100" w:before="400"/>
      </w:pPr>
      <w:r>
        <w:rPr>
          <w:b/>
          <w:bCs/>
          <w:color w:val="5E0F0F"/>
          <w:sz w:val="22"/>
          <w:szCs w:val="22"/>
        </w:rPr>
        <w:t xml:space="preserve">Mutual Acknowledgment</w:t>
      </w:r>
    </w:p>
    <w:p>
      <w:pPr>
        <w:spacing w:after="60"/>
      </w:pPr>
      <w:r>
        <w:rPr>
          <w:color w:val="1A1A1A"/>
          <w:sz w:val="21"/>
          <w:szCs w:val="21"/>
        </w:rPr>
        <w:t xml:space="preserve">Sponsor: _______________________________     Date: ____/____/______</w:t>
      </w:r>
    </w:p>
    <w:p>
      <w:pPr>
        <w:spacing w:after="60"/>
      </w:pPr>
      <w:r>
        <w:rPr>
          <w:color w:val="1A1A1A"/>
          <w:sz w:val="21"/>
          <w:szCs w:val="21"/>
        </w:rPr>
        <w:t xml:space="preserve">LP SLOTS: ______________________________     Date: ____/____/______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2026-07-30T00:45:35.600Z</dcterms:created>
  <dcterms:modified xsi:type="dcterms:W3CDTF">2026-07-30T00:45:35.600Z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