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120"/>
        </w:rPr>
      </w:r>
    </w:p>
    <w:tbl>
      <w:tblPr>
        <w:tblW w:type="auto" w:w="0"/>
        <w:tblBorders>
          <w:top w:val="single" w:sz="4" w:space="0" w:color="142F5A"/>
          <w:left w:val="single" w:sz="4" w:space="0" w:color="142F5A"/>
          <w:bottom w:val="single" w:sz="4" w:space="0" w:color="142F5A"/>
          <w:right w:val="single" w:sz="4" w:space="0" w:color="142F5A"/>
          <w:insideH w:val="single" w:sz="4" w:space="0" w:color="142F5A"/>
          <w:insideV w:val="single" w:sz="4" w:space="0" w:color="142F5A"/>
        </w:tblBorders>
        <w:tblLayout w:type="fixed"/>
        <w:tblLook w:firstColumn="1" w:firstRow="1" w:lastColumn="0" w:lastRow="0" w:noHBand="0" w:noVBand="1" w:val="04A0"/>
      </w:tblPr>
      <w:tblGrid>
        <w:gridCol w:w="9518"/>
      </w:tblGrid>
      <w:tr>
        <w:tc>
          <w:tcPr>
            <w:tcW w:type="dxa" w:w="9518"/>
            <w:shd w:val="clear" w:color="auto" w:fill="142F5A"/>
            <w:tcMar>
              <w:top w:w="420" w:type="dxa"/>
              <w:left w:w="340" w:type="dxa"/>
              <w:bottom w:w="420" w:type="dxa"/>
              <w:right w:w="340" w:type="dxa"/>
            </w:tcMar>
          </w:tcPr>
          <w:p>
            <w:pPr>
              <w:spacing w:after="40"/>
            </w:pPr>
            <w:r>
              <w:rPr>
                <w:rFonts w:ascii="Calibri" w:hAnsi="Calibri"/>
                <w:b/>
                <w:color w:val="9EC4EE"/>
                <w:sz w:val="22"/>
              </w:rPr>
              <w:t>UNIVERSITY LIBRARY PROXY</w:t>
            </w:r>
          </w:p>
          <w:p>
            <w:pPr>
              <w:spacing w:after="80"/>
            </w:pPr>
            <w:r>
              <w:rPr>
                <w:b/>
                <w:color w:val="FFFFFF"/>
                <w:sz w:val="52"/>
              </w:rPr>
              <w:t>Manual técnico, operativo</w:t>
            </w:r>
          </w:p>
          <w:p>
            <w:pPr>
              <w:spacing w:after="280"/>
            </w:pPr>
            <w:r>
              <w:rPr>
                <w:b/>
                <w:color w:val="FFFFFF"/>
                <w:sz w:val="52"/>
              </w:rPr>
              <w:t>y de capacitación</w:t>
            </w:r>
          </w:p>
          <w:p>
            <w:pPr>
              <w:spacing w:after="0"/>
            </w:pPr>
            <w:r>
              <w:rPr>
                <w:color w:val="CBDCF0"/>
                <w:sz w:val="23"/>
              </w:rPr>
              <w:t>Acceso remoto unificado a recursos electrónicos de biblioteca</w:t>
            </w:r>
          </w:p>
          <w:p>
            <w:pPr>
              <w:spacing w:after="0"/>
            </w:pPr>
            <w:r>
              <w:rPr>
                <w:color w:val="9EC4EE"/>
                <w:sz w:val="19"/>
              </w:rPr>
              <w:t>Nginx · Keycloak · oauth2-proxy · Portal de invitados · OpenLDAP · PostgreSQL · Metabase</w:t>
            </w:r>
          </w:p>
        </w:tc>
      </w:tr>
    </w:tbl>
    <w:p>
      <w:pPr>
        <w:spacing w:after="0" w:before="0" w:line="240" w:lineRule="auto"/>
      </w:pPr>
      <w:r>
        <w:rPr>
          <w:sz w:val="60"/>
        </w:rPr>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2475"/>
            <w:shd w:val="clear" w:color="auto" w:fill="142F5A"/>
            <w:tcMar>
              <w:top w:w="60" w:type="dxa"/>
              <w:left w:w="110" w:type="dxa"/>
              <w:bottom w:w="60" w:type="dxa"/>
              <w:right w:w="110" w:type="dxa"/>
            </w:tcMar>
          </w:tcPr>
          <w:p>
            <w:pPr>
              <w:spacing w:after="0"/>
            </w:pPr>
            <w:r>
              <w:rPr>
                <w:b/>
                <w:color w:val="FFFFFF"/>
                <w:sz w:val="20"/>
              </w:rPr>
              <w:t>Campo</w:t>
            </w:r>
          </w:p>
        </w:tc>
        <w:tc>
          <w:tcPr>
            <w:tcW w:type="dxa" w:w="7043"/>
            <w:shd w:val="clear" w:color="auto" w:fill="142F5A"/>
            <w:tcMar>
              <w:top w:w="60" w:type="dxa"/>
              <w:left w:w="110" w:type="dxa"/>
              <w:bottom w:w="60" w:type="dxa"/>
              <w:right w:w="110" w:type="dxa"/>
            </w:tcMar>
          </w:tcPr>
          <w:p>
            <w:pPr>
              <w:spacing w:after="0"/>
            </w:pPr>
            <w:r>
              <w:rPr>
                <w:b/>
                <w:color w:val="FFFFFF"/>
                <w:sz w:val="20"/>
              </w:rPr>
              <w:t>Detalle</w:t>
            </w:r>
          </w:p>
        </w:tc>
      </w:tr>
      <w:tr>
        <w:tc>
          <w:tcPr>
            <w:tcW w:type="dxa" w:w="2475"/>
            <w:tcMar>
              <w:top w:w="60" w:type="dxa"/>
              <w:left w:w="110" w:type="dxa"/>
              <w:bottom w:w="60" w:type="dxa"/>
              <w:right w:w="110" w:type="dxa"/>
            </w:tcMar>
          </w:tcPr>
          <w:p>
            <w:pPr>
              <w:spacing w:after="0" w:line="252" w:lineRule="auto"/>
            </w:pPr>
            <w:r>
              <w:rPr>
                <w:sz w:val="20"/>
              </w:rPr>
              <w:t>Documento</w:t>
            </w:r>
          </w:p>
        </w:tc>
        <w:tc>
          <w:tcPr>
            <w:tcW w:type="dxa" w:w="7043"/>
            <w:tcMar>
              <w:top w:w="60" w:type="dxa"/>
              <w:left w:w="110" w:type="dxa"/>
              <w:bottom w:w="60" w:type="dxa"/>
              <w:right w:w="110" w:type="dxa"/>
            </w:tcMar>
          </w:tcPr>
          <w:p>
            <w:pPr>
              <w:spacing w:after="0" w:line="252" w:lineRule="auto"/>
            </w:pPr>
            <w:r>
              <w:rPr>
                <w:sz w:val="20"/>
              </w:rPr>
              <w:t>Entregable de transferencia de conocimiento (handover)</w:t>
            </w:r>
          </w:p>
        </w:tc>
      </w:tr>
      <w:tr>
        <w:tc>
          <w:tcPr>
            <w:tcW w:type="dxa" w:w="2475"/>
            <w:shd w:val="clear" w:color="auto" w:fill="EEF2F8"/>
            <w:tcMar>
              <w:top w:w="60" w:type="dxa"/>
              <w:left w:w="110" w:type="dxa"/>
              <w:bottom w:w="60" w:type="dxa"/>
              <w:right w:w="110" w:type="dxa"/>
            </w:tcMar>
          </w:tcPr>
          <w:p>
            <w:pPr>
              <w:spacing w:after="0" w:line="252" w:lineRule="auto"/>
            </w:pPr>
            <w:r>
              <w:rPr>
                <w:sz w:val="20"/>
              </w:rPr>
              <w:t>Sistema</w:t>
            </w:r>
          </w:p>
        </w:tc>
        <w:tc>
          <w:tcPr>
            <w:tcW w:type="dxa" w:w="7043"/>
            <w:shd w:val="clear" w:color="auto" w:fill="EEF2F8"/>
            <w:tcMar>
              <w:top w:w="60" w:type="dxa"/>
              <w:left w:w="110" w:type="dxa"/>
              <w:bottom w:w="60" w:type="dxa"/>
              <w:right w:w="110" w:type="dxa"/>
            </w:tcMar>
          </w:tcPr>
          <w:p>
            <w:pPr>
              <w:spacing w:after="0" w:line="252" w:lineRule="auto"/>
            </w:pPr>
            <w:r>
              <w:rPr>
                <w:sz w:val="20"/>
              </w:rPr>
              <w:t>University Library Proxy — proxy inverso con autenticación unificada</w:t>
            </w:r>
          </w:p>
        </w:tc>
      </w:tr>
      <w:tr>
        <w:tc>
          <w:tcPr>
            <w:tcW w:type="dxa" w:w="2475"/>
            <w:tcMar>
              <w:top w:w="60" w:type="dxa"/>
              <w:left w:w="110" w:type="dxa"/>
              <w:bottom w:w="60" w:type="dxa"/>
              <w:right w:w="110" w:type="dxa"/>
            </w:tcMar>
          </w:tcPr>
          <w:p>
            <w:pPr>
              <w:spacing w:after="0" w:line="252" w:lineRule="auto"/>
            </w:pPr>
            <w:r>
              <w:rPr>
                <w:sz w:val="20"/>
              </w:rPr>
              <w:t>Entorno de referencia</w:t>
            </w:r>
          </w:p>
        </w:tc>
        <w:tc>
          <w:tcPr>
            <w:tcW w:type="dxa" w:w="7043"/>
            <w:tcMar>
              <w:top w:w="60" w:type="dxa"/>
              <w:left w:w="110" w:type="dxa"/>
              <w:bottom w:w="60" w:type="dxa"/>
              <w:right w:w="110" w:type="dxa"/>
            </w:tcMar>
          </w:tcPr>
          <w:p>
            <w:pPr>
              <w:spacing w:after="0" w:line="252" w:lineRule="auto"/>
            </w:pPr>
            <w:r>
              <w:rPr>
                <w:rFonts w:ascii="Consolas" w:hAnsi="Consolas" w:eastAsia="Consolas"/>
                <w:color w:val="1A4473"/>
                <w:sz w:val="20"/>
              </w:rPr>
              <w:t>https://proxy.bibliolatino.com</w:t>
            </w:r>
          </w:p>
        </w:tc>
      </w:tr>
      <w:tr>
        <w:tc>
          <w:tcPr>
            <w:tcW w:type="dxa" w:w="2475"/>
            <w:shd w:val="clear" w:color="auto" w:fill="EEF2F8"/>
            <w:tcMar>
              <w:top w:w="60" w:type="dxa"/>
              <w:left w:w="110" w:type="dxa"/>
              <w:bottom w:w="60" w:type="dxa"/>
              <w:right w:w="110" w:type="dxa"/>
            </w:tcMar>
          </w:tcPr>
          <w:p>
            <w:pPr>
              <w:spacing w:after="0" w:line="252" w:lineRule="auto"/>
            </w:pPr>
            <w:r>
              <w:rPr>
                <w:sz w:val="20"/>
              </w:rPr>
              <w:t>Audiencia</w:t>
            </w:r>
          </w:p>
        </w:tc>
        <w:tc>
          <w:tcPr>
            <w:tcW w:type="dxa" w:w="7043"/>
            <w:shd w:val="clear" w:color="auto" w:fill="EEF2F8"/>
            <w:tcMar>
              <w:top w:w="60" w:type="dxa"/>
              <w:left w:w="110" w:type="dxa"/>
              <w:bottom w:w="60" w:type="dxa"/>
              <w:right w:w="110" w:type="dxa"/>
            </w:tcMar>
          </w:tcPr>
          <w:p>
            <w:pPr>
              <w:spacing w:after="0" w:line="252" w:lineRule="auto"/>
            </w:pPr>
            <w:r>
              <w:rPr>
                <w:sz w:val="20"/>
              </w:rPr>
              <w:t>Equipo técnico in-house, bibliotecarios administradores y personal de operación</w:t>
            </w:r>
          </w:p>
        </w:tc>
      </w:tr>
      <w:tr>
        <w:tc>
          <w:tcPr>
            <w:tcW w:type="dxa" w:w="2475"/>
            <w:tcMar>
              <w:top w:w="60" w:type="dxa"/>
              <w:left w:w="110" w:type="dxa"/>
              <w:bottom w:w="60" w:type="dxa"/>
              <w:right w:w="110" w:type="dxa"/>
            </w:tcMar>
          </w:tcPr>
          <w:p>
            <w:pPr>
              <w:spacing w:after="0" w:line="252" w:lineRule="auto"/>
            </w:pPr>
            <w:r>
              <w:rPr>
                <w:sz w:val="20"/>
              </w:rPr>
              <w:t>Contenido</w:t>
            </w:r>
          </w:p>
        </w:tc>
        <w:tc>
          <w:tcPr>
            <w:tcW w:type="dxa" w:w="7043"/>
            <w:tcMar>
              <w:top w:w="60" w:type="dxa"/>
              <w:left w:w="110" w:type="dxa"/>
              <w:bottom w:w="60" w:type="dxa"/>
              <w:right w:w="110" w:type="dxa"/>
            </w:tcMar>
          </w:tcPr>
          <w:p>
            <w:pPr>
              <w:spacing w:after="0" w:line="252" w:lineRule="auto"/>
            </w:pPr>
            <w:r>
              <w:rPr>
                <w:sz w:val="20"/>
              </w:rPr>
              <w:t>Manual técnico · Guía de operación · Plan de capacitación con ejercicios</w:t>
            </w:r>
          </w:p>
        </w:tc>
      </w:tr>
      <w:tr>
        <w:tc>
          <w:tcPr>
            <w:tcW w:type="dxa" w:w="2475"/>
            <w:shd w:val="clear" w:color="auto" w:fill="EEF2F8"/>
            <w:tcMar>
              <w:top w:w="60" w:type="dxa"/>
              <w:left w:w="110" w:type="dxa"/>
              <w:bottom w:w="60" w:type="dxa"/>
              <w:right w:w="110" w:type="dxa"/>
            </w:tcMar>
          </w:tcPr>
          <w:p>
            <w:pPr>
              <w:spacing w:after="0" w:line="252" w:lineRule="auto"/>
            </w:pPr>
            <w:r>
              <w:rPr>
                <w:sz w:val="20"/>
              </w:rPr>
              <w:t>Idioma</w:t>
            </w:r>
          </w:p>
        </w:tc>
        <w:tc>
          <w:tcPr>
            <w:tcW w:type="dxa" w:w="7043"/>
            <w:shd w:val="clear" w:color="auto" w:fill="EEF2F8"/>
            <w:tcMar>
              <w:top w:w="60" w:type="dxa"/>
              <w:left w:w="110" w:type="dxa"/>
              <w:bottom w:w="60" w:type="dxa"/>
              <w:right w:w="110" w:type="dxa"/>
            </w:tcMar>
          </w:tcPr>
          <w:p>
            <w:pPr>
              <w:spacing w:after="0" w:line="252" w:lineRule="auto"/>
            </w:pPr>
            <w:r>
              <w:rPr>
                <w:sz w:val="20"/>
              </w:rPr>
              <w:t>Español (identificadores técnicos y comandos en su forma original)</w:t>
            </w:r>
          </w:p>
        </w:tc>
      </w:tr>
    </w:tbl>
    <w:p>
      <w:pPr>
        <w:spacing w:after="0" w:before="0" w:line="240" w:lineRule="auto"/>
      </w:pPr>
      <w:r>
        <w:rPr>
          <w:sz w:val="12"/>
        </w:rPr>
      </w:r>
    </w:p>
    <w:p>
      <w:pPr>
        <w:spacing w:after="0" w:before="0" w:line="240" w:lineRule="auto"/>
      </w:pPr>
      <w:r>
        <w:rPr>
          <w:sz w:val="32"/>
        </w:rPr>
      </w:r>
    </w:p>
    <w:p>
      <w:pPr>
        <w:spacing w:after="120"/>
      </w:pPr>
      <w:r>
        <w:rPr>
          <w:sz w:val="21"/>
        </w:rPr>
        <w:t>Este documento es autosuficiente: explica qué hace el sistema, cómo está construido, cómo se instala y se opera, cómo se resuelven las incidencias más frecuentes y cómo capacitar al equipo interno para que asuma la operación sin depender del proveedor.</w:t>
      </w:r>
    </w:p>
    <w:p>
      <w:r>
        <w:br w:type="page"/>
      </w:r>
    </w:p>
    <w:p>
      <w:pPr>
        <w:pStyle w:val="Heading1"/>
        <w:pBdr>
          <w:bottom w:val="single" w:sz="6" w:space="4" w:color="9DB6D4"/>
        </w:pBdr>
      </w:pPr>
      <w:r>
        <w:t>Contenido</w:t>
      </w:r>
    </w:p>
    <w:tbl>
      <w:tblPr>
        <w:tblW w:type="auto" w:w="0"/>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4759"/>
        <w:gridCol w:w="4759"/>
      </w:tblGrid>
      <w:tr>
        <w:tc>
          <w:tcPr>
            <w:tcW w:type="dxa" w:w="666"/>
            <w:tcMar>
              <w:top w:w="50" w:type="dxa"/>
              <w:left w:w="0" w:type="dxa"/>
              <w:bottom w:w="50" w:type="dxa"/>
              <w:right w:w="0" w:type="dxa"/>
            </w:tcMar>
          </w:tcPr>
          <w:p>
            <w:pPr>
              <w:spacing w:after="0"/>
            </w:pPr>
            <w:r>
              <w:rPr>
                <w:b/>
                <w:color w:val="1F6FB2"/>
                <w:sz w:val="21"/>
              </w:rPr>
              <w:t>1</w:t>
            </w:r>
          </w:p>
        </w:tc>
        <w:tc>
          <w:tcPr>
            <w:tcW w:type="dxa" w:w="8852"/>
            <w:tcMar>
              <w:top w:w="50" w:type="dxa"/>
              <w:left w:w="0" w:type="dxa"/>
              <w:bottom w:w="50" w:type="dxa"/>
              <w:right w:w="0" w:type="dxa"/>
            </w:tcMar>
          </w:tcPr>
          <w:p>
            <w:pPr>
              <w:spacing w:after="0"/>
            </w:pPr>
            <w:r>
              <w:rPr>
                <w:sz w:val="21"/>
              </w:rPr>
              <w:t>Introducción y alcance del documento</w:t>
            </w:r>
          </w:p>
        </w:tc>
      </w:tr>
      <w:tr>
        <w:tc>
          <w:tcPr>
            <w:tcW w:type="dxa" w:w="666"/>
            <w:tcMar>
              <w:top w:w="50" w:type="dxa"/>
              <w:left w:w="0" w:type="dxa"/>
              <w:bottom w:w="50" w:type="dxa"/>
              <w:right w:w="0" w:type="dxa"/>
            </w:tcMar>
          </w:tcPr>
          <w:p>
            <w:pPr>
              <w:spacing w:after="0"/>
            </w:pPr>
            <w:r>
              <w:rPr>
                <w:b/>
                <w:color w:val="1F6FB2"/>
                <w:sz w:val="21"/>
              </w:rPr>
              <w:t>2</w:t>
            </w:r>
          </w:p>
        </w:tc>
        <w:tc>
          <w:tcPr>
            <w:tcW w:type="dxa" w:w="8852"/>
            <w:tcMar>
              <w:top w:w="50" w:type="dxa"/>
              <w:left w:w="0" w:type="dxa"/>
              <w:bottom w:w="50" w:type="dxa"/>
              <w:right w:w="0" w:type="dxa"/>
            </w:tcMar>
          </w:tcPr>
          <w:p>
            <w:pPr>
              <w:spacing w:after="0"/>
            </w:pPr>
            <w:r>
              <w:rPr>
                <w:sz w:val="21"/>
              </w:rPr>
              <w:t>Descripción general del sistema</w:t>
            </w:r>
          </w:p>
        </w:tc>
      </w:tr>
      <w:tr>
        <w:tc>
          <w:tcPr>
            <w:tcW w:type="dxa" w:w="666"/>
            <w:tcMar>
              <w:top w:w="50" w:type="dxa"/>
              <w:left w:w="0" w:type="dxa"/>
              <w:bottom w:w="50" w:type="dxa"/>
              <w:right w:w="0" w:type="dxa"/>
            </w:tcMar>
          </w:tcPr>
          <w:p>
            <w:pPr>
              <w:spacing w:after="0"/>
            </w:pPr>
            <w:r>
              <w:rPr>
                <w:b/>
                <w:color w:val="1F6FB2"/>
                <w:sz w:val="21"/>
              </w:rPr>
              <w:t>3</w:t>
            </w:r>
          </w:p>
        </w:tc>
        <w:tc>
          <w:tcPr>
            <w:tcW w:type="dxa" w:w="8852"/>
            <w:tcMar>
              <w:top w:w="50" w:type="dxa"/>
              <w:left w:w="0" w:type="dxa"/>
              <w:bottom w:w="50" w:type="dxa"/>
              <w:right w:w="0" w:type="dxa"/>
            </w:tcMar>
          </w:tcPr>
          <w:p>
            <w:pPr>
              <w:spacing w:after="0"/>
            </w:pPr>
            <w:r>
              <w:rPr>
                <w:sz w:val="21"/>
              </w:rPr>
              <w:t>Arquitectura</w:t>
            </w:r>
          </w:p>
        </w:tc>
      </w:tr>
      <w:tr>
        <w:tc>
          <w:tcPr>
            <w:tcW w:type="dxa" w:w="666"/>
            <w:tcMar>
              <w:top w:w="50" w:type="dxa"/>
              <w:left w:w="0" w:type="dxa"/>
              <w:bottom w:w="50" w:type="dxa"/>
              <w:right w:w="0" w:type="dxa"/>
            </w:tcMar>
          </w:tcPr>
          <w:p>
            <w:pPr>
              <w:spacing w:after="0"/>
            </w:pPr>
            <w:r>
              <w:rPr>
                <w:b/>
                <w:color w:val="1F6FB2"/>
                <w:sz w:val="21"/>
              </w:rPr>
              <w:t>4</w:t>
            </w:r>
          </w:p>
        </w:tc>
        <w:tc>
          <w:tcPr>
            <w:tcW w:type="dxa" w:w="8852"/>
            <w:tcMar>
              <w:top w:w="50" w:type="dxa"/>
              <w:left w:w="0" w:type="dxa"/>
              <w:bottom w:w="50" w:type="dxa"/>
              <w:right w:w="0" w:type="dxa"/>
            </w:tcMar>
          </w:tcPr>
          <w:p>
            <w:pPr>
              <w:spacing w:after="0"/>
            </w:pPr>
            <w:r>
              <w:rPr>
                <w:sz w:val="21"/>
              </w:rPr>
              <w:t>Componentes del sistema</w:t>
            </w:r>
          </w:p>
        </w:tc>
      </w:tr>
      <w:tr>
        <w:tc>
          <w:tcPr>
            <w:tcW w:type="dxa" w:w="666"/>
            <w:tcMar>
              <w:top w:w="50" w:type="dxa"/>
              <w:left w:w="0" w:type="dxa"/>
              <w:bottom w:w="50" w:type="dxa"/>
              <w:right w:w="0" w:type="dxa"/>
            </w:tcMar>
          </w:tcPr>
          <w:p>
            <w:pPr>
              <w:spacing w:after="0"/>
            </w:pPr>
            <w:r>
              <w:rPr>
                <w:b/>
                <w:color w:val="1F6FB2"/>
                <w:sz w:val="21"/>
              </w:rPr>
              <w:t>5</w:t>
            </w:r>
          </w:p>
        </w:tc>
        <w:tc>
          <w:tcPr>
            <w:tcW w:type="dxa" w:w="8852"/>
            <w:tcMar>
              <w:top w:w="50" w:type="dxa"/>
              <w:left w:w="0" w:type="dxa"/>
              <w:bottom w:w="50" w:type="dxa"/>
              <w:right w:w="0" w:type="dxa"/>
            </w:tcMar>
          </w:tcPr>
          <w:p>
            <w:pPr>
              <w:spacing w:after="0"/>
            </w:pPr>
            <w:r>
              <w:rPr>
                <w:sz w:val="21"/>
              </w:rPr>
              <w:t>Instalación y puesta en marcha</w:t>
            </w:r>
          </w:p>
        </w:tc>
      </w:tr>
      <w:tr>
        <w:tc>
          <w:tcPr>
            <w:tcW w:type="dxa" w:w="666"/>
            <w:tcMar>
              <w:top w:w="50" w:type="dxa"/>
              <w:left w:w="0" w:type="dxa"/>
              <w:bottom w:w="50" w:type="dxa"/>
              <w:right w:w="0" w:type="dxa"/>
            </w:tcMar>
          </w:tcPr>
          <w:p>
            <w:pPr>
              <w:spacing w:after="0"/>
            </w:pPr>
            <w:r>
              <w:rPr>
                <w:b/>
                <w:color w:val="1F6FB2"/>
                <w:sz w:val="21"/>
              </w:rPr>
              <w:t>6</w:t>
            </w:r>
          </w:p>
        </w:tc>
        <w:tc>
          <w:tcPr>
            <w:tcW w:type="dxa" w:w="8852"/>
            <w:tcMar>
              <w:top w:w="50" w:type="dxa"/>
              <w:left w:w="0" w:type="dxa"/>
              <w:bottom w:w="50" w:type="dxa"/>
              <w:right w:w="0" w:type="dxa"/>
            </w:tcMar>
          </w:tcPr>
          <w:p>
            <w:pPr>
              <w:spacing w:after="0"/>
            </w:pPr>
            <w:r>
              <w:rPr>
                <w:sz w:val="21"/>
              </w:rPr>
              <w:t>Autenticación y inicio de sesión único (SSO)</w:t>
            </w:r>
          </w:p>
        </w:tc>
      </w:tr>
      <w:tr>
        <w:tc>
          <w:tcPr>
            <w:tcW w:type="dxa" w:w="666"/>
            <w:tcMar>
              <w:top w:w="50" w:type="dxa"/>
              <w:left w:w="0" w:type="dxa"/>
              <w:bottom w:w="50" w:type="dxa"/>
              <w:right w:w="0" w:type="dxa"/>
            </w:tcMar>
          </w:tcPr>
          <w:p>
            <w:pPr>
              <w:spacing w:after="0"/>
            </w:pPr>
            <w:r>
              <w:rPr>
                <w:b/>
                <w:color w:val="1F6FB2"/>
                <w:sz w:val="21"/>
              </w:rPr>
              <w:t>7</w:t>
            </w:r>
          </w:p>
        </w:tc>
        <w:tc>
          <w:tcPr>
            <w:tcW w:type="dxa" w:w="8852"/>
            <w:tcMar>
              <w:top w:w="50" w:type="dxa"/>
              <w:left w:w="0" w:type="dxa"/>
              <w:bottom w:w="50" w:type="dxa"/>
              <w:right w:w="0" w:type="dxa"/>
            </w:tcMar>
          </w:tcPr>
          <w:p>
            <w:pPr>
              <w:spacing w:after="0"/>
            </w:pPr>
            <w:r>
              <w:rPr>
                <w:sz w:val="21"/>
              </w:rPr>
              <w:t>Bases de datos editoriales (stanzas)</w:t>
            </w:r>
          </w:p>
        </w:tc>
      </w:tr>
      <w:tr>
        <w:tc>
          <w:tcPr>
            <w:tcW w:type="dxa" w:w="666"/>
            <w:tcMar>
              <w:top w:w="50" w:type="dxa"/>
              <w:left w:w="0" w:type="dxa"/>
              <w:bottom w:w="50" w:type="dxa"/>
              <w:right w:w="0" w:type="dxa"/>
            </w:tcMar>
          </w:tcPr>
          <w:p>
            <w:pPr>
              <w:spacing w:after="0"/>
            </w:pPr>
            <w:r>
              <w:rPr>
                <w:b/>
                <w:color w:val="1F6FB2"/>
                <w:sz w:val="21"/>
              </w:rPr>
              <w:t>8</w:t>
            </w:r>
          </w:p>
        </w:tc>
        <w:tc>
          <w:tcPr>
            <w:tcW w:type="dxa" w:w="8852"/>
            <w:tcMar>
              <w:top w:w="50" w:type="dxa"/>
              <w:left w:w="0" w:type="dxa"/>
              <w:bottom w:w="50" w:type="dxa"/>
              <w:right w:w="0" w:type="dxa"/>
            </w:tcMar>
          </w:tcPr>
          <w:p>
            <w:pPr>
              <w:spacing w:after="0"/>
            </w:pPr>
            <w:r>
              <w:rPr>
                <w:sz w:val="21"/>
              </w:rPr>
              <w:t>Portal de invitados</w:t>
            </w:r>
          </w:p>
        </w:tc>
      </w:tr>
      <w:tr>
        <w:tc>
          <w:tcPr>
            <w:tcW w:type="dxa" w:w="666"/>
            <w:tcMar>
              <w:top w:w="50" w:type="dxa"/>
              <w:left w:w="0" w:type="dxa"/>
              <w:bottom w:w="50" w:type="dxa"/>
              <w:right w:w="0" w:type="dxa"/>
            </w:tcMar>
          </w:tcPr>
          <w:p>
            <w:pPr>
              <w:spacing w:after="0"/>
            </w:pPr>
            <w:r>
              <w:rPr>
                <w:b/>
                <w:color w:val="1F6FB2"/>
                <w:sz w:val="21"/>
              </w:rPr>
              <w:t>9</w:t>
            </w:r>
          </w:p>
        </w:tc>
        <w:tc>
          <w:tcPr>
            <w:tcW w:type="dxa" w:w="8852"/>
            <w:tcMar>
              <w:top w:w="50" w:type="dxa"/>
              <w:left w:w="0" w:type="dxa"/>
              <w:bottom w:w="50" w:type="dxa"/>
              <w:right w:w="0" w:type="dxa"/>
            </w:tcMar>
          </w:tcPr>
          <w:p>
            <w:pPr>
              <w:spacing w:after="0"/>
            </w:pPr>
            <w:r>
              <w:rPr>
                <w:sz w:val="21"/>
              </w:rPr>
              <w:t>Federación LDAP</w:t>
            </w:r>
          </w:p>
        </w:tc>
      </w:tr>
      <w:tr>
        <w:tc>
          <w:tcPr>
            <w:tcW w:type="dxa" w:w="666"/>
            <w:tcMar>
              <w:top w:w="50" w:type="dxa"/>
              <w:left w:w="0" w:type="dxa"/>
              <w:bottom w:w="50" w:type="dxa"/>
              <w:right w:w="0" w:type="dxa"/>
            </w:tcMar>
          </w:tcPr>
          <w:p>
            <w:pPr>
              <w:spacing w:after="0"/>
            </w:pPr>
            <w:r>
              <w:rPr>
                <w:b/>
                <w:color w:val="1F6FB2"/>
                <w:sz w:val="21"/>
              </w:rPr>
              <w:t>10</w:t>
            </w:r>
          </w:p>
        </w:tc>
        <w:tc>
          <w:tcPr>
            <w:tcW w:type="dxa" w:w="8852"/>
            <w:tcMar>
              <w:top w:w="50" w:type="dxa"/>
              <w:left w:w="0" w:type="dxa"/>
              <w:bottom w:w="50" w:type="dxa"/>
              <w:right w:w="0" w:type="dxa"/>
            </w:tcMar>
          </w:tcPr>
          <w:p>
            <w:pPr>
              <w:spacing w:after="0"/>
            </w:pPr>
            <w:r>
              <w:rPr>
                <w:sz w:val="21"/>
              </w:rPr>
              <w:t>Analíticas de uso y Metabase</w:t>
            </w:r>
          </w:p>
        </w:tc>
      </w:tr>
      <w:tr>
        <w:tc>
          <w:tcPr>
            <w:tcW w:type="dxa" w:w="666"/>
            <w:tcMar>
              <w:top w:w="50" w:type="dxa"/>
              <w:left w:w="0" w:type="dxa"/>
              <w:bottom w:w="50" w:type="dxa"/>
              <w:right w:w="0" w:type="dxa"/>
            </w:tcMar>
          </w:tcPr>
          <w:p>
            <w:pPr>
              <w:spacing w:after="0"/>
            </w:pPr>
            <w:r>
              <w:rPr>
                <w:b/>
                <w:color w:val="1F6FB2"/>
                <w:sz w:val="21"/>
              </w:rPr>
              <w:t>11</w:t>
            </w:r>
          </w:p>
        </w:tc>
        <w:tc>
          <w:tcPr>
            <w:tcW w:type="dxa" w:w="8852"/>
            <w:tcMar>
              <w:top w:w="50" w:type="dxa"/>
              <w:left w:w="0" w:type="dxa"/>
              <w:bottom w:w="50" w:type="dxa"/>
              <w:right w:w="0" w:type="dxa"/>
            </w:tcMar>
          </w:tcPr>
          <w:p>
            <w:pPr>
              <w:spacing w:after="0"/>
            </w:pPr>
            <w:r>
              <w:rPr>
                <w:sz w:val="21"/>
              </w:rPr>
              <w:t>Operación diaria (runbooks)</w:t>
            </w:r>
          </w:p>
        </w:tc>
      </w:tr>
      <w:tr>
        <w:tc>
          <w:tcPr>
            <w:tcW w:type="dxa" w:w="666"/>
            <w:tcMar>
              <w:top w:w="50" w:type="dxa"/>
              <w:left w:w="0" w:type="dxa"/>
              <w:bottom w:w="50" w:type="dxa"/>
              <w:right w:w="0" w:type="dxa"/>
            </w:tcMar>
          </w:tcPr>
          <w:p>
            <w:pPr>
              <w:spacing w:after="0"/>
            </w:pPr>
            <w:r>
              <w:rPr>
                <w:b/>
                <w:color w:val="1F6FB2"/>
                <w:sz w:val="21"/>
              </w:rPr>
              <w:t>12</w:t>
            </w:r>
          </w:p>
        </w:tc>
        <w:tc>
          <w:tcPr>
            <w:tcW w:type="dxa" w:w="8852"/>
            <w:tcMar>
              <w:top w:w="50" w:type="dxa"/>
              <w:left w:w="0" w:type="dxa"/>
              <w:bottom w:w="50" w:type="dxa"/>
              <w:right w:w="0" w:type="dxa"/>
            </w:tcMar>
          </w:tcPr>
          <w:p>
            <w:pPr>
              <w:spacing w:after="0"/>
            </w:pPr>
            <w:r>
              <w:rPr>
                <w:sz w:val="21"/>
              </w:rPr>
              <w:t>Variables de entorno</w:t>
            </w:r>
          </w:p>
        </w:tc>
      </w:tr>
      <w:tr>
        <w:tc>
          <w:tcPr>
            <w:tcW w:type="dxa" w:w="666"/>
            <w:tcMar>
              <w:top w:w="50" w:type="dxa"/>
              <w:left w:w="0" w:type="dxa"/>
              <w:bottom w:w="50" w:type="dxa"/>
              <w:right w:w="0" w:type="dxa"/>
            </w:tcMar>
          </w:tcPr>
          <w:p>
            <w:pPr>
              <w:spacing w:after="0"/>
            </w:pPr>
            <w:r>
              <w:rPr>
                <w:b/>
                <w:color w:val="1F6FB2"/>
                <w:sz w:val="21"/>
              </w:rPr>
              <w:t>13</w:t>
            </w:r>
          </w:p>
        </w:tc>
        <w:tc>
          <w:tcPr>
            <w:tcW w:type="dxa" w:w="8852"/>
            <w:tcMar>
              <w:top w:w="50" w:type="dxa"/>
              <w:left w:w="0" w:type="dxa"/>
              <w:bottom w:w="50" w:type="dxa"/>
              <w:right w:w="0" w:type="dxa"/>
            </w:tcMar>
          </w:tcPr>
          <w:p>
            <w:pPr>
              <w:spacing w:after="0"/>
            </w:pPr>
            <w:r>
              <w:rPr>
                <w:sz w:val="21"/>
              </w:rPr>
              <w:t>Scripts de utilidad</w:t>
            </w:r>
          </w:p>
        </w:tc>
      </w:tr>
      <w:tr>
        <w:tc>
          <w:tcPr>
            <w:tcW w:type="dxa" w:w="666"/>
            <w:tcMar>
              <w:top w:w="50" w:type="dxa"/>
              <w:left w:w="0" w:type="dxa"/>
              <w:bottom w:w="50" w:type="dxa"/>
              <w:right w:w="0" w:type="dxa"/>
            </w:tcMar>
          </w:tcPr>
          <w:p>
            <w:pPr>
              <w:spacing w:after="0"/>
            </w:pPr>
            <w:r>
              <w:rPr>
                <w:b/>
                <w:color w:val="1F6FB2"/>
                <w:sz w:val="21"/>
              </w:rPr>
              <w:t>14</w:t>
            </w:r>
          </w:p>
        </w:tc>
        <w:tc>
          <w:tcPr>
            <w:tcW w:type="dxa" w:w="8852"/>
            <w:tcMar>
              <w:top w:w="50" w:type="dxa"/>
              <w:left w:w="0" w:type="dxa"/>
              <w:bottom w:w="50" w:type="dxa"/>
              <w:right w:w="0" w:type="dxa"/>
            </w:tcMar>
          </w:tcPr>
          <w:p>
            <w:pPr>
              <w:spacing w:after="0"/>
            </w:pPr>
            <w:r>
              <w:rPr>
                <w:sz w:val="21"/>
              </w:rPr>
              <w:t>Validación funcional</w:t>
            </w:r>
          </w:p>
        </w:tc>
      </w:tr>
      <w:tr>
        <w:tc>
          <w:tcPr>
            <w:tcW w:type="dxa" w:w="666"/>
            <w:tcMar>
              <w:top w:w="50" w:type="dxa"/>
              <w:left w:w="0" w:type="dxa"/>
              <w:bottom w:w="50" w:type="dxa"/>
              <w:right w:w="0" w:type="dxa"/>
            </w:tcMar>
          </w:tcPr>
          <w:p>
            <w:pPr>
              <w:spacing w:after="0"/>
            </w:pPr>
            <w:r>
              <w:rPr>
                <w:b/>
                <w:color w:val="1F6FB2"/>
                <w:sz w:val="21"/>
              </w:rPr>
              <w:t>15</w:t>
            </w:r>
          </w:p>
        </w:tc>
        <w:tc>
          <w:tcPr>
            <w:tcW w:type="dxa" w:w="8852"/>
            <w:tcMar>
              <w:top w:w="50" w:type="dxa"/>
              <w:left w:w="0" w:type="dxa"/>
              <w:bottom w:w="50" w:type="dxa"/>
              <w:right w:w="0" w:type="dxa"/>
            </w:tcMar>
          </w:tcPr>
          <w:p>
            <w:pPr>
              <w:spacing w:after="0"/>
            </w:pPr>
            <w:r>
              <w:rPr>
                <w:sz w:val="21"/>
              </w:rPr>
              <w:t>Solución de problemas</w:t>
            </w:r>
          </w:p>
        </w:tc>
      </w:tr>
      <w:tr>
        <w:tc>
          <w:tcPr>
            <w:tcW w:type="dxa" w:w="666"/>
            <w:tcMar>
              <w:top w:w="50" w:type="dxa"/>
              <w:left w:w="0" w:type="dxa"/>
              <w:bottom w:w="50" w:type="dxa"/>
              <w:right w:w="0" w:type="dxa"/>
            </w:tcMar>
          </w:tcPr>
          <w:p>
            <w:pPr>
              <w:spacing w:after="0"/>
            </w:pPr>
            <w:r>
              <w:rPr>
                <w:b/>
                <w:color w:val="1F6FB2"/>
                <w:sz w:val="21"/>
              </w:rPr>
              <w:t>16</w:t>
            </w:r>
          </w:p>
        </w:tc>
        <w:tc>
          <w:tcPr>
            <w:tcW w:type="dxa" w:w="8852"/>
            <w:tcMar>
              <w:top w:w="50" w:type="dxa"/>
              <w:left w:w="0" w:type="dxa"/>
              <w:bottom w:w="50" w:type="dxa"/>
              <w:right w:w="0" w:type="dxa"/>
            </w:tcMar>
          </w:tcPr>
          <w:p>
            <w:pPr>
              <w:spacing w:after="0"/>
            </w:pPr>
            <w:r>
              <w:rPr>
                <w:sz w:val="21"/>
              </w:rPr>
              <w:t>Plan de capacitación</w:t>
            </w:r>
          </w:p>
        </w:tc>
      </w:tr>
      <w:tr>
        <w:tc>
          <w:tcPr>
            <w:tcW w:type="dxa" w:w="666"/>
            <w:tcMar>
              <w:top w:w="50" w:type="dxa"/>
              <w:left w:w="0" w:type="dxa"/>
              <w:bottom w:w="50" w:type="dxa"/>
              <w:right w:w="0" w:type="dxa"/>
            </w:tcMar>
          </w:tcPr>
          <w:p>
            <w:pPr>
              <w:spacing w:after="0"/>
            </w:pPr>
            <w:r>
              <w:rPr>
                <w:b/>
                <w:color w:val="1F6FB2"/>
                <w:sz w:val="21"/>
              </w:rPr>
              <w:t>17</w:t>
            </w:r>
          </w:p>
        </w:tc>
        <w:tc>
          <w:tcPr>
            <w:tcW w:type="dxa" w:w="8852"/>
            <w:tcMar>
              <w:top w:w="50" w:type="dxa"/>
              <w:left w:w="0" w:type="dxa"/>
              <w:bottom w:w="50" w:type="dxa"/>
              <w:right w:w="0" w:type="dxa"/>
            </w:tcMar>
          </w:tcPr>
          <w:p>
            <w:pPr>
              <w:spacing w:after="0"/>
            </w:pPr>
            <w:r>
              <w:rPr>
                <w:sz w:val="21"/>
              </w:rPr>
              <w:t>Anexos</w:t>
            </w:r>
          </w:p>
        </w:tc>
      </w:tr>
    </w:tbl>
    <w:p>
      <w:pPr>
        <w:spacing w:after="0" w:before="0" w:line="240" w:lineRule="auto"/>
      </w:pPr>
      <w:r>
        <w:rPr>
          <w:sz w:val="28"/>
        </w:rPr>
      </w:r>
    </w:p>
    <w:tbl>
      <w:tblPr>
        <w:tblW w:type="auto" w:w="0"/>
        <w:tblBorders>
          <w:top w:val="single" w:sz="4" w:space="0" w:color="9DB6D4"/>
          <w:left w:val="single" w:sz="4" w:space="0" w:color="9DB6D4"/>
          <w:bottom w:val="single" w:sz="4" w:space="0" w:color="9DB6D4"/>
          <w:right w:val="single" w:sz="4" w:space="0" w:color="9DB6D4"/>
          <w:insideH w:val="single" w:sz="4" w:space="0" w:color="9DB6D4"/>
          <w:insideV w:val="single" w:sz="4" w:space="0" w:color="9DB6D4"/>
        </w:tblBorders>
        <w:tblLayout w:type="fixed"/>
        <w:tblLook w:firstColumn="1" w:firstRow="1" w:lastColumn="0" w:lastRow="0" w:noHBand="0" w:noVBand="1" w:val="04A0"/>
      </w:tblPr>
      <w:tblGrid>
        <w:gridCol w:w="9518"/>
      </w:tblGrid>
      <w:tr>
        <w:tc>
          <w:tcPr>
            <w:tcW w:type="dxa" w:w="9518"/>
            <w:shd w:val="clear" w:color="auto" w:fill="EEF2F8"/>
            <w:tcMar>
              <w:top w:w="100" w:type="dxa"/>
              <w:left w:w="150" w:type="dxa"/>
              <w:bottom w:w="100" w:type="dxa"/>
              <w:right w:w="150" w:type="dxa"/>
            </w:tcMar>
          </w:tcPr>
          <w:p>
            <w:pPr>
              <w:spacing w:after="0"/>
            </w:pPr>
            <w:r>
              <w:rPr>
                <w:b/>
                <w:color w:val="8A5A0B"/>
                <w:sz w:val="18"/>
              </w:rPr>
              <w:t xml:space="preserve">CÓMO LEER ESTE MANUAL  </w:t>
            </w:r>
            <w:r>
              <w:rPr>
                <w:sz w:val="20"/>
              </w:rPr>
              <w:t>Las secciones 1 a 10 explican el sistema; las secciones 11 a 15 son material de consulta para la operación diaria; la sección 16 contiene el plan de capacitación con ejercicios prácticos y criterios de evaluación.</w:t>
            </w:r>
          </w:p>
        </w:tc>
      </w:tr>
    </w:tbl>
    <w:p>
      <w:pPr>
        <w:spacing w:after="0" w:before="0" w:line="240" w:lineRule="auto"/>
      </w:pPr>
      <w:r>
        <w:rPr>
          <w:sz w:val="8"/>
        </w:rPr>
      </w:r>
    </w:p>
    <w:p>
      <w:r>
        <w:br w:type="page"/>
      </w:r>
    </w:p>
    <w:p>
      <w:pPr>
        <w:pStyle w:val="Heading1"/>
        <w:pBdr>
          <w:bottom w:val="single" w:sz="6" w:space="4" w:color="9DB6D4"/>
        </w:pBdr>
      </w:pPr>
      <w:r>
        <w:t>1. Introducción y alcance del documento</w:t>
      </w:r>
    </w:p>
    <w:p>
      <w:pPr>
        <w:pStyle w:val="Heading2"/>
      </w:pPr>
      <w:r>
        <w:t>1.1 Propósito</w:t>
      </w:r>
    </w:p>
    <w:p>
      <w:pPr>
        <w:spacing w:after="120"/>
      </w:pPr>
      <w:r>
        <w:t xml:space="preserve">Este manual reúne, en un único documento, todo lo necesario para comprender, instalar, operar, diagnosticar y enseñar el sistema </w:t>
      </w:r>
      <w:r>
        <w:rPr>
          <w:b/>
        </w:rPr>
        <w:t>University Library Proxy</w:t>
      </w:r>
      <w:r>
        <w:t>. Está pensado como entregable final de transferencia de conocimiento: al terminar su lectura y los ejercicios de la sección 16, el equipo interno de la institución puede hacerse cargo del sistema de forma autónoma.</w:t>
      </w:r>
    </w:p>
    <w:p>
      <w:pPr>
        <w:pStyle w:val="Heading2"/>
      </w:pPr>
      <w:r>
        <w:t>1.2 Alcance</w:t>
      </w:r>
    </w:p>
    <w:p>
      <w:pPr>
        <w:spacing w:after="120"/>
      </w:pPr>
      <w:r>
        <w:t>El documento cubre:</w:t>
      </w:r>
    </w:p>
    <w:p>
      <w:pPr>
        <w:pStyle w:val="ListBullet"/>
      </w:pPr>
      <w:r>
        <w:t>La arquitectura completa y el papel de cada componente.</w:t>
      </w:r>
    </w:p>
    <w:p>
      <w:pPr>
        <w:pStyle w:val="ListBullet"/>
      </w:pPr>
      <w:r>
        <w:t>La instalación desde cero y la verificación de un despliegue sano.</w:t>
      </w:r>
    </w:p>
    <w:p>
      <w:pPr>
        <w:pStyle w:val="ListBullet"/>
      </w:pPr>
      <w:r>
        <w:t>La autenticación unificada, el acceso desde el campus y los métodos de identidad adicionales.</w:t>
      </w:r>
    </w:p>
    <w:p>
      <w:pPr>
        <w:pStyle w:val="ListBullet"/>
      </w:pPr>
      <w:r>
        <w:t>La incorporación y el mantenimiento de bases de datos editoriales (stanzas).</w:t>
      </w:r>
    </w:p>
    <w:p>
      <w:pPr>
        <w:pStyle w:val="ListBullet"/>
      </w:pPr>
      <w:r>
        <w:t>El ciclo de vida de los usuarios invitados y su aprobación por parte de la biblioteca.</w:t>
      </w:r>
    </w:p>
    <w:p>
      <w:pPr>
        <w:pStyle w:val="ListBullet"/>
      </w:pPr>
      <w:r>
        <w:t>La federación con el directorio institucional (LDAP).</w:t>
      </w:r>
    </w:p>
    <w:p>
      <w:pPr>
        <w:pStyle w:val="ListBullet"/>
      </w:pPr>
      <w:r>
        <w:t>El registro de accesos, su explotación en Metabase y la exportación de informes.</w:t>
      </w:r>
    </w:p>
    <w:p>
      <w:pPr>
        <w:pStyle w:val="ListBullet"/>
      </w:pPr>
      <w:r>
        <w:t>Los procedimientos de operación, validación y resolución de incidencias.</w:t>
      </w:r>
    </w:p>
    <w:p>
      <w:pPr>
        <w:pStyle w:val="ListBullet"/>
      </w:pPr>
      <w:r>
        <w:t>Un plan de capacitación modular con ejercicios y criterios de evaluación.</w:t>
      </w:r>
    </w:p>
    <w:p>
      <w:pPr>
        <w:spacing w:after="120"/>
      </w:pPr>
      <w:r>
        <w:t>Queda fuera del alcance la administración de la infraestructura del proveedor de alojamiento (servidor, DNS, firewall perimetral) y los acuerdos contractuales con las editoriales, que se gestionan por los canales habituales de la institución.</w:t>
      </w:r>
    </w:p>
    <w:p>
      <w:pPr>
        <w:pStyle w:val="Heading2"/>
      </w:pPr>
      <w:r>
        <w:t>1.3 Audiencia y rutas de lectura</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2284"/>
            <w:shd w:val="clear" w:color="auto" w:fill="142F5A"/>
            <w:tcMar>
              <w:top w:w="60" w:type="dxa"/>
              <w:left w:w="110" w:type="dxa"/>
              <w:bottom w:w="60" w:type="dxa"/>
              <w:right w:w="110" w:type="dxa"/>
            </w:tcMar>
          </w:tcPr>
          <w:p>
            <w:pPr>
              <w:spacing w:after="0"/>
            </w:pPr>
            <w:r>
              <w:rPr>
                <w:b/>
                <w:color w:val="FFFFFF"/>
                <w:sz w:val="19"/>
              </w:rPr>
              <w:t>Perfil</w:t>
            </w:r>
          </w:p>
        </w:tc>
        <w:tc>
          <w:tcPr>
            <w:tcW w:type="dxa" w:w="4093"/>
            <w:shd w:val="clear" w:color="auto" w:fill="142F5A"/>
            <w:tcMar>
              <w:top w:w="60" w:type="dxa"/>
              <w:left w:w="110" w:type="dxa"/>
              <w:bottom w:w="60" w:type="dxa"/>
              <w:right w:w="110" w:type="dxa"/>
            </w:tcMar>
          </w:tcPr>
          <w:p>
            <w:pPr>
              <w:spacing w:after="0"/>
            </w:pPr>
            <w:r>
              <w:rPr>
                <w:b/>
                <w:color w:val="FFFFFF"/>
                <w:sz w:val="19"/>
              </w:rPr>
              <w:t>Qué necesita</w:t>
            </w:r>
          </w:p>
        </w:tc>
        <w:tc>
          <w:tcPr>
            <w:tcW w:type="dxa" w:w="3141"/>
            <w:shd w:val="clear" w:color="auto" w:fill="142F5A"/>
            <w:tcMar>
              <w:top w:w="60" w:type="dxa"/>
              <w:left w:w="110" w:type="dxa"/>
              <w:bottom w:w="60" w:type="dxa"/>
              <w:right w:w="110" w:type="dxa"/>
            </w:tcMar>
          </w:tcPr>
          <w:p>
            <w:pPr>
              <w:spacing w:after="0"/>
            </w:pPr>
            <w:r>
              <w:rPr>
                <w:b/>
                <w:color w:val="FFFFFF"/>
                <w:sz w:val="19"/>
              </w:rPr>
              <w:t>Ruta recomendada</w:t>
            </w:r>
          </w:p>
        </w:tc>
      </w:tr>
      <w:tr>
        <w:tc>
          <w:tcPr>
            <w:tcW w:type="dxa" w:w="2284"/>
            <w:tcMar>
              <w:top w:w="60" w:type="dxa"/>
              <w:left w:w="110" w:type="dxa"/>
              <w:bottom w:w="60" w:type="dxa"/>
              <w:right w:w="110" w:type="dxa"/>
            </w:tcMar>
          </w:tcPr>
          <w:p>
            <w:pPr>
              <w:spacing w:after="0" w:line="252" w:lineRule="auto"/>
            </w:pPr>
            <w:r>
              <w:rPr>
                <w:sz w:val="19"/>
              </w:rPr>
              <w:t>Bibliotecario administrador</w:t>
            </w:r>
          </w:p>
        </w:tc>
        <w:tc>
          <w:tcPr>
            <w:tcW w:type="dxa" w:w="4093"/>
            <w:tcMar>
              <w:top w:w="60" w:type="dxa"/>
              <w:left w:w="110" w:type="dxa"/>
              <w:bottom w:w="60" w:type="dxa"/>
              <w:right w:w="110" w:type="dxa"/>
            </w:tcMar>
          </w:tcPr>
          <w:p>
            <w:pPr>
              <w:spacing w:after="0" w:line="252" w:lineRule="auto"/>
            </w:pPr>
            <w:r>
              <w:rPr>
                <w:sz w:val="19"/>
              </w:rPr>
              <w:t>Aprobar invitados, consultar estadísticas, entender el catálogo</w:t>
            </w:r>
          </w:p>
        </w:tc>
        <w:tc>
          <w:tcPr>
            <w:tcW w:type="dxa" w:w="3141"/>
            <w:tcMar>
              <w:top w:w="60" w:type="dxa"/>
              <w:left w:w="110" w:type="dxa"/>
              <w:bottom w:w="60" w:type="dxa"/>
              <w:right w:w="110" w:type="dxa"/>
            </w:tcMar>
          </w:tcPr>
          <w:p>
            <w:pPr>
              <w:spacing w:after="0" w:line="252" w:lineRule="auto"/>
            </w:pPr>
            <w:r>
              <w:rPr>
                <w:sz w:val="19"/>
              </w:rPr>
              <w:t>Secciones 2, 6, 7, 8, 10 y módulos A, B, C, D, F</w:t>
            </w:r>
          </w:p>
        </w:tc>
      </w:tr>
      <w:tr>
        <w:tc>
          <w:tcPr>
            <w:tcW w:type="dxa" w:w="2284"/>
            <w:shd w:val="clear" w:color="auto" w:fill="EEF2F8"/>
            <w:tcMar>
              <w:top w:w="60" w:type="dxa"/>
              <w:left w:w="110" w:type="dxa"/>
              <w:bottom w:w="60" w:type="dxa"/>
              <w:right w:w="110" w:type="dxa"/>
            </w:tcMar>
          </w:tcPr>
          <w:p>
            <w:pPr>
              <w:spacing w:after="0" w:line="252" w:lineRule="auto"/>
            </w:pPr>
            <w:r>
              <w:rPr>
                <w:sz w:val="19"/>
              </w:rPr>
              <w:t>Operador / soporte de primer nivel</w:t>
            </w:r>
          </w:p>
        </w:tc>
        <w:tc>
          <w:tcPr>
            <w:tcW w:type="dxa" w:w="4093"/>
            <w:shd w:val="clear" w:color="auto" w:fill="EEF2F8"/>
            <w:tcMar>
              <w:top w:w="60" w:type="dxa"/>
              <w:left w:w="110" w:type="dxa"/>
              <w:bottom w:w="60" w:type="dxa"/>
              <w:right w:w="110" w:type="dxa"/>
            </w:tcMar>
          </w:tcPr>
          <w:p>
            <w:pPr>
              <w:spacing w:after="0" w:line="252" w:lineRule="auto"/>
            </w:pPr>
            <w:r>
              <w:rPr>
                <w:sz w:val="19"/>
              </w:rPr>
              <w:t>Verificar el estado del sistema, reiniciar servicios, escalar incidencias</w:t>
            </w:r>
          </w:p>
        </w:tc>
        <w:tc>
          <w:tcPr>
            <w:tcW w:type="dxa" w:w="3141"/>
            <w:shd w:val="clear" w:color="auto" w:fill="EEF2F8"/>
            <w:tcMar>
              <w:top w:w="60" w:type="dxa"/>
              <w:left w:w="110" w:type="dxa"/>
              <w:bottom w:w="60" w:type="dxa"/>
              <w:right w:w="110" w:type="dxa"/>
            </w:tcMar>
          </w:tcPr>
          <w:p>
            <w:pPr>
              <w:spacing w:after="0" w:line="252" w:lineRule="auto"/>
            </w:pPr>
            <w:r>
              <w:rPr>
                <w:sz w:val="19"/>
              </w:rPr>
              <w:t>Secciones 3, 11, 14, 15 y módulos A, G</w:t>
            </w:r>
          </w:p>
        </w:tc>
      </w:tr>
      <w:tr>
        <w:tc>
          <w:tcPr>
            <w:tcW w:type="dxa" w:w="2284"/>
            <w:tcMar>
              <w:top w:w="60" w:type="dxa"/>
              <w:left w:w="110" w:type="dxa"/>
              <w:bottom w:w="60" w:type="dxa"/>
              <w:right w:w="110" w:type="dxa"/>
            </w:tcMar>
          </w:tcPr>
          <w:p>
            <w:pPr>
              <w:spacing w:after="0" w:line="252" w:lineRule="auto"/>
            </w:pPr>
            <w:r>
              <w:rPr>
                <w:sz w:val="19"/>
              </w:rPr>
              <w:t>Equipo técnico / sistemas</w:t>
            </w:r>
          </w:p>
        </w:tc>
        <w:tc>
          <w:tcPr>
            <w:tcW w:type="dxa" w:w="4093"/>
            <w:tcMar>
              <w:top w:w="60" w:type="dxa"/>
              <w:left w:w="110" w:type="dxa"/>
              <w:bottom w:w="60" w:type="dxa"/>
              <w:right w:w="110" w:type="dxa"/>
            </w:tcMar>
          </w:tcPr>
          <w:p>
            <w:pPr>
              <w:spacing w:after="0" w:line="252" w:lineRule="auto"/>
            </w:pPr>
            <w:r>
              <w:rPr>
                <w:sz w:val="19"/>
              </w:rPr>
              <w:t>Instalar, configurar, integrar identidad, mantener y extender</w:t>
            </w:r>
          </w:p>
        </w:tc>
        <w:tc>
          <w:tcPr>
            <w:tcW w:type="dxa" w:w="3141"/>
            <w:tcMar>
              <w:top w:w="60" w:type="dxa"/>
              <w:left w:w="110" w:type="dxa"/>
              <w:bottom w:w="60" w:type="dxa"/>
              <w:right w:w="110" w:type="dxa"/>
            </w:tcMar>
          </w:tcPr>
          <w:p>
            <w:pPr>
              <w:spacing w:after="0" w:line="252" w:lineRule="auto"/>
            </w:pPr>
            <w:r>
              <w:rPr>
                <w:sz w:val="19"/>
              </w:rPr>
              <w:t>Documento completo</w:t>
            </w:r>
          </w:p>
        </w:tc>
      </w:tr>
      <w:tr>
        <w:tc>
          <w:tcPr>
            <w:tcW w:type="dxa" w:w="2284"/>
            <w:shd w:val="clear" w:color="auto" w:fill="EEF2F8"/>
            <w:tcMar>
              <w:top w:w="60" w:type="dxa"/>
              <w:left w:w="110" w:type="dxa"/>
              <w:bottom w:w="60" w:type="dxa"/>
              <w:right w:w="110" w:type="dxa"/>
            </w:tcMar>
          </w:tcPr>
          <w:p>
            <w:pPr>
              <w:spacing w:after="0" w:line="252" w:lineRule="auto"/>
            </w:pPr>
            <w:r>
              <w:rPr>
                <w:sz w:val="19"/>
              </w:rPr>
              <w:t>Dirección / coordinación</w:t>
            </w:r>
          </w:p>
        </w:tc>
        <w:tc>
          <w:tcPr>
            <w:tcW w:type="dxa" w:w="4093"/>
            <w:shd w:val="clear" w:color="auto" w:fill="EEF2F8"/>
            <w:tcMar>
              <w:top w:w="60" w:type="dxa"/>
              <w:left w:w="110" w:type="dxa"/>
              <w:bottom w:w="60" w:type="dxa"/>
              <w:right w:w="110" w:type="dxa"/>
            </w:tcMar>
          </w:tcPr>
          <w:p>
            <w:pPr>
              <w:spacing w:after="0" w:line="252" w:lineRule="auto"/>
            </w:pPr>
            <w:r>
              <w:rPr>
                <w:sz w:val="19"/>
              </w:rPr>
              <w:t>Comprender capacidades, cobertura y entregables</w:t>
            </w:r>
          </w:p>
        </w:tc>
        <w:tc>
          <w:tcPr>
            <w:tcW w:type="dxa" w:w="3141"/>
            <w:shd w:val="clear" w:color="auto" w:fill="EEF2F8"/>
            <w:tcMar>
              <w:top w:w="60" w:type="dxa"/>
              <w:left w:w="110" w:type="dxa"/>
              <w:bottom w:w="60" w:type="dxa"/>
              <w:right w:w="110" w:type="dxa"/>
            </w:tcMar>
          </w:tcPr>
          <w:p>
            <w:pPr>
              <w:spacing w:after="0" w:line="252" w:lineRule="auto"/>
            </w:pPr>
            <w:r>
              <w:rPr>
                <w:sz w:val="19"/>
              </w:rPr>
              <w:t>Secciones 1, 2 y anexo 17.2</w:t>
            </w:r>
          </w:p>
        </w:tc>
      </w:tr>
    </w:tbl>
    <w:p>
      <w:pPr>
        <w:spacing w:after="0" w:before="0" w:line="240" w:lineRule="auto"/>
      </w:pPr>
      <w:r>
        <w:rPr>
          <w:sz w:val="12"/>
        </w:rPr>
      </w:r>
    </w:p>
    <w:p>
      <w:pPr>
        <w:pStyle w:val="Heading2"/>
      </w:pPr>
      <w:r>
        <w:t>1.4 Convenciones tipográficas</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2855"/>
            <w:shd w:val="clear" w:color="auto" w:fill="142F5A"/>
            <w:tcMar>
              <w:top w:w="60" w:type="dxa"/>
              <w:left w:w="110" w:type="dxa"/>
              <w:bottom w:w="60" w:type="dxa"/>
              <w:right w:w="110" w:type="dxa"/>
            </w:tcMar>
          </w:tcPr>
          <w:p>
            <w:pPr>
              <w:spacing w:after="0"/>
            </w:pPr>
            <w:r>
              <w:rPr>
                <w:b/>
                <w:color w:val="FFFFFF"/>
                <w:sz w:val="19"/>
              </w:rPr>
              <w:t>Convención</w:t>
            </w:r>
          </w:p>
        </w:tc>
        <w:tc>
          <w:tcPr>
            <w:tcW w:type="dxa" w:w="6663"/>
            <w:shd w:val="clear" w:color="auto" w:fill="142F5A"/>
            <w:tcMar>
              <w:top w:w="60" w:type="dxa"/>
              <w:left w:w="110" w:type="dxa"/>
              <w:bottom w:w="60" w:type="dxa"/>
              <w:right w:w="110" w:type="dxa"/>
            </w:tcMar>
          </w:tcPr>
          <w:p>
            <w:pPr>
              <w:spacing w:after="0"/>
            </w:pPr>
            <w:r>
              <w:rPr>
                <w:b/>
                <w:color w:val="FFFFFF"/>
                <w:sz w:val="19"/>
              </w:rPr>
              <w:t>Significado</w:t>
            </w:r>
          </w:p>
        </w:tc>
      </w:tr>
      <w:tr>
        <w:tc>
          <w:tcPr>
            <w:tcW w:type="dxa" w:w="2855"/>
            <w:tcMar>
              <w:top w:w="60" w:type="dxa"/>
              <w:left w:w="110" w:type="dxa"/>
              <w:bottom w:w="60" w:type="dxa"/>
              <w:right w:w="110" w:type="dxa"/>
            </w:tcMar>
          </w:tcPr>
          <w:p>
            <w:pPr>
              <w:spacing w:after="0" w:line="252" w:lineRule="auto"/>
            </w:pPr>
            <w:r>
              <w:rPr>
                <w:rFonts w:ascii="Consolas" w:hAnsi="Consolas" w:eastAsia="Consolas"/>
                <w:color w:val="1A4473"/>
                <w:sz w:val="19"/>
              </w:rPr>
              <w:t>texto monoespaciado</w:t>
            </w:r>
          </w:p>
        </w:tc>
        <w:tc>
          <w:tcPr>
            <w:tcW w:type="dxa" w:w="6663"/>
            <w:tcMar>
              <w:top w:w="60" w:type="dxa"/>
              <w:left w:w="110" w:type="dxa"/>
              <w:bottom w:w="60" w:type="dxa"/>
              <w:right w:w="110" w:type="dxa"/>
            </w:tcMar>
          </w:tcPr>
          <w:p>
            <w:pPr>
              <w:spacing w:after="0" w:line="252" w:lineRule="auto"/>
            </w:pPr>
            <w:r>
              <w:rPr>
                <w:sz w:val="19"/>
              </w:rPr>
              <w:t>Nombre de archivo, ruta, variable, comando o identificador literal</w:t>
            </w:r>
          </w:p>
        </w:tc>
      </w:tr>
      <w:tr>
        <w:tc>
          <w:tcPr>
            <w:tcW w:type="dxa" w:w="2855"/>
            <w:shd w:val="clear" w:color="auto" w:fill="EEF2F8"/>
            <w:tcMar>
              <w:top w:w="60" w:type="dxa"/>
              <w:left w:w="110" w:type="dxa"/>
              <w:bottom w:w="60" w:type="dxa"/>
              <w:right w:w="110" w:type="dxa"/>
            </w:tcMar>
          </w:tcPr>
          <w:p>
            <w:pPr>
              <w:spacing w:after="0" w:line="252" w:lineRule="auto"/>
            </w:pPr>
            <w:r>
              <w:rPr>
                <w:sz w:val="19"/>
              </w:rPr>
              <w:t>Bloque sombreado</w:t>
            </w:r>
          </w:p>
        </w:tc>
        <w:tc>
          <w:tcPr>
            <w:tcW w:type="dxa" w:w="6663"/>
            <w:shd w:val="clear" w:color="auto" w:fill="EEF2F8"/>
            <w:tcMar>
              <w:top w:w="60" w:type="dxa"/>
              <w:left w:w="110" w:type="dxa"/>
              <w:bottom w:w="60" w:type="dxa"/>
              <w:right w:w="110" w:type="dxa"/>
            </w:tcMar>
          </w:tcPr>
          <w:p>
            <w:pPr>
              <w:spacing w:after="0" w:line="252" w:lineRule="auto"/>
            </w:pPr>
            <w:r>
              <w:rPr>
                <w:sz w:val="19"/>
              </w:rPr>
              <w:t>Comando o fragmento de configuración para copiar tal cual</w:t>
            </w:r>
          </w:p>
        </w:tc>
      </w:tr>
      <w:tr>
        <w:tc>
          <w:tcPr>
            <w:tcW w:type="dxa" w:w="2855"/>
            <w:tcMar>
              <w:top w:w="60" w:type="dxa"/>
              <w:left w:w="110" w:type="dxa"/>
              <w:bottom w:w="60" w:type="dxa"/>
              <w:right w:w="110" w:type="dxa"/>
            </w:tcMar>
          </w:tcPr>
          <w:p>
            <w:pPr>
              <w:spacing w:after="0" w:line="252" w:lineRule="auto"/>
            </w:pPr>
            <w:r>
              <w:rPr>
                <w:b/>
                <w:sz w:val="19"/>
              </w:rPr>
              <w:t>Negrita</w:t>
            </w:r>
          </w:p>
        </w:tc>
        <w:tc>
          <w:tcPr>
            <w:tcW w:type="dxa" w:w="6663"/>
            <w:tcMar>
              <w:top w:w="60" w:type="dxa"/>
              <w:left w:w="110" w:type="dxa"/>
              <w:bottom w:w="60" w:type="dxa"/>
              <w:right w:w="110" w:type="dxa"/>
            </w:tcMar>
          </w:tcPr>
          <w:p>
            <w:pPr>
              <w:spacing w:after="0" w:line="252" w:lineRule="auto"/>
            </w:pPr>
            <w:r>
              <w:rPr>
                <w:sz w:val="19"/>
              </w:rPr>
              <w:t>Elemento de interfaz, concepto clave o valor que debe respetarse</w:t>
            </w:r>
          </w:p>
        </w:tc>
      </w:tr>
      <w:tr>
        <w:tc>
          <w:tcPr>
            <w:tcW w:type="dxa" w:w="2855"/>
            <w:shd w:val="clear" w:color="auto" w:fill="EEF2F8"/>
            <w:tcMar>
              <w:top w:w="60" w:type="dxa"/>
              <w:left w:w="110" w:type="dxa"/>
              <w:bottom w:w="60" w:type="dxa"/>
              <w:right w:w="110" w:type="dxa"/>
            </w:tcMar>
          </w:tcPr>
          <w:p>
            <w:pPr>
              <w:spacing w:after="0" w:line="252" w:lineRule="auto"/>
            </w:pPr>
            <w:r>
              <w:rPr>
                <w:sz w:val="19"/>
              </w:rPr>
              <w:t>Recuadro «Nota» / «Importante»</w:t>
            </w:r>
          </w:p>
        </w:tc>
        <w:tc>
          <w:tcPr>
            <w:tcW w:type="dxa" w:w="6663"/>
            <w:shd w:val="clear" w:color="auto" w:fill="EEF2F8"/>
            <w:tcMar>
              <w:top w:w="60" w:type="dxa"/>
              <w:left w:w="110" w:type="dxa"/>
              <w:bottom w:w="60" w:type="dxa"/>
              <w:right w:w="110" w:type="dxa"/>
            </w:tcMar>
          </w:tcPr>
          <w:p>
            <w:pPr>
              <w:spacing w:after="0" w:line="252" w:lineRule="auto"/>
            </w:pPr>
            <w:r>
              <w:rPr>
                <w:sz w:val="19"/>
              </w:rPr>
              <w:t>Advertencia operativa o detalle que evita errores frecuentes</w:t>
            </w:r>
          </w:p>
        </w:tc>
      </w:tr>
    </w:tbl>
    <w:p>
      <w:pPr>
        <w:spacing w:after="0" w:before="0" w:line="240" w:lineRule="auto"/>
      </w:pPr>
      <w:r>
        <w:rPr>
          <w:sz w:val="12"/>
        </w:rPr>
      </w:r>
    </w:p>
    <w:p>
      <w:r>
        <w:br w:type="page"/>
      </w:r>
    </w:p>
    <w:p>
      <w:pPr>
        <w:pStyle w:val="Heading1"/>
        <w:pBdr>
          <w:bottom w:val="single" w:sz="6" w:space="4" w:color="9DB6D4"/>
        </w:pBdr>
      </w:pPr>
      <w:r>
        <w:t>2. Descripción general del sistema</w:t>
      </w:r>
    </w:p>
    <w:p>
      <w:pPr>
        <w:pStyle w:val="Heading2"/>
      </w:pPr>
      <w:r>
        <w:t>2.1 Qué problema resuelve</w:t>
      </w:r>
    </w:p>
    <w:p>
      <w:pPr>
        <w:spacing w:after="120"/>
      </w:pPr>
      <w:r>
        <w:t xml:space="preserve">Las bases de datos y revistas científicas que contrata la biblioteca autorizan el acceso por </w:t>
      </w:r>
      <w:r>
        <w:rPr>
          <w:b/>
        </w:rPr>
        <w:t>dirección IP institucional</w:t>
      </w:r>
      <w:r>
        <w:t>. Un usuario que se conecta desde su casa no cumple esa condición y, sin un intermediario, no puede consultar los recursos suscritos.</w:t>
      </w:r>
    </w:p>
    <w:p>
      <w:pPr>
        <w:spacing w:after="120"/>
      </w:pPr>
      <w:r>
        <w:t xml:space="preserve">El sistema actúa como ese intermediario: es un </w:t>
      </w:r>
      <w:r>
        <w:rPr>
          <w:b/>
        </w:rPr>
        <w:t>proxy inverso con autenticación unificada</w:t>
      </w:r>
      <w:r>
        <w:t>, equivalente funcional de EZproxy. El usuario se identifica una sola vez contra el sistema de identidad de la institución y, a partir de ahí, navega los recursos suscritos a través del dominio institucional, que sí está autorizado por las editoriales.</w:t>
      </w:r>
    </w:p>
    <w:p>
      <w:pPr>
        <w:pStyle w:val="Heading2"/>
      </w:pPr>
      <w:r>
        <w:t>2.2 Capacidades</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2570"/>
            <w:shd w:val="clear" w:color="auto" w:fill="142F5A"/>
            <w:tcMar>
              <w:top w:w="60" w:type="dxa"/>
              <w:left w:w="110" w:type="dxa"/>
              <w:bottom w:w="60" w:type="dxa"/>
              <w:right w:w="110" w:type="dxa"/>
            </w:tcMar>
          </w:tcPr>
          <w:p>
            <w:pPr>
              <w:spacing w:after="0"/>
            </w:pPr>
            <w:r>
              <w:rPr>
                <w:b/>
                <w:color w:val="FFFFFF"/>
                <w:sz w:val="19"/>
              </w:rPr>
              <w:t>Capacidad</w:t>
            </w:r>
          </w:p>
        </w:tc>
        <w:tc>
          <w:tcPr>
            <w:tcW w:type="dxa" w:w="6948"/>
            <w:shd w:val="clear" w:color="auto" w:fill="142F5A"/>
            <w:tcMar>
              <w:top w:w="60" w:type="dxa"/>
              <w:left w:w="110" w:type="dxa"/>
              <w:bottom w:w="60" w:type="dxa"/>
              <w:right w:w="110" w:type="dxa"/>
            </w:tcMar>
          </w:tcPr>
          <w:p>
            <w:pPr>
              <w:spacing w:after="0"/>
            </w:pPr>
            <w:r>
              <w:rPr>
                <w:b/>
                <w:color w:val="FFFFFF"/>
                <w:sz w:val="19"/>
              </w:rPr>
              <w:t>Descripción</w:t>
            </w:r>
          </w:p>
        </w:tc>
      </w:tr>
      <w:tr>
        <w:tc>
          <w:tcPr>
            <w:tcW w:type="dxa" w:w="2570"/>
            <w:tcMar>
              <w:top w:w="60" w:type="dxa"/>
              <w:left w:w="110" w:type="dxa"/>
              <w:bottom w:w="60" w:type="dxa"/>
              <w:right w:w="110" w:type="dxa"/>
            </w:tcMar>
          </w:tcPr>
          <w:p>
            <w:pPr>
              <w:spacing w:after="0" w:line="252" w:lineRule="auto"/>
            </w:pPr>
            <w:r>
              <w:rPr>
                <w:sz w:val="19"/>
              </w:rPr>
              <w:t>Inicio de sesión único (SSO)</w:t>
            </w:r>
          </w:p>
        </w:tc>
        <w:tc>
          <w:tcPr>
            <w:tcW w:type="dxa" w:w="6948"/>
            <w:tcMar>
              <w:top w:w="60" w:type="dxa"/>
              <w:left w:w="110" w:type="dxa"/>
              <w:bottom w:w="60" w:type="dxa"/>
              <w:right w:w="110" w:type="dxa"/>
            </w:tcMar>
          </w:tcPr>
          <w:p>
            <w:pPr>
              <w:spacing w:after="0" w:line="252" w:lineRule="auto"/>
            </w:pPr>
            <w:r>
              <w:rPr>
                <w:sz w:val="19"/>
              </w:rPr>
              <w:t>Una sola autenticación da acceso al catálogo y a todos los recursos habilitados.</w:t>
            </w:r>
          </w:p>
        </w:tc>
      </w:tr>
      <w:tr>
        <w:tc>
          <w:tcPr>
            <w:tcW w:type="dxa" w:w="2570"/>
            <w:shd w:val="clear" w:color="auto" w:fill="EEF2F8"/>
            <w:tcMar>
              <w:top w:w="60" w:type="dxa"/>
              <w:left w:w="110" w:type="dxa"/>
              <w:bottom w:w="60" w:type="dxa"/>
              <w:right w:w="110" w:type="dxa"/>
            </w:tcMar>
          </w:tcPr>
          <w:p>
            <w:pPr>
              <w:spacing w:after="0" w:line="252" w:lineRule="auto"/>
            </w:pPr>
            <w:r>
              <w:rPr>
                <w:sz w:val="19"/>
              </w:rPr>
              <w:t>Reescritura de URLs</w:t>
            </w:r>
          </w:p>
        </w:tc>
        <w:tc>
          <w:tcPr>
            <w:tcW w:type="dxa" w:w="6948"/>
            <w:shd w:val="clear" w:color="auto" w:fill="EEF2F8"/>
            <w:tcMar>
              <w:top w:w="60" w:type="dxa"/>
              <w:left w:w="110" w:type="dxa"/>
              <w:bottom w:w="60" w:type="dxa"/>
              <w:right w:w="110" w:type="dxa"/>
            </w:tcMar>
          </w:tcPr>
          <w:p>
            <w:pPr>
              <w:spacing w:after="0" w:line="252" w:lineRule="auto"/>
            </w:pPr>
            <w:r>
              <w:rPr>
                <w:sz w:val="19"/>
              </w:rPr>
              <w:t>Enlaces, hojas de estilo, PDF y recursos de CDN se reescriben para seguir pasando por el dominio institucional durante toda la navegación.</w:t>
            </w:r>
          </w:p>
        </w:tc>
      </w:tr>
      <w:tr>
        <w:tc>
          <w:tcPr>
            <w:tcW w:type="dxa" w:w="2570"/>
            <w:tcMar>
              <w:top w:w="60" w:type="dxa"/>
              <w:left w:w="110" w:type="dxa"/>
              <w:bottom w:w="60" w:type="dxa"/>
              <w:right w:w="110" w:type="dxa"/>
            </w:tcMar>
          </w:tcPr>
          <w:p>
            <w:pPr>
              <w:spacing w:after="0" w:line="252" w:lineRule="auto"/>
            </w:pPr>
            <w:r>
              <w:rPr>
                <w:sz w:val="19"/>
              </w:rPr>
              <w:t>Reconocimiento del campus</w:t>
            </w:r>
          </w:p>
        </w:tc>
        <w:tc>
          <w:tcPr>
            <w:tcW w:type="dxa" w:w="6948"/>
            <w:tcMar>
              <w:top w:w="60" w:type="dxa"/>
              <w:left w:w="110" w:type="dxa"/>
              <w:bottom w:w="60" w:type="dxa"/>
              <w:right w:w="110" w:type="dxa"/>
            </w:tcMar>
          </w:tcPr>
          <w:p>
            <w:pPr>
              <w:spacing w:after="0" w:line="252" w:lineRule="auto"/>
            </w:pPr>
            <w:r>
              <w:rPr>
                <w:sz w:val="19"/>
              </w:rPr>
              <w:t>Desde los rangos de IP institucionales el acceso puede concederse sin solicitar credenciales.</w:t>
            </w:r>
          </w:p>
        </w:tc>
      </w:tr>
      <w:tr>
        <w:tc>
          <w:tcPr>
            <w:tcW w:type="dxa" w:w="2570"/>
            <w:shd w:val="clear" w:color="auto" w:fill="EEF2F8"/>
            <w:tcMar>
              <w:top w:w="60" w:type="dxa"/>
              <w:left w:w="110" w:type="dxa"/>
              <w:bottom w:w="60" w:type="dxa"/>
              <w:right w:w="110" w:type="dxa"/>
            </w:tcMar>
          </w:tcPr>
          <w:p>
            <w:pPr>
              <w:spacing w:after="0" w:line="252" w:lineRule="auto"/>
            </w:pPr>
            <w:r>
              <w:rPr>
                <w:sz w:val="19"/>
              </w:rPr>
              <w:t>Gestión de invitados</w:t>
            </w:r>
          </w:p>
        </w:tc>
        <w:tc>
          <w:tcPr>
            <w:tcW w:type="dxa" w:w="6948"/>
            <w:shd w:val="clear" w:color="auto" w:fill="EEF2F8"/>
            <w:tcMar>
              <w:top w:w="60" w:type="dxa"/>
              <w:left w:w="110" w:type="dxa"/>
              <w:bottom w:w="60" w:type="dxa"/>
              <w:right w:w="110" w:type="dxa"/>
            </w:tcMar>
          </w:tcPr>
          <w:p>
            <w:pPr>
              <w:spacing w:after="0" w:line="252" w:lineRule="auto"/>
            </w:pPr>
            <w:r>
              <w:rPr>
                <w:sz w:val="19"/>
              </w:rPr>
              <w:t>Egresados y visitantes se auto-registran y un bibliotecario aprueba o rechaza cada solicitud.</w:t>
            </w:r>
          </w:p>
        </w:tc>
      </w:tr>
      <w:tr>
        <w:tc>
          <w:tcPr>
            <w:tcW w:type="dxa" w:w="2570"/>
            <w:tcMar>
              <w:top w:w="60" w:type="dxa"/>
              <w:left w:w="110" w:type="dxa"/>
              <w:bottom w:w="60" w:type="dxa"/>
              <w:right w:w="110" w:type="dxa"/>
            </w:tcMar>
          </w:tcPr>
          <w:p>
            <w:pPr>
              <w:spacing w:after="0" w:line="252" w:lineRule="auto"/>
            </w:pPr>
            <w:r>
              <w:rPr>
                <w:sz w:val="19"/>
              </w:rPr>
              <w:t>Integración con el directorio</w:t>
            </w:r>
          </w:p>
        </w:tc>
        <w:tc>
          <w:tcPr>
            <w:tcW w:type="dxa" w:w="6948"/>
            <w:tcMar>
              <w:top w:w="60" w:type="dxa"/>
              <w:left w:w="110" w:type="dxa"/>
              <w:bottom w:w="60" w:type="dxa"/>
              <w:right w:w="110" w:type="dxa"/>
            </w:tcMar>
          </w:tcPr>
          <w:p>
            <w:pPr>
              <w:spacing w:after="0" w:line="252" w:lineRule="auto"/>
            </w:pPr>
            <w:r>
              <w:rPr>
                <w:sz w:val="19"/>
              </w:rPr>
              <w:t>Los usuarios institucionales de LDAP se autentican con sus credenciales habituales.</w:t>
            </w:r>
          </w:p>
        </w:tc>
      </w:tr>
      <w:tr>
        <w:tc>
          <w:tcPr>
            <w:tcW w:type="dxa" w:w="2570"/>
            <w:shd w:val="clear" w:color="auto" w:fill="EEF2F8"/>
            <w:tcMar>
              <w:top w:w="60" w:type="dxa"/>
              <w:left w:w="110" w:type="dxa"/>
              <w:bottom w:w="60" w:type="dxa"/>
              <w:right w:w="110" w:type="dxa"/>
            </w:tcMar>
          </w:tcPr>
          <w:p>
            <w:pPr>
              <w:spacing w:after="0" w:line="252" w:lineRule="auto"/>
            </w:pPr>
            <w:r>
              <w:rPr>
                <w:sz w:val="19"/>
              </w:rPr>
              <w:t>Analítica de uso</w:t>
            </w:r>
          </w:p>
        </w:tc>
        <w:tc>
          <w:tcPr>
            <w:tcW w:type="dxa" w:w="6948"/>
            <w:shd w:val="clear" w:color="auto" w:fill="EEF2F8"/>
            <w:tcMar>
              <w:top w:w="60" w:type="dxa"/>
              <w:left w:w="110" w:type="dxa"/>
              <w:bottom w:w="60" w:type="dxa"/>
              <w:right w:w="110" w:type="dxa"/>
            </w:tcMar>
          </w:tcPr>
          <w:p>
            <w:pPr>
              <w:spacing w:after="0" w:line="252" w:lineRule="auto"/>
            </w:pPr>
            <w:r>
              <w:rPr>
                <w:sz w:val="19"/>
              </w:rPr>
              <w:t>Cada acceso se registra y se explota en paneles; los informes se exportan en CSV, XML y PDF.</w:t>
            </w:r>
          </w:p>
        </w:tc>
      </w:tr>
      <w:tr>
        <w:tc>
          <w:tcPr>
            <w:tcW w:type="dxa" w:w="2570"/>
            <w:tcMar>
              <w:top w:w="60" w:type="dxa"/>
              <w:left w:w="110" w:type="dxa"/>
              <w:bottom w:w="60" w:type="dxa"/>
              <w:right w:w="110" w:type="dxa"/>
            </w:tcMar>
          </w:tcPr>
          <w:p>
            <w:pPr>
              <w:spacing w:after="0" w:line="252" w:lineRule="auto"/>
            </w:pPr>
            <w:r>
              <w:rPr>
                <w:sz w:val="19"/>
              </w:rPr>
              <w:t>Catálogo de recursos</w:t>
            </w:r>
          </w:p>
        </w:tc>
        <w:tc>
          <w:tcPr>
            <w:tcW w:type="dxa" w:w="6948"/>
            <w:tcMar>
              <w:top w:w="60" w:type="dxa"/>
              <w:left w:w="110" w:type="dxa"/>
              <w:bottom w:w="60" w:type="dxa"/>
              <w:right w:w="110" w:type="dxa"/>
            </w:tcMar>
          </w:tcPr>
          <w:p>
            <w:pPr>
              <w:spacing w:after="0" w:line="252" w:lineRule="auto"/>
            </w:pPr>
            <w:r>
              <w:rPr>
                <w:sz w:val="19"/>
              </w:rPr>
              <w:t>Página única con todas las bases disponibles, protegida por SSO.</w:t>
            </w:r>
          </w:p>
        </w:tc>
      </w:tr>
    </w:tbl>
    <w:p>
      <w:pPr>
        <w:spacing w:after="0" w:before="0" w:line="240" w:lineRule="auto"/>
      </w:pPr>
      <w:r>
        <w:rPr>
          <w:sz w:val="12"/>
        </w:rPr>
      </w:r>
    </w:p>
    <w:p>
      <w:pPr>
        <w:pStyle w:val="Heading2"/>
      </w:pPr>
      <w:r>
        <w:t>2.3 Qué no es</w:t>
      </w:r>
    </w:p>
    <w:p>
      <w:pPr>
        <w:spacing w:after="120"/>
      </w:pPr>
      <w:r>
        <w:t xml:space="preserve">El sistema es </w:t>
      </w:r>
      <w:r>
        <w:rPr>
          <w:b/>
        </w:rPr>
        <w:t>infraestructura</w:t>
      </w:r>
      <w:r>
        <w:t>: red, identidad, seguridad y reescritura de URLs. No es un portal de contenidos ni un repositorio, no almacena artículos ni sustituye al catálogo bibliográfico, y no modifica el núcleo del gestor de identidad.</w:t>
      </w:r>
    </w:p>
    <w:p>
      <w:pPr>
        <w:pStyle w:val="Heading2"/>
      </w:pPr>
      <w:r>
        <w:t>2.4 Alcance funcional entregado</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2094"/>
            <w:shd w:val="clear" w:color="auto" w:fill="142F5A"/>
            <w:tcMar>
              <w:top w:w="60" w:type="dxa"/>
              <w:left w:w="110" w:type="dxa"/>
              <w:bottom w:w="60" w:type="dxa"/>
              <w:right w:w="110" w:type="dxa"/>
            </w:tcMar>
          </w:tcPr>
          <w:p>
            <w:pPr>
              <w:spacing w:after="0"/>
            </w:pPr>
            <w:r>
              <w:rPr>
                <w:b/>
                <w:color w:val="FFFFFF"/>
                <w:sz w:val="19"/>
              </w:rPr>
              <w:t>Bloque</w:t>
            </w:r>
          </w:p>
        </w:tc>
        <w:tc>
          <w:tcPr>
            <w:tcW w:type="dxa" w:w="1523"/>
            <w:shd w:val="clear" w:color="auto" w:fill="142F5A"/>
            <w:tcMar>
              <w:top w:w="60" w:type="dxa"/>
              <w:left w:w="110" w:type="dxa"/>
              <w:bottom w:w="60" w:type="dxa"/>
              <w:right w:w="110" w:type="dxa"/>
            </w:tcMar>
          </w:tcPr>
          <w:p>
            <w:pPr>
              <w:spacing w:after="0"/>
            </w:pPr>
            <w:r>
              <w:rPr>
                <w:b/>
                <w:color w:val="FFFFFF"/>
                <w:sz w:val="19"/>
              </w:rPr>
              <w:t>Estado</w:t>
            </w:r>
          </w:p>
        </w:tc>
        <w:tc>
          <w:tcPr>
            <w:tcW w:type="dxa" w:w="5901"/>
            <w:shd w:val="clear" w:color="auto" w:fill="142F5A"/>
            <w:tcMar>
              <w:top w:w="60" w:type="dxa"/>
              <w:left w:w="110" w:type="dxa"/>
              <w:bottom w:w="60" w:type="dxa"/>
              <w:right w:w="110" w:type="dxa"/>
            </w:tcMar>
          </w:tcPr>
          <w:p>
            <w:pPr>
              <w:spacing w:after="0"/>
            </w:pPr>
            <w:r>
              <w:rPr>
                <w:b/>
                <w:color w:val="FFFFFF"/>
                <w:sz w:val="19"/>
              </w:rPr>
              <w:t>Contenido</w:t>
            </w:r>
          </w:p>
        </w:tc>
      </w:tr>
      <w:tr>
        <w:tc>
          <w:tcPr>
            <w:tcW w:type="dxa" w:w="2094"/>
            <w:tcMar>
              <w:top w:w="60" w:type="dxa"/>
              <w:left w:w="110" w:type="dxa"/>
              <w:bottom w:w="60" w:type="dxa"/>
              <w:right w:w="110" w:type="dxa"/>
            </w:tcMar>
          </w:tcPr>
          <w:p>
            <w:pPr>
              <w:spacing w:after="0" w:line="252" w:lineRule="auto"/>
            </w:pPr>
            <w:r>
              <w:rPr>
                <w:sz w:val="19"/>
              </w:rPr>
              <w:t>Plataforma base</w:t>
            </w:r>
          </w:p>
        </w:tc>
        <w:tc>
          <w:tcPr>
            <w:tcW w:type="dxa" w:w="1523"/>
            <w:tcMar>
              <w:top w:w="60" w:type="dxa"/>
              <w:left w:w="110" w:type="dxa"/>
              <w:bottom w:w="60" w:type="dxa"/>
              <w:right w:w="110" w:type="dxa"/>
            </w:tcMar>
          </w:tcPr>
          <w:p>
            <w:pPr>
              <w:spacing w:after="0" w:line="252" w:lineRule="auto"/>
            </w:pPr>
            <w:r>
              <w:rPr>
                <w:sz w:val="19"/>
              </w:rPr>
              <w:t>Entregado</w:t>
            </w:r>
          </w:p>
        </w:tc>
        <w:tc>
          <w:tcPr>
            <w:tcW w:type="dxa" w:w="5901"/>
            <w:tcMar>
              <w:top w:w="60" w:type="dxa"/>
              <w:left w:w="110" w:type="dxa"/>
              <w:bottom w:w="60" w:type="dxa"/>
              <w:right w:w="110" w:type="dxa"/>
            </w:tcMar>
          </w:tcPr>
          <w:p>
            <w:pPr>
              <w:spacing w:after="0" w:line="252" w:lineRule="auto"/>
            </w:pPr>
            <w:r>
              <w:rPr>
                <w:sz w:val="19"/>
              </w:rPr>
              <w:t>Nginx con TLS, Keycloak como proveedor de identidad, oauth2-proxy y SSO operativo</w:t>
            </w:r>
          </w:p>
        </w:tc>
      </w:tr>
      <w:tr>
        <w:tc>
          <w:tcPr>
            <w:tcW w:type="dxa" w:w="2094"/>
            <w:shd w:val="clear" w:color="auto" w:fill="EEF2F8"/>
            <w:tcMar>
              <w:top w:w="60" w:type="dxa"/>
              <w:left w:w="110" w:type="dxa"/>
              <w:bottom w:w="60" w:type="dxa"/>
              <w:right w:w="110" w:type="dxa"/>
            </w:tcMar>
          </w:tcPr>
          <w:p>
            <w:pPr>
              <w:spacing w:after="0" w:line="252" w:lineRule="auto"/>
            </w:pPr>
            <w:r>
              <w:rPr>
                <w:sz w:val="19"/>
              </w:rPr>
              <w:t>Recursos editoriales</w:t>
            </w:r>
          </w:p>
        </w:tc>
        <w:tc>
          <w:tcPr>
            <w:tcW w:type="dxa" w:w="1523"/>
            <w:shd w:val="clear" w:color="auto" w:fill="EEF2F8"/>
            <w:tcMar>
              <w:top w:w="60" w:type="dxa"/>
              <w:left w:w="110" w:type="dxa"/>
              <w:bottom w:w="60" w:type="dxa"/>
              <w:right w:w="110" w:type="dxa"/>
            </w:tcMar>
          </w:tcPr>
          <w:p>
            <w:pPr>
              <w:spacing w:after="0" w:line="252" w:lineRule="auto"/>
            </w:pPr>
            <w:r>
              <w:rPr>
                <w:sz w:val="19"/>
              </w:rPr>
              <w:t>Entregado</w:t>
            </w:r>
          </w:p>
        </w:tc>
        <w:tc>
          <w:tcPr>
            <w:tcW w:type="dxa" w:w="5901"/>
            <w:shd w:val="clear" w:color="auto" w:fill="EEF2F8"/>
            <w:tcMar>
              <w:top w:w="60" w:type="dxa"/>
              <w:left w:w="110" w:type="dxa"/>
              <w:bottom w:w="60" w:type="dxa"/>
              <w:right w:w="110" w:type="dxa"/>
            </w:tcMar>
          </w:tcPr>
          <w:p>
            <w:pPr>
              <w:spacing w:after="0" w:line="252" w:lineRule="auto"/>
            </w:pPr>
            <w:r>
              <w:rPr>
                <w:sz w:val="19"/>
              </w:rPr>
              <w:t>Reescritura para ScienceDirect, Scopus e IOP, más un simulador editorial para prácticas</w:t>
            </w:r>
          </w:p>
        </w:tc>
      </w:tr>
      <w:tr>
        <w:tc>
          <w:tcPr>
            <w:tcW w:type="dxa" w:w="2094"/>
            <w:tcMar>
              <w:top w:w="60" w:type="dxa"/>
              <w:left w:w="110" w:type="dxa"/>
              <w:bottom w:w="60" w:type="dxa"/>
              <w:right w:w="110" w:type="dxa"/>
            </w:tcMar>
          </w:tcPr>
          <w:p>
            <w:pPr>
              <w:spacing w:after="0" w:line="252" w:lineRule="auto"/>
            </w:pPr>
            <w:r>
              <w:rPr>
                <w:sz w:val="19"/>
              </w:rPr>
              <w:t>Portal de invitados</w:t>
            </w:r>
          </w:p>
        </w:tc>
        <w:tc>
          <w:tcPr>
            <w:tcW w:type="dxa" w:w="1523"/>
            <w:tcMar>
              <w:top w:w="60" w:type="dxa"/>
              <w:left w:w="110" w:type="dxa"/>
              <w:bottom w:w="60" w:type="dxa"/>
              <w:right w:w="110" w:type="dxa"/>
            </w:tcMar>
          </w:tcPr>
          <w:p>
            <w:pPr>
              <w:spacing w:after="0" w:line="252" w:lineRule="auto"/>
            </w:pPr>
            <w:r>
              <w:rPr>
                <w:sz w:val="19"/>
              </w:rPr>
              <w:t>Entregado</w:t>
            </w:r>
          </w:p>
        </w:tc>
        <w:tc>
          <w:tcPr>
            <w:tcW w:type="dxa" w:w="5901"/>
            <w:tcMar>
              <w:top w:w="60" w:type="dxa"/>
              <w:left w:w="110" w:type="dxa"/>
              <w:bottom w:w="60" w:type="dxa"/>
              <w:right w:w="110" w:type="dxa"/>
            </w:tcMar>
          </w:tcPr>
          <w:p>
            <w:pPr>
              <w:spacing w:after="0" w:line="252" w:lineRule="auto"/>
            </w:pPr>
            <w:r>
              <w:rPr>
                <w:sz w:val="19"/>
              </w:rPr>
              <w:t>Auto-registro, panel de aprobación y control de estado de las cuentas</w:t>
            </w:r>
          </w:p>
        </w:tc>
      </w:tr>
      <w:tr>
        <w:tc>
          <w:tcPr>
            <w:tcW w:type="dxa" w:w="2094"/>
            <w:shd w:val="clear" w:color="auto" w:fill="EEF2F8"/>
            <w:tcMar>
              <w:top w:w="60" w:type="dxa"/>
              <w:left w:w="110" w:type="dxa"/>
              <w:bottom w:w="60" w:type="dxa"/>
              <w:right w:w="110" w:type="dxa"/>
            </w:tcMar>
          </w:tcPr>
          <w:p>
            <w:pPr>
              <w:spacing w:after="0" w:line="252" w:lineRule="auto"/>
            </w:pPr>
            <w:r>
              <w:rPr>
                <w:sz w:val="19"/>
              </w:rPr>
              <w:t>Identidad y analítica</w:t>
            </w:r>
          </w:p>
        </w:tc>
        <w:tc>
          <w:tcPr>
            <w:tcW w:type="dxa" w:w="1523"/>
            <w:shd w:val="clear" w:color="auto" w:fill="EEF2F8"/>
            <w:tcMar>
              <w:top w:w="60" w:type="dxa"/>
              <w:left w:w="110" w:type="dxa"/>
              <w:bottom w:w="60" w:type="dxa"/>
              <w:right w:w="110" w:type="dxa"/>
            </w:tcMar>
          </w:tcPr>
          <w:p>
            <w:pPr>
              <w:spacing w:after="0" w:line="252" w:lineRule="auto"/>
            </w:pPr>
            <w:r>
              <w:rPr>
                <w:sz w:val="19"/>
              </w:rPr>
              <w:t>Desplegable</w:t>
            </w:r>
          </w:p>
        </w:tc>
        <w:tc>
          <w:tcPr>
            <w:tcW w:type="dxa" w:w="5901"/>
            <w:shd w:val="clear" w:color="auto" w:fill="EEF2F8"/>
            <w:tcMar>
              <w:top w:w="60" w:type="dxa"/>
              <w:left w:w="110" w:type="dxa"/>
              <w:bottom w:w="60" w:type="dxa"/>
              <w:right w:w="110" w:type="dxa"/>
            </w:tcMar>
          </w:tcPr>
          <w:p>
            <w:pPr>
              <w:spacing w:after="0" w:line="252" w:lineRule="auto"/>
            </w:pPr>
            <w:r>
              <w:rPr>
                <w:sz w:val="19"/>
              </w:rPr>
              <w:t>Federación LDAP y canal de registro de accesos hacia PostgreSQL y Metabase</w:t>
            </w:r>
          </w:p>
        </w:tc>
      </w:tr>
    </w:tbl>
    <w:p>
      <w:pPr>
        <w:spacing w:after="0" w:before="0" w:line="240" w:lineRule="auto"/>
      </w:pPr>
      <w:r>
        <w:rPr>
          <w:sz w:val="12"/>
        </w:rPr>
      </w:r>
    </w:p>
    <w:p>
      <w:r>
        <w:br w:type="page"/>
      </w:r>
    </w:p>
    <w:p>
      <w:pPr>
        <w:pStyle w:val="Heading1"/>
        <w:pBdr>
          <w:bottom w:val="single" w:sz="6" w:space="4" w:color="9DB6D4"/>
        </w:pBdr>
      </w:pPr>
      <w:r>
        <w:t>3. Arquitectura</w:t>
      </w:r>
    </w:p>
    <w:p>
      <w:pPr>
        <w:pStyle w:val="Heading2"/>
      </w:pPr>
      <w:r>
        <w:t>3.1 Recorrido de una petición</w:t>
      </w:r>
    </w:p>
    <w:p>
      <w:pPr>
        <w:spacing w:after="120"/>
      </w:pPr>
      <w:r>
        <w:t>Todo el tráfico entra por Nginx, que decide —consultando la puerta de autorización interna— si la petición puede continuar hacia el recurso solicitado o debe pasar primero por el inicio de sesión.</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Navegador del usuario</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xml:space="preserve">        v</w:t>
            </w:r>
          </w:p>
          <w:p>
            <w:pPr>
              <w:spacing w:after="0" w:before="0" w:line="240" w:lineRule="auto"/>
            </w:pPr>
            <w:r>
              <w:rPr>
                <w:rFonts w:ascii="Consolas" w:hAnsi="Consolas" w:eastAsia="Consolas"/>
                <w:color w:val="1B2A3D"/>
                <w:sz w:val="17"/>
              </w:rPr>
              <w:t xml:space="preserve">   Nginx  (:443, TLS)</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xml:space="preserve">        +-- /realms/, /admin/, /resources/  --&gt; Keycloak (identidad)</w:t>
            </w:r>
          </w:p>
          <w:p>
            <w:pPr>
              <w:spacing w:after="0" w:before="0" w:line="240" w:lineRule="auto"/>
            </w:pPr>
            <w:r>
              <w:rPr>
                <w:rFonts w:ascii="Consolas" w:hAnsi="Consolas" w:eastAsia="Consolas"/>
                <w:color w:val="1B2A3D"/>
                <w:sz w:val="17"/>
              </w:rPr>
              <w:t xml:space="preserve">        +-- /oauth2/*                       --&gt; oauth2-proxy</w:t>
            </w:r>
          </w:p>
          <w:p>
            <w:pPr>
              <w:spacing w:after="0" w:before="0" w:line="240" w:lineRule="auto"/>
            </w:pPr>
            <w:r>
              <w:rPr>
                <w:rFonts w:ascii="Consolas" w:hAnsi="Consolas" w:eastAsia="Consolas"/>
                <w:color w:val="1B2A3D"/>
                <w:sz w:val="17"/>
              </w:rPr>
              <w:t xml:space="preserve">        +-- /guest/            (publico)    --&gt; Portal de invitados</w:t>
            </w:r>
          </w:p>
          <w:p>
            <w:pPr>
              <w:spacing w:after="0" w:before="0" w:line="240" w:lineRule="auto"/>
            </w:pPr>
            <w:r>
              <w:rPr>
                <w:rFonts w:ascii="Consolas" w:hAnsi="Consolas" w:eastAsia="Consolas"/>
                <w:color w:val="1B2A3D"/>
                <w:sz w:val="17"/>
              </w:rPr>
              <w:t xml:space="preserve">        +-- /guest/admin       (protegido)  --&gt; auth-gate --&gt; Portal de invitados</w:t>
            </w:r>
          </w:p>
          <w:p>
            <w:pPr>
              <w:spacing w:after="0" w:before="0" w:line="240" w:lineRule="auto"/>
            </w:pPr>
            <w:r>
              <w:rPr>
                <w:rFonts w:ascii="Consolas" w:hAnsi="Consolas" w:eastAsia="Consolas"/>
                <w:color w:val="1B2A3D"/>
                <w:sz w:val="17"/>
              </w:rPr>
              <w:t xml:space="preserve">        +-- /metabase/                      --&gt; Metabase</w:t>
            </w:r>
          </w:p>
          <w:p>
            <w:pPr>
              <w:spacing w:after="0" w:before="0" w:line="240" w:lineRule="auto"/>
            </w:pPr>
            <w:r>
              <w:rPr>
                <w:rFonts w:ascii="Consolas" w:hAnsi="Consolas" w:eastAsia="Consolas"/>
                <w:color w:val="1B2A3D"/>
                <w:sz w:val="17"/>
              </w:rPr>
              <w:t xml:space="preserve">        +-- /, /databases.html, /r/&lt;base&gt;/  --&gt; auth-gate --&gt; recurso</w:t>
            </w:r>
          </w:p>
          <w:p>
            <w:pPr>
              <w:spacing w:after="0" w:before="0" w:line="240" w:lineRule="auto"/>
            </w:pPr>
            <w:r>
              <w:rPr>
                <w:rFonts w:ascii="Consolas" w:hAnsi="Consolas" w:eastAsia="Consolas"/>
                <w:color w:val="1B2A3D"/>
                <w:sz w:val="17"/>
              </w:rPr>
              <w:t xml:space="preserve">        +-- /healthz                        --&gt; 200 OK</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auth-gate (puerta de autorizacion):</w:t>
            </w:r>
          </w:p>
          <w:p>
            <w:pPr>
              <w:spacing w:after="0" w:before="0" w:line="240" w:lineRule="auto"/>
            </w:pPr>
            <w:r>
              <w:rPr>
                <w:rFonts w:ascii="Consolas" w:hAnsi="Consolas" w:eastAsia="Consolas"/>
                <w:color w:val="1B2A3D"/>
                <w:sz w:val="17"/>
              </w:rPr>
              <w:t xml:space="preserve">   1) IP dentro de los rangos del campus  -&gt; acceso permitido sin SSO</w:t>
            </w:r>
          </w:p>
          <w:p>
            <w:pPr>
              <w:spacing w:after="0" w:before="0" w:line="240" w:lineRule="auto"/>
            </w:pPr>
            <w:r>
              <w:rPr>
                <w:rFonts w:ascii="Consolas" w:hAnsi="Consolas" w:eastAsia="Consolas"/>
                <w:color w:val="1B2A3D"/>
                <w:sz w:val="17"/>
              </w:rPr>
              <w:t xml:space="preserve">   2) En caso contrario, oauth2-proxy valida la cookie OIDC</w:t>
            </w:r>
          </w:p>
          <w:p>
            <w:pPr>
              <w:spacing w:after="0" w:before="0" w:line="240" w:lineRule="auto"/>
            </w:pPr>
            <w:r>
              <w:rPr>
                <w:rFonts w:ascii="Consolas" w:hAnsi="Consolas" w:eastAsia="Consolas"/>
                <w:color w:val="1B2A3D"/>
                <w:sz w:val="17"/>
              </w:rPr>
              <w:t xml:space="preserve">   3) Sin sesion valida -&gt; redireccion a Keycloak (inicio de sesion)</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Registro de uso:</w:t>
            </w:r>
          </w:p>
          <w:p>
            <w:pPr>
              <w:spacing w:after="0" w:before="0" w:line="240" w:lineRule="auto"/>
            </w:pPr>
            <w:r>
              <w:rPr>
                <w:rFonts w:ascii="Consolas" w:hAnsi="Consolas" w:eastAsia="Consolas"/>
                <w:color w:val="1B2A3D"/>
                <w:sz w:val="17"/>
              </w:rPr>
              <w:t xml:space="preserve">   Nginx (library_access.log) --&gt; log-worker --&gt; PostgreSQL (analytics) --&gt; Metabase</w:t>
            </w:r>
          </w:p>
        </w:tc>
      </w:tr>
    </w:tbl>
    <w:p>
      <w:pPr>
        <w:spacing w:before="60" w:after="200"/>
      </w:pPr>
      <w:r>
        <w:rPr>
          <w:i/>
          <w:color w:val="555F6D"/>
          <w:sz w:val="17"/>
        </w:rPr>
        <w:t>Figura 1. Flujo de tráfico y puntos de decisión de autorización.</w:t>
      </w:r>
    </w:p>
    <w:p>
      <w:pPr>
        <w:pStyle w:val="Heading2"/>
      </w:pPr>
      <w:r>
        <w:t>3.2 Servicios</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2094"/>
            <w:shd w:val="clear" w:color="auto" w:fill="142F5A"/>
            <w:tcMar>
              <w:top w:w="60" w:type="dxa"/>
              <w:left w:w="110" w:type="dxa"/>
              <w:bottom w:w="60" w:type="dxa"/>
              <w:right w:w="110" w:type="dxa"/>
            </w:tcMar>
          </w:tcPr>
          <w:p>
            <w:pPr>
              <w:spacing w:after="0"/>
            </w:pPr>
            <w:r>
              <w:rPr>
                <w:b/>
                <w:color w:val="FFFFFF"/>
                <w:sz w:val="19"/>
              </w:rPr>
              <w:t>Servicio</w:t>
            </w:r>
          </w:p>
        </w:tc>
        <w:tc>
          <w:tcPr>
            <w:tcW w:type="dxa" w:w="2665"/>
            <w:shd w:val="clear" w:color="auto" w:fill="142F5A"/>
            <w:tcMar>
              <w:top w:w="60" w:type="dxa"/>
              <w:left w:w="110" w:type="dxa"/>
              <w:bottom w:w="60" w:type="dxa"/>
              <w:right w:w="110" w:type="dxa"/>
            </w:tcMar>
          </w:tcPr>
          <w:p>
            <w:pPr>
              <w:spacing w:after="0"/>
            </w:pPr>
            <w:r>
              <w:rPr>
                <w:b/>
                <w:color w:val="FFFFFF"/>
                <w:sz w:val="19"/>
              </w:rPr>
              <w:t>Contenedor</w:t>
            </w:r>
          </w:p>
        </w:tc>
        <w:tc>
          <w:tcPr>
            <w:tcW w:type="dxa" w:w="4759"/>
            <w:shd w:val="clear" w:color="auto" w:fill="142F5A"/>
            <w:tcMar>
              <w:top w:w="60" w:type="dxa"/>
              <w:left w:w="110" w:type="dxa"/>
              <w:bottom w:w="60" w:type="dxa"/>
              <w:right w:w="110" w:type="dxa"/>
            </w:tcMar>
          </w:tcPr>
          <w:p>
            <w:pPr>
              <w:spacing w:after="0"/>
            </w:pPr>
            <w:r>
              <w:rPr>
                <w:b/>
                <w:color w:val="FFFFFF"/>
                <w:sz w:val="19"/>
              </w:rPr>
              <w:t>Función</w:t>
            </w:r>
          </w:p>
        </w:tc>
      </w:tr>
      <w:tr>
        <w:tc>
          <w:tcPr>
            <w:tcW w:type="dxa" w:w="2094"/>
            <w:tcMar>
              <w:top w:w="60" w:type="dxa"/>
              <w:left w:w="110" w:type="dxa"/>
              <w:bottom w:w="60" w:type="dxa"/>
              <w:right w:w="110" w:type="dxa"/>
            </w:tcMar>
          </w:tcPr>
          <w:p>
            <w:pPr>
              <w:spacing w:after="0" w:line="252" w:lineRule="auto"/>
            </w:pPr>
            <w:r>
              <w:rPr>
                <w:rFonts w:ascii="Consolas" w:hAnsi="Consolas" w:eastAsia="Consolas"/>
                <w:color w:val="1A4473"/>
                <w:sz w:val="19"/>
              </w:rPr>
              <w:t>postgres</w:t>
            </w:r>
          </w:p>
        </w:tc>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library-postgres</w:t>
            </w:r>
          </w:p>
        </w:tc>
        <w:tc>
          <w:tcPr>
            <w:tcW w:type="dxa" w:w="4759"/>
            <w:tcMar>
              <w:top w:w="60" w:type="dxa"/>
              <w:left w:w="110" w:type="dxa"/>
              <w:bottom w:w="60" w:type="dxa"/>
              <w:right w:w="110" w:type="dxa"/>
            </w:tcMar>
          </w:tcPr>
          <w:p>
            <w:pPr>
              <w:spacing w:after="0" w:line="252" w:lineRule="auto"/>
            </w:pPr>
            <w:r>
              <w:rPr>
                <w:sz w:val="19"/>
              </w:rPr>
              <w:t>Base de datos de Keycloak, de analítica (</w:t>
            </w:r>
            <w:r>
              <w:rPr>
                <w:rFonts w:ascii="Consolas" w:hAnsi="Consolas" w:eastAsia="Consolas"/>
                <w:color w:val="1A4473"/>
                <w:sz w:val="19"/>
              </w:rPr>
              <w:t>analytics</w:t>
            </w:r>
            <w:r>
              <w:rPr>
                <w:sz w:val="19"/>
              </w:rPr>
              <w:t>) y de Metabase</w:t>
            </w:r>
          </w:p>
        </w:tc>
      </w:tr>
      <w:tr>
        <w:tc>
          <w:tcPr>
            <w:tcW w:type="dxa" w:w="209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keycloak</w:t>
            </w:r>
          </w:p>
        </w:tc>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library-keycloak</w:t>
            </w:r>
          </w:p>
        </w:tc>
        <w:tc>
          <w:tcPr>
            <w:tcW w:type="dxa" w:w="4759"/>
            <w:shd w:val="clear" w:color="auto" w:fill="EEF2F8"/>
            <w:tcMar>
              <w:top w:w="60" w:type="dxa"/>
              <w:left w:w="110" w:type="dxa"/>
              <w:bottom w:w="60" w:type="dxa"/>
              <w:right w:w="110" w:type="dxa"/>
            </w:tcMar>
          </w:tcPr>
          <w:p>
            <w:pPr>
              <w:spacing w:after="0" w:line="252" w:lineRule="auto"/>
            </w:pPr>
            <w:r>
              <w:rPr>
                <w:sz w:val="19"/>
              </w:rPr>
              <w:t xml:space="preserve">Proveedor de identidad; realm </w:t>
            </w:r>
            <w:r>
              <w:rPr>
                <w:rFonts w:ascii="Consolas" w:hAnsi="Consolas" w:eastAsia="Consolas"/>
                <w:color w:val="1A4473"/>
                <w:sz w:val="19"/>
              </w:rPr>
              <w:t>library</w:t>
            </w:r>
          </w:p>
        </w:tc>
      </w:tr>
      <w:tr>
        <w:tc>
          <w:tcPr>
            <w:tcW w:type="dxa" w:w="2094"/>
            <w:tcMar>
              <w:top w:w="60" w:type="dxa"/>
              <w:left w:w="110" w:type="dxa"/>
              <w:bottom w:w="60" w:type="dxa"/>
              <w:right w:w="110" w:type="dxa"/>
            </w:tcMar>
          </w:tcPr>
          <w:p>
            <w:pPr>
              <w:spacing w:after="0" w:line="252" w:lineRule="auto"/>
            </w:pPr>
            <w:r>
              <w:rPr>
                <w:rFonts w:ascii="Consolas" w:hAnsi="Consolas" w:eastAsia="Consolas"/>
                <w:color w:val="1A4473"/>
                <w:sz w:val="19"/>
              </w:rPr>
              <w:t>oauth2-proxy</w:t>
            </w:r>
          </w:p>
        </w:tc>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library-oauth2-proxy</w:t>
            </w:r>
          </w:p>
        </w:tc>
        <w:tc>
          <w:tcPr>
            <w:tcW w:type="dxa" w:w="4759"/>
            <w:tcMar>
              <w:top w:w="60" w:type="dxa"/>
              <w:left w:w="110" w:type="dxa"/>
              <w:bottom w:w="60" w:type="dxa"/>
              <w:right w:w="110" w:type="dxa"/>
            </w:tcMar>
          </w:tcPr>
          <w:p>
            <w:pPr>
              <w:spacing w:after="0" w:line="252" w:lineRule="auto"/>
            </w:pPr>
            <w:r>
              <w:rPr>
                <w:sz w:val="19"/>
              </w:rPr>
              <w:t>Puente OIDC que responde a la autorización de Nginx</w:t>
            </w:r>
          </w:p>
        </w:tc>
      </w:tr>
      <w:tr>
        <w:tc>
          <w:tcPr>
            <w:tcW w:type="dxa" w:w="209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nginx</w:t>
            </w:r>
          </w:p>
        </w:tc>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library-nginx</w:t>
            </w:r>
          </w:p>
        </w:tc>
        <w:tc>
          <w:tcPr>
            <w:tcW w:type="dxa" w:w="4759"/>
            <w:shd w:val="clear" w:color="auto" w:fill="EEF2F8"/>
            <w:tcMar>
              <w:top w:w="60" w:type="dxa"/>
              <w:left w:w="110" w:type="dxa"/>
              <w:bottom w:w="60" w:type="dxa"/>
              <w:right w:w="110" w:type="dxa"/>
            </w:tcMar>
          </w:tcPr>
          <w:p>
            <w:pPr>
              <w:spacing w:after="0" w:line="252" w:lineRule="auto"/>
            </w:pPr>
            <w:r>
              <w:rPr>
                <w:sz w:val="19"/>
              </w:rPr>
              <w:t>Terminación TLS, enrutado, autorización y reescritura de URLs</w:t>
            </w:r>
          </w:p>
        </w:tc>
      </w:tr>
      <w:tr>
        <w:tc>
          <w:tcPr>
            <w:tcW w:type="dxa" w:w="2094"/>
            <w:tcMar>
              <w:top w:w="60" w:type="dxa"/>
              <w:left w:w="110" w:type="dxa"/>
              <w:bottom w:w="60" w:type="dxa"/>
              <w:right w:w="110" w:type="dxa"/>
            </w:tcMar>
          </w:tcPr>
          <w:p>
            <w:pPr>
              <w:spacing w:after="0" w:line="252" w:lineRule="auto"/>
            </w:pPr>
            <w:r>
              <w:rPr>
                <w:rFonts w:ascii="Consolas" w:hAnsi="Consolas" w:eastAsia="Consolas"/>
                <w:color w:val="1A4473"/>
                <w:sz w:val="19"/>
              </w:rPr>
              <w:t>test-resource</w:t>
            </w:r>
          </w:p>
        </w:tc>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library-test-resource</w:t>
            </w:r>
          </w:p>
        </w:tc>
        <w:tc>
          <w:tcPr>
            <w:tcW w:type="dxa" w:w="4759"/>
            <w:tcMar>
              <w:top w:w="60" w:type="dxa"/>
              <w:left w:w="110" w:type="dxa"/>
              <w:bottom w:w="60" w:type="dxa"/>
              <w:right w:w="110" w:type="dxa"/>
            </w:tcMar>
          </w:tcPr>
          <w:p>
            <w:pPr>
              <w:spacing w:after="0" w:line="252" w:lineRule="auto"/>
            </w:pPr>
            <w:r>
              <w:rPr>
                <w:sz w:val="19"/>
              </w:rPr>
              <w:t xml:space="preserve">Página de inicio y catálogo </w:t>
            </w:r>
            <w:r>
              <w:rPr>
                <w:rFonts w:ascii="Consolas" w:hAnsi="Consolas" w:eastAsia="Consolas"/>
                <w:color w:val="1A4473"/>
                <w:sz w:val="19"/>
              </w:rPr>
              <w:t>databases.html</w:t>
            </w:r>
          </w:p>
        </w:tc>
      </w:tr>
      <w:tr>
        <w:tc>
          <w:tcPr>
            <w:tcW w:type="dxa" w:w="209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publisher-simulator</w:t>
            </w:r>
          </w:p>
        </w:tc>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library-publisher-simulator</w:t>
            </w:r>
          </w:p>
        </w:tc>
        <w:tc>
          <w:tcPr>
            <w:tcW w:type="dxa" w:w="4759"/>
            <w:shd w:val="clear" w:color="auto" w:fill="EEF2F8"/>
            <w:tcMar>
              <w:top w:w="60" w:type="dxa"/>
              <w:left w:w="110" w:type="dxa"/>
              <w:bottom w:w="60" w:type="dxa"/>
              <w:right w:w="110" w:type="dxa"/>
            </w:tcMar>
          </w:tcPr>
          <w:p>
            <w:pPr>
              <w:spacing w:after="0" w:line="252" w:lineRule="auto"/>
            </w:pPr>
            <w:r>
              <w:rPr>
                <w:sz w:val="19"/>
              </w:rPr>
              <w:t>Editorial simulada para demostraciones y prácticas</w:t>
            </w:r>
          </w:p>
        </w:tc>
      </w:tr>
      <w:tr>
        <w:tc>
          <w:tcPr>
            <w:tcW w:type="dxa" w:w="2094"/>
            <w:tcMar>
              <w:top w:w="60" w:type="dxa"/>
              <w:left w:w="110" w:type="dxa"/>
              <w:bottom w:w="60" w:type="dxa"/>
              <w:right w:w="110" w:type="dxa"/>
            </w:tcMar>
          </w:tcPr>
          <w:p>
            <w:pPr>
              <w:spacing w:after="0" w:line="252" w:lineRule="auto"/>
            </w:pPr>
            <w:r>
              <w:rPr>
                <w:rFonts w:ascii="Consolas" w:hAnsi="Consolas" w:eastAsia="Consolas"/>
                <w:color w:val="1A4473"/>
                <w:sz w:val="19"/>
              </w:rPr>
              <w:t>guest-portal</w:t>
            </w:r>
          </w:p>
        </w:tc>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library-guest-portal</w:t>
            </w:r>
          </w:p>
        </w:tc>
        <w:tc>
          <w:tcPr>
            <w:tcW w:type="dxa" w:w="4759"/>
            <w:tcMar>
              <w:top w:w="60" w:type="dxa"/>
              <w:left w:w="110" w:type="dxa"/>
              <w:bottom w:w="60" w:type="dxa"/>
              <w:right w:w="110" w:type="dxa"/>
            </w:tcMar>
          </w:tcPr>
          <w:p>
            <w:pPr>
              <w:spacing w:after="0" w:line="252" w:lineRule="auto"/>
            </w:pPr>
            <w:r>
              <w:rPr>
                <w:sz w:val="19"/>
              </w:rPr>
              <w:t>Registro y aprobación de invitados (FastAPI)</w:t>
            </w:r>
          </w:p>
        </w:tc>
      </w:tr>
      <w:tr>
        <w:tc>
          <w:tcPr>
            <w:tcW w:type="dxa" w:w="209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log-worker</w:t>
            </w:r>
          </w:p>
        </w:tc>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library-log-worker</w:t>
            </w:r>
          </w:p>
        </w:tc>
        <w:tc>
          <w:tcPr>
            <w:tcW w:type="dxa" w:w="4759"/>
            <w:shd w:val="clear" w:color="auto" w:fill="EEF2F8"/>
            <w:tcMar>
              <w:top w:w="60" w:type="dxa"/>
              <w:left w:w="110" w:type="dxa"/>
              <w:bottom w:w="60" w:type="dxa"/>
              <w:right w:w="110" w:type="dxa"/>
            </w:tcMar>
          </w:tcPr>
          <w:p>
            <w:pPr>
              <w:spacing w:after="0" w:line="252" w:lineRule="auto"/>
            </w:pPr>
            <w:r>
              <w:rPr>
                <w:sz w:val="19"/>
              </w:rPr>
              <w:t>Ingesta del registro de accesos hacia PostgreSQL</w:t>
            </w:r>
          </w:p>
        </w:tc>
      </w:tr>
      <w:tr>
        <w:tc>
          <w:tcPr>
            <w:tcW w:type="dxa" w:w="2094"/>
            <w:tcMar>
              <w:top w:w="60" w:type="dxa"/>
              <w:left w:w="110" w:type="dxa"/>
              <w:bottom w:w="60" w:type="dxa"/>
              <w:right w:w="110" w:type="dxa"/>
            </w:tcMar>
          </w:tcPr>
          <w:p>
            <w:pPr>
              <w:spacing w:after="0" w:line="252" w:lineRule="auto"/>
            </w:pPr>
            <w:r>
              <w:rPr>
                <w:rFonts w:ascii="Consolas" w:hAnsi="Consolas" w:eastAsia="Consolas"/>
                <w:color w:val="1A4473"/>
                <w:sz w:val="19"/>
              </w:rPr>
              <w:t>metabase</w:t>
            </w:r>
          </w:p>
        </w:tc>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library-metabase</w:t>
            </w:r>
          </w:p>
        </w:tc>
        <w:tc>
          <w:tcPr>
            <w:tcW w:type="dxa" w:w="4759"/>
            <w:tcMar>
              <w:top w:w="60" w:type="dxa"/>
              <w:left w:w="110" w:type="dxa"/>
              <w:bottom w:w="60" w:type="dxa"/>
              <w:right w:w="110" w:type="dxa"/>
            </w:tcMar>
          </w:tcPr>
          <w:p>
            <w:pPr>
              <w:spacing w:after="0" w:line="252" w:lineRule="auto"/>
            </w:pPr>
            <w:r>
              <w:rPr>
                <w:sz w:val="19"/>
              </w:rPr>
              <w:t>Paneles, consultas y exportación de informes</w:t>
            </w:r>
          </w:p>
        </w:tc>
      </w:tr>
    </w:tbl>
    <w:p>
      <w:pPr>
        <w:spacing w:before="60" w:after="200"/>
      </w:pPr>
      <w:r>
        <w:rPr>
          <w:i/>
          <w:color w:val="555F6D"/>
          <w:sz w:val="17"/>
        </w:rPr>
        <w:t>Tabla 1. Servicios definidos en `docker-compose.yml`.</w:t>
      </w:r>
    </w:p>
    <w:p>
      <w:pPr>
        <w:spacing w:after="120"/>
      </w:pPr>
      <w:r>
        <w:t xml:space="preserve">Todos los servicios comparten la red interna </w:t>
      </w:r>
      <w:r>
        <w:rPr>
          <w:rFonts w:ascii="Consolas" w:hAnsi="Consolas" w:eastAsia="Consolas"/>
          <w:color w:val="1A4473"/>
          <w:sz w:val="19"/>
        </w:rPr>
        <w:t>library-net</w:t>
      </w:r>
      <w:r>
        <w:t xml:space="preserve">. La persistencia se apoya en dos volúmenes: </w:t>
      </w:r>
      <w:r>
        <w:rPr>
          <w:rFonts w:ascii="Consolas" w:hAnsi="Consolas" w:eastAsia="Consolas"/>
          <w:color w:val="1A4473"/>
          <w:sz w:val="19"/>
        </w:rPr>
        <w:t>postgres_data</w:t>
      </w:r>
      <w:r>
        <w:t xml:space="preserve"> (datos de identidad y analítica) y </w:t>
      </w:r>
      <w:r>
        <w:rPr>
          <w:rFonts w:ascii="Consolas" w:hAnsi="Consolas" w:eastAsia="Consolas"/>
          <w:color w:val="1A4473"/>
          <w:sz w:val="19"/>
        </w:rPr>
        <w:t>nginx_logs</w:t>
      </w:r>
      <w:r>
        <w:t xml:space="preserve"> (registro de accesos que consume el procesador de logs).</w:t>
      </w:r>
    </w:p>
    <w:p>
      <w:pPr>
        <w:pStyle w:val="Heading2"/>
      </w:pPr>
      <w:r>
        <w:t>3.3 Dirección IP de salida</w:t>
      </w:r>
    </w:p>
    <w:p>
      <w:pPr>
        <w:spacing w:after="120"/>
      </w:pPr>
      <w:r>
        <w:t>Las bases de datos en modo real validan la IP pública desde la que el proxy las consulta. La dirección de salida del entorno de referencia es:</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169.58.217.137</w:t>
            </w:r>
          </w:p>
        </w:tc>
      </w:tr>
    </w:tbl>
    <w:p>
      <w:pPr>
        <w:spacing w:after="0" w:before="0" w:line="240" w:lineRule="auto"/>
      </w:pPr>
      <w:r>
        <w:rPr>
          <w:sz w:val="8"/>
        </w:rPr>
      </w:r>
    </w:p>
    <w:tbl>
      <w:tblPr>
        <w:tblW w:type="auto" w:w="0"/>
        <w:tblBorders>
          <w:top w:val="single" w:sz="4" w:space="0" w:color="E8A33D"/>
          <w:left w:val="single" w:sz="4" w:space="0" w:color="E8A33D"/>
          <w:bottom w:val="single" w:sz="4" w:space="0" w:color="E8A33D"/>
          <w:right w:val="single" w:sz="4" w:space="0" w:color="E8A33D"/>
          <w:insideH w:val="single" w:sz="4" w:space="0" w:color="E8A33D"/>
          <w:insideV w:val="single" w:sz="4" w:space="0" w:color="E8A33D"/>
        </w:tblBorders>
        <w:tblLayout w:type="fixed"/>
        <w:tblLook w:firstColumn="1" w:firstRow="1" w:lastColumn="0" w:lastRow="0" w:noHBand="0" w:noVBand="1" w:val="04A0"/>
      </w:tblPr>
      <w:tblGrid>
        <w:gridCol w:w="9518"/>
      </w:tblGrid>
      <w:tr>
        <w:tc>
          <w:tcPr>
            <w:tcW w:type="dxa" w:w="9518"/>
            <w:shd w:val="clear" w:color="auto" w:fill="FFF6E5"/>
            <w:tcMar>
              <w:top w:w="100" w:type="dxa"/>
              <w:left w:w="150" w:type="dxa"/>
              <w:bottom w:w="100" w:type="dxa"/>
              <w:right w:w="150" w:type="dxa"/>
            </w:tcMar>
          </w:tcPr>
          <w:p>
            <w:pPr>
              <w:spacing w:after="0"/>
            </w:pPr>
            <w:r>
              <w:rPr>
                <w:b/>
                <w:color w:val="8A5A0B"/>
                <w:sz w:val="18"/>
              </w:rPr>
              <w:t xml:space="preserve">IMPORTANTE  </w:t>
            </w:r>
            <w:r>
              <w:rPr>
                <w:sz w:val="20"/>
              </w:rPr>
              <w:t>Si esa dirección no está autorizada por la editorial, los recursos reales pueden fallar aunque el inicio de sesión funcione correctamente. El simulador editorial no requiere autorización y permite demostrar y practicar la reescritura en cualquier momento.</w:t>
            </w:r>
          </w:p>
        </w:tc>
      </w:tr>
    </w:tbl>
    <w:p>
      <w:pPr>
        <w:spacing w:after="0" w:before="0" w:line="240" w:lineRule="auto"/>
      </w:pPr>
      <w:r>
        <w:rPr>
          <w:sz w:val="8"/>
        </w:rPr>
      </w:r>
    </w:p>
    <w:p>
      <w:r>
        <w:br w:type="page"/>
      </w:r>
    </w:p>
    <w:p>
      <w:pPr>
        <w:pStyle w:val="Heading1"/>
        <w:pBdr>
          <w:bottom w:val="single" w:sz="6" w:space="4" w:color="9DB6D4"/>
        </w:pBdr>
      </w:pPr>
      <w:r>
        <w:t>4. Componentes del sistema</w:t>
      </w:r>
    </w:p>
    <w:p>
      <w:pPr>
        <w:pStyle w:val="Heading2"/>
      </w:pPr>
      <w:r>
        <w:t>4.1 Nginx — puerta de entrada</w:t>
      </w:r>
    </w:p>
    <w:p>
      <w:pPr>
        <w:pStyle w:val="ListBullet"/>
      </w:pPr>
      <w:r>
        <w:t>Termina HTTPS y enruta todo el tráfico público.</w:t>
      </w:r>
    </w:p>
    <w:p>
      <w:pPr>
        <w:pStyle w:val="ListBullet"/>
      </w:pPr>
      <w:r>
        <w:t xml:space="preserve">Aplica la autorización mediante la ubicación interna </w:t>
      </w:r>
      <w:r>
        <w:rPr>
          <w:rFonts w:ascii="Consolas" w:hAnsi="Consolas" w:eastAsia="Consolas"/>
          <w:color w:val="1A4473"/>
          <w:sz w:val="19"/>
        </w:rPr>
        <w:t>/auth-gate</w:t>
      </w:r>
      <w:r>
        <w:t>.</w:t>
      </w:r>
    </w:p>
    <w:p>
      <w:pPr>
        <w:pStyle w:val="ListBullet"/>
      </w:pPr>
      <w:r>
        <w:t>Genera un registro de accesos enriquecido (</w:t>
      </w:r>
      <w:r>
        <w:rPr>
          <w:rFonts w:ascii="Consolas" w:hAnsi="Consolas" w:eastAsia="Consolas"/>
          <w:color w:val="1A4473"/>
          <w:sz w:val="19"/>
        </w:rPr>
        <w:t>library_access.log</w:t>
      </w:r>
      <w:r>
        <w:t>) con usuario, correo, origen de campus y recurso.</w:t>
      </w:r>
    </w:p>
    <w:p>
      <w:pPr>
        <w:pStyle w:val="ListBullet"/>
      </w:pPr>
      <w:r>
        <w:t xml:space="preserve">Publica las ubicaciones </w:t>
      </w:r>
      <w:r>
        <w:rPr>
          <w:rFonts w:ascii="Consolas" w:hAnsi="Consolas" w:eastAsia="Consolas"/>
          <w:color w:val="1A4473"/>
          <w:sz w:val="19"/>
        </w:rPr>
        <w:t>/r/&lt;base&gt;/</w:t>
      </w:r>
      <w:r>
        <w:t>, generadas automáticamente a partir de las stanzas.</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3236"/>
            <w:shd w:val="clear" w:color="auto" w:fill="142F5A"/>
            <w:tcMar>
              <w:top w:w="60" w:type="dxa"/>
              <w:left w:w="110" w:type="dxa"/>
              <w:bottom w:w="60" w:type="dxa"/>
              <w:right w:w="110" w:type="dxa"/>
            </w:tcMar>
          </w:tcPr>
          <w:p>
            <w:pPr>
              <w:spacing w:after="0"/>
            </w:pPr>
            <w:r>
              <w:rPr>
                <w:b/>
                <w:color w:val="FFFFFF"/>
                <w:sz w:val="19"/>
              </w:rPr>
              <w:t>Archivo</w:t>
            </w:r>
          </w:p>
        </w:tc>
        <w:tc>
          <w:tcPr>
            <w:tcW w:type="dxa" w:w="4378"/>
            <w:shd w:val="clear" w:color="auto" w:fill="142F5A"/>
            <w:tcMar>
              <w:top w:w="60" w:type="dxa"/>
              <w:left w:w="110" w:type="dxa"/>
              <w:bottom w:w="60" w:type="dxa"/>
              <w:right w:w="110" w:type="dxa"/>
            </w:tcMar>
          </w:tcPr>
          <w:p>
            <w:pPr>
              <w:spacing w:after="0"/>
            </w:pPr>
            <w:r>
              <w:rPr>
                <w:b/>
                <w:color w:val="FFFFFF"/>
                <w:sz w:val="19"/>
              </w:rPr>
              <w:t>Contenido</w:t>
            </w:r>
          </w:p>
        </w:tc>
        <w:tc>
          <w:tcPr>
            <w:tcW w:type="dxa" w:w="1904"/>
            <w:shd w:val="clear" w:color="auto" w:fill="142F5A"/>
            <w:tcMar>
              <w:top w:w="60" w:type="dxa"/>
              <w:left w:w="110" w:type="dxa"/>
              <w:bottom w:w="60" w:type="dxa"/>
              <w:right w:w="110" w:type="dxa"/>
            </w:tcMar>
          </w:tcPr>
          <w:p>
            <w:pPr>
              <w:spacing w:after="0"/>
            </w:pPr>
            <w:r>
              <w:rPr>
                <w:b/>
                <w:color w:val="FFFFFF"/>
                <w:sz w:val="19"/>
              </w:rPr>
              <w:t>Edición</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nginx/nginx.conf</w:t>
            </w:r>
          </w:p>
        </w:tc>
        <w:tc>
          <w:tcPr>
            <w:tcW w:type="dxa" w:w="4378"/>
            <w:tcMar>
              <w:top w:w="60" w:type="dxa"/>
              <w:left w:w="110" w:type="dxa"/>
              <w:bottom w:w="60" w:type="dxa"/>
              <w:right w:w="110" w:type="dxa"/>
            </w:tcMar>
          </w:tcPr>
          <w:p>
            <w:pPr>
              <w:spacing w:after="0" w:line="252" w:lineRule="auto"/>
            </w:pPr>
            <w:r>
              <w:rPr>
                <w:sz w:val="19"/>
              </w:rPr>
              <w:t>Configuración global y formato del registro de accesos</w:t>
            </w:r>
          </w:p>
        </w:tc>
        <w:tc>
          <w:tcPr>
            <w:tcW w:type="dxa" w:w="1904"/>
            <w:tcMar>
              <w:top w:w="60" w:type="dxa"/>
              <w:left w:w="110" w:type="dxa"/>
              <w:bottom w:w="60" w:type="dxa"/>
              <w:right w:w="110" w:type="dxa"/>
            </w:tcMar>
          </w:tcPr>
          <w:p>
            <w:pPr>
              <w:spacing w:after="0" w:line="252" w:lineRule="auto"/>
            </w:pPr>
            <w:r>
              <w:rPr>
                <w:sz w:val="19"/>
              </w:rPr>
              <w:t>Manual</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nginx/conf.d/default.conf</w:t>
            </w:r>
          </w:p>
        </w:tc>
        <w:tc>
          <w:tcPr>
            <w:tcW w:type="dxa" w:w="4378"/>
            <w:shd w:val="clear" w:color="auto" w:fill="EEF2F8"/>
            <w:tcMar>
              <w:top w:w="60" w:type="dxa"/>
              <w:left w:w="110" w:type="dxa"/>
              <w:bottom w:w="60" w:type="dxa"/>
              <w:right w:w="110" w:type="dxa"/>
            </w:tcMar>
          </w:tcPr>
          <w:p>
            <w:pPr>
              <w:spacing w:after="0" w:line="252" w:lineRule="auto"/>
            </w:pPr>
            <w:r>
              <w:rPr>
                <w:sz w:val="19"/>
              </w:rPr>
              <w:t>Rutas principales y puerta de autorización</w:t>
            </w:r>
          </w:p>
        </w:tc>
        <w:tc>
          <w:tcPr>
            <w:tcW w:type="dxa" w:w="1904"/>
            <w:shd w:val="clear" w:color="auto" w:fill="EEF2F8"/>
            <w:tcMar>
              <w:top w:w="60" w:type="dxa"/>
              <w:left w:w="110" w:type="dxa"/>
              <w:bottom w:w="60" w:type="dxa"/>
              <w:right w:w="110" w:type="dxa"/>
            </w:tcMar>
          </w:tcPr>
          <w:p>
            <w:pPr>
              <w:spacing w:after="0" w:line="252" w:lineRule="auto"/>
            </w:pPr>
            <w:r>
              <w:rPr>
                <w:sz w:val="19"/>
              </w:rPr>
              <w:t>Manual</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nginx/resources.locations.conf</w:t>
            </w:r>
          </w:p>
        </w:tc>
        <w:tc>
          <w:tcPr>
            <w:tcW w:type="dxa" w:w="4378"/>
            <w:tcMar>
              <w:top w:w="60" w:type="dxa"/>
              <w:left w:w="110" w:type="dxa"/>
              <w:bottom w:w="60" w:type="dxa"/>
              <w:right w:w="110" w:type="dxa"/>
            </w:tcMar>
          </w:tcPr>
          <w:p>
            <w:pPr>
              <w:spacing w:after="0" w:line="252" w:lineRule="auto"/>
            </w:pPr>
            <w:r>
              <w:rPr>
                <w:sz w:val="19"/>
              </w:rPr>
              <w:t>Ubicaciones de los recursos editoriales</w:t>
            </w:r>
          </w:p>
        </w:tc>
        <w:tc>
          <w:tcPr>
            <w:tcW w:type="dxa" w:w="1904"/>
            <w:tcMar>
              <w:top w:w="60" w:type="dxa"/>
              <w:left w:w="110" w:type="dxa"/>
              <w:bottom w:w="60" w:type="dxa"/>
              <w:right w:w="110" w:type="dxa"/>
            </w:tcMar>
          </w:tcPr>
          <w:p>
            <w:pPr>
              <w:spacing w:after="0" w:line="252" w:lineRule="auto"/>
            </w:pPr>
            <w:r>
              <w:rPr>
                <w:b/>
                <w:sz w:val="19"/>
              </w:rPr>
              <w:t>Generado</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nginx/campus-ip.geo.conf</w:t>
            </w:r>
          </w:p>
        </w:tc>
        <w:tc>
          <w:tcPr>
            <w:tcW w:type="dxa" w:w="4378"/>
            <w:shd w:val="clear" w:color="auto" w:fill="EEF2F8"/>
            <w:tcMar>
              <w:top w:w="60" w:type="dxa"/>
              <w:left w:w="110" w:type="dxa"/>
              <w:bottom w:w="60" w:type="dxa"/>
              <w:right w:w="110" w:type="dxa"/>
            </w:tcMar>
          </w:tcPr>
          <w:p>
            <w:pPr>
              <w:spacing w:after="0" w:line="252" w:lineRule="auto"/>
            </w:pPr>
            <w:r>
              <w:rPr>
                <w:sz w:val="19"/>
              </w:rPr>
              <w:t>Rangos de IP del campus</w:t>
            </w:r>
          </w:p>
        </w:tc>
        <w:tc>
          <w:tcPr>
            <w:tcW w:type="dxa" w:w="1904"/>
            <w:shd w:val="clear" w:color="auto" w:fill="EEF2F8"/>
            <w:tcMar>
              <w:top w:w="60" w:type="dxa"/>
              <w:left w:w="110" w:type="dxa"/>
              <w:bottom w:w="60" w:type="dxa"/>
              <w:right w:w="110" w:type="dxa"/>
            </w:tcMar>
          </w:tcPr>
          <w:p>
            <w:pPr>
              <w:spacing w:after="0" w:line="252" w:lineRule="auto"/>
            </w:pPr>
            <w:r>
              <w:rPr>
                <w:b/>
                <w:sz w:val="19"/>
              </w:rPr>
              <w:t>Generado</w:t>
            </w:r>
          </w:p>
        </w:tc>
      </w:tr>
    </w:tbl>
    <w:p>
      <w:pPr>
        <w:spacing w:after="0" w:before="0" w:line="240" w:lineRule="auto"/>
      </w:pPr>
      <w:r>
        <w:rPr>
          <w:sz w:val="12"/>
        </w:rPr>
      </w:r>
    </w:p>
    <w:tbl>
      <w:tblPr>
        <w:tblW w:type="auto" w:w="0"/>
        <w:tblBorders>
          <w:top w:val="single" w:sz="4" w:space="0" w:color="E8A33D"/>
          <w:left w:val="single" w:sz="4" w:space="0" w:color="E8A33D"/>
          <w:bottom w:val="single" w:sz="4" w:space="0" w:color="E8A33D"/>
          <w:right w:val="single" w:sz="4" w:space="0" w:color="E8A33D"/>
          <w:insideH w:val="single" w:sz="4" w:space="0" w:color="E8A33D"/>
          <w:insideV w:val="single" w:sz="4" w:space="0" w:color="E8A33D"/>
        </w:tblBorders>
        <w:tblLayout w:type="fixed"/>
        <w:tblLook w:firstColumn="1" w:firstRow="1" w:lastColumn="0" w:lastRow="0" w:noHBand="0" w:noVBand="1" w:val="04A0"/>
      </w:tblPr>
      <w:tblGrid>
        <w:gridCol w:w="9518"/>
      </w:tblGrid>
      <w:tr>
        <w:tc>
          <w:tcPr>
            <w:tcW w:type="dxa" w:w="9518"/>
            <w:shd w:val="clear" w:color="auto" w:fill="FFF6E5"/>
            <w:tcMar>
              <w:top w:w="100" w:type="dxa"/>
              <w:left w:w="150" w:type="dxa"/>
              <w:bottom w:w="100" w:type="dxa"/>
              <w:right w:w="150" w:type="dxa"/>
            </w:tcMar>
          </w:tcPr>
          <w:p>
            <w:pPr>
              <w:spacing w:after="0"/>
            </w:pPr>
            <w:r>
              <w:rPr>
                <w:b/>
                <w:color w:val="8A5A0B"/>
                <w:sz w:val="18"/>
              </w:rPr>
              <w:t xml:space="preserve">NOTA  </w:t>
            </w:r>
            <w:r>
              <w:rPr>
                <w:sz w:val="20"/>
              </w:rPr>
              <w:t>Los archivos marcados como generados se reescriben por completo al ejecutar sus scripts; cualquier cambio manual sobre ellos se pierde. Lo que se edita es el origen: las stanzas y las variables de entorno.</w:t>
            </w:r>
          </w:p>
        </w:tc>
      </w:tr>
    </w:tbl>
    <w:p>
      <w:pPr>
        <w:spacing w:after="0" w:before="0" w:line="240" w:lineRule="auto"/>
      </w:pPr>
      <w:r>
        <w:rPr>
          <w:sz w:val="8"/>
        </w:rPr>
      </w:r>
    </w:p>
    <w:p>
      <w:pPr>
        <w:pStyle w:val="Heading2"/>
      </w:pPr>
      <w:r>
        <w:t>4.2 Keycloak — proveedor de identidad</w:t>
      </w:r>
    </w:p>
    <w:p>
      <w:pPr>
        <w:pStyle w:val="ListBullet"/>
      </w:pPr>
      <w:r>
        <w:t xml:space="preserve">Realm de trabajo: </w:t>
      </w:r>
      <w:r>
        <w:rPr>
          <w:rFonts w:ascii="Consolas" w:hAnsi="Consolas" w:eastAsia="Consolas"/>
          <w:color w:val="1A4473"/>
          <w:sz w:val="19"/>
        </w:rPr>
        <w:t>library</w:t>
      </w:r>
      <w:r>
        <w:t>.</w:t>
      </w:r>
    </w:p>
    <w:p>
      <w:pPr>
        <w:pStyle w:val="ListBullet"/>
      </w:pPr>
      <w:r>
        <w:t xml:space="preserve">Roles definidos: </w:t>
      </w:r>
      <w:r>
        <w:rPr>
          <w:rFonts w:ascii="Consolas" w:hAnsi="Consolas" w:eastAsia="Consolas"/>
          <w:color w:val="1A4473"/>
          <w:sz w:val="19"/>
        </w:rPr>
        <w:t>user</w:t>
      </w:r>
      <w:r>
        <w:t xml:space="preserve"> (persona de la comunidad), </w:t>
      </w:r>
      <w:r>
        <w:rPr>
          <w:rFonts w:ascii="Consolas" w:hAnsi="Consolas" w:eastAsia="Consolas"/>
          <w:color w:val="1A4473"/>
          <w:sz w:val="19"/>
        </w:rPr>
        <w:t>admin</w:t>
      </w:r>
      <w:r>
        <w:t xml:space="preserve"> (gestión y aprobaciones) y </w:t>
      </w:r>
      <w:r>
        <w:rPr>
          <w:rFonts w:ascii="Consolas" w:hAnsi="Consolas" w:eastAsia="Consolas"/>
          <w:color w:val="1A4473"/>
          <w:sz w:val="19"/>
        </w:rPr>
        <w:t>guest</w:t>
      </w:r>
      <w:r>
        <w:t xml:space="preserve"> (invitado).</w:t>
      </w:r>
    </w:p>
    <w:p>
      <w:pPr>
        <w:pStyle w:val="ListBullet"/>
      </w:pPr>
      <w:r>
        <w:t xml:space="preserve">Clientes: </w:t>
      </w:r>
      <w:r>
        <w:rPr>
          <w:rFonts w:ascii="Consolas" w:hAnsi="Consolas" w:eastAsia="Consolas"/>
          <w:color w:val="1A4473"/>
          <w:sz w:val="19"/>
        </w:rPr>
        <w:t>library-proxy</w:t>
      </w:r>
      <w:r>
        <w:t xml:space="preserve"> (OIDC para oauth2-proxy) y </w:t>
      </w:r>
      <w:r>
        <w:rPr>
          <w:rFonts w:ascii="Consolas" w:hAnsi="Consolas" w:eastAsia="Consolas"/>
          <w:color w:val="1A4473"/>
          <w:sz w:val="19"/>
        </w:rPr>
        <w:t>guest-portal</w:t>
      </w:r>
      <w:r>
        <w:t xml:space="preserve"> (cuenta de servicio para la API de administración).</w:t>
      </w:r>
    </w:p>
    <w:p>
      <w:pPr>
        <w:pStyle w:val="ListBullet"/>
      </w:pPr>
      <w:r>
        <w:t>El registro público propio de Keycloak está deshabilitado: las altas de invitados se hacen por el portal, con aprobación.</w:t>
      </w:r>
    </w:p>
    <w:p>
      <w:pPr>
        <w:pStyle w:val="ListBullet"/>
      </w:pPr>
      <w:r>
        <w:t xml:space="preserve">Configuración inicial importable desde </w:t>
      </w:r>
      <w:r>
        <w:rPr>
          <w:rFonts w:ascii="Consolas" w:hAnsi="Consolas" w:eastAsia="Consolas"/>
          <w:color w:val="1A4473"/>
          <w:sz w:val="19"/>
        </w:rPr>
        <w:t>keycloak/import/library-realm.json</w:t>
      </w:r>
      <w:r>
        <w:t>.</w:t>
      </w:r>
    </w:p>
    <w:p>
      <w:pPr>
        <w:pStyle w:val="Heading2"/>
      </w:pPr>
      <w:r>
        <w:t>4.3 oauth2-proxy — validación de sesión</w:t>
      </w:r>
    </w:p>
    <w:p>
      <w:pPr>
        <w:pStyle w:val="ListBullet"/>
      </w:pPr>
      <w:r>
        <w:t xml:space="preserve">Expone </w:t>
      </w:r>
      <w:r>
        <w:rPr>
          <w:rFonts w:ascii="Consolas" w:hAnsi="Consolas" w:eastAsia="Consolas"/>
          <w:color w:val="1A4473"/>
          <w:sz w:val="19"/>
        </w:rPr>
        <w:t>/oauth2/auth</w:t>
      </w:r>
      <w:r>
        <w:t>, que Nginx consulta en cada petición protegida.</w:t>
      </w:r>
    </w:p>
    <w:p>
      <w:pPr>
        <w:pStyle w:val="ListBullet"/>
      </w:pPr>
      <w:r>
        <w:t xml:space="preserve">Mantiene la cookie de sesión </w:t>
      </w:r>
      <w:r>
        <w:rPr>
          <w:rFonts w:ascii="Consolas" w:hAnsi="Consolas" w:eastAsia="Consolas"/>
          <w:color w:val="1A4473"/>
          <w:sz w:val="19"/>
        </w:rPr>
        <w:t>_library_oauth2</w:t>
      </w:r>
      <w:r>
        <w:t>.</w:t>
      </w:r>
    </w:p>
    <w:p>
      <w:pPr>
        <w:pStyle w:val="ListBullet"/>
      </w:pPr>
      <w:r>
        <w:t>Propaga la identidad a los servicios internos mediante cabeceras (</w:t>
      </w:r>
      <w:r>
        <w:rPr>
          <w:rFonts w:ascii="Consolas" w:hAnsi="Consolas" w:eastAsia="Consolas"/>
          <w:color w:val="1A4473"/>
          <w:sz w:val="19"/>
        </w:rPr>
        <w:t>X-Auth-Request-User</w:t>
      </w:r>
      <w:r>
        <w:t xml:space="preserve">, </w:t>
      </w:r>
      <w:r>
        <w:rPr>
          <w:rFonts w:ascii="Consolas" w:hAnsi="Consolas" w:eastAsia="Consolas"/>
          <w:color w:val="1A4473"/>
          <w:sz w:val="19"/>
        </w:rPr>
        <w:t>X-Auth-Request-Email</w:t>
      </w:r>
      <w:r>
        <w:t>).</w:t>
      </w:r>
    </w:p>
    <w:p>
      <w:pPr>
        <w:pStyle w:val="ListBullet"/>
      </w:pPr>
      <w:r>
        <w:t xml:space="preserve">Configuración: </w:t>
      </w:r>
      <w:r>
        <w:rPr>
          <w:rFonts w:ascii="Consolas" w:hAnsi="Consolas" w:eastAsia="Consolas"/>
          <w:color w:val="1A4473"/>
          <w:sz w:val="19"/>
        </w:rPr>
        <w:t>oauth2-proxy/oauth2-proxy.cfg</w:t>
      </w:r>
      <w:r>
        <w:t>.</w:t>
      </w:r>
    </w:p>
    <w:p>
      <w:pPr>
        <w:pStyle w:val="Heading2"/>
      </w:pPr>
      <w:r>
        <w:t>4.4 Portal de invitados</w:t>
      </w:r>
    </w:p>
    <w:p>
      <w:pPr>
        <w:pStyle w:val="ListBullet"/>
      </w:pPr>
      <w:r>
        <w:t xml:space="preserve">Aplicación FastAPI alojada en </w:t>
      </w:r>
      <w:r>
        <w:rPr>
          <w:rFonts w:ascii="Consolas" w:hAnsi="Consolas" w:eastAsia="Consolas"/>
          <w:color w:val="1A4473"/>
          <w:sz w:val="19"/>
        </w:rPr>
        <w:t>guest-portal/</w:t>
      </w:r>
      <w:r>
        <w:t>.</w:t>
      </w:r>
    </w:p>
    <w:p>
      <w:pPr>
        <w:pStyle w:val="ListBullet"/>
      </w:pPr>
      <w:r>
        <w:t xml:space="preserve">Formulario público de solicitud y panel de aprobación restringido al rol </w:t>
      </w:r>
      <w:r>
        <w:rPr>
          <w:rFonts w:ascii="Consolas" w:hAnsi="Consolas" w:eastAsia="Consolas"/>
          <w:color w:val="1A4473"/>
          <w:sz w:val="19"/>
        </w:rPr>
        <w:t>admin</w:t>
      </w:r>
      <w:r>
        <w:t>.</w:t>
      </w:r>
    </w:p>
    <w:p>
      <w:pPr>
        <w:pStyle w:val="ListBullet"/>
      </w:pPr>
      <w:r>
        <w:t xml:space="preserve">Crea las cuentas en Keycloak </w:t>
      </w:r>
      <w:r>
        <w:rPr>
          <w:b/>
        </w:rPr>
        <w:t>deshabilitadas</w:t>
      </w:r>
      <w:r>
        <w:t xml:space="preserve"> hasta que un bibliotecario las aprueba.</w:t>
      </w:r>
    </w:p>
    <w:p>
      <w:pPr>
        <w:pStyle w:val="ListBullet"/>
      </w:pPr>
      <w:r>
        <w:t xml:space="preserve">Opcionalmente refleja cada solicitud en LDAP mediante el atributo </w:t>
      </w:r>
      <w:r>
        <w:rPr>
          <w:rFonts w:ascii="Consolas" w:hAnsi="Consolas" w:eastAsia="Consolas"/>
          <w:color w:val="1A4473"/>
          <w:sz w:val="19"/>
        </w:rPr>
        <w:t>employeeType</w:t>
      </w:r>
      <w:r>
        <w:t>.</w:t>
      </w:r>
    </w:p>
    <w:p>
      <w:pPr>
        <w:pStyle w:val="Heading2"/>
      </w:pPr>
      <w:r>
        <w:t>4.5 Stanzas y generador de configuración</w:t>
      </w:r>
    </w:p>
    <w:p>
      <w:pPr>
        <w:spacing w:after="120"/>
      </w:pPr>
      <w:r>
        <w:t xml:space="preserve">Cada base de datos editorial se describe en un archivo YAML dentro de </w:t>
      </w:r>
      <w:r>
        <w:rPr>
          <w:rFonts w:ascii="Consolas" w:hAnsi="Consolas" w:eastAsia="Consolas"/>
          <w:color w:val="1A4473"/>
          <w:sz w:val="19"/>
        </w:rPr>
        <w:t>stanzas/</w:t>
      </w:r>
      <w:r>
        <w:t xml:space="preserve">. El script </w:t>
      </w:r>
      <w:r>
        <w:rPr>
          <w:rFonts w:ascii="Consolas" w:hAnsi="Consolas" w:eastAsia="Consolas"/>
          <w:color w:val="1A4473"/>
          <w:sz w:val="19"/>
        </w:rPr>
        <w:t>scripts/generate-proxy-conf.py</w:t>
      </w:r>
      <w:r>
        <w:t xml:space="preserve"> traduce esas descripciones en dos artefactos: las reglas de Nginx (</w:t>
      </w:r>
      <w:r>
        <w:rPr>
          <w:rFonts w:ascii="Consolas" w:hAnsi="Consolas" w:eastAsia="Consolas"/>
          <w:color w:val="1A4473"/>
          <w:sz w:val="19"/>
        </w:rPr>
        <w:t>resources.locations.conf</w:t>
      </w:r>
      <w:r>
        <w:t>) y el catálogo visible para el usuario (</w:t>
      </w:r>
      <w:r>
        <w:rPr>
          <w:rFonts w:ascii="Consolas" w:hAnsi="Consolas" w:eastAsia="Consolas"/>
          <w:color w:val="1A4473"/>
          <w:sz w:val="19"/>
        </w:rPr>
        <w:t>test-resource/html/databases.html</w:t>
      </w:r>
      <w:r>
        <w:t>). Añadir una base es, por tanto, un cambio de datos y no de configuración de servidor.</w:t>
      </w:r>
    </w:p>
    <w:p>
      <w:pPr>
        <w:pStyle w:val="Heading2"/>
      </w:pPr>
      <w:r>
        <w:t>4.6 Registro de accesos y Metabase</w:t>
      </w:r>
    </w:p>
    <w:p>
      <w:pPr>
        <w:pStyle w:val="ListBullet"/>
      </w:pPr>
      <w:r>
        <w:rPr>
          <w:rFonts w:ascii="Consolas" w:hAnsi="Consolas" w:eastAsia="Consolas"/>
          <w:color w:val="1A4473"/>
          <w:sz w:val="19"/>
        </w:rPr>
        <w:t>log-worker/worker.py</w:t>
      </w:r>
      <w:r>
        <w:t xml:space="preserve"> lee el registro de Nginx y clasifica cada acceso por tipo de contenido (</w:t>
      </w:r>
      <w:r>
        <w:rPr>
          <w:rFonts w:ascii="Consolas" w:hAnsi="Consolas" w:eastAsia="Consolas"/>
          <w:color w:val="1A4473"/>
          <w:sz w:val="19"/>
        </w:rPr>
        <w:t>pdf</w:t>
      </w:r>
      <w:r>
        <w:t xml:space="preserve">, </w:t>
      </w:r>
      <w:r>
        <w:rPr>
          <w:rFonts w:ascii="Consolas" w:hAnsi="Consolas" w:eastAsia="Consolas"/>
          <w:color w:val="1A4473"/>
          <w:sz w:val="19"/>
        </w:rPr>
        <w:t>video</w:t>
      </w:r>
      <w:r>
        <w:t xml:space="preserve">, </w:t>
      </w:r>
      <w:r>
        <w:rPr>
          <w:rFonts w:ascii="Consolas" w:hAnsi="Consolas" w:eastAsia="Consolas"/>
          <w:color w:val="1A4473"/>
          <w:sz w:val="19"/>
        </w:rPr>
        <w:t>article</w:t>
      </w:r>
      <w:r>
        <w:t xml:space="preserve">, </w:t>
      </w:r>
      <w:r>
        <w:rPr>
          <w:rFonts w:ascii="Consolas" w:hAnsi="Consolas" w:eastAsia="Consolas"/>
          <w:color w:val="1A4473"/>
          <w:sz w:val="19"/>
        </w:rPr>
        <w:t>asset</w:t>
      </w:r>
      <w:r>
        <w:t xml:space="preserve">, </w:t>
      </w:r>
      <w:r>
        <w:rPr>
          <w:rFonts w:ascii="Consolas" w:hAnsi="Consolas" w:eastAsia="Consolas"/>
          <w:color w:val="1A4473"/>
          <w:sz w:val="19"/>
        </w:rPr>
        <w:t>auth</w:t>
      </w:r>
      <w:r>
        <w:t xml:space="preserve">, </w:t>
      </w:r>
      <w:r>
        <w:rPr>
          <w:rFonts w:ascii="Consolas" w:hAnsi="Consolas" w:eastAsia="Consolas"/>
          <w:color w:val="1A4473"/>
          <w:sz w:val="19"/>
        </w:rPr>
        <w:t>portal</w:t>
      </w:r>
      <w:r>
        <w:t xml:space="preserve">, </w:t>
      </w:r>
      <w:r>
        <w:rPr>
          <w:rFonts w:ascii="Consolas" w:hAnsi="Consolas" w:eastAsia="Consolas"/>
          <w:color w:val="1A4473"/>
          <w:sz w:val="19"/>
        </w:rPr>
        <w:t>other</w:t>
      </w:r>
      <w:r>
        <w:t>).</w:t>
      </w:r>
    </w:p>
    <w:p>
      <w:pPr>
        <w:pStyle w:val="ListBullet"/>
      </w:pPr>
      <w:r>
        <w:t xml:space="preserve">Escribe en la tabla </w:t>
      </w:r>
      <w:r>
        <w:rPr>
          <w:rFonts w:ascii="Consolas" w:hAnsi="Consolas" w:eastAsia="Consolas"/>
          <w:color w:val="1A4473"/>
          <w:sz w:val="19"/>
        </w:rPr>
        <w:t>access_events</w:t>
      </w:r>
      <w:r>
        <w:t xml:space="preserve"> y alimenta las vistas </w:t>
      </w:r>
      <w:r>
        <w:rPr>
          <w:rFonts w:ascii="Consolas" w:hAnsi="Consolas" w:eastAsia="Consolas"/>
          <w:color w:val="1A4473"/>
          <w:sz w:val="19"/>
        </w:rPr>
        <w:t>v_access_by_day</w:t>
      </w:r>
      <w:r>
        <w:t xml:space="preserve"> y </w:t>
      </w:r>
      <w:r>
        <w:rPr>
          <w:rFonts w:ascii="Consolas" w:hAnsi="Consolas" w:eastAsia="Consolas"/>
          <w:color w:val="1A4473"/>
          <w:sz w:val="19"/>
        </w:rPr>
        <w:t>v_access_by_resource</w:t>
      </w:r>
      <w:r>
        <w:t>.</w:t>
      </w:r>
    </w:p>
    <w:p>
      <w:pPr>
        <w:pStyle w:val="ListBullet"/>
      </w:pPr>
      <w:r>
        <w:t xml:space="preserve">Metabase se publica en </w:t>
      </w:r>
      <w:r>
        <w:rPr>
          <w:rFonts w:ascii="Consolas" w:hAnsi="Consolas" w:eastAsia="Consolas"/>
          <w:color w:val="1A4473"/>
          <w:sz w:val="19"/>
        </w:rPr>
        <w:t>/metabase/</w:t>
      </w:r>
      <w:r>
        <w:t xml:space="preserve"> y consulta esa base para construir paneles e informes.</w:t>
      </w:r>
    </w:p>
    <w:p>
      <w:r>
        <w:br w:type="page"/>
      </w:r>
    </w:p>
    <w:p>
      <w:pPr>
        <w:pStyle w:val="Heading1"/>
        <w:pBdr>
          <w:bottom w:val="single" w:sz="6" w:space="4" w:color="9DB6D4"/>
        </w:pBdr>
      </w:pPr>
      <w:r>
        <w:t>5. Instalación y puesta en marcha</w:t>
      </w:r>
    </w:p>
    <w:p>
      <w:pPr>
        <w:pStyle w:val="Heading2"/>
      </w:pPr>
      <w:r>
        <w:t>5.1 Requisitos previos</w:t>
      </w:r>
    </w:p>
    <w:p>
      <w:pPr>
        <w:pStyle w:val="ListBullet"/>
      </w:pPr>
      <w:r>
        <w:t>Docker y Docker Compose instalados en el servidor.</w:t>
      </w:r>
    </w:p>
    <w:p>
      <w:pPr>
        <w:pStyle w:val="ListBullet"/>
      </w:pPr>
      <w:r>
        <w:t>Un dominio apuntando al servidor (entorno productivo).</w:t>
      </w:r>
    </w:p>
    <w:p>
      <w:pPr>
        <w:pStyle w:val="ListBullet"/>
      </w:pPr>
      <w:r>
        <w:t>Puertos 80 y 443 libres y accesibles desde Internet.</w:t>
      </w:r>
    </w:p>
    <w:p>
      <w:pPr>
        <w:pStyle w:val="ListBullet"/>
      </w:pPr>
      <w:r>
        <w:t>Acceso SSH al servidor de directorio, si se va a activar la federación LDAP.</w:t>
      </w:r>
    </w:p>
    <w:p>
      <w:pPr>
        <w:pStyle w:val="ListBullet"/>
      </w:pPr>
      <w:r>
        <w:t>Dirección IP pública de salida conocida, para gestionarla con las editoriales.</w:t>
      </w:r>
    </w:p>
    <w:p>
      <w:pPr>
        <w:pStyle w:val="Heading2"/>
      </w:pPr>
      <w:r>
        <w:t>5.2 Secuencia de instalación</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cd /ruta/al/Proxy</w:t>
            </w:r>
          </w:p>
          <w:p>
            <w:pPr>
              <w:spacing w:after="0" w:before="0" w:line="240" w:lineRule="auto"/>
            </w:pPr>
            <w:r>
              <w:rPr>
                <w:rFonts w:ascii="Consolas" w:hAnsi="Consolas" w:eastAsia="Consolas"/>
                <w:color w:val="1B2A3D"/>
                <w:sz w:val="17"/>
              </w:rPr>
              <w:t>cp .env.example .env</w:t>
            </w:r>
          </w:p>
          <w:p>
            <w:pPr>
              <w:spacing w:after="0" w:before="0" w:line="240" w:lineRule="auto"/>
            </w:pPr>
            <w:r>
              <w:rPr>
                <w:rFonts w:ascii="Consolas" w:hAnsi="Consolas" w:eastAsia="Consolas"/>
                <w:color w:val="1B2A3D"/>
                <w:sz w:val="17"/>
              </w:rPr>
              <w:t># Editar .env: PUBLIC_HOST, APP_URL, KEYCLOAK_PUBLIC_URL, secretos y, si aplica, LDAP</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1) Generar la configuracion derivada</w:t>
            </w:r>
          </w:p>
          <w:p>
            <w:pPr>
              <w:spacing w:after="0" w:before="0" w:line="240" w:lineRule="auto"/>
            </w:pPr>
            <w:r>
              <w:rPr>
                <w:rFonts w:ascii="Consolas" w:hAnsi="Consolas" w:eastAsia="Consolas"/>
                <w:color w:val="1B2A3D"/>
                <w:sz w:val="17"/>
              </w:rPr>
              <w:t>./scripts/render-campus-geo.sh</w:t>
            </w:r>
          </w:p>
          <w:p>
            <w:pPr>
              <w:spacing w:after="0" w:before="0" w:line="240" w:lineRule="auto"/>
            </w:pPr>
            <w:r>
              <w:rPr>
                <w:rFonts w:ascii="Consolas" w:hAnsi="Consolas" w:eastAsia="Consolas"/>
                <w:color w:val="1B2A3D"/>
                <w:sz w:val="17"/>
              </w:rPr>
              <w:t>PUBLIC_HOST=proxy.bibliolatino.com PUBLIC_SCHEME=https ./scripts/generate-proxy-conf.py</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2) Certificado TLS (entorno productivo; detiene Nginx brevemente)</w:t>
            </w:r>
          </w:p>
          <w:p>
            <w:pPr>
              <w:spacing w:after="0" w:before="0" w:line="240" w:lineRule="auto"/>
            </w:pPr>
            <w:r>
              <w:rPr>
                <w:rFonts w:ascii="Consolas" w:hAnsi="Consolas" w:eastAsia="Consolas"/>
                <w:color w:val="1B2A3D"/>
                <w:sz w:val="17"/>
              </w:rPr>
              <w:t>./scripts/issue-tls-cert.sh</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3) Levantar la plataforma</w:t>
            </w:r>
          </w:p>
          <w:p>
            <w:pPr>
              <w:spacing w:after="0" w:before="0" w:line="240" w:lineRule="auto"/>
            </w:pPr>
            <w:r>
              <w:rPr>
                <w:rFonts w:ascii="Consolas" w:hAnsi="Consolas" w:eastAsia="Consolas"/>
                <w:color w:val="1B2A3D"/>
                <w:sz w:val="17"/>
              </w:rPr>
              <w:t>docker compose up -d</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4) Ajustes posteriores al primer arranque de Keycloak</w:t>
            </w:r>
          </w:p>
          <w:p>
            <w:pPr>
              <w:spacing w:after="0" w:before="0" w:line="240" w:lineRule="auto"/>
            </w:pPr>
            <w:r>
              <w:rPr>
                <w:rFonts w:ascii="Consolas" w:hAnsi="Consolas" w:eastAsia="Consolas"/>
                <w:color w:val="1B2A3D"/>
                <w:sz w:val="17"/>
              </w:rPr>
              <w:t>./scripts/configure-public-access.sh</w:t>
            </w:r>
          </w:p>
          <w:p>
            <w:pPr>
              <w:spacing w:after="0" w:before="0" w:line="240" w:lineRule="auto"/>
            </w:pPr>
            <w:r>
              <w:rPr>
                <w:rFonts w:ascii="Consolas" w:hAnsi="Consolas" w:eastAsia="Consolas"/>
                <w:color w:val="1B2A3D"/>
                <w:sz w:val="17"/>
              </w:rPr>
              <w:t>./scripts/configure-guest-portal.sh</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5) Federacion con el directorio institucional (opcional)</w:t>
            </w:r>
          </w:p>
          <w:p>
            <w:pPr>
              <w:spacing w:after="0" w:before="0" w:line="240" w:lineRule="auto"/>
            </w:pPr>
            <w:r>
              <w:rPr>
                <w:rFonts w:ascii="Consolas" w:hAnsi="Consolas" w:eastAsia="Consolas"/>
                <w:color w:val="1B2A3D"/>
                <w:sz w:val="17"/>
              </w:rPr>
              <w:t>./scripts/configure-ldap-federation.sh</w:t>
            </w:r>
          </w:p>
        </w:tc>
      </w:tr>
    </w:tbl>
    <w:p>
      <w:pPr>
        <w:spacing w:before="60" w:after="200"/>
      </w:pPr>
      <w:r>
        <w:rPr>
          <w:i/>
          <w:color w:val="555F6D"/>
          <w:sz w:val="17"/>
        </w:rPr>
        <w:t>Procedimiento de instalación completo desde el repositorio.</w:t>
      </w:r>
    </w:p>
    <w:p>
      <w:pPr>
        <w:pStyle w:val="Heading2"/>
      </w:pPr>
      <w:r>
        <w:t>5.3 Verificación del despliegue</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curl -fsS https://proxy.bibliolatino.com/healthz</w:t>
            </w:r>
          </w:p>
          <w:p>
            <w:pPr>
              <w:spacing w:after="0" w:before="0" w:line="240" w:lineRule="auto"/>
            </w:pPr>
            <w:r>
              <w:rPr>
                <w:rFonts w:ascii="Consolas" w:hAnsi="Consolas" w:eastAsia="Consolas"/>
                <w:color w:val="1B2A3D"/>
                <w:sz w:val="17"/>
              </w:rPr>
              <w:t>docker compose ps</w:t>
            </w:r>
          </w:p>
          <w:p>
            <w:pPr>
              <w:spacing w:after="0" w:before="0" w:line="240" w:lineRule="auto"/>
            </w:pPr>
            <w:r>
              <w:rPr>
                <w:rFonts w:ascii="Consolas" w:hAnsi="Consolas" w:eastAsia="Consolas"/>
                <w:color w:val="1B2A3D"/>
                <w:sz w:val="17"/>
              </w:rPr>
              <w:t>./scripts/validate-m1.sh</w:t>
            </w:r>
          </w:p>
          <w:p>
            <w:pPr>
              <w:spacing w:after="0" w:before="0" w:line="240" w:lineRule="auto"/>
            </w:pPr>
            <w:r>
              <w:rPr>
                <w:rFonts w:ascii="Consolas" w:hAnsi="Consolas" w:eastAsia="Consolas"/>
                <w:color w:val="1B2A3D"/>
                <w:sz w:val="17"/>
              </w:rPr>
              <w:t>./scripts/validate-m2.sh</w:t>
            </w:r>
          </w:p>
          <w:p>
            <w:pPr>
              <w:spacing w:after="0" w:before="0" w:line="240" w:lineRule="auto"/>
            </w:pPr>
            <w:r>
              <w:rPr>
                <w:rFonts w:ascii="Consolas" w:hAnsi="Consolas" w:eastAsia="Consolas"/>
                <w:color w:val="1B2A3D"/>
                <w:sz w:val="17"/>
              </w:rPr>
              <w:t>./scripts/validate-m3.sh</w:t>
            </w:r>
          </w:p>
          <w:p>
            <w:pPr>
              <w:spacing w:after="0" w:before="0" w:line="240" w:lineRule="auto"/>
            </w:pPr>
            <w:r>
              <w:rPr>
                <w:rFonts w:ascii="Consolas" w:hAnsi="Consolas" w:eastAsia="Consolas"/>
                <w:color w:val="1B2A3D"/>
                <w:sz w:val="17"/>
              </w:rPr>
              <w:t>./scripts/validate-m4.sh</w:t>
            </w:r>
          </w:p>
        </w:tc>
      </w:tr>
    </w:tbl>
    <w:p>
      <w:pPr>
        <w:spacing w:after="0" w:before="0" w:line="240" w:lineRule="auto"/>
      </w:pPr>
      <w:r>
        <w:rPr>
          <w:sz w:val="8"/>
        </w:rPr>
      </w:r>
    </w:p>
    <w:p>
      <w:pPr>
        <w:spacing w:after="120"/>
      </w:pPr>
      <w:r>
        <w:t xml:space="preserve">Un despliegue sano responde </w:t>
      </w:r>
      <w:r>
        <w:rPr>
          <w:rFonts w:ascii="Consolas" w:hAnsi="Consolas" w:eastAsia="Consolas"/>
          <w:color w:val="1A4473"/>
          <w:sz w:val="19"/>
        </w:rPr>
        <w:t>ok</w:t>
      </w:r>
      <w:r>
        <w:t xml:space="preserve"> en el punto de salud, muestra todos los contenedores en estado de ejecución y devuelve código de salida cero en los cuatro validadores. La interpretación detallada de estas comprobaciones está en la sección 14.</w:t>
      </w:r>
    </w:p>
    <w:p>
      <w:r>
        <w:br w:type="page"/>
      </w:r>
    </w:p>
    <w:p>
      <w:pPr>
        <w:pStyle w:val="Heading1"/>
        <w:pBdr>
          <w:bottom w:val="single" w:sz="6" w:space="4" w:color="9DB6D4"/>
        </w:pBdr>
      </w:pPr>
      <w:r>
        <w:t>6. Autenticación y inicio de sesión único (SSO)</w:t>
      </w:r>
    </w:p>
    <w:p>
      <w:pPr>
        <w:pStyle w:val="Heading2"/>
      </w:pPr>
      <w:r>
        <w:t>6.1 Acceso desde fuera del campus</w:t>
      </w:r>
    </w:p>
    <w:p>
      <w:pPr>
        <w:pStyle w:val="ListNumber"/>
      </w:pPr>
      <w:r>
        <w:t xml:space="preserve">El usuario abre </w:t>
      </w:r>
      <w:r>
        <w:rPr>
          <w:rFonts w:ascii="Consolas" w:hAnsi="Consolas" w:eastAsia="Consolas"/>
          <w:color w:val="1A4473"/>
          <w:sz w:val="19"/>
        </w:rPr>
        <w:t>https://proxy.bibliolatino.com/</w:t>
      </w:r>
      <w:r>
        <w:t xml:space="preserve"> o el catálogo </w:t>
      </w:r>
      <w:r>
        <w:rPr>
          <w:rFonts w:ascii="Consolas" w:hAnsi="Consolas" w:eastAsia="Consolas"/>
          <w:color w:val="1A4473"/>
          <w:sz w:val="19"/>
        </w:rPr>
        <w:t>/databases.html</w:t>
      </w:r>
      <w:r>
        <w:t>.</w:t>
      </w:r>
    </w:p>
    <w:p>
      <w:pPr>
        <w:pStyle w:val="ListNumber"/>
      </w:pPr>
      <w:r>
        <w:t>Nginx consulta la puerta de autorización antes de servir el contenido.</w:t>
      </w:r>
    </w:p>
    <w:p>
      <w:pPr>
        <w:pStyle w:val="ListNumber"/>
      </w:pPr>
      <w:r>
        <w:t>Al no existir una sesión válida, el navegador es redirigido a Keycloak.</w:t>
      </w:r>
    </w:p>
    <w:p>
      <w:pPr>
        <w:pStyle w:val="ListNumber"/>
      </w:pPr>
      <w:r>
        <w:t>Tras autenticarse correctamente se establece la cookie de sesión.</w:t>
      </w:r>
    </w:p>
    <w:p>
      <w:pPr>
        <w:pStyle w:val="ListNumber"/>
      </w:pPr>
      <w:r>
        <w:t xml:space="preserve">El usuario accede al catálogo y a los recursos </w:t>
      </w:r>
      <w:r>
        <w:rPr>
          <w:rFonts w:ascii="Consolas" w:hAnsi="Consolas" w:eastAsia="Consolas"/>
          <w:color w:val="1A4473"/>
          <w:sz w:val="19"/>
        </w:rPr>
        <w:t>/r/&lt;base&gt;/</w:t>
      </w:r>
      <w:r>
        <w:t xml:space="preserve"> sin volver a identificarse.</w:t>
      </w:r>
    </w:p>
    <w:p>
      <w:pPr>
        <w:pStyle w:val="Heading2"/>
      </w:pPr>
      <w:r>
        <w:t>6.2 Acceso desde el campus</w:t>
      </w:r>
    </w:p>
    <w:p>
      <w:pPr>
        <w:spacing w:after="120"/>
      </w:pPr>
      <w:r>
        <w:t>Los rangos de direcciones institucionales pueden omitir el inicio de sesión. La configuración vive en una sola variable y se aplica regenerando la configuración de Nginx:</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 .env</w:t>
            </w:r>
          </w:p>
          <w:p>
            <w:pPr>
              <w:spacing w:after="0" w:before="0" w:line="240" w:lineRule="auto"/>
            </w:pPr>
            <w:r>
              <w:rPr>
                <w:rFonts w:ascii="Consolas" w:hAnsi="Consolas" w:eastAsia="Consolas"/>
                <w:color w:val="1B2A3D"/>
                <w:sz w:val="17"/>
              </w:rPr>
              <w:t>INSTITUTIONAL_CIDRS=10.0.0.0/8,192.168.0.0/16</w:t>
            </w:r>
          </w:p>
          <w:p>
            <w:pPr>
              <w:spacing w:after="0" w:before="0" w:line="240" w:lineRule="auto"/>
            </w:pPr>
            <w:r>
              <w:rPr>
                <w:rFonts w:ascii="Consolas" w:hAnsi="Consolas" w:eastAsia="Consolas"/>
                <w:color w:val="1B2A3D"/>
                <w:sz w:val="17"/>
              </w:rPr>
              <w:t xml:space="preserve"> </w:t>
            </w:r>
          </w:p>
          <w:p>
            <w:pPr>
              <w:spacing w:after="0" w:before="0" w:line="240" w:lineRule="auto"/>
            </w:pPr>
            <w:r>
              <w:rPr>
                <w:rFonts w:ascii="Consolas" w:hAnsi="Consolas" w:eastAsia="Consolas"/>
                <w:color w:val="1B2A3D"/>
                <w:sz w:val="17"/>
              </w:rPr>
              <w:t># Aplicar el cambio</w:t>
            </w:r>
          </w:p>
          <w:p>
            <w:pPr>
              <w:spacing w:after="0" w:before="0" w:line="240" w:lineRule="auto"/>
            </w:pPr>
            <w:r>
              <w:rPr>
                <w:rFonts w:ascii="Consolas" w:hAnsi="Consolas" w:eastAsia="Consolas"/>
                <w:color w:val="1B2A3D"/>
                <w:sz w:val="17"/>
              </w:rPr>
              <w:t>./scripts/render-campus-geo.sh</w:t>
            </w:r>
          </w:p>
          <w:p>
            <w:pPr>
              <w:spacing w:after="0" w:before="0" w:line="240" w:lineRule="auto"/>
            </w:pPr>
            <w:r>
              <w:rPr>
                <w:rFonts w:ascii="Consolas" w:hAnsi="Consolas" w:eastAsia="Consolas"/>
                <w:color w:val="1B2A3D"/>
                <w:sz w:val="17"/>
              </w:rPr>
              <w:t>docker compose exec nginx nginx -s reload</w:t>
            </w:r>
          </w:p>
        </w:tc>
      </w:tr>
    </w:tbl>
    <w:p>
      <w:pPr>
        <w:spacing w:after="0" w:before="0" w:line="240" w:lineRule="auto"/>
      </w:pPr>
      <w:r>
        <w:rPr>
          <w:sz w:val="8"/>
        </w:rPr>
      </w:r>
    </w:p>
    <w:p>
      <w:pPr>
        <w:spacing w:after="120"/>
      </w:pPr>
      <w:r>
        <w:t>Desde esas direcciones, la puerta de autorización concede el acceso identificándolo como acceso de campus, y así queda reflejado en la analítica de uso.</w:t>
      </w:r>
    </w:p>
    <w:p>
      <w:pPr>
        <w:pStyle w:val="Heading2"/>
      </w:pPr>
      <w:r>
        <w:t>6.3 Métodos de identidad adicionales</w:t>
      </w:r>
    </w:p>
    <w:p>
      <w:pPr>
        <w:spacing w:after="120"/>
      </w:pPr>
      <w:r>
        <w:t xml:space="preserve">La puerta de Nginx consume </w:t>
      </w:r>
      <w:r>
        <w:rPr>
          <w:b/>
        </w:rPr>
        <w:t>siempre</w:t>
      </w:r>
      <w:r>
        <w:t xml:space="preserve"> una sesión OIDC gestionada por Keycloak. Por eso los protocolos institucionales no se añaden como extensiones del servidor web, sino como proveedores de identidad dentro de Keycloak, de forma transparente para el resto del sistema.</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2475"/>
            <w:shd w:val="clear" w:color="auto" w:fill="142F5A"/>
            <w:tcMar>
              <w:top w:w="60" w:type="dxa"/>
              <w:left w:w="110" w:type="dxa"/>
              <w:bottom w:w="60" w:type="dxa"/>
              <w:right w:w="110" w:type="dxa"/>
            </w:tcMar>
          </w:tcPr>
          <w:p>
            <w:pPr>
              <w:spacing w:after="0"/>
            </w:pPr>
            <w:r>
              <w:rPr>
                <w:b/>
                <w:color w:val="FFFFFF"/>
                <w:sz w:val="19"/>
              </w:rPr>
              <w:t>Protocolo</w:t>
            </w:r>
          </w:p>
        </w:tc>
        <w:tc>
          <w:tcPr>
            <w:tcW w:type="dxa" w:w="5140"/>
            <w:shd w:val="clear" w:color="auto" w:fill="142F5A"/>
            <w:tcMar>
              <w:top w:w="60" w:type="dxa"/>
              <w:left w:w="110" w:type="dxa"/>
              <w:bottom w:w="60" w:type="dxa"/>
              <w:right w:w="110" w:type="dxa"/>
            </w:tcMar>
          </w:tcPr>
          <w:p>
            <w:pPr>
              <w:spacing w:after="0"/>
            </w:pPr>
            <w:r>
              <w:rPr>
                <w:b/>
                <w:color w:val="FFFFFF"/>
                <w:sz w:val="19"/>
              </w:rPr>
              <w:t>Dónde se configura</w:t>
            </w:r>
          </w:p>
        </w:tc>
        <w:tc>
          <w:tcPr>
            <w:tcW w:type="dxa" w:w="1904"/>
            <w:shd w:val="clear" w:color="auto" w:fill="142F5A"/>
            <w:tcMar>
              <w:top w:w="60" w:type="dxa"/>
              <w:left w:w="110" w:type="dxa"/>
              <w:bottom w:w="60" w:type="dxa"/>
              <w:right w:w="110" w:type="dxa"/>
            </w:tcMar>
          </w:tcPr>
          <w:p>
            <w:pPr>
              <w:spacing w:after="0"/>
            </w:pPr>
            <w:r>
              <w:rPr>
                <w:b/>
                <w:color w:val="FFFFFF"/>
                <w:sz w:val="19"/>
              </w:rPr>
              <w:t>Estado</w:t>
            </w:r>
          </w:p>
        </w:tc>
      </w:tr>
      <w:tr>
        <w:tc>
          <w:tcPr>
            <w:tcW w:type="dxa" w:w="2475"/>
            <w:tcMar>
              <w:top w:w="60" w:type="dxa"/>
              <w:left w:w="110" w:type="dxa"/>
              <w:bottom w:w="60" w:type="dxa"/>
              <w:right w:w="110" w:type="dxa"/>
            </w:tcMar>
          </w:tcPr>
          <w:p>
            <w:pPr>
              <w:spacing w:after="0" w:line="252" w:lineRule="auto"/>
            </w:pPr>
            <w:r>
              <w:rPr>
                <w:sz w:val="19"/>
              </w:rPr>
              <w:t>OAuth2 / OIDC</w:t>
            </w:r>
          </w:p>
        </w:tc>
        <w:tc>
          <w:tcPr>
            <w:tcW w:type="dxa" w:w="5140"/>
            <w:tcMar>
              <w:top w:w="60" w:type="dxa"/>
              <w:left w:w="110" w:type="dxa"/>
              <w:bottom w:w="60" w:type="dxa"/>
              <w:right w:w="110" w:type="dxa"/>
            </w:tcMar>
          </w:tcPr>
          <w:p>
            <w:pPr>
              <w:spacing w:after="0" w:line="252" w:lineRule="auto"/>
            </w:pPr>
            <w:r>
              <w:rPr>
                <w:sz w:val="19"/>
              </w:rPr>
              <w:t xml:space="preserve">Cliente </w:t>
            </w:r>
            <w:r>
              <w:rPr>
                <w:rFonts w:ascii="Consolas" w:hAnsi="Consolas" w:eastAsia="Consolas"/>
                <w:color w:val="1A4473"/>
                <w:sz w:val="19"/>
              </w:rPr>
              <w:t>library-proxy</w:t>
            </w:r>
            <w:r>
              <w:rPr>
                <w:sz w:val="19"/>
              </w:rPr>
              <w:t xml:space="preserve"> del realm </w:t>
            </w:r>
            <w:r>
              <w:rPr>
                <w:rFonts w:ascii="Consolas" w:hAnsi="Consolas" w:eastAsia="Consolas"/>
                <w:color w:val="1A4473"/>
                <w:sz w:val="19"/>
              </w:rPr>
              <w:t>library</w:t>
            </w:r>
          </w:p>
        </w:tc>
        <w:tc>
          <w:tcPr>
            <w:tcW w:type="dxa" w:w="1904"/>
            <w:tcMar>
              <w:top w:w="60" w:type="dxa"/>
              <w:left w:w="110" w:type="dxa"/>
              <w:bottom w:w="60" w:type="dxa"/>
              <w:right w:w="110" w:type="dxa"/>
            </w:tcMar>
          </w:tcPr>
          <w:p>
            <w:pPr>
              <w:spacing w:after="0" w:line="252" w:lineRule="auto"/>
            </w:pPr>
            <w:r>
              <w:rPr>
                <w:sz w:val="19"/>
              </w:rPr>
              <w:t>Activo</w:t>
            </w:r>
          </w:p>
        </w:tc>
      </w:tr>
      <w:tr>
        <w:tc>
          <w:tcPr>
            <w:tcW w:type="dxa" w:w="2475"/>
            <w:shd w:val="clear" w:color="auto" w:fill="EEF2F8"/>
            <w:tcMar>
              <w:top w:w="60" w:type="dxa"/>
              <w:left w:w="110" w:type="dxa"/>
              <w:bottom w:w="60" w:type="dxa"/>
              <w:right w:w="110" w:type="dxa"/>
            </w:tcMar>
          </w:tcPr>
          <w:p>
            <w:pPr>
              <w:spacing w:after="0" w:line="252" w:lineRule="auto"/>
            </w:pPr>
            <w:r>
              <w:rPr>
                <w:sz w:val="19"/>
              </w:rPr>
              <w:t>LDAP</w:t>
            </w:r>
          </w:p>
        </w:tc>
        <w:tc>
          <w:tcPr>
            <w:tcW w:type="dxa" w:w="5140"/>
            <w:shd w:val="clear" w:color="auto" w:fill="EEF2F8"/>
            <w:tcMar>
              <w:top w:w="60" w:type="dxa"/>
              <w:left w:w="110" w:type="dxa"/>
              <w:bottom w:w="60" w:type="dxa"/>
              <w:right w:w="110" w:type="dxa"/>
            </w:tcMar>
          </w:tcPr>
          <w:p>
            <w:pPr>
              <w:spacing w:after="0" w:line="252" w:lineRule="auto"/>
            </w:pPr>
            <w:r>
              <w:rPr>
                <w:sz w:val="19"/>
              </w:rPr>
              <w:t>Keycloak → User federation (script de configuración)</w:t>
            </w:r>
          </w:p>
        </w:tc>
        <w:tc>
          <w:tcPr>
            <w:tcW w:type="dxa" w:w="1904"/>
            <w:shd w:val="clear" w:color="auto" w:fill="EEF2F8"/>
            <w:tcMar>
              <w:top w:w="60" w:type="dxa"/>
              <w:left w:w="110" w:type="dxa"/>
              <w:bottom w:w="60" w:type="dxa"/>
              <w:right w:w="110" w:type="dxa"/>
            </w:tcMar>
          </w:tcPr>
          <w:p>
            <w:pPr>
              <w:spacing w:after="0" w:line="252" w:lineRule="auto"/>
            </w:pPr>
            <w:r>
              <w:rPr>
                <w:sz w:val="19"/>
              </w:rPr>
              <w:t>Desplegable</w:t>
            </w:r>
          </w:p>
        </w:tc>
      </w:tr>
      <w:tr>
        <w:tc>
          <w:tcPr>
            <w:tcW w:type="dxa" w:w="2475"/>
            <w:tcMar>
              <w:top w:w="60" w:type="dxa"/>
              <w:left w:w="110" w:type="dxa"/>
              <w:bottom w:w="60" w:type="dxa"/>
              <w:right w:w="110" w:type="dxa"/>
            </w:tcMar>
          </w:tcPr>
          <w:p>
            <w:pPr>
              <w:spacing w:after="0" w:line="252" w:lineRule="auto"/>
            </w:pPr>
            <w:r>
              <w:rPr>
                <w:sz w:val="19"/>
              </w:rPr>
              <w:t>SAML 2.0</w:t>
            </w:r>
          </w:p>
        </w:tc>
        <w:tc>
          <w:tcPr>
            <w:tcW w:type="dxa" w:w="5140"/>
            <w:tcMar>
              <w:top w:w="60" w:type="dxa"/>
              <w:left w:w="110" w:type="dxa"/>
              <w:bottom w:w="60" w:type="dxa"/>
              <w:right w:w="110" w:type="dxa"/>
            </w:tcMar>
          </w:tcPr>
          <w:p>
            <w:pPr>
              <w:spacing w:after="0" w:line="252" w:lineRule="auto"/>
            </w:pPr>
            <w:r>
              <w:rPr>
                <w:sz w:val="19"/>
              </w:rPr>
              <w:t>Keycloak → Identity providers → SAML</w:t>
            </w:r>
          </w:p>
        </w:tc>
        <w:tc>
          <w:tcPr>
            <w:tcW w:type="dxa" w:w="1904"/>
            <w:tcMar>
              <w:top w:w="60" w:type="dxa"/>
              <w:left w:w="110" w:type="dxa"/>
              <w:bottom w:w="60" w:type="dxa"/>
              <w:right w:w="110" w:type="dxa"/>
            </w:tcMar>
          </w:tcPr>
          <w:p>
            <w:pPr>
              <w:spacing w:after="0" w:line="252" w:lineRule="auto"/>
            </w:pPr>
            <w:r>
              <w:rPr>
                <w:sz w:val="19"/>
              </w:rPr>
              <w:t>Soportado</w:t>
            </w:r>
          </w:p>
        </w:tc>
      </w:tr>
      <w:tr>
        <w:tc>
          <w:tcPr>
            <w:tcW w:type="dxa" w:w="2475"/>
            <w:shd w:val="clear" w:color="auto" w:fill="EEF2F8"/>
            <w:tcMar>
              <w:top w:w="60" w:type="dxa"/>
              <w:left w:w="110" w:type="dxa"/>
              <w:bottom w:w="60" w:type="dxa"/>
              <w:right w:w="110" w:type="dxa"/>
            </w:tcMar>
          </w:tcPr>
          <w:p>
            <w:pPr>
              <w:spacing w:after="0" w:line="252" w:lineRule="auto"/>
            </w:pPr>
            <w:r>
              <w:rPr>
                <w:sz w:val="19"/>
              </w:rPr>
              <w:t>CAS</w:t>
            </w:r>
          </w:p>
        </w:tc>
        <w:tc>
          <w:tcPr>
            <w:tcW w:type="dxa" w:w="5140"/>
            <w:shd w:val="clear" w:color="auto" w:fill="EEF2F8"/>
            <w:tcMar>
              <w:top w:w="60" w:type="dxa"/>
              <w:left w:w="110" w:type="dxa"/>
              <w:bottom w:w="60" w:type="dxa"/>
              <w:right w:w="110" w:type="dxa"/>
            </w:tcMar>
          </w:tcPr>
          <w:p>
            <w:pPr>
              <w:spacing w:after="0" w:line="252" w:lineRule="auto"/>
            </w:pPr>
            <w:r>
              <w:rPr>
                <w:sz w:val="19"/>
              </w:rPr>
              <w:t>Keycloak → Identity providers → CAS</w:t>
            </w:r>
          </w:p>
        </w:tc>
        <w:tc>
          <w:tcPr>
            <w:tcW w:type="dxa" w:w="1904"/>
            <w:shd w:val="clear" w:color="auto" w:fill="EEF2F8"/>
            <w:tcMar>
              <w:top w:w="60" w:type="dxa"/>
              <w:left w:w="110" w:type="dxa"/>
              <w:bottom w:w="60" w:type="dxa"/>
              <w:right w:w="110" w:type="dxa"/>
            </w:tcMar>
          </w:tcPr>
          <w:p>
            <w:pPr>
              <w:spacing w:after="0" w:line="252" w:lineRule="auto"/>
            </w:pPr>
            <w:r>
              <w:rPr>
                <w:sz w:val="19"/>
              </w:rPr>
              <w:t>Soportado</w:t>
            </w:r>
          </w:p>
        </w:tc>
      </w:tr>
      <w:tr>
        <w:tc>
          <w:tcPr>
            <w:tcW w:type="dxa" w:w="2475"/>
            <w:tcMar>
              <w:top w:w="60" w:type="dxa"/>
              <w:left w:w="110" w:type="dxa"/>
              <w:bottom w:w="60" w:type="dxa"/>
              <w:right w:w="110" w:type="dxa"/>
            </w:tcMar>
          </w:tcPr>
          <w:p>
            <w:pPr>
              <w:spacing w:after="0" w:line="252" w:lineRule="auto"/>
            </w:pPr>
            <w:r>
              <w:rPr>
                <w:sz w:val="19"/>
              </w:rPr>
              <w:t>LTI (Canvas, Moodle)</w:t>
            </w:r>
          </w:p>
        </w:tc>
        <w:tc>
          <w:tcPr>
            <w:tcW w:type="dxa" w:w="5140"/>
            <w:tcMar>
              <w:top w:w="60" w:type="dxa"/>
              <w:left w:w="110" w:type="dxa"/>
              <w:bottom w:w="60" w:type="dxa"/>
              <w:right w:w="110" w:type="dxa"/>
            </w:tcMar>
          </w:tcPr>
          <w:p>
            <w:pPr>
              <w:spacing w:after="0" w:line="252" w:lineRule="auto"/>
            </w:pPr>
            <w:r>
              <w:rPr>
                <w:sz w:val="19"/>
              </w:rPr>
              <w:t xml:space="preserve">Intermediario LTI que abre sesión en el realm </w:t>
            </w:r>
            <w:r>
              <w:rPr>
                <w:rFonts w:ascii="Consolas" w:hAnsi="Consolas" w:eastAsia="Consolas"/>
                <w:color w:val="1A4473"/>
                <w:sz w:val="19"/>
              </w:rPr>
              <w:t>library</w:t>
            </w:r>
          </w:p>
        </w:tc>
        <w:tc>
          <w:tcPr>
            <w:tcW w:type="dxa" w:w="1904"/>
            <w:tcMar>
              <w:top w:w="60" w:type="dxa"/>
              <w:left w:w="110" w:type="dxa"/>
              <w:bottom w:w="60" w:type="dxa"/>
              <w:right w:w="110" w:type="dxa"/>
            </w:tcMar>
          </w:tcPr>
          <w:p>
            <w:pPr>
              <w:spacing w:after="0" w:line="252" w:lineRule="auto"/>
            </w:pPr>
            <w:r>
              <w:rPr>
                <w:sz w:val="19"/>
              </w:rPr>
              <w:t>Soportado</w:t>
            </w:r>
          </w:p>
        </w:tc>
      </w:tr>
      <w:tr>
        <w:tc>
          <w:tcPr>
            <w:tcW w:type="dxa" w:w="2475"/>
            <w:shd w:val="clear" w:color="auto" w:fill="EEF2F8"/>
            <w:tcMar>
              <w:top w:w="60" w:type="dxa"/>
              <w:left w:w="110" w:type="dxa"/>
              <w:bottom w:w="60" w:type="dxa"/>
              <w:right w:w="110" w:type="dxa"/>
            </w:tcMar>
          </w:tcPr>
          <w:p>
            <w:pPr>
              <w:spacing w:after="0" w:line="252" w:lineRule="auto"/>
            </w:pPr>
            <w:r>
              <w:rPr>
                <w:sz w:val="19"/>
              </w:rPr>
              <w:t>Microsoft Entra ID / Google</w:t>
            </w:r>
          </w:p>
        </w:tc>
        <w:tc>
          <w:tcPr>
            <w:tcW w:type="dxa" w:w="5140"/>
            <w:shd w:val="clear" w:color="auto" w:fill="EEF2F8"/>
            <w:tcMar>
              <w:top w:w="60" w:type="dxa"/>
              <w:left w:w="110" w:type="dxa"/>
              <w:bottom w:w="60" w:type="dxa"/>
              <w:right w:w="110" w:type="dxa"/>
            </w:tcMar>
          </w:tcPr>
          <w:p>
            <w:pPr>
              <w:spacing w:after="0" w:line="252" w:lineRule="auto"/>
            </w:pPr>
            <w:r>
              <w:rPr>
                <w:sz w:val="19"/>
              </w:rPr>
              <w:t>Keycloak → Identity providers → OIDC</w:t>
            </w:r>
          </w:p>
        </w:tc>
        <w:tc>
          <w:tcPr>
            <w:tcW w:type="dxa" w:w="1904"/>
            <w:shd w:val="clear" w:color="auto" w:fill="EEF2F8"/>
            <w:tcMar>
              <w:top w:w="60" w:type="dxa"/>
              <w:left w:w="110" w:type="dxa"/>
              <w:bottom w:w="60" w:type="dxa"/>
              <w:right w:w="110" w:type="dxa"/>
            </w:tcMar>
          </w:tcPr>
          <w:p>
            <w:pPr>
              <w:spacing w:after="0" w:line="252" w:lineRule="auto"/>
            </w:pPr>
            <w:r>
              <w:rPr>
                <w:sz w:val="19"/>
              </w:rPr>
              <w:t>Soportado</w:t>
            </w:r>
          </w:p>
        </w:tc>
      </w:tr>
    </w:tbl>
    <w:p>
      <w:pPr>
        <w:spacing w:after="0" w:before="0" w:line="240" w:lineRule="auto"/>
      </w:pPr>
      <w:r>
        <w:rPr>
          <w:sz w:val="12"/>
        </w:rPr>
      </w:r>
    </w:p>
    <w:p>
      <w:pPr>
        <w:spacing w:after="120"/>
      </w:pPr>
      <w:r>
        <w:t xml:space="preserve">La guía ampliada de estas integraciones está en </w:t>
      </w:r>
      <w:r>
        <w:rPr>
          <w:rFonts w:ascii="Consolas" w:hAnsi="Consolas" w:eastAsia="Consolas"/>
          <w:color w:val="1A4473"/>
          <w:sz w:val="19"/>
        </w:rPr>
        <w:t>docs/milestone2-auth-and-stanzas.md</w:t>
      </w:r>
      <w:r>
        <w:t>.</w:t>
      </w:r>
    </w:p>
    <w:p>
      <w:pPr>
        <w:pStyle w:val="Heading2"/>
      </w:pPr>
      <w:r>
        <w:t>6.4 Cuentas de demostración</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2379"/>
        <w:gridCol w:w="2379"/>
        <w:gridCol w:w="2379"/>
        <w:gridCol w:w="2379"/>
      </w:tblGrid>
      <w:tr>
        <w:trPr>
          <w:tblHeader/>
        </w:trPr>
        <w:tc>
          <w:tcPr>
            <w:tcW w:type="dxa" w:w="1713"/>
            <w:shd w:val="clear" w:color="auto" w:fill="142F5A"/>
            <w:tcMar>
              <w:top w:w="60" w:type="dxa"/>
              <w:left w:w="110" w:type="dxa"/>
              <w:bottom w:w="60" w:type="dxa"/>
              <w:right w:w="110" w:type="dxa"/>
            </w:tcMar>
          </w:tcPr>
          <w:p>
            <w:pPr>
              <w:spacing w:after="0"/>
            </w:pPr>
            <w:r>
              <w:rPr>
                <w:b/>
                <w:color w:val="FFFFFF"/>
                <w:sz w:val="19"/>
              </w:rPr>
              <w:t>Usuario</w:t>
            </w:r>
          </w:p>
        </w:tc>
        <w:tc>
          <w:tcPr>
            <w:tcW w:type="dxa" w:w="1713"/>
            <w:shd w:val="clear" w:color="auto" w:fill="142F5A"/>
            <w:tcMar>
              <w:top w:w="60" w:type="dxa"/>
              <w:left w:w="110" w:type="dxa"/>
              <w:bottom w:w="60" w:type="dxa"/>
              <w:right w:w="110" w:type="dxa"/>
            </w:tcMar>
          </w:tcPr>
          <w:p>
            <w:pPr>
              <w:spacing w:after="0"/>
            </w:pPr>
            <w:r>
              <w:rPr>
                <w:b/>
                <w:color w:val="FFFFFF"/>
                <w:sz w:val="19"/>
              </w:rPr>
              <w:t>Contraseña</w:t>
            </w:r>
          </w:p>
        </w:tc>
        <w:tc>
          <w:tcPr>
            <w:tcW w:type="dxa" w:w="2094"/>
            <w:shd w:val="clear" w:color="auto" w:fill="142F5A"/>
            <w:tcMar>
              <w:top w:w="60" w:type="dxa"/>
              <w:left w:w="110" w:type="dxa"/>
              <w:bottom w:w="60" w:type="dxa"/>
              <w:right w:w="110" w:type="dxa"/>
            </w:tcMar>
          </w:tcPr>
          <w:p>
            <w:pPr>
              <w:spacing w:after="0"/>
            </w:pPr>
            <w:r>
              <w:rPr>
                <w:b/>
                <w:color w:val="FFFFFF"/>
                <w:sz w:val="19"/>
              </w:rPr>
              <w:t>Roles</w:t>
            </w:r>
          </w:p>
        </w:tc>
        <w:tc>
          <w:tcPr>
            <w:tcW w:type="dxa" w:w="3998"/>
            <w:shd w:val="clear" w:color="auto" w:fill="142F5A"/>
            <w:tcMar>
              <w:top w:w="60" w:type="dxa"/>
              <w:left w:w="110" w:type="dxa"/>
              <w:bottom w:w="60" w:type="dxa"/>
              <w:right w:w="110" w:type="dxa"/>
            </w:tcMar>
          </w:tcPr>
          <w:p>
            <w:pPr>
              <w:spacing w:after="0"/>
            </w:pPr>
            <w:r>
              <w:rPr>
                <w:b/>
                <w:color w:val="FFFFFF"/>
                <w:sz w:val="19"/>
              </w:rPr>
              <w:t>Uso previsto</w:t>
            </w:r>
          </w:p>
        </w:tc>
      </w:tr>
      <w:tr>
        <w:tc>
          <w:tcPr>
            <w:tcW w:type="dxa" w:w="1713"/>
            <w:tcMar>
              <w:top w:w="60" w:type="dxa"/>
              <w:left w:w="110" w:type="dxa"/>
              <w:bottom w:w="60" w:type="dxa"/>
              <w:right w:w="110" w:type="dxa"/>
            </w:tcMar>
          </w:tcPr>
          <w:p>
            <w:pPr>
              <w:spacing w:after="0" w:line="252" w:lineRule="auto"/>
            </w:pPr>
            <w:r>
              <w:rPr>
                <w:rFonts w:ascii="Consolas" w:hAnsi="Consolas" w:eastAsia="Consolas"/>
                <w:color w:val="1A4473"/>
                <w:sz w:val="19"/>
              </w:rPr>
              <w:t>demo</w:t>
            </w:r>
          </w:p>
        </w:tc>
        <w:tc>
          <w:tcPr>
            <w:tcW w:type="dxa" w:w="1713"/>
            <w:tcMar>
              <w:top w:w="60" w:type="dxa"/>
              <w:left w:w="110" w:type="dxa"/>
              <w:bottom w:w="60" w:type="dxa"/>
              <w:right w:w="110" w:type="dxa"/>
            </w:tcMar>
          </w:tcPr>
          <w:p>
            <w:pPr>
              <w:spacing w:after="0" w:line="252" w:lineRule="auto"/>
            </w:pPr>
            <w:r>
              <w:rPr>
                <w:rFonts w:ascii="Consolas" w:hAnsi="Consolas" w:eastAsia="Consolas"/>
                <w:color w:val="1A4473"/>
                <w:sz w:val="19"/>
              </w:rPr>
              <w:t>demo123</w:t>
            </w:r>
          </w:p>
        </w:tc>
        <w:tc>
          <w:tcPr>
            <w:tcW w:type="dxa" w:w="2094"/>
            <w:tcMar>
              <w:top w:w="60" w:type="dxa"/>
              <w:left w:w="110" w:type="dxa"/>
              <w:bottom w:w="60" w:type="dxa"/>
              <w:right w:w="110" w:type="dxa"/>
            </w:tcMar>
          </w:tcPr>
          <w:p>
            <w:pPr>
              <w:spacing w:after="0" w:line="252" w:lineRule="auto"/>
            </w:pPr>
            <w:r>
              <w:rPr>
                <w:rFonts w:ascii="Consolas" w:hAnsi="Consolas" w:eastAsia="Consolas"/>
                <w:color w:val="1A4473"/>
                <w:sz w:val="19"/>
              </w:rPr>
              <w:t>user</w:t>
            </w:r>
          </w:p>
        </w:tc>
        <w:tc>
          <w:tcPr>
            <w:tcW w:type="dxa" w:w="3998"/>
            <w:tcMar>
              <w:top w:w="60" w:type="dxa"/>
              <w:left w:w="110" w:type="dxa"/>
              <w:bottom w:w="60" w:type="dxa"/>
              <w:right w:w="110" w:type="dxa"/>
            </w:tcMar>
          </w:tcPr>
          <w:p>
            <w:pPr>
              <w:spacing w:after="0" w:line="252" w:lineRule="auto"/>
            </w:pPr>
            <w:r>
              <w:rPr>
                <w:sz w:val="19"/>
              </w:rPr>
              <w:t>Persona de la comunidad universitaria</w:t>
            </w:r>
          </w:p>
        </w:tc>
      </w:tr>
      <w:tr>
        <w:tc>
          <w:tcPr>
            <w:tcW w:type="dxa" w:w="1713"/>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librarian</w:t>
            </w:r>
          </w:p>
        </w:tc>
        <w:tc>
          <w:tcPr>
            <w:tcW w:type="dxa" w:w="1713"/>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admin123</w:t>
            </w:r>
          </w:p>
        </w:tc>
        <w:tc>
          <w:tcPr>
            <w:tcW w:type="dxa" w:w="209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user</w:t>
            </w:r>
            <w:r>
              <w:rPr>
                <w:sz w:val="19"/>
              </w:rPr>
              <w:t xml:space="preserve">, </w:t>
            </w:r>
            <w:r>
              <w:rPr>
                <w:rFonts w:ascii="Consolas" w:hAnsi="Consolas" w:eastAsia="Consolas"/>
                <w:color w:val="1A4473"/>
                <w:sz w:val="19"/>
              </w:rPr>
              <w:t>admin</w:t>
            </w:r>
          </w:p>
        </w:tc>
        <w:tc>
          <w:tcPr>
            <w:tcW w:type="dxa" w:w="3998"/>
            <w:shd w:val="clear" w:color="auto" w:fill="EEF2F8"/>
            <w:tcMar>
              <w:top w:w="60" w:type="dxa"/>
              <w:left w:w="110" w:type="dxa"/>
              <w:bottom w:w="60" w:type="dxa"/>
              <w:right w:w="110" w:type="dxa"/>
            </w:tcMar>
          </w:tcPr>
          <w:p>
            <w:pPr>
              <w:spacing w:after="0" w:line="252" w:lineRule="auto"/>
            </w:pPr>
            <w:r>
              <w:rPr>
                <w:sz w:val="19"/>
              </w:rPr>
              <w:t>Bibliotecario con acceso al panel de aprobación</w:t>
            </w:r>
          </w:p>
        </w:tc>
      </w:tr>
    </w:tbl>
    <w:p>
      <w:pPr>
        <w:spacing w:after="0" w:before="0" w:line="240" w:lineRule="auto"/>
      </w:pPr>
      <w:r>
        <w:rPr>
          <w:sz w:val="12"/>
        </w:rPr>
      </w:r>
    </w:p>
    <w:tbl>
      <w:tblPr>
        <w:tblW w:type="auto" w:w="0"/>
        <w:tblBorders>
          <w:top w:val="single" w:sz="4" w:space="0" w:color="E8A33D"/>
          <w:left w:val="single" w:sz="4" w:space="0" w:color="E8A33D"/>
          <w:bottom w:val="single" w:sz="4" w:space="0" w:color="E8A33D"/>
          <w:right w:val="single" w:sz="4" w:space="0" w:color="E8A33D"/>
          <w:insideH w:val="single" w:sz="4" w:space="0" w:color="E8A33D"/>
          <w:insideV w:val="single" w:sz="4" w:space="0" w:color="E8A33D"/>
        </w:tblBorders>
        <w:tblLayout w:type="fixed"/>
        <w:tblLook w:firstColumn="1" w:firstRow="1" w:lastColumn="0" w:lastRow="0" w:noHBand="0" w:noVBand="1" w:val="04A0"/>
      </w:tblPr>
      <w:tblGrid>
        <w:gridCol w:w="9518"/>
      </w:tblGrid>
      <w:tr>
        <w:tc>
          <w:tcPr>
            <w:tcW w:type="dxa" w:w="9518"/>
            <w:shd w:val="clear" w:color="auto" w:fill="FFF6E5"/>
            <w:tcMar>
              <w:top w:w="100" w:type="dxa"/>
              <w:left w:w="150" w:type="dxa"/>
              <w:bottom w:w="100" w:type="dxa"/>
              <w:right w:w="150" w:type="dxa"/>
            </w:tcMar>
          </w:tcPr>
          <w:p>
            <w:pPr>
              <w:spacing w:after="0"/>
            </w:pPr>
            <w:r>
              <w:rPr>
                <w:b/>
                <w:color w:val="8A5A0B"/>
                <w:sz w:val="18"/>
              </w:rPr>
              <w:t xml:space="preserve">IMPORTANTE  </w:t>
            </w:r>
            <w:r>
              <w:rPr>
                <w:sz w:val="20"/>
              </w:rPr>
              <w:t xml:space="preserve">Estas cuentas existen para demostración y para los ejercicios de capacitación. Antes de abrir el sistema a la comunidad deben cambiarse sus contraseñas y rotarse los secretos del archivo </w:t>
            </w:r>
            <w:r>
              <w:rPr>
                <w:rFonts w:ascii="Consolas" w:hAnsi="Consolas" w:eastAsia="Consolas"/>
                <w:color w:val="1A4473"/>
                <w:sz w:val="20"/>
              </w:rPr>
              <w:t>.env</w:t>
            </w:r>
            <w:r>
              <w:rPr>
                <w:sz w:val="20"/>
              </w:rPr>
              <w:t>.</w:t>
            </w:r>
          </w:p>
        </w:tc>
      </w:tr>
    </w:tbl>
    <w:p>
      <w:pPr>
        <w:spacing w:after="0" w:before="0" w:line="240" w:lineRule="auto"/>
      </w:pPr>
      <w:r>
        <w:rPr>
          <w:sz w:val="8"/>
        </w:rPr>
      </w:r>
    </w:p>
    <w:p>
      <w:pPr>
        <w:pStyle w:val="Heading2"/>
      </w:pPr>
      <w:r>
        <w:t>6.5 Cierre de sesión</w:t>
      </w:r>
    </w:p>
    <w:p>
      <w:pPr>
        <w:spacing w:after="120"/>
      </w:pPr>
      <w:r>
        <w:t xml:space="preserve">El cierre de sesión se realiza por el flujo de oauth2-proxy y Keycloak. Tras cerrar sesión, cualquier recurso protegido debe volver a solicitar autenticación; el script </w:t>
      </w:r>
      <w:r>
        <w:rPr>
          <w:rFonts w:ascii="Consolas" w:hAnsi="Consolas" w:eastAsia="Consolas"/>
          <w:color w:val="1A4473"/>
          <w:sz w:val="19"/>
        </w:rPr>
        <w:t>validate-auth-flows.sh</w:t>
      </w:r>
      <w:r>
        <w:t xml:space="preserve"> comprueba automáticamente este comportamiento.</w:t>
      </w:r>
    </w:p>
    <w:p>
      <w:r>
        <w:br w:type="page"/>
      </w:r>
    </w:p>
    <w:p>
      <w:pPr>
        <w:pStyle w:val="Heading1"/>
        <w:pBdr>
          <w:bottom w:val="single" w:sz="6" w:space="4" w:color="9DB6D4"/>
        </w:pBdr>
      </w:pPr>
      <w:r>
        <w:t>7. Bases de datos editoriales (stanzas)</w:t>
      </w:r>
    </w:p>
    <w:p>
      <w:pPr>
        <w:pStyle w:val="Heading2"/>
      </w:pPr>
      <w:r>
        <w:t>7.1 Recursos configurados</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2379"/>
        <w:gridCol w:w="2379"/>
        <w:gridCol w:w="2379"/>
        <w:gridCol w:w="2379"/>
      </w:tblGrid>
      <w:tr>
        <w:trPr>
          <w:tblHeader/>
        </w:trPr>
        <w:tc>
          <w:tcPr>
            <w:tcW w:type="dxa" w:w="1904"/>
            <w:shd w:val="clear" w:color="auto" w:fill="142F5A"/>
            <w:tcMar>
              <w:top w:w="60" w:type="dxa"/>
              <w:left w:w="110" w:type="dxa"/>
              <w:bottom w:w="60" w:type="dxa"/>
              <w:right w:w="110" w:type="dxa"/>
            </w:tcMar>
          </w:tcPr>
          <w:p>
            <w:pPr>
              <w:spacing w:after="0"/>
            </w:pPr>
            <w:r>
              <w:rPr>
                <w:b/>
                <w:color w:val="FFFFFF"/>
                <w:sz w:val="19"/>
              </w:rPr>
              <w:t>Stanza</w:t>
            </w:r>
          </w:p>
        </w:tc>
        <w:tc>
          <w:tcPr>
            <w:tcW w:type="dxa" w:w="2284"/>
            <w:shd w:val="clear" w:color="auto" w:fill="142F5A"/>
            <w:tcMar>
              <w:top w:w="60" w:type="dxa"/>
              <w:left w:w="110" w:type="dxa"/>
              <w:bottom w:w="60" w:type="dxa"/>
              <w:right w:w="110" w:type="dxa"/>
            </w:tcMar>
          </w:tcPr>
          <w:p>
            <w:pPr>
              <w:spacing w:after="0"/>
            </w:pPr>
            <w:r>
              <w:rPr>
                <w:b/>
                <w:color w:val="FFFFFF"/>
                <w:sz w:val="19"/>
              </w:rPr>
              <w:t>Ruta pública</w:t>
            </w:r>
          </w:p>
        </w:tc>
        <w:tc>
          <w:tcPr>
            <w:tcW w:type="dxa" w:w="2855"/>
            <w:shd w:val="clear" w:color="auto" w:fill="142F5A"/>
            <w:tcMar>
              <w:top w:w="60" w:type="dxa"/>
              <w:left w:w="110" w:type="dxa"/>
              <w:bottom w:w="60" w:type="dxa"/>
              <w:right w:w="110" w:type="dxa"/>
            </w:tcMar>
          </w:tcPr>
          <w:p>
            <w:pPr>
              <w:spacing w:after="0"/>
            </w:pPr>
            <w:r>
              <w:rPr>
                <w:b/>
                <w:color w:val="FFFFFF"/>
                <w:sz w:val="19"/>
              </w:rPr>
              <w:t>Destino</w:t>
            </w:r>
          </w:p>
        </w:tc>
        <w:tc>
          <w:tcPr>
            <w:tcW w:type="dxa" w:w="2475"/>
            <w:shd w:val="clear" w:color="auto" w:fill="142F5A"/>
            <w:tcMar>
              <w:top w:w="60" w:type="dxa"/>
              <w:left w:w="110" w:type="dxa"/>
              <w:bottom w:w="60" w:type="dxa"/>
              <w:right w:w="110" w:type="dxa"/>
            </w:tcMar>
          </w:tcPr>
          <w:p>
            <w:pPr>
              <w:spacing w:after="0"/>
            </w:pPr>
            <w:r>
              <w:rPr>
                <w:b/>
                <w:color w:val="FFFFFF"/>
                <w:sz w:val="19"/>
              </w:rPr>
              <w:t>Modo</w:t>
            </w:r>
          </w:p>
        </w:tc>
      </w:tr>
      <w:tr>
        <w:tc>
          <w:tcPr>
            <w:tcW w:type="dxa" w:w="1904"/>
            <w:tcMar>
              <w:top w:w="60" w:type="dxa"/>
              <w:left w:w="110" w:type="dxa"/>
              <w:bottom w:w="60" w:type="dxa"/>
              <w:right w:w="110" w:type="dxa"/>
            </w:tcMar>
          </w:tcPr>
          <w:p>
            <w:pPr>
              <w:spacing w:after="0" w:line="252" w:lineRule="auto"/>
            </w:pPr>
            <w:r>
              <w:rPr>
                <w:rFonts w:ascii="Consolas" w:hAnsi="Consolas" w:eastAsia="Consolas"/>
                <w:color w:val="1A4473"/>
                <w:sz w:val="19"/>
              </w:rPr>
              <w:t>simulator</w:t>
            </w:r>
          </w:p>
        </w:tc>
        <w:tc>
          <w:tcPr>
            <w:tcW w:type="dxa" w:w="2284"/>
            <w:tcMar>
              <w:top w:w="60" w:type="dxa"/>
              <w:left w:w="110" w:type="dxa"/>
              <w:bottom w:w="60" w:type="dxa"/>
              <w:right w:w="110" w:type="dxa"/>
            </w:tcMar>
          </w:tcPr>
          <w:p>
            <w:pPr>
              <w:spacing w:after="0" w:line="252" w:lineRule="auto"/>
            </w:pPr>
            <w:r>
              <w:rPr>
                <w:rFonts w:ascii="Consolas" w:hAnsi="Consolas" w:eastAsia="Consolas"/>
                <w:color w:val="1A4473"/>
                <w:sz w:val="19"/>
              </w:rPr>
              <w:t>/r/simulator/</w:t>
            </w:r>
          </w:p>
        </w:tc>
        <w:tc>
          <w:tcPr>
            <w:tcW w:type="dxa" w:w="2855"/>
            <w:tcMar>
              <w:top w:w="60" w:type="dxa"/>
              <w:left w:w="110" w:type="dxa"/>
              <w:bottom w:w="60" w:type="dxa"/>
              <w:right w:w="110" w:type="dxa"/>
            </w:tcMar>
          </w:tcPr>
          <w:p>
            <w:pPr>
              <w:spacing w:after="0" w:line="252" w:lineRule="auto"/>
            </w:pPr>
            <w:r>
              <w:rPr>
                <w:sz w:val="19"/>
              </w:rPr>
              <w:t>Contenedor local de demostración</w:t>
            </w:r>
          </w:p>
        </w:tc>
        <w:tc>
          <w:tcPr>
            <w:tcW w:type="dxa" w:w="2475"/>
            <w:tcMar>
              <w:top w:w="60" w:type="dxa"/>
              <w:left w:w="110" w:type="dxa"/>
              <w:bottom w:w="60" w:type="dxa"/>
              <w:right w:w="110" w:type="dxa"/>
            </w:tcMar>
          </w:tcPr>
          <w:p>
            <w:pPr>
              <w:spacing w:after="0" w:line="252" w:lineRule="auto"/>
            </w:pPr>
            <w:r>
              <w:rPr>
                <w:sz w:val="19"/>
              </w:rPr>
              <w:t>Simulador</w:t>
            </w:r>
          </w:p>
        </w:tc>
      </w:tr>
      <w:tr>
        <w:tc>
          <w:tcPr>
            <w:tcW w:type="dxa" w:w="190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sciencedirect</w:t>
            </w:r>
          </w:p>
        </w:tc>
        <w:tc>
          <w:tcPr>
            <w:tcW w:type="dxa" w:w="228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/r/sciencedirect/</w:t>
            </w:r>
          </w:p>
        </w:tc>
        <w:tc>
          <w:tcPr>
            <w:tcW w:type="dxa" w:w="2855"/>
            <w:shd w:val="clear" w:color="auto" w:fill="EEF2F8"/>
            <w:tcMar>
              <w:top w:w="60" w:type="dxa"/>
              <w:left w:w="110" w:type="dxa"/>
              <w:bottom w:w="60" w:type="dxa"/>
              <w:right w:w="110" w:type="dxa"/>
            </w:tcMar>
          </w:tcPr>
          <w:p>
            <w:pPr>
              <w:spacing w:after="0" w:line="252" w:lineRule="auto"/>
            </w:pPr>
            <w:r>
              <w:rPr>
                <w:sz w:val="19"/>
              </w:rPr>
              <w:t>www.sciencedirect.com</w:t>
            </w:r>
          </w:p>
        </w:tc>
        <w:tc>
          <w:tcPr>
            <w:tcW w:type="dxa" w:w="2475"/>
            <w:shd w:val="clear" w:color="auto" w:fill="EEF2F8"/>
            <w:tcMar>
              <w:top w:w="60" w:type="dxa"/>
              <w:left w:w="110" w:type="dxa"/>
              <w:bottom w:w="60" w:type="dxa"/>
              <w:right w:w="110" w:type="dxa"/>
            </w:tcMar>
          </w:tcPr>
          <w:p>
            <w:pPr>
              <w:spacing w:after="0" w:line="252" w:lineRule="auto"/>
            </w:pPr>
            <w:r>
              <w:rPr>
                <w:sz w:val="19"/>
              </w:rPr>
              <w:t>Real — requiere IP autorizada</w:t>
            </w:r>
          </w:p>
        </w:tc>
      </w:tr>
      <w:tr>
        <w:tc>
          <w:tcPr>
            <w:tcW w:type="dxa" w:w="1904"/>
            <w:tcMar>
              <w:top w:w="60" w:type="dxa"/>
              <w:left w:w="110" w:type="dxa"/>
              <w:bottom w:w="60" w:type="dxa"/>
              <w:right w:w="110" w:type="dxa"/>
            </w:tcMar>
          </w:tcPr>
          <w:p>
            <w:pPr>
              <w:spacing w:after="0" w:line="252" w:lineRule="auto"/>
            </w:pPr>
            <w:r>
              <w:rPr>
                <w:rFonts w:ascii="Consolas" w:hAnsi="Consolas" w:eastAsia="Consolas"/>
                <w:color w:val="1A4473"/>
                <w:sz w:val="19"/>
              </w:rPr>
              <w:t>scopus</w:t>
            </w:r>
          </w:p>
        </w:tc>
        <w:tc>
          <w:tcPr>
            <w:tcW w:type="dxa" w:w="2284"/>
            <w:tcMar>
              <w:top w:w="60" w:type="dxa"/>
              <w:left w:w="110" w:type="dxa"/>
              <w:bottom w:w="60" w:type="dxa"/>
              <w:right w:w="110" w:type="dxa"/>
            </w:tcMar>
          </w:tcPr>
          <w:p>
            <w:pPr>
              <w:spacing w:after="0" w:line="252" w:lineRule="auto"/>
            </w:pPr>
            <w:r>
              <w:rPr>
                <w:rFonts w:ascii="Consolas" w:hAnsi="Consolas" w:eastAsia="Consolas"/>
                <w:color w:val="1A4473"/>
                <w:sz w:val="19"/>
              </w:rPr>
              <w:t>/r/scopus/</w:t>
            </w:r>
          </w:p>
        </w:tc>
        <w:tc>
          <w:tcPr>
            <w:tcW w:type="dxa" w:w="2855"/>
            <w:tcMar>
              <w:top w:w="60" w:type="dxa"/>
              <w:left w:w="110" w:type="dxa"/>
              <w:bottom w:w="60" w:type="dxa"/>
              <w:right w:w="110" w:type="dxa"/>
            </w:tcMar>
          </w:tcPr>
          <w:p>
            <w:pPr>
              <w:spacing w:after="0" w:line="252" w:lineRule="auto"/>
            </w:pPr>
            <w:r>
              <w:rPr>
                <w:sz w:val="19"/>
              </w:rPr>
              <w:t>www.scopus.com</w:t>
            </w:r>
          </w:p>
        </w:tc>
        <w:tc>
          <w:tcPr>
            <w:tcW w:type="dxa" w:w="2475"/>
            <w:tcMar>
              <w:top w:w="60" w:type="dxa"/>
              <w:left w:w="110" w:type="dxa"/>
              <w:bottom w:w="60" w:type="dxa"/>
              <w:right w:w="110" w:type="dxa"/>
            </w:tcMar>
          </w:tcPr>
          <w:p>
            <w:pPr>
              <w:spacing w:after="0" w:line="252" w:lineRule="auto"/>
            </w:pPr>
            <w:r>
              <w:rPr>
                <w:sz w:val="19"/>
              </w:rPr>
              <w:t>Real — requiere IP autorizada</w:t>
            </w:r>
          </w:p>
        </w:tc>
      </w:tr>
      <w:tr>
        <w:tc>
          <w:tcPr>
            <w:tcW w:type="dxa" w:w="190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iop</w:t>
            </w:r>
          </w:p>
        </w:tc>
        <w:tc>
          <w:tcPr>
            <w:tcW w:type="dxa" w:w="228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/r/iop/</w:t>
            </w:r>
          </w:p>
        </w:tc>
        <w:tc>
          <w:tcPr>
            <w:tcW w:type="dxa" w:w="2855"/>
            <w:shd w:val="clear" w:color="auto" w:fill="EEF2F8"/>
            <w:tcMar>
              <w:top w:w="60" w:type="dxa"/>
              <w:left w:w="110" w:type="dxa"/>
              <w:bottom w:w="60" w:type="dxa"/>
              <w:right w:w="110" w:type="dxa"/>
            </w:tcMar>
          </w:tcPr>
          <w:p>
            <w:pPr>
              <w:spacing w:after="0" w:line="252" w:lineRule="auto"/>
            </w:pPr>
            <w:r>
              <w:rPr>
                <w:sz w:val="19"/>
              </w:rPr>
              <w:t>iopscience.iop.org</w:t>
            </w:r>
          </w:p>
        </w:tc>
        <w:tc>
          <w:tcPr>
            <w:tcW w:type="dxa" w:w="2475"/>
            <w:shd w:val="clear" w:color="auto" w:fill="EEF2F8"/>
            <w:tcMar>
              <w:top w:w="60" w:type="dxa"/>
              <w:left w:w="110" w:type="dxa"/>
              <w:bottom w:w="60" w:type="dxa"/>
              <w:right w:w="110" w:type="dxa"/>
            </w:tcMar>
          </w:tcPr>
          <w:p>
            <w:pPr>
              <w:spacing w:after="0" w:line="252" w:lineRule="auto"/>
            </w:pPr>
            <w:r>
              <w:rPr>
                <w:sz w:val="19"/>
              </w:rPr>
              <w:t>Real — requiere IP autorizada</w:t>
            </w:r>
          </w:p>
        </w:tc>
      </w:tr>
    </w:tbl>
    <w:p>
      <w:pPr>
        <w:spacing w:after="0" w:before="0" w:line="240" w:lineRule="auto"/>
      </w:pPr>
      <w:r>
        <w:rPr>
          <w:sz w:val="12"/>
        </w:rPr>
      </w:r>
    </w:p>
    <w:p>
      <w:pPr>
        <w:spacing w:after="120"/>
      </w:pPr>
      <w:r>
        <w:t xml:space="preserve">El catálogo visible para el usuario, protegido por SSO, está en </w:t>
      </w:r>
      <w:r>
        <w:rPr>
          <w:rFonts w:ascii="Consolas" w:hAnsi="Consolas" w:eastAsia="Consolas"/>
          <w:color w:val="1A4473"/>
          <w:sz w:val="19"/>
        </w:rPr>
        <w:t>https://proxy.bibliolatino.com/databases.html</w:t>
      </w:r>
      <w:r>
        <w:t>.</w:t>
      </w:r>
    </w:p>
    <w:p>
      <w:pPr>
        <w:pStyle w:val="Heading2"/>
      </w:pPr>
      <w:r>
        <w:t>7.2 Anatomía de una stanza</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name: simulator</w:t>
            </w:r>
          </w:p>
          <w:p>
            <w:pPr>
              <w:spacing w:after="0" w:before="0" w:line="240" w:lineRule="auto"/>
            </w:pPr>
            <w:r>
              <w:rPr>
                <w:rFonts w:ascii="Consolas" w:hAnsi="Consolas" w:eastAsia="Consolas"/>
                <w:color w:val="1B2A3D"/>
                <w:sz w:val="17"/>
              </w:rPr>
              <w:t>title: Revista de demostracion</w:t>
            </w:r>
          </w:p>
          <w:p>
            <w:pPr>
              <w:spacing w:after="0" w:before="0" w:line="240" w:lineRule="auto"/>
            </w:pPr>
            <w:r>
              <w:rPr>
                <w:rFonts w:ascii="Consolas" w:hAnsi="Consolas" w:eastAsia="Consolas"/>
                <w:color w:val="1B2A3D"/>
                <w:sz w:val="17"/>
              </w:rPr>
              <w:t>description: Entorno de prueba...</w:t>
            </w:r>
          </w:p>
          <w:p>
            <w:pPr>
              <w:spacing w:after="0" w:before="0" w:line="240" w:lineRule="auto"/>
            </w:pPr>
            <w:r>
              <w:rPr>
                <w:rFonts w:ascii="Consolas" w:hAnsi="Consolas" w:eastAsia="Consolas"/>
                <w:color w:val="1B2A3D"/>
                <w:sz w:val="17"/>
              </w:rPr>
              <w:t>enabled: true</w:t>
            </w:r>
          </w:p>
          <w:p>
            <w:pPr>
              <w:spacing w:after="0" w:before="0" w:line="240" w:lineRule="auto"/>
            </w:pPr>
            <w:r>
              <w:rPr>
                <w:rFonts w:ascii="Consolas" w:hAnsi="Consolas" w:eastAsia="Consolas"/>
                <w:color w:val="1B2A3D"/>
                <w:sz w:val="17"/>
              </w:rPr>
              <w:t>mode: simulator                 # live | simulator</w:t>
            </w:r>
          </w:p>
          <w:p>
            <w:pPr>
              <w:spacing w:after="0" w:before="0" w:line="240" w:lineRule="auto"/>
            </w:pPr>
            <w:r>
              <w:rPr>
                <w:rFonts w:ascii="Consolas" w:hAnsi="Consolas" w:eastAsia="Consolas"/>
                <w:color w:val="1B2A3D"/>
                <w:sz w:val="17"/>
              </w:rPr>
              <w:t>target: http://publisher-simulator:80</w:t>
            </w:r>
          </w:p>
          <w:p>
            <w:pPr>
              <w:spacing w:after="0" w:before="0" w:line="240" w:lineRule="auto"/>
            </w:pPr>
            <w:r>
              <w:rPr>
                <w:rFonts w:ascii="Consolas" w:hAnsi="Consolas" w:eastAsia="Consolas"/>
                <w:color w:val="1B2A3D"/>
                <w:sz w:val="17"/>
              </w:rPr>
              <w:t>host_header: publisher-simulator</w:t>
            </w:r>
          </w:p>
          <w:p>
            <w:pPr>
              <w:spacing w:after="0" w:before="0" w:line="240" w:lineRule="auto"/>
            </w:pPr>
            <w:r>
              <w:rPr>
                <w:rFonts w:ascii="Consolas" w:hAnsi="Consolas" w:eastAsia="Consolas"/>
                <w:color w:val="1B2A3D"/>
                <w:sz w:val="17"/>
              </w:rPr>
              <w:t>start_path: /</w:t>
            </w:r>
          </w:p>
          <w:p>
            <w:pPr>
              <w:spacing w:after="0" w:before="0" w:line="240" w:lineRule="auto"/>
            </w:pPr>
            <w:r>
              <w:rPr>
                <w:rFonts w:ascii="Consolas" w:hAnsi="Consolas" w:eastAsia="Consolas"/>
                <w:color w:val="1B2A3D"/>
                <w:sz w:val="17"/>
              </w:rPr>
              <w:t>find_replace:</w:t>
            </w:r>
          </w:p>
          <w:p>
            <w:pPr>
              <w:spacing w:after="0" w:before="0" w:line="240" w:lineRule="auto"/>
            </w:pPr>
            <w:r>
              <w:rPr>
                <w:rFonts w:ascii="Consolas" w:hAnsi="Consolas" w:eastAsia="Consolas"/>
                <w:color w:val="1B2A3D"/>
                <w:sz w:val="17"/>
              </w:rPr>
              <w:t xml:space="preserve">  - find: "https://publisher.example/"</w:t>
            </w:r>
          </w:p>
          <w:p>
            <w:pPr>
              <w:spacing w:after="0" w:before="0" w:line="240" w:lineRule="auto"/>
            </w:pPr>
            <w:r>
              <w:rPr>
                <w:rFonts w:ascii="Consolas" w:hAnsi="Consolas" w:eastAsia="Consolas"/>
                <w:color w:val="1B2A3D"/>
                <w:sz w:val="17"/>
              </w:rPr>
              <w:t xml:space="preserve">    replace: "{{PROXY_BASE}}/" </w:t>
            </w:r>
          </w:p>
        </w:tc>
      </w:tr>
    </w:tbl>
    <w:p>
      <w:pPr>
        <w:spacing w:before="60" w:after="200"/>
      </w:pPr>
      <w:r>
        <w:rPr>
          <w:i/>
          <w:color w:val="555F6D"/>
          <w:sz w:val="17"/>
        </w:rPr>
        <w:t>Archivo `stanzas/simulator.yml`. El marcador `{{PROXY_BASE}}` se sustituye por la URL pública del recurso, por ejemplo `https://proxy.bibliolatino.com/r/simulator`.</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2475"/>
            <w:shd w:val="clear" w:color="auto" w:fill="142F5A"/>
            <w:tcMar>
              <w:top w:w="60" w:type="dxa"/>
              <w:left w:w="110" w:type="dxa"/>
              <w:bottom w:w="60" w:type="dxa"/>
              <w:right w:w="110" w:type="dxa"/>
            </w:tcMar>
          </w:tcPr>
          <w:p>
            <w:pPr>
              <w:spacing w:after="0"/>
            </w:pPr>
            <w:r>
              <w:rPr>
                <w:b/>
                <w:color w:val="FFFFFF"/>
                <w:sz w:val="19"/>
              </w:rPr>
              <w:t>Clave</w:t>
            </w:r>
          </w:p>
        </w:tc>
        <w:tc>
          <w:tcPr>
            <w:tcW w:type="dxa" w:w="7043"/>
            <w:shd w:val="clear" w:color="auto" w:fill="142F5A"/>
            <w:tcMar>
              <w:top w:w="60" w:type="dxa"/>
              <w:left w:w="110" w:type="dxa"/>
              <w:bottom w:w="60" w:type="dxa"/>
              <w:right w:w="110" w:type="dxa"/>
            </w:tcMar>
          </w:tcPr>
          <w:p>
            <w:pPr>
              <w:spacing w:after="0"/>
            </w:pPr>
            <w:r>
              <w:rPr>
                <w:b/>
                <w:color w:val="FFFFFF"/>
                <w:sz w:val="19"/>
              </w:rPr>
              <w:t>Significado</w:t>
            </w:r>
          </w:p>
        </w:tc>
      </w:tr>
      <w:tr>
        <w:tc>
          <w:tcPr>
            <w:tcW w:type="dxa" w:w="2475"/>
            <w:tcMar>
              <w:top w:w="60" w:type="dxa"/>
              <w:left w:w="110" w:type="dxa"/>
              <w:bottom w:w="60" w:type="dxa"/>
              <w:right w:w="110" w:type="dxa"/>
            </w:tcMar>
          </w:tcPr>
          <w:p>
            <w:pPr>
              <w:spacing w:after="0" w:line="252" w:lineRule="auto"/>
            </w:pPr>
            <w:r>
              <w:rPr>
                <w:rFonts w:ascii="Consolas" w:hAnsi="Consolas" w:eastAsia="Consolas"/>
                <w:color w:val="1A4473"/>
                <w:sz w:val="19"/>
              </w:rPr>
              <w:t>name</w:t>
            </w:r>
          </w:p>
        </w:tc>
        <w:tc>
          <w:tcPr>
            <w:tcW w:type="dxa" w:w="7043"/>
            <w:tcMar>
              <w:top w:w="60" w:type="dxa"/>
              <w:left w:w="110" w:type="dxa"/>
              <w:bottom w:w="60" w:type="dxa"/>
              <w:right w:w="110" w:type="dxa"/>
            </w:tcMar>
          </w:tcPr>
          <w:p>
            <w:pPr>
              <w:spacing w:after="0" w:line="252" w:lineRule="auto"/>
            </w:pPr>
            <w:r>
              <w:rPr>
                <w:sz w:val="19"/>
              </w:rPr>
              <w:t xml:space="preserve">Identificador interno; define la ruta </w:t>
            </w:r>
            <w:r>
              <w:rPr>
                <w:rFonts w:ascii="Consolas" w:hAnsi="Consolas" w:eastAsia="Consolas"/>
                <w:color w:val="1A4473"/>
                <w:sz w:val="19"/>
              </w:rPr>
              <w:t>/r/&lt;name&gt;/</w:t>
            </w:r>
          </w:p>
        </w:tc>
      </w:tr>
      <w:tr>
        <w:tc>
          <w:tcPr>
            <w:tcW w:type="dxa" w:w="247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title</w:t>
            </w:r>
            <w:r>
              <w:rPr>
                <w:sz w:val="19"/>
              </w:rPr>
              <w:t xml:space="preserve">, </w:t>
            </w:r>
            <w:r>
              <w:rPr>
                <w:rFonts w:ascii="Consolas" w:hAnsi="Consolas" w:eastAsia="Consolas"/>
                <w:color w:val="1A4473"/>
                <w:sz w:val="19"/>
              </w:rPr>
              <w:t>description</w:t>
            </w:r>
          </w:p>
        </w:tc>
        <w:tc>
          <w:tcPr>
            <w:tcW w:type="dxa" w:w="7043"/>
            <w:shd w:val="clear" w:color="auto" w:fill="EEF2F8"/>
            <w:tcMar>
              <w:top w:w="60" w:type="dxa"/>
              <w:left w:w="110" w:type="dxa"/>
              <w:bottom w:w="60" w:type="dxa"/>
              <w:right w:w="110" w:type="dxa"/>
            </w:tcMar>
          </w:tcPr>
          <w:p>
            <w:pPr>
              <w:spacing w:after="0" w:line="252" w:lineRule="auto"/>
            </w:pPr>
            <w:r>
              <w:rPr>
                <w:sz w:val="19"/>
              </w:rPr>
              <w:t>Texto que se muestra en el catálogo</w:t>
            </w:r>
          </w:p>
        </w:tc>
      </w:tr>
      <w:tr>
        <w:tc>
          <w:tcPr>
            <w:tcW w:type="dxa" w:w="2475"/>
            <w:tcMar>
              <w:top w:w="60" w:type="dxa"/>
              <w:left w:w="110" w:type="dxa"/>
              <w:bottom w:w="60" w:type="dxa"/>
              <w:right w:w="110" w:type="dxa"/>
            </w:tcMar>
          </w:tcPr>
          <w:p>
            <w:pPr>
              <w:spacing w:after="0" w:line="252" w:lineRule="auto"/>
            </w:pPr>
            <w:r>
              <w:rPr>
                <w:rFonts w:ascii="Consolas" w:hAnsi="Consolas" w:eastAsia="Consolas"/>
                <w:color w:val="1A4473"/>
                <w:sz w:val="19"/>
              </w:rPr>
              <w:t>enabled</w:t>
            </w:r>
          </w:p>
        </w:tc>
        <w:tc>
          <w:tcPr>
            <w:tcW w:type="dxa" w:w="7043"/>
            <w:tcMar>
              <w:top w:w="60" w:type="dxa"/>
              <w:left w:w="110" w:type="dxa"/>
              <w:bottom w:w="60" w:type="dxa"/>
              <w:right w:w="110" w:type="dxa"/>
            </w:tcMar>
          </w:tcPr>
          <w:p>
            <w:pPr>
              <w:spacing w:after="0" w:line="252" w:lineRule="auto"/>
            </w:pPr>
            <w:r>
              <w:rPr>
                <w:sz w:val="19"/>
              </w:rPr>
              <w:t>Publica u oculta el recurso sin borrar su definición</w:t>
            </w:r>
          </w:p>
        </w:tc>
      </w:tr>
      <w:tr>
        <w:tc>
          <w:tcPr>
            <w:tcW w:type="dxa" w:w="247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mode</w:t>
            </w:r>
          </w:p>
        </w:tc>
        <w:tc>
          <w:tcPr>
            <w:tcW w:type="dxa" w:w="7043"/>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live</w:t>
            </w:r>
            <w:r>
              <w:rPr>
                <w:sz w:val="19"/>
              </w:rPr>
              <w:t xml:space="preserve"> para una editorial real; </w:t>
            </w:r>
            <w:r>
              <w:rPr>
                <w:rFonts w:ascii="Consolas" w:hAnsi="Consolas" w:eastAsia="Consolas"/>
                <w:color w:val="1A4473"/>
                <w:sz w:val="19"/>
              </w:rPr>
              <w:t>simulator</w:t>
            </w:r>
            <w:r>
              <w:rPr>
                <w:sz w:val="19"/>
              </w:rPr>
              <w:t xml:space="preserve"> para el entorno de prácticas</w:t>
            </w:r>
          </w:p>
        </w:tc>
      </w:tr>
      <w:tr>
        <w:tc>
          <w:tcPr>
            <w:tcW w:type="dxa" w:w="2475"/>
            <w:tcMar>
              <w:top w:w="60" w:type="dxa"/>
              <w:left w:w="110" w:type="dxa"/>
              <w:bottom w:w="60" w:type="dxa"/>
              <w:right w:w="110" w:type="dxa"/>
            </w:tcMar>
          </w:tcPr>
          <w:p>
            <w:pPr>
              <w:spacing w:after="0" w:line="252" w:lineRule="auto"/>
            </w:pPr>
            <w:r>
              <w:rPr>
                <w:rFonts w:ascii="Consolas" w:hAnsi="Consolas" w:eastAsia="Consolas"/>
                <w:color w:val="1A4473"/>
                <w:sz w:val="19"/>
              </w:rPr>
              <w:t>target</w:t>
            </w:r>
          </w:p>
        </w:tc>
        <w:tc>
          <w:tcPr>
            <w:tcW w:type="dxa" w:w="7043"/>
            <w:tcMar>
              <w:top w:w="60" w:type="dxa"/>
              <w:left w:w="110" w:type="dxa"/>
              <w:bottom w:w="60" w:type="dxa"/>
              <w:right w:w="110" w:type="dxa"/>
            </w:tcMar>
          </w:tcPr>
          <w:p>
            <w:pPr>
              <w:spacing w:after="0" w:line="252" w:lineRule="auto"/>
            </w:pPr>
            <w:r>
              <w:rPr>
                <w:sz w:val="19"/>
              </w:rPr>
              <w:t>Origen real al que se reenvía la petición</w:t>
            </w:r>
          </w:p>
        </w:tc>
      </w:tr>
      <w:tr>
        <w:tc>
          <w:tcPr>
            <w:tcW w:type="dxa" w:w="247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host_header</w:t>
            </w:r>
          </w:p>
        </w:tc>
        <w:tc>
          <w:tcPr>
            <w:tcW w:type="dxa" w:w="7043"/>
            <w:shd w:val="clear" w:color="auto" w:fill="EEF2F8"/>
            <w:tcMar>
              <w:top w:w="60" w:type="dxa"/>
              <w:left w:w="110" w:type="dxa"/>
              <w:bottom w:w="60" w:type="dxa"/>
              <w:right w:w="110" w:type="dxa"/>
            </w:tcMar>
          </w:tcPr>
          <w:p>
            <w:pPr>
              <w:spacing w:after="0" w:line="252" w:lineRule="auto"/>
            </w:pPr>
            <w:r>
              <w:rPr>
                <w:sz w:val="19"/>
              </w:rPr>
              <w:t xml:space="preserve">Cabecera </w:t>
            </w:r>
            <w:r>
              <w:rPr>
                <w:rFonts w:ascii="Consolas" w:hAnsi="Consolas" w:eastAsia="Consolas"/>
                <w:color w:val="1A4473"/>
                <w:sz w:val="19"/>
              </w:rPr>
              <w:t>Host</w:t>
            </w:r>
            <w:r>
              <w:rPr>
                <w:sz w:val="19"/>
              </w:rPr>
              <w:t xml:space="preserve"> que espera el origen</w:t>
            </w:r>
          </w:p>
        </w:tc>
      </w:tr>
      <w:tr>
        <w:tc>
          <w:tcPr>
            <w:tcW w:type="dxa" w:w="2475"/>
            <w:tcMar>
              <w:top w:w="60" w:type="dxa"/>
              <w:left w:w="110" w:type="dxa"/>
              <w:bottom w:w="60" w:type="dxa"/>
              <w:right w:w="110" w:type="dxa"/>
            </w:tcMar>
          </w:tcPr>
          <w:p>
            <w:pPr>
              <w:spacing w:after="0" w:line="252" w:lineRule="auto"/>
            </w:pPr>
            <w:r>
              <w:rPr>
                <w:rFonts w:ascii="Consolas" w:hAnsi="Consolas" w:eastAsia="Consolas"/>
                <w:color w:val="1A4473"/>
                <w:sz w:val="19"/>
              </w:rPr>
              <w:t>find_replace</w:t>
            </w:r>
          </w:p>
        </w:tc>
        <w:tc>
          <w:tcPr>
            <w:tcW w:type="dxa" w:w="7043"/>
            <w:tcMar>
              <w:top w:w="60" w:type="dxa"/>
              <w:left w:w="110" w:type="dxa"/>
              <w:bottom w:w="60" w:type="dxa"/>
              <w:right w:w="110" w:type="dxa"/>
            </w:tcMar>
          </w:tcPr>
          <w:p>
            <w:pPr>
              <w:spacing w:after="0" w:line="252" w:lineRule="auto"/>
            </w:pPr>
            <w:r>
              <w:rPr>
                <w:sz w:val="19"/>
              </w:rPr>
              <w:t>Reglas de reescritura de URLs absolutas dentro del HTML</w:t>
            </w:r>
          </w:p>
        </w:tc>
      </w:tr>
    </w:tbl>
    <w:p>
      <w:pPr>
        <w:spacing w:after="0" w:before="0" w:line="240" w:lineRule="auto"/>
      </w:pPr>
      <w:r>
        <w:rPr>
          <w:sz w:val="12"/>
        </w:rPr>
      </w:r>
    </w:p>
    <w:p>
      <w:pPr>
        <w:pStyle w:val="Heading2"/>
      </w:pPr>
      <w:r>
        <w:t>7.3 Incorporar una base de datos nueva</w:t>
      </w:r>
    </w:p>
    <w:p>
      <w:pPr>
        <w:pStyle w:val="ListNumber"/>
      </w:pPr>
      <w:r>
        <w:t xml:space="preserve">Copiar una stanza existente como plantilla: </w:t>
      </w:r>
      <w:r>
        <w:rPr>
          <w:rFonts w:ascii="Consolas" w:hAnsi="Consolas" w:eastAsia="Consolas"/>
          <w:color w:val="1A4473"/>
          <w:sz w:val="19"/>
        </w:rPr>
        <w:t>stanzas/simulator.yml</w:t>
      </w:r>
      <w:r>
        <w:t xml:space="preserve"> → </w:t>
      </w:r>
      <w:r>
        <w:rPr>
          <w:rFonts w:ascii="Consolas" w:hAnsi="Consolas" w:eastAsia="Consolas"/>
          <w:color w:val="1A4473"/>
          <w:sz w:val="19"/>
        </w:rPr>
        <w:t>stanzas/&lt;nombre&gt;.yml</w:t>
      </w:r>
      <w:r>
        <w:t>.</w:t>
      </w:r>
    </w:p>
    <w:p>
      <w:pPr>
        <w:pStyle w:val="ListNumber"/>
      </w:pPr>
      <w:r>
        <w:t xml:space="preserve">Completar </w:t>
      </w:r>
      <w:r>
        <w:rPr>
          <w:rFonts w:ascii="Consolas" w:hAnsi="Consolas" w:eastAsia="Consolas"/>
          <w:color w:val="1A4473"/>
          <w:sz w:val="19"/>
        </w:rPr>
        <w:t>name</w:t>
      </w:r>
      <w:r>
        <w:t xml:space="preserve">, </w:t>
      </w:r>
      <w:r>
        <w:rPr>
          <w:rFonts w:ascii="Consolas" w:hAnsi="Consolas" w:eastAsia="Consolas"/>
          <w:color w:val="1A4473"/>
          <w:sz w:val="19"/>
        </w:rPr>
        <w:t>title</w:t>
      </w:r>
      <w:r>
        <w:t xml:space="preserve">, </w:t>
      </w:r>
      <w:r>
        <w:rPr>
          <w:rFonts w:ascii="Consolas" w:hAnsi="Consolas" w:eastAsia="Consolas"/>
          <w:color w:val="1A4473"/>
          <w:sz w:val="19"/>
        </w:rPr>
        <w:t>target</w:t>
      </w:r>
      <w:r>
        <w:t xml:space="preserve">, </w:t>
      </w:r>
      <w:r>
        <w:rPr>
          <w:rFonts w:ascii="Consolas" w:hAnsi="Consolas" w:eastAsia="Consolas"/>
          <w:color w:val="1A4473"/>
          <w:sz w:val="19"/>
        </w:rPr>
        <w:t>host_header</w:t>
      </w:r>
      <w:r>
        <w:t xml:space="preserve"> y las reglas de </w:t>
      </w:r>
      <w:r>
        <w:rPr>
          <w:rFonts w:ascii="Consolas" w:hAnsi="Consolas" w:eastAsia="Consolas"/>
          <w:color w:val="1A4473"/>
          <w:sz w:val="19"/>
        </w:rPr>
        <w:t>find_replace</w:t>
      </w:r>
      <w:r>
        <w:t>.</w:t>
      </w:r>
    </w:p>
    <w:p>
      <w:pPr>
        <w:pStyle w:val="ListNumber"/>
      </w:pPr>
      <w:r>
        <w:t>Regenerar la configuración y recargar Nginx.</w:t>
      </w:r>
    </w:p>
    <w:p>
      <w:pPr>
        <w:pStyle w:val="ListNumber"/>
      </w:pPr>
      <w:r>
        <w:t>Si el recurso es real (</w:t>
      </w:r>
      <w:r>
        <w:rPr>
          <w:rFonts w:ascii="Consolas" w:hAnsi="Consolas" w:eastAsia="Consolas"/>
          <w:color w:val="1A4473"/>
          <w:sz w:val="19"/>
        </w:rPr>
        <w:t>mode: live</w:t>
      </w:r>
      <w:r>
        <w:t>), solicitar a la editorial la autorización de la IP de salida.</w:t>
      </w:r>
    </w:p>
    <w:p>
      <w:pPr>
        <w:pStyle w:val="ListNumber"/>
      </w:pPr>
      <w:r>
        <w:t xml:space="preserve">Comprobar que aparece en </w:t>
      </w:r>
      <w:r>
        <w:rPr>
          <w:rFonts w:ascii="Consolas" w:hAnsi="Consolas" w:eastAsia="Consolas"/>
          <w:color w:val="1A4473"/>
          <w:sz w:val="19"/>
        </w:rPr>
        <w:t>/databases.html</w:t>
      </w:r>
      <w:r>
        <w:t xml:space="preserve"> y que </w:t>
      </w:r>
      <w:r>
        <w:rPr>
          <w:rFonts w:ascii="Consolas" w:hAnsi="Consolas" w:eastAsia="Consolas"/>
          <w:color w:val="1A4473"/>
          <w:sz w:val="19"/>
        </w:rPr>
        <w:t>/r/&lt;nombre&gt;/</w:t>
      </w:r>
      <w:r>
        <w:t xml:space="preserve"> abre correctamente.</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PUBLIC_HOST=proxy.bibliolatino.com PUBLIC_SCHEME=https ./scripts/generate-proxy-conf.py</w:t>
            </w:r>
          </w:p>
          <w:p>
            <w:pPr>
              <w:spacing w:after="0" w:before="0" w:line="240" w:lineRule="auto"/>
            </w:pPr>
            <w:r>
              <w:rPr>
                <w:rFonts w:ascii="Consolas" w:hAnsi="Consolas" w:eastAsia="Consolas"/>
                <w:color w:val="1B2A3D"/>
                <w:sz w:val="17"/>
              </w:rPr>
              <w:t>docker compose exec nginx nginx -s reload</w:t>
            </w:r>
          </w:p>
        </w:tc>
      </w:tr>
    </w:tbl>
    <w:p>
      <w:pPr>
        <w:spacing w:after="0" w:before="0" w:line="240" w:lineRule="auto"/>
      </w:pPr>
      <w:r>
        <w:rPr>
          <w:sz w:val="8"/>
        </w:rPr>
      </w:r>
    </w:p>
    <w:p>
      <w:pPr>
        <w:pStyle w:val="Heading2"/>
      </w:pPr>
      <w:r>
        <w:t>7.4 Cómo funciona la reescritura</w:t>
      </w:r>
    </w:p>
    <w:p>
      <w:pPr>
        <w:pStyle w:val="ListNumber"/>
      </w:pPr>
      <w:r>
        <w:t xml:space="preserve">El usuario solicita </w:t>
      </w:r>
      <w:r>
        <w:rPr>
          <w:rFonts w:ascii="Consolas" w:hAnsi="Consolas" w:eastAsia="Consolas"/>
          <w:color w:val="1A4473"/>
          <w:sz w:val="19"/>
        </w:rPr>
        <w:t>/r/sciencedirect/...</w:t>
      </w:r>
      <w:r>
        <w:t xml:space="preserve"> dentro del dominio institucional.</w:t>
      </w:r>
    </w:p>
    <w:p>
      <w:pPr>
        <w:pStyle w:val="ListNumber"/>
      </w:pPr>
      <w:r>
        <w:t xml:space="preserve">Nginx reenvía la petición al origen real con la cabecera </w:t>
      </w:r>
      <w:r>
        <w:rPr>
          <w:rFonts w:ascii="Consolas" w:hAnsi="Consolas" w:eastAsia="Consolas"/>
          <w:color w:val="1A4473"/>
          <w:sz w:val="19"/>
        </w:rPr>
        <w:t>Host</w:t>
      </w:r>
      <w:r>
        <w:t xml:space="preserve"> correcta.</w:t>
      </w:r>
    </w:p>
    <w:p>
      <w:pPr>
        <w:pStyle w:val="ListNumber"/>
      </w:pPr>
      <w:r>
        <w:t>La respuesta HTML se filtra y las URLs absolutas del editor se reescriben hacia el proxy.</w:t>
      </w:r>
    </w:p>
    <w:p>
      <w:pPr>
        <w:pStyle w:val="ListNumber"/>
      </w:pPr>
      <w:r>
        <w:t>El usuario continúa navegando sin abandonar el dominio institucional, de modo que la sesión y la autorización por IP se mantienen.</w:t>
      </w:r>
    </w:p>
    <w:p>
      <w:pPr>
        <w:spacing w:after="120"/>
      </w:pPr>
      <w:r>
        <w:t>El simulador editorial sirve páginas, PDF y vídeo con URLs absolutas deliberadamente externas: permite practicar y demostrar la reescritura sin depender de la disponibilidad ni de la autorización de una editorial real.</w:t>
      </w:r>
    </w:p>
    <w:p>
      <w:r>
        <w:br w:type="page"/>
      </w:r>
    </w:p>
    <w:p>
      <w:pPr>
        <w:pStyle w:val="Heading1"/>
        <w:pBdr>
          <w:bottom w:val="single" w:sz="6" w:space="4" w:color="9DB6D4"/>
        </w:pBdr>
      </w:pPr>
      <w:r>
        <w:t>8. Portal de invitados</w:t>
      </w:r>
    </w:p>
    <w:p>
      <w:pPr>
        <w:pStyle w:val="Heading2"/>
      </w:pPr>
      <w:r>
        <w:t>8.1 Direcciones</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2284"/>
            <w:shd w:val="clear" w:color="auto" w:fill="142F5A"/>
            <w:tcMar>
              <w:top w:w="60" w:type="dxa"/>
              <w:left w:w="110" w:type="dxa"/>
              <w:bottom w:w="60" w:type="dxa"/>
              <w:right w:w="110" w:type="dxa"/>
            </w:tcMar>
          </w:tcPr>
          <w:p>
            <w:pPr>
              <w:spacing w:after="0"/>
            </w:pPr>
            <w:r>
              <w:rPr>
                <w:b/>
                <w:color w:val="FFFFFF"/>
                <w:sz w:val="19"/>
              </w:rPr>
              <w:t>Dirección</w:t>
            </w:r>
          </w:p>
        </w:tc>
        <w:tc>
          <w:tcPr>
            <w:tcW w:type="dxa" w:w="2094"/>
            <w:shd w:val="clear" w:color="auto" w:fill="142F5A"/>
            <w:tcMar>
              <w:top w:w="60" w:type="dxa"/>
              <w:left w:w="110" w:type="dxa"/>
              <w:bottom w:w="60" w:type="dxa"/>
              <w:right w:w="110" w:type="dxa"/>
            </w:tcMar>
          </w:tcPr>
          <w:p>
            <w:pPr>
              <w:spacing w:after="0"/>
            </w:pPr>
            <w:r>
              <w:rPr>
                <w:b/>
                <w:color w:val="FFFFFF"/>
                <w:sz w:val="19"/>
              </w:rPr>
              <w:t>Quién accede</w:t>
            </w:r>
          </w:p>
        </w:tc>
        <w:tc>
          <w:tcPr>
            <w:tcW w:type="dxa" w:w="5140"/>
            <w:shd w:val="clear" w:color="auto" w:fill="142F5A"/>
            <w:tcMar>
              <w:top w:w="60" w:type="dxa"/>
              <w:left w:w="110" w:type="dxa"/>
              <w:bottom w:w="60" w:type="dxa"/>
              <w:right w:w="110" w:type="dxa"/>
            </w:tcMar>
          </w:tcPr>
          <w:p>
            <w:pPr>
              <w:spacing w:after="0"/>
            </w:pPr>
            <w:r>
              <w:rPr>
                <w:b/>
                <w:color w:val="FFFFFF"/>
                <w:sz w:val="19"/>
              </w:rPr>
              <w:t>Función</w:t>
            </w:r>
          </w:p>
        </w:tc>
      </w:tr>
      <w:tr>
        <w:tc>
          <w:tcPr>
            <w:tcW w:type="dxa" w:w="2284"/>
            <w:tcMar>
              <w:top w:w="60" w:type="dxa"/>
              <w:left w:w="110" w:type="dxa"/>
              <w:bottom w:w="60" w:type="dxa"/>
              <w:right w:w="110" w:type="dxa"/>
            </w:tcMar>
          </w:tcPr>
          <w:p>
            <w:pPr>
              <w:spacing w:after="0" w:line="252" w:lineRule="auto"/>
            </w:pPr>
            <w:r>
              <w:rPr>
                <w:rFonts w:ascii="Consolas" w:hAnsi="Consolas" w:eastAsia="Consolas"/>
                <w:color w:val="1A4473"/>
                <w:sz w:val="19"/>
              </w:rPr>
              <w:t>/guest/</w:t>
            </w:r>
          </w:p>
        </w:tc>
        <w:tc>
          <w:tcPr>
            <w:tcW w:type="dxa" w:w="2094"/>
            <w:tcMar>
              <w:top w:w="60" w:type="dxa"/>
              <w:left w:w="110" w:type="dxa"/>
              <w:bottom w:w="60" w:type="dxa"/>
              <w:right w:w="110" w:type="dxa"/>
            </w:tcMar>
          </w:tcPr>
          <w:p>
            <w:pPr>
              <w:spacing w:after="0" w:line="252" w:lineRule="auto"/>
            </w:pPr>
            <w:r>
              <w:rPr>
                <w:sz w:val="19"/>
              </w:rPr>
              <w:t>Público</w:t>
            </w:r>
          </w:p>
        </w:tc>
        <w:tc>
          <w:tcPr>
            <w:tcW w:type="dxa" w:w="5140"/>
            <w:tcMar>
              <w:top w:w="60" w:type="dxa"/>
              <w:left w:w="110" w:type="dxa"/>
              <w:bottom w:w="60" w:type="dxa"/>
              <w:right w:w="110" w:type="dxa"/>
            </w:tcMar>
          </w:tcPr>
          <w:p>
            <w:pPr>
              <w:spacing w:after="0" w:line="252" w:lineRule="auto"/>
            </w:pPr>
            <w:r>
              <w:rPr>
                <w:sz w:val="19"/>
              </w:rPr>
              <w:t>Formulario de solicitud de acceso</w:t>
            </w:r>
          </w:p>
        </w:tc>
      </w:tr>
      <w:tr>
        <w:tc>
          <w:tcPr>
            <w:tcW w:type="dxa" w:w="2284"/>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/guest/admin</w:t>
            </w:r>
          </w:p>
        </w:tc>
        <w:tc>
          <w:tcPr>
            <w:tcW w:type="dxa" w:w="2094"/>
            <w:shd w:val="clear" w:color="auto" w:fill="EEF2F8"/>
            <w:tcMar>
              <w:top w:w="60" w:type="dxa"/>
              <w:left w:w="110" w:type="dxa"/>
              <w:bottom w:w="60" w:type="dxa"/>
              <w:right w:w="110" w:type="dxa"/>
            </w:tcMar>
          </w:tcPr>
          <w:p>
            <w:pPr>
              <w:spacing w:after="0" w:line="252" w:lineRule="auto"/>
            </w:pPr>
            <w:r>
              <w:rPr>
                <w:sz w:val="19"/>
              </w:rPr>
              <w:t xml:space="preserve">Rol </w:t>
            </w:r>
            <w:r>
              <w:rPr>
                <w:rFonts w:ascii="Consolas" w:hAnsi="Consolas" w:eastAsia="Consolas"/>
                <w:color w:val="1A4473"/>
                <w:sz w:val="19"/>
              </w:rPr>
              <w:t>admin</w:t>
            </w:r>
          </w:p>
        </w:tc>
        <w:tc>
          <w:tcPr>
            <w:tcW w:type="dxa" w:w="5140"/>
            <w:shd w:val="clear" w:color="auto" w:fill="EEF2F8"/>
            <w:tcMar>
              <w:top w:w="60" w:type="dxa"/>
              <w:left w:w="110" w:type="dxa"/>
              <w:bottom w:w="60" w:type="dxa"/>
              <w:right w:w="110" w:type="dxa"/>
            </w:tcMar>
          </w:tcPr>
          <w:p>
            <w:pPr>
              <w:spacing w:after="0" w:line="252" w:lineRule="auto"/>
            </w:pPr>
            <w:r>
              <w:rPr>
                <w:sz w:val="19"/>
              </w:rPr>
              <w:t>Revisión, aprobación y rechazo de solicitudes</w:t>
            </w:r>
          </w:p>
        </w:tc>
      </w:tr>
    </w:tbl>
    <w:p>
      <w:pPr>
        <w:spacing w:after="0" w:before="0" w:line="240" w:lineRule="auto"/>
      </w:pPr>
      <w:r>
        <w:rPr>
          <w:sz w:val="12"/>
        </w:rPr>
      </w:r>
    </w:p>
    <w:p>
      <w:pPr>
        <w:pStyle w:val="Heading2"/>
      </w:pPr>
      <w:r>
        <w:t>8.2 Ciclo de vida de una solicitud</w:t>
      </w:r>
    </w:p>
    <w:p>
      <w:pPr>
        <w:pStyle w:val="ListNumber"/>
      </w:pPr>
      <w:r>
        <w:t xml:space="preserve">El visitante completa el formulario público; la solicitud se envía a </w:t>
      </w:r>
      <w:r>
        <w:rPr>
          <w:rFonts w:ascii="Consolas" w:hAnsi="Consolas" w:eastAsia="Consolas"/>
          <w:color w:val="1A4473"/>
          <w:sz w:val="19"/>
        </w:rPr>
        <w:t>POST /guest/api/register</w:t>
      </w:r>
      <w:r>
        <w:t>.</w:t>
      </w:r>
    </w:p>
    <w:p>
      <w:pPr>
        <w:pStyle w:val="ListNumber"/>
      </w:pPr>
      <w:r>
        <w:t xml:space="preserve">Se crea la cuenta en Keycloak </w:t>
      </w:r>
      <w:r>
        <w:rPr>
          <w:b/>
        </w:rPr>
        <w:t>deshabilitada</w:t>
      </w:r>
      <w:r>
        <w:t xml:space="preserve">, con el atributo </w:t>
      </w:r>
      <w:r>
        <w:rPr>
          <w:rFonts w:ascii="Consolas" w:hAnsi="Consolas" w:eastAsia="Consolas"/>
          <w:color w:val="1A4473"/>
          <w:sz w:val="19"/>
        </w:rPr>
        <w:t>guest_status=pending</w:t>
      </w:r>
      <w:r>
        <w:t xml:space="preserve"> y el rol </w:t>
      </w:r>
      <w:r>
        <w:rPr>
          <w:rFonts w:ascii="Consolas" w:hAnsi="Consolas" w:eastAsia="Consolas"/>
          <w:color w:val="1A4473"/>
          <w:sz w:val="19"/>
        </w:rPr>
        <w:t>guest</w:t>
      </w:r>
      <w:r>
        <w:t>.</w:t>
      </w:r>
    </w:p>
    <w:p>
      <w:pPr>
        <w:pStyle w:val="ListNumber"/>
      </w:pPr>
      <w:r>
        <w:t xml:space="preserve">Si la federación LDAP está activa, se crea la entrada correspondiente con </w:t>
      </w:r>
      <w:r>
        <w:rPr>
          <w:rFonts w:ascii="Consolas" w:hAnsi="Consolas" w:eastAsia="Consolas"/>
          <w:color w:val="1A4473"/>
          <w:sz w:val="19"/>
        </w:rPr>
        <w:t>employeeType=pending</w:t>
      </w:r>
      <w:r>
        <w:t>.</w:t>
      </w:r>
    </w:p>
    <w:p>
      <w:pPr>
        <w:pStyle w:val="ListNumber"/>
      </w:pPr>
      <w:r>
        <w:t xml:space="preserve">Un bibliotecario con rol </w:t>
      </w:r>
      <w:r>
        <w:rPr>
          <w:rFonts w:ascii="Consolas" w:hAnsi="Consolas" w:eastAsia="Consolas"/>
          <w:color w:val="1A4473"/>
          <w:sz w:val="19"/>
        </w:rPr>
        <w:t>admin</w:t>
      </w:r>
      <w:r>
        <w:t xml:space="preserve"> abre </w:t>
      </w:r>
      <w:r>
        <w:rPr>
          <w:rFonts w:ascii="Consolas" w:hAnsi="Consolas" w:eastAsia="Consolas"/>
          <w:color w:val="1A4473"/>
          <w:sz w:val="19"/>
        </w:rPr>
        <w:t>/guest/admin</w:t>
      </w:r>
      <w:r>
        <w:t xml:space="preserve"> y revisa las solicitudes pendientes.</w:t>
      </w:r>
    </w:p>
    <w:p>
      <w:pPr>
        <w:pStyle w:val="ListNumber"/>
      </w:pPr>
      <w:r>
        <w:t xml:space="preserve">Al </w:t>
      </w:r>
      <w:r>
        <w:rPr>
          <w:b/>
        </w:rPr>
        <w:t>aprobar</w:t>
      </w:r>
      <w:r>
        <w:t>, la cuenta se habilita (</w:t>
      </w:r>
      <w:r>
        <w:rPr>
          <w:rFonts w:ascii="Consolas" w:hAnsi="Consolas" w:eastAsia="Consolas"/>
          <w:color w:val="1A4473"/>
          <w:sz w:val="19"/>
        </w:rPr>
        <w:t>guest_status=approved</w:t>
      </w:r>
      <w:r>
        <w:t xml:space="preserve">, LDAP </w:t>
      </w:r>
      <w:r>
        <w:rPr>
          <w:rFonts w:ascii="Consolas" w:hAnsi="Consolas" w:eastAsia="Consolas"/>
          <w:color w:val="1A4473"/>
          <w:sz w:val="19"/>
        </w:rPr>
        <w:t>employeeType=guest</w:t>
      </w:r>
      <w:r>
        <w:t>) y el invitado puede iniciar sesión.</w:t>
      </w:r>
    </w:p>
    <w:p>
      <w:pPr>
        <w:pStyle w:val="ListNumber"/>
      </w:pPr>
      <w:r>
        <w:t xml:space="preserve">Al </w:t>
      </w:r>
      <w:r>
        <w:rPr>
          <w:b/>
        </w:rPr>
        <w:t>rechazar</w:t>
      </w:r>
      <w:r>
        <w:t>, la solicitud queda marcada (</w:t>
      </w:r>
      <w:r>
        <w:rPr>
          <w:rFonts w:ascii="Consolas" w:hAnsi="Consolas" w:eastAsia="Consolas"/>
          <w:color w:val="1A4473"/>
          <w:sz w:val="19"/>
        </w:rPr>
        <w:t>employeeType=rejected</w:t>
      </w:r>
      <w:r>
        <w:t>) y la cuenta no se habilita.</w:t>
      </w:r>
    </w:p>
    <w:tbl>
      <w:tblPr>
        <w:tblW w:type="auto" w:w="0"/>
        <w:tblBorders>
          <w:top w:val="single" w:sz="4" w:space="0" w:color="E8A33D"/>
          <w:left w:val="single" w:sz="4" w:space="0" w:color="E8A33D"/>
          <w:bottom w:val="single" w:sz="4" w:space="0" w:color="E8A33D"/>
          <w:right w:val="single" w:sz="4" w:space="0" w:color="E8A33D"/>
          <w:insideH w:val="single" w:sz="4" w:space="0" w:color="E8A33D"/>
          <w:insideV w:val="single" w:sz="4" w:space="0" w:color="E8A33D"/>
        </w:tblBorders>
        <w:tblLayout w:type="fixed"/>
        <w:tblLook w:firstColumn="1" w:firstRow="1" w:lastColumn="0" w:lastRow="0" w:noHBand="0" w:noVBand="1" w:val="04A0"/>
      </w:tblPr>
      <w:tblGrid>
        <w:gridCol w:w="9518"/>
      </w:tblGrid>
      <w:tr>
        <w:tc>
          <w:tcPr>
            <w:tcW w:type="dxa" w:w="9518"/>
            <w:shd w:val="clear" w:color="auto" w:fill="FFF6E5"/>
            <w:tcMar>
              <w:top w:w="100" w:type="dxa"/>
              <w:left w:w="150" w:type="dxa"/>
              <w:bottom w:w="100" w:type="dxa"/>
              <w:right w:w="150" w:type="dxa"/>
            </w:tcMar>
          </w:tcPr>
          <w:p>
            <w:pPr>
              <w:spacing w:after="0"/>
            </w:pPr>
            <w:r>
              <w:rPr>
                <w:b/>
                <w:color w:val="8A5A0B"/>
                <w:sz w:val="18"/>
              </w:rPr>
              <w:t xml:space="preserve">NOTA  </w:t>
            </w:r>
            <w:r>
              <w:rPr>
                <w:sz w:val="20"/>
              </w:rPr>
              <w:t xml:space="preserve">Que </w:t>
            </w:r>
            <w:r>
              <w:rPr>
                <w:rFonts w:ascii="Consolas" w:hAnsi="Consolas" w:eastAsia="Consolas"/>
                <w:color w:val="1A4473"/>
                <w:sz w:val="20"/>
              </w:rPr>
              <w:t>/guest/</w:t>
            </w:r>
            <w:r>
              <w:rPr>
                <w:sz w:val="20"/>
              </w:rPr>
              <w:t xml:space="preserve"> muestre siempre el formulario de solicitud es el comportamiento previsto: es una página pública de alta, no un área personal. La gestión se realiza en </w:t>
            </w:r>
            <w:r>
              <w:rPr>
                <w:rFonts w:ascii="Consolas" w:hAnsi="Consolas" w:eastAsia="Consolas"/>
                <w:color w:val="1A4473"/>
                <w:sz w:val="20"/>
              </w:rPr>
              <w:t>/guest/admin</w:t>
            </w:r>
            <w:r>
              <w:rPr>
                <w:sz w:val="20"/>
              </w:rPr>
              <w:t>, que sí exige sesión y rol de administrador.</w:t>
            </w:r>
          </w:p>
        </w:tc>
      </w:tr>
    </w:tbl>
    <w:p>
      <w:pPr>
        <w:spacing w:after="0" w:before="0" w:line="240" w:lineRule="auto"/>
      </w:pPr>
      <w:r>
        <w:rPr>
          <w:sz w:val="8"/>
        </w:rPr>
      </w:r>
    </w:p>
    <w:p>
      <w:pPr>
        <w:pStyle w:val="Heading2"/>
      </w:pPr>
      <w:r>
        <w:t>8.3 Configuración inicial</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./scripts/configure-guest-portal.sh</w:t>
            </w:r>
          </w:p>
        </w:tc>
      </w:tr>
    </w:tbl>
    <w:p>
      <w:pPr>
        <w:spacing w:after="0" w:before="0" w:line="240" w:lineRule="auto"/>
      </w:pPr>
      <w:r>
        <w:rPr>
          <w:sz w:val="8"/>
        </w:rPr>
      </w:r>
    </w:p>
    <w:p>
      <w:pPr>
        <w:spacing w:after="120"/>
      </w:pPr>
      <w:r>
        <w:t xml:space="preserve">El script otorga a la cuenta de servicio del cliente </w:t>
      </w:r>
      <w:r>
        <w:rPr>
          <w:rFonts w:ascii="Consolas" w:hAnsi="Consolas" w:eastAsia="Consolas"/>
          <w:color w:val="1A4473"/>
          <w:sz w:val="19"/>
        </w:rPr>
        <w:t>guest-portal</w:t>
      </w:r>
      <w:r>
        <w:t xml:space="preserve"> los permisos de la API de administración que necesita (</w:t>
      </w:r>
      <w:r>
        <w:rPr>
          <w:rFonts w:ascii="Consolas" w:hAnsi="Consolas" w:eastAsia="Consolas"/>
          <w:color w:val="1A4473"/>
          <w:sz w:val="19"/>
        </w:rPr>
        <w:t>manage-users</w:t>
      </w:r>
      <w:r>
        <w:t xml:space="preserve">, </w:t>
      </w:r>
      <w:r>
        <w:rPr>
          <w:rFonts w:ascii="Consolas" w:hAnsi="Consolas" w:eastAsia="Consolas"/>
          <w:color w:val="1A4473"/>
          <w:sz w:val="19"/>
        </w:rPr>
        <w:t>view-users</w:t>
      </w:r>
      <w:r>
        <w:t>, entre otros) y habilita los atributos personalizados. Se ejecuta una sola vez tras el primer arranque de Keycloak.</w:t>
      </w:r>
    </w:p>
    <w:p>
      <w:pPr>
        <w:pStyle w:val="Heading2"/>
      </w:pPr>
      <w:r>
        <w:t>8.4 Interfaz de programación</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2379"/>
        <w:gridCol w:w="2379"/>
        <w:gridCol w:w="2379"/>
        <w:gridCol w:w="2379"/>
      </w:tblGrid>
      <w:tr>
        <w:trPr>
          <w:tblHeader/>
        </w:trPr>
        <w:tc>
          <w:tcPr>
            <w:tcW w:type="dxa" w:w="1142"/>
            <w:shd w:val="clear" w:color="auto" w:fill="142F5A"/>
            <w:tcMar>
              <w:top w:w="60" w:type="dxa"/>
              <w:left w:w="110" w:type="dxa"/>
              <w:bottom w:w="60" w:type="dxa"/>
              <w:right w:w="110" w:type="dxa"/>
            </w:tcMar>
          </w:tcPr>
          <w:p>
            <w:pPr>
              <w:spacing w:after="0"/>
            </w:pPr>
            <w:r>
              <w:rPr>
                <w:b/>
                <w:color w:val="FFFFFF"/>
                <w:sz w:val="19"/>
              </w:rPr>
              <w:t>Método</w:t>
            </w:r>
          </w:p>
        </w:tc>
        <w:tc>
          <w:tcPr>
            <w:tcW w:type="dxa" w:w="3236"/>
            <w:shd w:val="clear" w:color="auto" w:fill="142F5A"/>
            <w:tcMar>
              <w:top w:w="60" w:type="dxa"/>
              <w:left w:w="110" w:type="dxa"/>
              <w:bottom w:w="60" w:type="dxa"/>
              <w:right w:w="110" w:type="dxa"/>
            </w:tcMar>
          </w:tcPr>
          <w:p>
            <w:pPr>
              <w:spacing w:after="0"/>
            </w:pPr>
            <w:r>
              <w:rPr>
                <w:b/>
                <w:color w:val="FFFFFF"/>
                <w:sz w:val="19"/>
              </w:rPr>
              <w:t>Ruta</w:t>
            </w:r>
          </w:p>
        </w:tc>
        <w:tc>
          <w:tcPr>
            <w:tcW w:type="dxa" w:w="2094"/>
            <w:shd w:val="clear" w:color="auto" w:fill="142F5A"/>
            <w:tcMar>
              <w:top w:w="60" w:type="dxa"/>
              <w:left w:w="110" w:type="dxa"/>
              <w:bottom w:w="60" w:type="dxa"/>
              <w:right w:w="110" w:type="dxa"/>
            </w:tcMar>
          </w:tcPr>
          <w:p>
            <w:pPr>
              <w:spacing w:after="0"/>
            </w:pPr>
            <w:r>
              <w:rPr>
                <w:b/>
                <w:color w:val="FFFFFF"/>
                <w:sz w:val="19"/>
              </w:rPr>
              <w:t>Autorización</w:t>
            </w:r>
          </w:p>
        </w:tc>
        <w:tc>
          <w:tcPr>
            <w:tcW w:type="dxa" w:w="3046"/>
            <w:shd w:val="clear" w:color="auto" w:fill="142F5A"/>
            <w:tcMar>
              <w:top w:w="60" w:type="dxa"/>
              <w:left w:w="110" w:type="dxa"/>
              <w:bottom w:w="60" w:type="dxa"/>
              <w:right w:w="110" w:type="dxa"/>
            </w:tcMar>
          </w:tcPr>
          <w:p>
            <w:pPr>
              <w:spacing w:after="0"/>
            </w:pPr>
            <w:r>
              <w:rPr>
                <w:b/>
                <w:color w:val="FFFFFF"/>
                <w:sz w:val="19"/>
              </w:rPr>
              <w:t>Función</w:t>
            </w:r>
          </w:p>
        </w:tc>
      </w:tr>
      <w:tr>
        <w:tc>
          <w:tcPr>
            <w:tcW w:type="dxa" w:w="1142"/>
            <w:tcMar>
              <w:top w:w="60" w:type="dxa"/>
              <w:left w:w="110" w:type="dxa"/>
              <w:bottom w:w="60" w:type="dxa"/>
              <w:right w:w="110" w:type="dxa"/>
            </w:tcMar>
          </w:tcPr>
          <w:p>
            <w:pPr>
              <w:spacing w:after="0" w:line="252" w:lineRule="auto"/>
            </w:pPr>
            <w:r>
              <w:rPr>
                <w:sz w:val="19"/>
              </w:rPr>
              <w:t>GET</w:t>
            </w:r>
          </w:p>
        </w:tc>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w:t>
            </w:r>
          </w:p>
        </w:tc>
        <w:tc>
          <w:tcPr>
            <w:tcW w:type="dxa" w:w="2094"/>
            <w:tcMar>
              <w:top w:w="60" w:type="dxa"/>
              <w:left w:w="110" w:type="dxa"/>
              <w:bottom w:w="60" w:type="dxa"/>
              <w:right w:w="110" w:type="dxa"/>
            </w:tcMar>
          </w:tcPr>
          <w:p>
            <w:pPr>
              <w:spacing w:after="0" w:line="252" w:lineRule="auto"/>
            </w:pPr>
            <w:r>
              <w:rPr>
                <w:sz w:val="19"/>
              </w:rPr>
              <w:t>Pública</w:t>
            </w:r>
          </w:p>
        </w:tc>
        <w:tc>
          <w:tcPr>
            <w:tcW w:type="dxa" w:w="3046"/>
            <w:tcMar>
              <w:top w:w="60" w:type="dxa"/>
              <w:left w:w="110" w:type="dxa"/>
              <w:bottom w:w="60" w:type="dxa"/>
              <w:right w:w="110" w:type="dxa"/>
            </w:tcMar>
          </w:tcPr>
          <w:p>
            <w:pPr>
              <w:spacing w:after="0" w:line="252" w:lineRule="auto"/>
            </w:pPr>
            <w:r>
              <w:rPr>
                <w:sz w:val="19"/>
              </w:rPr>
              <w:t>Página de solicitud</w:t>
            </w:r>
          </w:p>
        </w:tc>
      </w:tr>
      <w:tr>
        <w:tc>
          <w:tcPr>
            <w:tcW w:type="dxa" w:w="1142"/>
            <w:shd w:val="clear" w:color="auto" w:fill="EEF2F8"/>
            <w:tcMar>
              <w:top w:w="60" w:type="dxa"/>
              <w:left w:w="110" w:type="dxa"/>
              <w:bottom w:w="60" w:type="dxa"/>
              <w:right w:w="110" w:type="dxa"/>
            </w:tcMar>
          </w:tcPr>
          <w:p>
            <w:pPr>
              <w:spacing w:after="0" w:line="252" w:lineRule="auto"/>
            </w:pPr>
            <w:r>
              <w:rPr>
                <w:sz w:val="19"/>
              </w:rPr>
              <w:t>POST</w:t>
            </w:r>
          </w:p>
        </w:tc>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/api/register</w:t>
            </w:r>
          </w:p>
        </w:tc>
        <w:tc>
          <w:tcPr>
            <w:tcW w:type="dxa" w:w="2094"/>
            <w:shd w:val="clear" w:color="auto" w:fill="EEF2F8"/>
            <w:tcMar>
              <w:top w:w="60" w:type="dxa"/>
              <w:left w:w="110" w:type="dxa"/>
              <w:bottom w:w="60" w:type="dxa"/>
              <w:right w:w="110" w:type="dxa"/>
            </w:tcMar>
          </w:tcPr>
          <w:p>
            <w:pPr>
              <w:spacing w:after="0" w:line="252" w:lineRule="auto"/>
            </w:pPr>
            <w:r>
              <w:rPr>
                <w:sz w:val="19"/>
              </w:rPr>
              <w:t>Pública</w:t>
            </w:r>
          </w:p>
        </w:tc>
        <w:tc>
          <w:tcPr>
            <w:tcW w:type="dxa" w:w="3046"/>
            <w:shd w:val="clear" w:color="auto" w:fill="EEF2F8"/>
            <w:tcMar>
              <w:top w:w="60" w:type="dxa"/>
              <w:left w:w="110" w:type="dxa"/>
              <w:bottom w:w="60" w:type="dxa"/>
              <w:right w:w="110" w:type="dxa"/>
            </w:tcMar>
          </w:tcPr>
          <w:p>
            <w:pPr>
              <w:spacing w:after="0" w:line="252" w:lineRule="auto"/>
            </w:pPr>
            <w:r>
              <w:rPr>
                <w:sz w:val="19"/>
              </w:rPr>
              <w:t>Registrar una solicitud pendiente</w:t>
            </w:r>
          </w:p>
        </w:tc>
      </w:tr>
      <w:tr>
        <w:tc>
          <w:tcPr>
            <w:tcW w:type="dxa" w:w="1142"/>
            <w:tcMar>
              <w:top w:w="60" w:type="dxa"/>
              <w:left w:w="110" w:type="dxa"/>
              <w:bottom w:w="60" w:type="dxa"/>
              <w:right w:w="110" w:type="dxa"/>
            </w:tcMar>
          </w:tcPr>
          <w:p>
            <w:pPr>
              <w:spacing w:after="0" w:line="252" w:lineRule="auto"/>
            </w:pPr>
            <w:r>
              <w:rPr>
                <w:sz w:val="19"/>
              </w:rPr>
              <w:t>GET</w:t>
            </w:r>
          </w:p>
        </w:tc>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/admin</w:t>
            </w:r>
          </w:p>
        </w:tc>
        <w:tc>
          <w:tcPr>
            <w:tcW w:type="dxa" w:w="2094"/>
            <w:tcMar>
              <w:top w:w="60" w:type="dxa"/>
              <w:left w:w="110" w:type="dxa"/>
              <w:bottom w:w="60" w:type="dxa"/>
              <w:right w:w="110" w:type="dxa"/>
            </w:tcMar>
          </w:tcPr>
          <w:p>
            <w:pPr>
              <w:spacing w:after="0" w:line="252" w:lineRule="auto"/>
            </w:pPr>
            <w:r>
              <w:rPr>
                <w:sz w:val="19"/>
              </w:rPr>
              <w:t xml:space="preserve">SSO + </w:t>
            </w:r>
            <w:r>
              <w:rPr>
                <w:rFonts w:ascii="Consolas" w:hAnsi="Consolas" w:eastAsia="Consolas"/>
                <w:color w:val="1A4473"/>
                <w:sz w:val="19"/>
              </w:rPr>
              <w:t>admin</w:t>
            </w:r>
          </w:p>
        </w:tc>
        <w:tc>
          <w:tcPr>
            <w:tcW w:type="dxa" w:w="3046"/>
            <w:tcMar>
              <w:top w:w="60" w:type="dxa"/>
              <w:left w:w="110" w:type="dxa"/>
              <w:bottom w:w="60" w:type="dxa"/>
              <w:right w:w="110" w:type="dxa"/>
            </w:tcMar>
          </w:tcPr>
          <w:p>
            <w:pPr>
              <w:spacing w:after="0" w:line="252" w:lineRule="auto"/>
            </w:pPr>
            <w:r>
              <w:rPr>
                <w:sz w:val="19"/>
              </w:rPr>
              <w:t>Panel de aprobación</w:t>
            </w:r>
          </w:p>
        </w:tc>
      </w:tr>
      <w:tr>
        <w:tc>
          <w:tcPr>
            <w:tcW w:type="dxa" w:w="1142"/>
            <w:shd w:val="clear" w:color="auto" w:fill="EEF2F8"/>
            <w:tcMar>
              <w:top w:w="60" w:type="dxa"/>
              <w:left w:w="110" w:type="dxa"/>
              <w:bottom w:w="60" w:type="dxa"/>
              <w:right w:w="110" w:type="dxa"/>
            </w:tcMar>
          </w:tcPr>
          <w:p>
            <w:pPr>
              <w:spacing w:after="0" w:line="252" w:lineRule="auto"/>
            </w:pPr>
            <w:r>
              <w:rPr>
                <w:sz w:val="19"/>
              </w:rPr>
              <w:t>GET</w:t>
            </w:r>
          </w:p>
        </w:tc>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/api/admin/pending</w:t>
            </w:r>
          </w:p>
        </w:tc>
        <w:tc>
          <w:tcPr>
            <w:tcW w:type="dxa" w:w="2094"/>
            <w:shd w:val="clear" w:color="auto" w:fill="EEF2F8"/>
            <w:tcMar>
              <w:top w:w="60" w:type="dxa"/>
              <w:left w:w="110" w:type="dxa"/>
              <w:bottom w:w="60" w:type="dxa"/>
              <w:right w:w="110" w:type="dxa"/>
            </w:tcMar>
          </w:tcPr>
          <w:p>
            <w:pPr>
              <w:spacing w:after="0" w:line="252" w:lineRule="auto"/>
            </w:pPr>
            <w:r>
              <w:rPr>
                <w:sz w:val="19"/>
              </w:rPr>
              <w:t xml:space="preserve">SSO + </w:t>
            </w:r>
            <w:r>
              <w:rPr>
                <w:rFonts w:ascii="Consolas" w:hAnsi="Consolas" w:eastAsia="Consolas"/>
                <w:color w:val="1A4473"/>
                <w:sz w:val="19"/>
              </w:rPr>
              <w:t>admin</w:t>
            </w:r>
          </w:p>
        </w:tc>
        <w:tc>
          <w:tcPr>
            <w:tcW w:type="dxa" w:w="3046"/>
            <w:shd w:val="clear" w:color="auto" w:fill="EEF2F8"/>
            <w:tcMar>
              <w:top w:w="60" w:type="dxa"/>
              <w:left w:w="110" w:type="dxa"/>
              <w:bottom w:w="60" w:type="dxa"/>
              <w:right w:w="110" w:type="dxa"/>
            </w:tcMar>
          </w:tcPr>
          <w:p>
            <w:pPr>
              <w:spacing w:after="0" w:line="252" w:lineRule="auto"/>
            </w:pPr>
            <w:r>
              <w:rPr>
                <w:sz w:val="19"/>
              </w:rPr>
              <w:t>Listar solicitudes pendientes</w:t>
            </w:r>
          </w:p>
        </w:tc>
      </w:tr>
      <w:tr>
        <w:tc>
          <w:tcPr>
            <w:tcW w:type="dxa" w:w="1142"/>
            <w:tcMar>
              <w:top w:w="60" w:type="dxa"/>
              <w:left w:w="110" w:type="dxa"/>
              <w:bottom w:w="60" w:type="dxa"/>
              <w:right w:w="110" w:type="dxa"/>
            </w:tcMar>
          </w:tcPr>
          <w:p>
            <w:pPr>
              <w:spacing w:after="0" w:line="252" w:lineRule="auto"/>
            </w:pPr>
            <w:r>
              <w:rPr>
                <w:sz w:val="19"/>
              </w:rPr>
              <w:t>GET</w:t>
            </w:r>
          </w:p>
        </w:tc>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/api/admin/rejected</w:t>
            </w:r>
          </w:p>
        </w:tc>
        <w:tc>
          <w:tcPr>
            <w:tcW w:type="dxa" w:w="2094"/>
            <w:tcMar>
              <w:top w:w="60" w:type="dxa"/>
              <w:left w:w="110" w:type="dxa"/>
              <w:bottom w:w="60" w:type="dxa"/>
              <w:right w:w="110" w:type="dxa"/>
            </w:tcMar>
          </w:tcPr>
          <w:p>
            <w:pPr>
              <w:spacing w:after="0" w:line="252" w:lineRule="auto"/>
            </w:pPr>
            <w:r>
              <w:rPr>
                <w:sz w:val="19"/>
              </w:rPr>
              <w:t xml:space="preserve">SSO + </w:t>
            </w:r>
            <w:r>
              <w:rPr>
                <w:rFonts w:ascii="Consolas" w:hAnsi="Consolas" w:eastAsia="Consolas"/>
                <w:color w:val="1A4473"/>
                <w:sz w:val="19"/>
              </w:rPr>
              <w:t>admin</w:t>
            </w:r>
          </w:p>
        </w:tc>
        <w:tc>
          <w:tcPr>
            <w:tcW w:type="dxa" w:w="3046"/>
            <w:tcMar>
              <w:top w:w="60" w:type="dxa"/>
              <w:left w:w="110" w:type="dxa"/>
              <w:bottom w:w="60" w:type="dxa"/>
              <w:right w:w="110" w:type="dxa"/>
            </w:tcMar>
          </w:tcPr>
          <w:p>
            <w:pPr>
              <w:spacing w:after="0" w:line="252" w:lineRule="auto"/>
            </w:pPr>
            <w:r>
              <w:rPr>
                <w:sz w:val="19"/>
              </w:rPr>
              <w:t>Listar solicitudes rechazadas</w:t>
            </w:r>
          </w:p>
        </w:tc>
      </w:tr>
      <w:tr>
        <w:tc>
          <w:tcPr>
            <w:tcW w:type="dxa" w:w="1142"/>
            <w:shd w:val="clear" w:color="auto" w:fill="EEF2F8"/>
            <w:tcMar>
              <w:top w:w="60" w:type="dxa"/>
              <w:left w:w="110" w:type="dxa"/>
              <w:bottom w:w="60" w:type="dxa"/>
              <w:right w:w="110" w:type="dxa"/>
            </w:tcMar>
          </w:tcPr>
          <w:p>
            <w:pPr>
              <w:spacing w:after="0" w:line="252" w:lineRule="auto"/>
            </w:pPr>
            <w:r>
              <w:rPr>
                <w:sz w:val="19"/>
              </w:rPr>
              <w:t>POST</w:t>
            </w:r>
          </w:p>
        </w:tc>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/api/admin/{id}/approve</w:t>
            </w:r>
          </w:p>
        </w:tc>
        <w:tc>
          <w:tcPr>
            <w:tcW w:type="dxa" w:w="2094"/>
            <w:shd w:val="clear" w:color="auto" w:fill="EEF2F8"/>
            <w:tcMar>
              <w:top w:w="60" w:type="dxa"/>
              <w:left w:w="110" w:type="dxa"/>
              <w:bottom w:w="60" w:type="dxa"/>
              <w:right w:w="110" w:type="dxa"/>
            </w:tcMar>
          </w:tcPr>
          <w:p>
            <w:pPr>
              <w:spacing w:after="0" w:line="252" w:lineRule="auto"/>
            </w:pPr>
            <w:r>
              <w:rPr>
                <w:sz w:val="19"/>
              </w:rPr>
              <w:t xml:space="preserve">SSO + </w:t>
            </w:r>
            <w:r>
              <w:rPr>
                <w:rFonts w:ascii="Consolas" w:hAnsi="Consolas" w:eastAsia="Consolas"/>
                <w:color w:val="1A4473"/>
                <w:sz w:val="19"/>
              </w:rPr>
              <w:t>admin</w:t>
            </w:r>
          </w:p>
        </w:tc>
        <w:tc>
          <w:tcPr>
            <w:tcW w:type="dxa" w:w="3046"/>
            <w:shd w:val="clear" w:color="auto" w:fill="EEF2F8"/>
            <w:tcMar>
              <w:top w:w="60" w:type="dxa"/>
              <w:left w:w="110" w:type="dxa"/>
              <w:bottom w:w="60" w:type="dxa"/>
              <w:right w:w="110" w:type="dxa"/>
            </w:tcMar>
          </w:tcPr>
          <w:p>
            <w:pPr>
              <w:spacing w:after="0" w:line="252" w:lineRule="auto"/>
            </w:pPr>
            <w:r>
              <w:rPr>
                <w:sz w:val="19"/>
              </w:rPr>
              <w:t>Aprobar una solicitud</w:t>
            </w:r>
          </w:p>
        </w:tc>
      </w:tr>
      <w:tr>
        <w:tc>
          <w:tcPr>
            <w:tcW w:type="dxa" w:w="1142"/>
            <w:tcMar>
              <w:top w:w="60" w:type="dxa"/>
              <w:left w:w="110" w:type="dxa"/>
              <w:bottom w:w="60" w:type="dxa"/>
              <w:right w:w="110" w:type="dxa"/>
            </w:tcMar>
          </w:tcPr>
          <w:p>
            <w:pPr>
              <w:spacing w:after="0" w:line="252" w:lineRule="auto"/>
            </w:pPr>
            <w:r>
              <w:rPr>
                <w:sz w:val="19"/>
              </w:rPr>
              <w:t>POST</w:t>
            </w:r>
          </w:p>
        </w:tc>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/api/admin/{id}/reject</w:t>
            </w:r>
          </w:p>
        </w:tc>
        <w:tc>
          <w:tcPr>
            <w:tcW w:type="dxa" w:w="2094"/>
            <w:tcMar>
              <w:top w:w="60" w:type="dxa"/>
              <w:left w:w="110" w:type="dxa"/>
              <w:bottom w:w="60" w:type="dxa"/>
              <w:right w:w="110" w:type="dxa"/>
            </w:tcMar>
          </w:tcPr>
          <w:p>
            <w:pPr>
              <w:spacing w:after="0" w:line="252" w:lineRule="auto"/>
            </w:pPr>
            <w:r>
              <w:rPr>
                <w:sz w:val="19"/>
              </w:rPr>
              <w:t xml:space="preserve">SSO + </w:t>
            </w:r>
            <w:r>
              <w:rPr>
                <w:rFonts w:ascii="Consolas" w:hAnsi="Consolas" w:eastAsia="Consolas"/>
                <w:color w:val="1A4473"/>
                <w:sz w:val="19"/>
              </w:rPr>
              <w:t>admin</w:t>
            </w:r>
          </w:p>
        </w:tc>
        <w:tc>
          <w:tcPr>
            <w:tcW w:type="dxa" w:w="3046"/>
            <w:tcMar>
              <w:top w:w="60" w:type="dxa"/>
              <w:left w:w="110" w:type="dxa"/>
              <w:bottom w:w="60" w:type="dxa"/>
              <w:right w:w="110" w:type="dxa"/>
            </w:tcMar>
          </w:tcPr>
          <w:p>
            <w:pPr>
              <w:spacing w:after="0" w:line="252" w:lineRule="auto"/>
            </w:pPr>
            <w:r>
              <w:rPr>
                <w:sz w:val="19"/>
              </w:rPr>
              <w:t>Rechazar una solicitud</w:t>
            </w:r>
          </w:p>
        </w:tc>
      </w:tr>
    </w:tbl>
    <w:p>
      <w:pPr>
        <w:spacing w:after="0" w:before="0" w:line="240" w:lineRule="auto"/>
      </w:pPr>
      <w:r>
        <w:rPr>
          <w:sz w:val="12"/>
        </w:rPr>
      </w:r>
    </w:p>
    <w:p>
      <w:pPr>
        <w:spacing w:after="120"/>
      </w:pPr>
      <w:r>
        <w:t xml:space="preserve">El flujo completo se apoya en la API de administración de Keycloak y en cuentas deshabilitadas: </w:t>
      </w:r>
      <w:r>
        <w:rPr>
          <w:b/>
        </w:rPr>
        <w:t>no se modifica el núcleo del gestor de identidad</w:t>
      </w:r>
      <w:r>
        <w:t>, lo que mantiene el sistema actualizable.</w:t>
      </w:r>
    </w:p>
    <w:p>
      <w:r>
        <w:br w:type="page"/>
      </w:r>
    </w:p>
    <w:p>
      <w:pPr>
        <w:pStyle w:val="Heading1"/>
        <w:pBdr>
          <w:bottom w:val="single" w:sz="6" w:space="4" w:color="9DB6D4"/>
        </w:pBdr>
      </w:pPr>
      <w:r>
        <w:t>9. Federación LDAP</w:t>
      </w:r>
    </w:p>
    <w:p>
      <w:pPr>
        <w:pStyle w:val="Heading2"/>
      </w:pPr>
      <w:r>
        <w:t>9.1 Objetivo</w:t>
      </w:r>
    </w:p>
    <w:p>
      <w:pPr>
        <w:spacing w:after="120"/>
      </w:pPr>
      <w:r>
        <w:t>Permitir que los usuarios del directorio institucional (</w:t>
      </w:r>
      <w:r>
        <w:rPr>
          <w:rFonts w:ascii="Consolas" w:hAnsi="Consolas" w:eastAsia="Consolas"/>
          <w:color w:val="1A4473"/>
          <w:sz w:val="19"/>
        </w:rPr>
        <w:t>usuarios.bibliolatino.com</w:t>
      </w:r>
      <w:r>
        <w:t xml:space="preserve">) se autentiquen en el mismo realm </w:t>
      </w:r>
      <w:r>
        <w:rPr>
          <w:rFonts w:ascii="Consolas" w:hAnsi="Consolas" w:eastAsia="Consolas"/>
          <w:color w:val="1A4473"/>
          <w:sz w:val="19"/>
        </w:rPr>
        <w:t>library</w:t>
      </w:r>
      <w:r>
        <w:t xml:space="preserve"> que utiliza el proxy, con sus credenciales habituales y sin duplicar la gestión de cuentas.</w:t>
      </w:r>
    </w:p>
    <w:p>
      <w:pPr>
        <w:pStyle w:val="Heading2"/>
      </w:pPr>
      <w:r>
        <w:t>9.2 Configuración</w:t>
      </w:r>
    </w:p>
    <w:p>
      <w:pPr>
        <w:spacing w:after="120"/>
      </w:pPr>
      <w:r>
        <w:t xml:space="preserve">Las variables de conexión se definen en </w:t>
      </w:r>
      <w:r>
        <w:rPr>
          <w:rFonts w:ascii="Consolas" w:hAnsi="Consolas" w:eastAsia="Consolas"/>
          <w:color w:val="1A4473"/>
          <w:sz w:val="19"/>
        </w:rPr>
        <w:t>.env</w:t>
      </w:r>
      <w:r>
        <w:t xml:space="preserve"> (ver sección 12). La activación se realiza con un único script:</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./scripts/configure-ldap-federation.sh</w:t>
            </w:r>
          </w:p>
        </w:tc>
      </w:tr>
    </w:tbl>
    <w:p>
      <w:pPr>
        <w:spacing w:after="0" w:before="0" w:line="240" w:lineRule="auto"/>
      </w:pPr>
      <w:r>
        <w:rPr>
          <w:sz w:val="8"/>
        </w:rPr>
      </w:r>
    </w:p>
    <w:p>
      <w:pPr>
        <w:spacing w:after="120"/>
      </w:pPr>
      <w:r>
        <w:t>El script realiza tres operaciones:</w:t>
      </w:r>
    </w:p>
    <w:p>
      <w:pPr>
        <w:pStyle w:val="ListNumber"/>
      </w:pPr>
      <w:r>
        <w:t>Ajusta las listas de control de acceso en el servidor de directorio.</w:t>
      </w:r>
    </w:p>
    <w:p>
      <w:pPr>
        <w:pStyle w:val="ListNumber"/>
      </w:pPr>
      <w:r>
        <w:t xml:space="preserve">Crea o actualiza el componente de federación </w:t>
      </w:r>
      <w:r>
        <w:rPr>
          <w:rFonts w:ascii="Consolas" w:hAnsi="Consolas" w:eastAsia="Consolas"/>
          <w:color w:val="1A4473"/>
          <w:sz w:val="19"/>
        </w:rPr>
        <w:t>bibliolatino-ldap</w:t>
      </w:r>
      <w:r>
        <w:t xml:space="preserve"> en Keycloak, en modo escritura y con sincronización periódica.</w:t>
      </w:r>
    </w:p>
    <w:p>
      <w:pPr>
        <w:pStyle w:val="ListNumber"/>
      </w:pPr>
      <w:r>
        <w:t>Lanza una sincronización completa inicial.</w:t>
      </w:r>
    </w:p>
    <w:p>
      <w:pPr>
        <w:pStyle w:val="Heading2"/>
      </w:pPr>
      <w:r>
        <w:t>9.3 Relación con el portal de invitados</w:t>
      </w:r>
    </w:p>
    <w:p>
      <w:pPr>
        <w:spacing w:after="120"/>
      </w:pPr>
      <w:r>
        <w:t xml:space="preserve">Si la conexión LDAP está configurada, el portal de invitados refleja cada solicitud en la unidad organizativa de usuarios, manteniendo el estado en el atributo </w:t>
      </w:r>
      <w:r>
        <w:rPr>
          <w:rFonts w:ascii="Consolas" w:hAnsi="Consolas" w:eastAsia="Consolas"/>
          <w:color w:val="1A4473"/>
          <w:sz w:val="19"/>
        </w:rPr>
        <w:t>employeeType</w:t>
      </w:r>
      <w:r>
        <w:t>. Si no lo está, el portal sigue operando con Keycloak como único repositorio de cuentas, sin pérdida de funcionalidad.</w:t>
      </w:r>
    </w:p>
    <w:p>
      <w:pPr>
        <w:pStyle w:val="Heading2"/>
      </w:pPr>
      <w:r>
        <w:t>9.4 Comprobación</w:t>
      </w:r>
    </w:p>
    <w:p>
      <w:pPr>
        <w:pStyle w:val="ListNumber"/>
      </w:pPr>
      <w:r>
        <w:t xml:space="preserve">En Keycloak Admin, abrir </w:t>
      </w:r>
      <w:r>
        <w:rPr>
          <w:b/>
        </w:rPr>
        <w:t>User federation</w:t>
      </w:r>
      <w:r>
        <w:t xml:space="preserve"> y verificar que el componente </w:t>
      </w:r>
      <w:r>
        <w:rPr>
          <w:rFonts w:ascii="Consolas" w:hAnsi="Consolas" w:eastAsia="Consolas"/>
          <w:color w:val="1A4473"/>
          <w:sz w:val="19"/>
        </w:rPr>
        <w:t>bibliolatino-ldap</w:t>
      </w:r>
      <w:r>
        <w:t xml:space="preserve"> aparece y está habilitado.</w:t>
      </w:r>
    </w:p>
    <w:p>
      <w:pPr>
        <w:pStyle w:val="ListNumber"/>
      </w:pPr>
      <w:r>
        <w:t xml:space="preserve">Buscar en </w:t>
      </w:r>
      <w:r>
        <w:rPr>
          <w:b/>
        </w:rPr>
        <w:t>Users</w:t>
      </w:r>
      <w:r>
        <w:t xml:space="preserve"> una cuenta conocida del directorio y confirmar que se resuelve.</w:t>
      </w:r>
    </w:p>
    <w:p>
      <w:pPr>
        <w:pStyle w:val="ListNumber"/>
      </w:pPr>
      <w:r>
        <w:t>Iniciar sesión en el proxy con esas credenciales institucionales.</w:t>
      </w:r>
    </w:p>
    <w:p>
      <w:r>
        <w:br w:type="page"/>
      </w:r>
    </w:p>
    <w:p>
      <w:pPr>
        <w:pStyle w:val="Heading1"/>
        <w:pBdr>
          <w:bottom w:val="single" w:sz="6" w:space="4" w:color="9DB6D4"/>
        </w:pBdr>
      </w:pPr>
      <w:r>
        <w:t>10. Analíticas de uso y Metabase</w:t>
      </w:r>
    </w:p>
    <w:p>
      <w:pPr>
        <w:pStyle w:val="Heading2"/>
      </w:pPr>
      <w:r>
        <w:t>10.1 Recorrido del dato</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Nginx  -&gt;  library_access.log        (registro enriquecido por peticion)</w:t>
            </w:r>
          </w:p>
          <w:p>
            <w:pPr>
              <w:spacing w:after="0" w:before="0" w:line="240" w:lineRule="auto"/>
            </w:pPr>
            <w:r>
              <w:rPr>
                <w:rFonts w:ascii="Consolas" w:hAnsi="Consolas" w:eastAsia="Consolas"/>
                <w:color w:val="1B2A3D"/>
                <w:sz w:val="17"/>
              </w:rPr>
              <w:t xml:space="preserve">       -&gt;  volumen nginx_logs</w:t>
            </w:r>
          </w:p>
          <w:p>
            <w:pPr>
              <w:spacing w:after="0" w:before="0" w:line="240" w:lineRule="auto"/>
            </w:pPr>
            <w:r>
              <w:rPr>
                <w:rFonts w:ascii="Consolas" w:hAnsi="Consolas" w:eastAsia="Consolas"/>
                <w:color w:val="1B2A3D"/>
                <w:sz w:val="17"/>
              </w:rPr>
              <w:t xml:space="preserve">       -&gt;  log-worker                   (clasifica el tipo de contenido)</w:t>
            </w:r>
          </w:p>
          <w:p>
            <w:pPr>
              <w:spacing w:after="0" w:before="0" w:line="240" w:lineRule="auto"/>
            </w:pPr>
            <w:r>
              <w:rPr>
                <w:rFonts w:ascii="Consolas" w:hAnsi="Consolas" w:eastAsia="Consolas"/>
                <w:color w:val="1B2A3D"/>
                <w:sz w:val="17"/>
              </w:rPr>
              <w:t xml:space="preserve">       -&gt;  PostgreSQL, base analytics   (tabla access_events)</w:t>
            </w:r>
          </w:p>
          <w:p>
            <w:pPr>
              <w:spacing w:after="0" w:before="0" w:line="240" w:lineRule="auto"/>
            </w:pPr>
            <w:r>
              <w:rPr>
                <w:rFonts w:ascii="Consolas" w:hAnsi="Consolas" w:eastAsia="Consolas"/>
                <w:color w:val="1B2A3D"/>
                <w:sz w:val="17"/>
              </w:rPr>
              <w:t xml:space="preserve">       -&gt;  Metabase                     (paneles, consultas y exportaciones)</w:t>
            </w:r>
          </w:p>
        </w:tc>
      </w:tr>
    </w:tbl>
    <w:p>
      <w:pPr>
        <w:spacing w:before="60" w:after="200"/>
      </w:pPr>
      <w:r>
        <w:rPr>
          <w:i/>
          <w:color w:val="555F6D"/>
          <w:sz w:val="17"/>
        </w:rPr>
        <w:t>Figura 2. Canal de analítica, desde la petición hasta el informe.</w:t>
      </w:r>
    </w:p>
    <w:p>
      <w:pPr>
        <w:pStyle w:val="Heading2"/>
      </w:pPr>
      <w:r>
        <w:t>10.2 Modelo de datos</w:t>
      </w:r>
    </w:p>
    <w:p>
      <w:pPr>
        <w:spacing w:after="120"/>
      </w:pPr>
      <w:r>
        <w:t xml:space="preserve">La tabla </w:t>
      </w:r>
      <w:r>
        <w:rPr>
          <w:rFonts w:ascii="Consolas" w:hAnsi="Consolas" w:eastAsia="Consolas"/>
          <w:color w:val="1A4473"/>
          <w:sz w:val="19"/>
        </w:rPr>
        <w:t>access_events</w:t>
      </w:r>
      <w:r>
        <w:t xml:space="preserve"> registra, por cada acceso: marca de tiempo, dirección IP, método, ruta, código de estado, bytes servidos, usuario, correo, indicador de campus, recurso consultado y tipo de contenido.</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2855"/>
            <w:shd w:val="clear" w:color="auto" w:fill="142F5A"/>
            <w:tcMar>
              <w:top w:w="60" w:type="dxa"/>
              <w:left w:w="110" w:type="dxa"/>
              <w:bottom w:w="60" w:type="dxa"/>
              <w:right w:w="110" w:type="dxa"/>
            </w:tcMar>
          </w:tcPr>
          <w:p>
            <w:pPr>
              <w:spacing w:after="0"/>
            </w:pPr>
            <w:r>
              <w:rPr>
                <w:b/>
                <w:color w:val="FFFFFF"/>
                <w:sz w:val="19"/>
              </w:rPr>
              <w:t>Vista</w:t>
            </w:r>
          </w:p>
        </w:tc>
        <w:tc>
          <w:tcPr>
            <w:tcW w:type="dxa" w:w="6663"/>
            <w:shd w:val="clear" w:color="auto" w:fill="142F5A"/>
            <w:tcMar>
              <w:top w:w="60" w:type="dxa"/>
              <w:left w:w="110" w:type="dxa"/>
              <w:bottom w:w="60" w:type="dxa"/>
              <w:right w:w="110" w:type="dxa"/>
            </w:tcMar>
          </w:tcPr>
          <w:p>
            <w:pPr>
              <w:spacing w:after="0"/>
            </w:pPr>
            <w:r>
              <w:rPr>
                <w:b/>
                <w:color w:val="FFFFFF"/>
                <w:sz w:val="19"/>
              </w:rPr>
              <w:t>Contenido</w:t>
            </w:r>
          </w:p>
        </w:tc>
      </w:tr>
      <w:tr>
        <w:tc>
          <w:tcPr>
            <w:tcW w:type="dxa" w:w="2855"/>
            <w:tcMar>
              <w:top w:w="60" w:type="dxa"/>
              <w:left w:w="110" w:type="dxa"/>
              <w:bottom w:w="60" w:type="dxa"/>
              <w:right w:w="110" w:type="dxa"/>
            </w:tcMar>
          </w:tcPr>
          <w:p>
            <w:pPr>
              <w:spacing w:after="0" w:line="252" w:lineRule="auto"/>
            </w:pPr>
            <w:r>
              <w:rPr>
                <w:rFonts w:ascii="Consolas" w:hAnsi="Consolas" w:eastAsia="Consolas"/>
                <w:color w:val="1A4473"/>
                <w:sz w:val="19"/>
              </w:rPr>
              <w:t>v_access_by_day</w:t>
            </w:r>
          </w:p>
        </w:tc>
        <w:tc>
          <w:tcPr>
            <w:tcW w:type="dxa" w:w="6663"/>
            <w:tcMar>
              <w:top w:w="60" w:type="dxa"/>
              <w:left w:w="110" w:type="dxa"/>
              <w:bottom w:w="60" w:type="dxa"/>
              <w:right w:w="110" w:type="dxa"/>
            </w:tcMar>
          </w:tcPr>
          <w:p>
            <w:pPr>
              <w:spacing w:after="0" w:line="252" w:lineRule="auto"/>
            </w:pPr>
            <w:r>
              <w:rPr>
                <w:sz w:val="19"/>
              </w:rPr>
              <w:t>Accesos y usuarios únicos por día, recurso y tipo de contenido</w:t>
            </w:r>
          </w:p>
        </w:tc>
      </w:tr>
      <w:tr>
        <w:tc>
          <w:tcPr>
            <w:tcW w:type="dxa" w:w="285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v_access_by_resource</w:t>
            </w:r>
          </w:p>
        </w:tc>
        <w:tc>
          <w:tcPr>
            <w:tcW w:type="dxa" w:w="6663"/>
            <w:shd w:val="clear" w:color="auto" w:fill="EEF2F8"/>
            <w:tcMar>
              <w:top w:w="60" w:type="dxa"/>
              <w:left w:w="110" w:type="dxa"/>
              <w:bottom w:w="60" w:type="dxa"/>
              <w:right w:w="110" w:type="dxa"/>
            </w:tcMar>
          </w:tcPr>
          <w:p>
            <w:pPr>
              <w:spacing w:after="0" w:line="252" w:lineRule="auto"/>
            </w:pPr>
            <w:r>
              <w:rPr>
                <w:sz w:val="19"/>
              </w:rPr>
              <w:t>Agregación por recurso y tipo de contenido</w:t>
            </w:r>
          </w:p>
        </w:tc>
      </w:tr>
    </w:tbl>
    <w:p>
      <w:pPr>
        <w:spacing w:after="0" w:before="0" w:line="240" w:lineRule="auto"/>
      </w:pPr>
      <w:r>
        <w:rPr>
          <w:sz w:val="12"/>
        </w:rPr>
      </w:r>
    </w:p>
    <w:p>
      <w:pPr>
        <w:spacing w:after="120"/>
      </w:pPr>
      <w:r>
        <w:t xml:space="preserve">Los tipos de contenido habituales son </w:t>
      </w:r>
      <w:r>
        <w:rPr>
          <w:rFonts w:ascii="Consolas" w:hAnsi="Consolas" w:eastAsia="Consolas"/>
          <w:color w:val="1A4473"/>
          <w:sz w:val="19"/>
        </w:rPr>
        <w:t>pdf</w:t>
      </w:r>
      <w:r>
        <w:t xml:space="preserve">, </w:t>
      </w:r>
      <w:r>
        <w:rPr>
          <w:rFonts w:ascii="Consolas" w:hAnsi="Consolas" w:eastAsia="Consolas"/>
          <w:color w:val="1A4473"/>
          <w:sz w:val="19"/>
        </w:rPr>
        <w:t>video</w:t>
      </w:r>
      <w:r>
        <w:t xml:space="preserve">, </w:t>
      </w:r>
      <w:r>
        <w:rPr>
          <w:rFonts w:ascii="Consolas" w:hAnsi="Consolas" w:eastAsia="Consolas"/>
          <w:color w:val="1A4473"/>
          <w:sz w:val="19"/>
        </w:rPr>
        <w:t>article</w:t>
      </w:r>
      <w:r>
        <w:t xml:space="preserve">, </w:t>
      </w:r>
      <w:r>
        <w:rPr>
          <w:rFonts w:ascii="Consolas" w:hAnsi="Consolas" w:eastAsia="Consolas"/>
          <w:color w:val="1A4473"/>
          <w:sz w:val="19"/>
        </w:rPr>
        <w:t>asset</w:t>
      </w:r>
      <w:r>
        <w:t xml:space="preserve">, </w:t>
      </w:r>
      <w:r>
        <w:rPr>
          <w:rFonts w:ascii="Consolas" w:hAnsi="Consolas" w:eastAsia="Consolas"/>
          <w:color w:val="1A4473"/>
          <w:sz w:val="19"/>
        </w:rPr>
        <w:t>auth</w:t>
      </w:r>
      <w:r>
        <w:t xml:space="preserve">, </w:t>
      </w:r>
      <w:r>
        <w:rPr>
          <w:rFonts w:ascii="Consolas" w:hAnsi="Consolas" w:eastAsia="Consolas"/>
          <w:color w:val="1A4473"/>
          <w:sz w:val="19"/>
        </w:rPr>
        <w:t>portal</w:t>
      </w:r>
      <w:r>
        <w:t xml:space="preserve"> y </w:t>
      </w:r>
      <w:r>
        <w:rPr>
          <w:rFonts w:ascii="Consolas" w:hAnsi="Consolas" w:eastAsia="Consolas"/>
          <w:color w:val="1A4473"/>
          <w:sz w:val="19"/>
        </w:rPr>
        <w:t>other</w:t>
      </w:r>
      <w:r>
        <w:t>.</w:t>
      </w:r>
    </w:p>
    <w:p>
      <w:pPr>
        <w:pStyle w:val="Heading2"/>
      </w:pPr>
      <w:r>
        <w:t>10.3 Puesta en marcha de Metabase</w:t>
      </w:r>
    </w:p>
    <w:p>
      <w:pPr>
        <w:pStyle w:val="ListNumber"/>
      </w:pPr>
      <w:r>
        <w:t xml:space="preserve">Abrir </w:t>
      </w:r>
      <w:r>
        <w:rPr>
          <w:rFonts w:ascii="Consolas" w:hAnsi="Consolas" w:eastAsia="Consolas"/>
          <w:color w:val="1A4473"/>
          <w:sz w:val="19"/>
        </w:rPr>
        <w:t>https://proxy.bibliolatino.com/metabase/</w:t>
      </w:r>
      <w:r>
        <w:t xml:space="preserve"> y completar el asistente inicial creando la cuenta administradora de Metabase.</w:t>
      </w:r>
    </w:p>
    <w:p>
      <w:pPr>
        <w:pStyle w:val="ListNumber"/>
      </w:pPr>
      <w:r>
        <w:t xml:space="preserve">En la pantalla de conexión de datos, elegir </w:t>
      </w:r>
      <w:r>
        <w:rPr>
          <w:b/>
        </w:rPr>
        <w:t>PostgreSQL</w:t>
      </w:r>
      <w:r>
        <w:t xml:space="preserve"> (no MySQL).</w:t>
      </w:r>
    </w:p>
    <w:p>
      <w:pPr>
        <w:pStyle w:val="ListNumber"/>
      </w:pPr>
      <w:r>
        <w:t xml:space="preserve">Host: </w:t>
      </w:r>
      <w:r>
        <w:rPr>
          <w:rFonts w:ascii="Consolas" w:hAnsi="Consolas" w:eastAsia="Consolas"/>
          <w:color w:val="1A4473"/>
          <w:sz w:val="19"/>
        </w:rPr>
        <w:t>postgres</w:t>
      </w:r>
      <w:r>
        <w:t xml:space="preserve"> — nombre del servicio dentro de la red de contenedores.</w:t>
      </w:r>
    </w:p>
    <w:p>
      <w:pPr>
        <w:pStyle w:val="ListNumber"/>
      </w:pPr>
      <w:r>
        <w:t xml:space="preserve">Base de datos: </w:t>
      </w:r>
      <w:r>
        <w:rPr>
          <w:rFonts w:ascii="Consolas" w:hAnsi="Consolas" w:eastAsia="Consolas"/>
          <w:color w:val="1A4473"/>
          <w:sz w:val="19"/>
        </w:rPr>
        <w:t>analytics</w:t>
      </w:r>
      <w:r>
        <w:t>.</w:t>
      </w:r>
    </w:p>
    <w:p>
      <w:pPr>
        <w:pStyle w:val="ListNumber"/>
      </w:pPr>
      <w:r>
        <w:t xml:space="preserve">Usuario y contraseña: los definidos en </w:t>
      </w:r>
      <w:r>
        <w:rPr>
          <w:rFonts w:ascii="Consolas" w:hAnsi="Consolas" w:eastAsia="Consolas"/>
          <w:color w:val="1A4473"/>
          <w:sz w:val="19"/>
        </w:rPr>
        <w:t>POSTGRES_USER</w:t>
      </w:r>
      <w:r>
        <w:t xml:space="preserve"> y </w:t>
      </w:r>
      <w:r>
        <w:rPr>
          <w:rFonts w:ascii="Consolas" w:hAnsi="Consolas" w:eastAsia="Consolas"/>
          <w:color w:val="1A4473"/>
          <w:sz w:val="19"/>
        </w:rPr>
        <w:t>POSTGRES_PASSWORD</w:t>
      </w:r>
      <w:r>
        <w:t xml:space="preserve"> del archivo </w:t>
      </w:r>
      <w:r>
        <w:rPr>
          <w:rFonts w:ascii="Consolas" w:hAnsi="Consolas" w:eastAsia="Consolas"/>
          <w:color w:val="1A4473"/>
          <w:sz w:val="19"/>
        </w:rPr>
        <w:t>.env</w:t>
      </w:r>
      <w:r>
        <w:t xml:space="preserve"> </w:t>
      </w:r>
      <w:r>
        <w:rPr>
          <w:b/>
        </w:rPr>
        <w:t>del servidor</w:t>
      </w:r>
      <w:r>
        <w:t>.</w:t>
      </w:r>
    </w:p>
    <w:p>
      <w:pPr>
        <w:pStyle w:val="ListNumber"/>
      </w:pPr>
      <w:r>
        <w:t xml:space="preserve">Esquemas: dejar </w:t>
      </w:r>
      <w:r>
        <w:rPr>
          <w:b/>
        </w:rPr>
        <w:t>Todos</w:t>
      </w:r>
      <w:r>
        <w:t xml:space="preserve"> (las tablas residen en el esquema </w:t>
      </w:r>
      <w:r>
        <w:rPr>
          <w:rFonts w:ascii="Consolas" w:hAnsi="Consolas" w:eastAsia="Consolas"/>
          <w:color w:val="1A4473"/>
          <w:sz w:val="19"/>
        </w:rPr>
        <w:t>public</w:t>
      </w:r>
      <w:r>
        <w:t>).</w:t>
      </w:r>
    </w:p>
    <w:p>
      <w:pPr>
        <w:pStyle w:val="ListNumber"/>
      </w:pPr>
      <w:r>
        <w:t xml:space="preserve">Guardar y crear la primera pregunta sobre </w:t>
      </w:r>
      <w:r>
        <w:rPr>
          <w:rFonts w:ascii="Consolas" w:hAnsi="Consolas" w:eastAsia="Consolas"/>
          <w:color w:val="1A4473"/>
          <w:sz w:val="19"/>
        </w:rPr>
        <w:t>access_events</w:t>
      </w:r>
      <w:r>
        <w:t xml:space="preserve"> o sobre las vistas agregadas.</w:t>
      </w:r>
    </w:p>
    <w:tbl>
      <w:tblPr>
        <w:tblW w:type="auto" w:w="0"/>
        <w:tblBorders>
          <w:top w:val="single" w:sz="4" w:space="0" w:color="E8A33D"/>
          <w:left w:val="single" w:sz="4" w:space="0" w:color="E8A33D"/>
          <w:bottom w:val="single" w:sz="4" w:space="0" w:color="E8A33D"/>
          <w:right w:val="single" w:sz="4" w:space="0" w:color="E8A33D"/>
          <w:insideH w:val="single" w:sz="4" w:space="0" w:color="E8A33D"/>
          <w:insideV w:val="single" w:sz="4" w:space="0" w:color="E8A33D"/>
        </w:tblBorders>
        <w:tblLayout w:type="fixed"/>
        <w:tblLook w:firstColumn="1" w:firstRow="1" w:lastColumn="0" w:lastRow="0" w:noHBand="0" w:noVBand="1" w:val="04A0"/>
      </w:tblPr>
      <w:tblGrid>
        <w:gridCol w:w="9518"/>
      </w:tblGrid>
      <w:tr>
        <w:tc>
          <w:tcPr>
            <w:tcW w:type="dxa" w:w="9518"/>
            <w:shd w:val="clear" w:color="auto" w:fill="FFF6E5"/>
            <w:tcMar>
              <w:top w:w="100" w:type="dxa"/>
              <w:left w:w="150" w:type="dxa"/>
              <w:bottom w:w="100" w:type="dxa"/>
              <w:right w:w="150" w:type="dxa"/>
            </w:tcMar>
          </w:tcPr>
          <w:p>
            <w:pPr>
              <w:spacing w:after="0"/>
            </w:pPr>
            <w:r>
              <w:rPr>
                <w:b/>
                <w:color w:val="8A5A0B"/>
                <w:sz w:val="18"/>
              </w:rPr>
              <w:t xml:space="preserve">IMPORTANTE  </w:t>
            </w:r>
            <w:r>
              <w:rPr>
                <w:sz w:val="20"/>
              </w:rPr>
              <w:t>La pantalla inicial de Metabase es un asistente genérico: los valores de ejemplo que muestra (nombres de servidor, de base de datos y de usuario ficticios) no corresponden a este sistema y no deben conservarse. La conexión la establece el contenedor de Metabase hacia PostgreSQL, por lo que no se requieren ni SSL ni túnel SSH.</w:t>
            </w:r>
          </w:p>
        </w:tc>
      </w:tr>
    </w:tbl>
    <w:p>
      <w:pPr>
        <w:spacing w:after="0" w:before="0" w:line="240" w:lineRule="auto"/>
      </w:pPr>
      <w:r>
        <w:rPr>
          <w:sz w:val="8"/>
        </w:rPr>
      </w:r>
    </w:p>
    <w:p>
      <w:pPr>
        <w:pStyle w:val="Heading2"/>
      </w:pPr>
      <w:r>
        <w:t>10.4 Informes y exportación</w:t>
      </w:r>
    </w:p>
    <w:p>
      <w:pPr>
        <w:spacing w:after="120"/>
      </w:pPr>
      <w:r>
        <w:t xml:space="preserve">Cualquier pregunta o panel de Metabase se exporta en </w:t>
      </w:r>
      <w:r>
        <w:rPr>
          <w:b/>
        </w:rPr>
        <w:t>CSV</w:t>
      </w:r>
      <w:r>
        <w:t xml:space="preserve">, </w:t>
      </w:r>
      <w:r>
        <w:rPr>
          <w:b/>
        </w:rPr>
        <w:t>XML</w:t>
      </w:r>
      <w:r>
        <w:t xml:space="preserve"> y </w:t>
      </w:r>
      <w:r>
        <w:rPr>
          <w:b/>
        </w:rPr>
        <w:t>PDF</w:t>
      </w:r>
      <w:r>
        <w:t xml:space="preserve"> desde la propia interfaz, sin intervención del equipo de desarrollo. Esto cubre los informes periódicos de uso por recurso, por tipo de contenido y por origen (campus o remoto).</w:t>
      </w:r>
    </w:p>
    <w:tbl>
      <w:tblPr>
        <w:tblW w:type="auto" w:w="0"/>
        <w:tblBorders>
          <w:top w:val="single" w:sz="4" w:space="0" w:color="9DB6D4"/>
          <w:left w:val="single" w:sz="4" w:space="0" w:color="9DB6D4"/>
          <w:bottom w:val="single" w:sz="4" w:space="0" w:color="9DB6D4"/>
          <w:right w:val="single" w:sz="4" w:space="0" w:color="9DB6D4"/>
          <w:insideH w:val="single" w:sz="4" w:space="0" w:color="9DB6D4"/>
          <w:insideV w:val="single" w:sz="4" w:space="0" w:color="9DB6D4"/>
        </w:tblBorders>
        <w:tblLayout w:type="fixed"/>
        <w:tblLook w:firstColumn="1" w:firstRow="1" w:lastColumn="0" w:lastRow="0" w:noHBand="0" w:noVBand="1" w:val="04A0"/>
      </w:tblPr>
      <w:tblGrid>
        <w:gridCol w:w="9518"/>
      </w:tblGrid>
      <w:tr>
        <w:tc>
          <w:tcPr>
            <w:tcW w:type="dxa" w:w="9518"/>
            <w:shd w:val="clear" w:color="auto" w:fill="EEF2F8"/>
            <w:tcMar>
              <w:top w:w="100" w:type="dxa"/>
              <w:left w:w="150" w:type="dxa"/>
              <w:bottom w:w="100" w:type="dxa"/>
              <w:right w:w="150" w:type="dxa"/>
            </w:tcMar>
          </w:tcPr>
          <w:p>
            <w:pPr>
              <w:spacing w:after="0"/>
            </w:pPr>
            <w:r>
              <w:rPr>
                <w:b/>
                <w:color w:val="8A5A0B"/>
                <w:sz w:val="18"/>
              </w:rPr>
              <w:t xml:space="preserve">NOTA  </w:t>
            </w:r>
            <w:r>
              <w:rPr>
                <w:sz w:val="20"/>
              </w:rPr>
              <w:t xml:space="preserve">Conviene no confundir las dos bases de datos: </w:t>
            </w:r>
            <w:r>
              <w:rPr>
                <w:rFonts w:ascii="Consolas" w:hAnsi="Consolas" w:eastAsia="Consolas"/>
                <w:color w:val="1A4473"/>
                <w:sz w:val="20"/>
              </w:rPr>
              <w:t>analytics</w:t>
            </w:r>
            <w:r>
              <w:rPr>
                <w:sz w:val="20"/>
              </w:rPr>
              <w:t xml:space="preserve"> contiene los datos de uso, mientras que </w:t>
            </w:r>
            <w:r>
              <w:rPr>
                <w:rFonts w:ascii="Consolas" w:hAnsi="Consolas" w:eastAsia="Consolas"/>
                <w:color w:val="1A4473"/>
                <w:sz w:val="20"/>
              </w:rPr>
              <w:t>metabase</w:t>
            </w:r>
            <w:r>
              <w:rPr>
                <w:sz w:val="20"/>
              </w:rPr>
              <w:t xml:space="preserve"> es la base interna de la propia herramienta.</w:t>
            </w:r>
          </w:p>
        </w:tc>
      </w:tr>
    </w:tbl>
    <w:p>
      <w:pPr>
        <w:spacing w:after="0" w:before="0" w:line="240" w:lineRule="auto"/>
      </w:pPr>
      <w:r>
        <w:rPr>
          <w:sz w:val="8"/>
        </w:rPr>
      </w:r>
    </w:p>
    <w:p>
      <w:r>
        <w:br w:type="page"/>
      </w:r>
    </w:p>
    <w:p>
      <w:pPr>
        <w:pStyle w:val="Heading1"/>
        <w:pBdr>
          <w:bottom w:val="single" w:sz="6" w:space="4" w:color="9DB6D4"/>
        </w:pBdr>
      </w:pPr>
      <w:r>
        <w:t>11. Operación diaria (runbooks)</w:t>
      </w:r>
    </w:p>
    <w:p>
      <w:pPr>
        <w:spacing w:after="120"/>
      </w:pPr>
      <w:r>
        <w:rPr>
          <w:i/>
          <w:color w:val="555F6D"/>
          <w:sz w:val="21"/>
        </w:rPr>
        <w:t>Procedimientos breves y repetibles para las tareas habituales de operación.</w:t>
      </w:r>
    </w:p>
    <w:p>
      <w:pPr>
        <w:pStyle w:val="Heading2"/>
      </w:pPr>
      <w:r>
        <w:t>R1 — Revisar el estado de la plataforma</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docker compose ps</w:t>
            </w:r>
          </w:p>
          <w:p>
            <w:pPr>
              <w:spacing w:after="0" w:before="0" w:line="240" w:lineRule="auto"/>
            </w:pPr>
            <w:r>
              <w:rPr>
                <w:rFonts w:ascii="Consolas" w:hAnsi="Consolas" w:eastAsia="Consolas"/>
                <w:color w:val="1B2A3D"/>
                <w:sz w:val="17"/>
              </w:rPr>
              <w:t>docker compose logs -f nginx keycloak oauth2-proxy guest-portal log-worker --tail=100</w:t>
            </w:r>
          </w:p>
        </w:tc>
      </w:tr>
    </w:tbl>
    <w:p>
      <w:pPr>
        <w:spacing w:after="0" w:before="0" w:line="240" w:lineRule="auto"/>
      </w:pPr>
      <w:r>
        <w:rPr>
          <w:sz w:val="8"/>
        </w:rPr>
      </w:r>
    </w:p>
    <w:p>
      <w:pPr>
        <w:pStyle w:val="Heading2"/>
      </w:pPr>
      <w:r>
        <w:t>R2 — Recargar Nginx tras cambiar recursos o rangos de campus</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./scripts/render-campus-geo.sh     # solo si cambiaron los rangos INSTITUTIONAL_CIDRS</w:t>
            </w:r>
          </w:p>
          <w:p>
            <w:pPr>
              <w:spacing w:after="0" w:before="0" w:line="240" w:lineRule="auto"/>
            </w:pPr>
            <w:r>
              <w:rPr>
                <w:rFonts w:ascii="Consolas" w:hAnsi="Consolas" w:eastAsia="Consolas"/>
                <w:color w:val="1B2A3D"/>
                <w:sz w:val="17"/>
              </w:rPr>
              <w:t>PUBLIC_HOST=proxy.bibliolatino.com PUBLIC_SCHEME=https ./scripts/generate-proxy-conf.py</w:t>
            </w:r>
          </w:p>
          <w:p>
            <w:pPr>
              <w:spacing w:after="0" w:before="0" w:line="240" w:lineRule="auto"/>
            </w:pPr>
            <w:r>
              <w:rPr>
                <w:rFonts w:ascii="Consolas" w:hAnsi="Consolas" w:eastAsia="Consolas"/>
                <w:color w:val="1B2A3D"/>
                <w:sz w:val="17"/>
              </w:rPr>
              <w:t>docker compose exec nginx nginx -s reload</w:t>
            </w:r>
          </w:p>
        </w:tc>
      </w:tr>
    </w:tbl>
    <w:p>
      <w:pPr>
        <w:spacing w:after="0" w:before="0" w:line="240" w:lineRule="auto"/>
      </w:pPr>
      <w:r>
        <w:rPr>
          <w:sz w:val="8"/>
        </w:rPr>
      </w:r>
    </w:p>
    <w:p>
      <w:pPr>
        <w:pStyle w:val="Heading2"/>
      </w:pPr>
      <w:r>
        <w:t>R3 — Aprobar o rechazar un invitado</w:t>
      </w:r>
    </w:p>
    <w:p>
      <w:pPr>
        <w:pStyle w:val="ListNumber"/>
      </w:pPr>
      <w:r>
        <w:t xml:space="preserve">Iniciar sesión con una cuenta con rol </w:t>
      </w:r>
      <w:r>
        <w:rPr>
          <w:rFonts w:ascii="Consolas" w:hAnsi="Consolas" w:eastAsia="Consolas"/>
          <w:color w:val="1A4473"/>
          <w:sz w:val="19"/>
        </w:rPr>
        <w:t>admin</w:t>
      </w:r>
      <w:r>
        <w:t xml:space="preserve"> (por ejemplo </w:t>
      </w:r>
      <w:r>
        <w:rPr>
          <w:rFonts w:ascii="Consolas" w:hAnsi="Consolas" w:eastAsia="Consolas"/>
          <w:color w:val="1A4473"/>
          <w:sz w:val="19"/>
        </w:rPr>
        <w:t>librarian</w:t>
      </w:r>
      <w:r>
        <w:t>).</w:t>
      </w:r>
    </w:p>
    <w:p>
      <w:pPr>
        <w:pStyle w:val="ListNumber"/>
      </w:pPr>
      <w:r>
        <w:t xml:space="preserve">Abrir </w:t>
      </w:r>
      <w:r>
        <w:rPr>
          <w:rFonts w:ascii="Consolas" w:hAnsi="Consolas" w:eastAsia="Consolas"/>
          <w:color w:val="1A4473"/>
          <w:sz w:val="19"/>
        </w:rPr>
        <w:t>/guest/admin</w:t>
      </w:r>
      <w:r>
        <w:t xml:space="preserve"> y revisar la lista de solicitudes pendientes.</w:t>
      </w:r>
    </w:p>
    <w:p>
      <w:pPr>
        <w:pStyle w:val="ListNumber"/>
      </w:pPr>
      <w:r>
        <w:t>Aprobar o rechazar; el cambio de estado es inmediato.</w:t>
      </w:r>
    </w:p>
    <w:p>
      <w:pPr>
        <w:pStyle w:val="Heading2"/>
      </w:pPr>
      <w:r>
        <w:t>R4 — Incorporar una editorial o base de datos</w:t>
      </w:r>
    </w:p>
    <w:p>
      <w:pPr>
        <w:spacing w:after="120"/>
      </w:pPr>
      <w:r>
        <w:t>Seguir el procedimiento de la sección 7.3. Recordar la autorización de la IP de salida cuando el recurso sea real.</w:t>
      </w:r>
    </w:p>
    <w:p>
      <w:pPr>
        <w:pStyle w:val="Heading2"/>
      </w:pPr>
      <w:r>
        <w:t>R5 — Reiniciar o actualizar un servicio</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docker compose up -d --build guest-portal</w:t>
            </w:r>
          </w:p>
          <w:p>
            <w:pPr>
              <w:spacing w:after="0" w:before="0" w:line="240" w:lineRule="auto"/>
            </w:pPr>
            <w:r>
              <w:rPr>
                <w:rFonts w:ascii="Consolas" w:hAnsi="Consolas" w:eastAsia="Consolas"/>
                <w:color w:val="1B2A3D"/>
                <w:sz w:val="17"/>
              </w:rPr>
              <w:t>docker compose restart log-worker</w:t>
            </w:r>
          </w:p>
        </w:tc>
      </w:tr>
    </w:tbl>
    <w:p>
      <w:pPr>
        <w:spacing w:after="0" w:before="0" w:line="240" w:lineRule="auto"/>
      </w:pPr>
      <w:r>
        <w:rPr>
          <w:sz w:val="8"/>
        </w:rPr>
      </w:r>
    </w:p>
    <w:p>
      <w:pPr>
        <w:pStyle w:val="Heading2"/>
      </w:pPr>
      <w:r>
        <w:t>R6 — Renovar el certificado TLS</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./scripts/issue-tls-cert.sh</w:t>
            </w:r>
          </w:p>
        </w:tc>
      </w:tr>
    </w:tbl>
    <w:p>
      <w:pPr>
        <w:spacing w:after="0" w:before="0" w:line="240" w:lineRule="auto"/>
      </w:pPr>
      <w:r>
        <w:rPr>
          <w:sz w:val="8"/>
        </w:rPr>
      </w:r>
    </w:p>
    <w:p>
      <w:pPr>
        <w:spacing w:after="120"/>
      </w:pPr>
      <w:r>
        <w:t>La renovación debe repetirse conforme a la vigencia del certificado emitido; puede automatizarse con una tarea periódica del sistema.</w:t>
      </w:r>
    </w:p>
    <w:p>
      <w:pPr>
        <w:pStyle w:val="Heading2"/>
      </w:pPr>
      <w:r>
        <w:t>R7 — Copia de seguridad</w:t>
      </w:r>
    </w:p>
    <w:p>
      <w:pPr>
        <w:pStyle w:val="ListBullet"/>
      </w:pPr>
      <w:r>
        <w:t xml:space="preserve">Volumen </w:t>
      </w:r>
      <w:r>
        <w:rPr>
          <w:rFonts w:ascii="Consolas" w:hAnsi="Consolas" w:eastAsia="Consolas"/>
          <w:color w:val="1A4473"/>
          <w:sz w:val="19"/>
        </w:rPr>
        <w:t>postgres_data</w:t>
      </w:r>
      <w:r>
        <w:t xml:space="preserve"> — identidad, analítica y configuración de Metabase.</w:t>
      </w:r>
    </w:p>
    <w:p>
      <w:pPr>
        <w:pStyle w:val="ListBullet"/>
      </w:pPr>
      <w:r>
        <w:t xml:space="preserve">Archivo </w:t>
      </w:r>
      <w:r>
        <w:rPr>
          <w:rFonts w:ascii="Consolas" w:hAnsi="Consolas" w:eastAsia="Consolas"/>
          <w:color w:val="1A4473"/>
          <w:sz w:val="19"/>
        </w:rPr>
        <w:t>.env</w:t>
      </w:r>
      <w:r>
        <w:t xml:space="preserve"> — secretos; debe custodiarse fuera del repositorio.</w:t>
      </w:r>
    </w:p>
    <w:p>
      <w:pPr>
        <w:pStyle w:val="ListBullet"/>
      </w:pPr>
      <w:r>
        <w:t xml:space="preserve">Carpetas </w:t>
      </w:r>
      <w:r>
        <w:rPr>
          <w:rFonts w:ascii="Consolas" w:hAnsi="Consolas" w:eastAsia="Consolas"/>
          <w:color w:val="1A4473"/>
          <w:sz w:val="19"/>
        </w:rPr>
        <w:t>stanzas/</w:t>
      </w:r>
      <w:r>
        <w:t xml:space="preserve"> y </w:t>
      </w:r>
      <w:r>
        <w:rPr>
          <w:rFonts w:ascii="Consolas" w:hAnsi="Consolas" w:eastAsia="Consolas"/>
          <w:color w:val="1A4473"/>
          <w:sz w:val="19"/>
        </w:rPr>
        <w:t>certs/</w:t>
      </w:r>
      <w:r>
        <w:t xml:space="preserve"> — definición de recursos y certificados.</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docker compose exec postgres pg_dumpall -U "$POSTGRES_USER" &gt; backup-$(date +%F).sql</w:t>
            </w:r>
          </w:p>
        </w:tc>
      </w:tr>
    </w:tbl>
    <w:p>
      <w:pPr>
        <w:spacing w:after="0" w:before="0" w:line="240" w:lineRule="auto"/>
      </w:pPr>
      <w:r>
        <w:rPr>
          <w:sz w:val="8"/>
        </w:rPr>
      </w:r>
    </w:p>
    <w:p>
      <w:r>
        <w:br w:type="page"/>
      </w:r>
    </w:p>
    <w:p>
      <w:pPr>
        <w:pStyle w:val="Heading1"/>
        <w:pBdr>
          <w:bottom w:val="single" w:sz="6" w:space="4" w:color="9DB6D4"/>
        </w:pBdr>
      </w:pPr>
      <w:r>
        <w:t>12. Variables de entorno</w:t>
      </w:r>
    </w:p>
    <w:p>
      <w:pPr>
        <w:spacing w:after="120"/>
      </w:pPr>
      <w:r>
        <w:t xml:space="preserve">La configuración del sistema se concentra en el archivo </w:t>
      </w:r>
      <w:r>
        <w:rPr>
          <w:rFonts w:ascii="Consolas" w:hAnsi="Consolas" w:eastAsia="Consolas"/>
          <w:color w:val="1A4473"/>
          <w:sz w:val="19"/>
        </w:rPr>
        <w:t>.env</w:t>
      </w:r>
      <w:r>
        <w:t xml:space="preserve">, cuya plantilla pública es </w:t>
      </w:r>
      <w:r>
        <w:rPr>
          <w:rFonts w:ascii="Consolas" w:hAnsi="Consolas" w:eastAsia="Consolas"/>
          <w:color w:val="1A4473"/>
          <w:sz w:val="19"/>
        </w:rPr>
        <w:t>.env.example</w:t>
      </w:r>
      <w:r>
        <w:t xml:space="preserve">. </w:t>
      </w:r>
      <w:r>
        <w:rPr>
          <w:b/>
        </w:rPr>
        <w:t>Los secretos reales no deben incorporarse al repositorio.</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3807"/>
            <w:shd w:val="clear" w:color="auto" w:fill="142F5A"/>
            <w:tcMar>
              <w:top w:w="60" w:type="dxa"/>
              <w:left w:w="110" w:type="dxa"/>
              <w:bottom w:w="60" w:type="dxa"/>
              <w:right w:w="110" w:type="dxa"/>
            </w:tcMar>
          </w:tcPr>
          <w:p>
            <w:pPr>
              <w:spacing w:after="0"/>
            </w:pPr>
            <w:r>
              <w:rPr>
                <w:b/>
                <w:color w:val="FFFFFF"/>
                <w:sz w:val="19"/>
              </w:rPr>
              <w:t>Variable</w:t>
            </w:r>
          </w:p>
        </w:tc>
        <w:tc>
          <w:tcPr>
            <w:tcW w:type="dxa" w:w="5711"/>
            <w:shd w:val="clear" w:color="auto" w:fill="142F5A"/>
            <w:tcMar>
              <w:top w:w="60" w:type="dxa"/>
              <w:left w:w="110" w:type="dxa"/>
              <w:bottom w:w="60" w:type="dxa"/>
              <w:right w:w="110" w:type="dxa"/>
            </w:tcMar>
          </w:tcPr>
          <w:p>
            <w:pPr>
              <w:spacing w:after="0"/>
            </w:pPr>
            <w:r>
              <w:rPr>
                <w:b/>
                <w:color w:val="FFFFFF"/>
                <w:sz w:val="19"/>
              </w:rPr>
              <w:t>Propósito</w:t>
            </w:r>
          </w:p>
        </w:tc>
      </w:tr>
      <w:tr>
        <w:tc>
          <w:tcPr>
            <w:tcW w:type="dxa" w:w="3807"/>
            <w:tcMar>
              <w:top w:w="60" w:type="dxa"/>
              <w:left w:w="110" w:type="dxa"/>
              <w:bottom w:w="60" w:type="dxa"/>
              <w:right w:w="110" w:type="dxa"/>
            </w:tcMar>
          </w:tcPr>
          <w:p>
            <w:pPr>
              <w:spacing w:after="0" w:line="252" w:lineRule="auto"/>
            </w:pPr>
            <w:r>
              <w:rPr>
                <w:rFonts w:ascii="Consolas" w:hAnsi="Consolas" w:eastAsia="Consolas"/>
                <w:color w:val="1A4473"/>
                <w:sz w:val="19"/>
              </w:rPr>
              <w:t>POSTGRES_USER</w:t>
            </w:r>
            <w:r>
              <w:rPr>
                <w:sz w:val="19"/>
              </w:rPr>
              <w:t xml:space="preserve">, </w:t>
            </w:r>
            <w:r>
              <w:rPr>
                <w:rFonts w:ascii="Consolas" w:hAnsi="Consolas" w:eastAsia="Consolas"/>
                <w:color w:val="1A4473"/>
                <w:sz w:val="19"/>
              </w:rPr>
              <w:t>POSTGRES_PASSWORD</w:t>
            </w:r>
            <w:r>
              <w:rPr>
                <w:sz w:val="19"/>
              </w:rPr>
              <w:t xml:space="preserve">, </w:t>
            </w:r>
            <w:r>
              <w:rPr>
                <w:rFonts w:ascii="Consolas" w:hAnsi="Consolas" w:eastAsia="Consolas"/>
                <w:color w:val="1A4473"/>
                <w:sz w:val="19"/>
              </w:rPr>
              <w:t>POSTGRES_DB</w:t>
            </w:r>
          </w:p>
        </w:tc>
        <w:tc>
          <w:tcPr>
            <w:tcW w:type="dxa" w:w="5711"/>
            <w:tcMar>
              <w:top w:w="60" w:type="dxa"/>
              <w:left w:w="110" w:type="dxa"/>
              <w:bottom w:w="60" w:type="dxa"/>
              <w:right w:w="110" w:type="dxa"/>
            </w:tcMar>
          </w:tcPr>
          <w:p>
            <w:pPr>
              <w:spacing w:after="0" w:line="252" w:lineRule="auto"/>
            </w:pPr>
            <w:r>
              <w:rPr>
                <w:sz w:val="19"/>
              </w:rPr>
              <w:t>Credenciales de PostgreSQL, compartidas por identidad y analítica</w:t>
            </w:r>
          </w:p>
        </w:tc>
      </w:tr>
      <w:tr>
        <w:tc>
          <w:tcPr>
            <w:tcW w:type="dxa" w:w="380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KEYCLOAK_ADMIN</w:t>
            </w:r>
            <w:r>
              <w:rPr>
                <w:sz w:val="19"/>
              </w:rPr>
              <w:t xml:space="preserve">, </w:t>
            </w:r>
            <w:r>
              <w:rPr>
                <w:rFonts w:ascii="Consolas" w:hAnsi="Consolas" w:eastAsia="Consolas"/>
                <w:color w:val="1A4473"/>
                <w:sz w:val="19"/>
              </w:rPr>
              <w:t>KEYCLOAK_ADMIN_PASSWORD</w:t>
            </w:r>
          </w:p>
        </w:tc>
        <w:tc>
          <w:tcPr>
            <w:tcW w:type="dxa" w:w="5711"/>
            <w:shd w:val="clear" w:color="auto" w:fill="EEF2F8"/>
            <w:tcMar>
              <w:top w:w="60" w:type="dxa"/>
              <w:left w:w="110" w:type="dxa"/>
              <w:bottom w:w="60" w:type="dxa"/>
              <w:right w:w="110" w:type="dxa"/>
            </w:tcMar>
          </w:tcPr>
          <w:p>
            <w:pPr>
              <w:spacing w:after="0" w:line="252" w:lineRule="auto"/>
            </w:pPr>
            <w:r>
              <w:rPr>
                <w:sz w:val="19"/>
              </w:rPr>
              <w:t>Cuenta administradora inicial de Keycloak</w:t>
            </w:r>
          </w:p>
        </w:tc>
      </w:tr>
      <w:tr>
        <w:tc>
          <w:tcPr>
            <w:tcW w:type="dxa" w:w="3807"/>
            <w:tcMar>
              <w:top w:w="60" w:type="dxa"/>
              <w:left w:w="110" w:type="dxa"/>
              <w:bottom w:w="60" w:type="dxa"/>
              <w:right w:w="110" w:type="dxa"/>
            </w:tcMar>
          </w:tcPr>
          <w:p>
            <w:pPr>
              <w:spacing w:after="0" w:line="252" w:lineRule="auto"/>
            </w:pPr>
            <w:r>
              <w:rPr>
                <w:rFonts w:ascii="Consolas" w:hAnsi="Consolas" w:eastAsia="Consolas"/>
                <w:color w:val="1A4473"/>
                <w:sz w:val="19"/>
              </w:rPr>
              <w:t>PUBLIC_HOST</w:t>
            </w:r>
            <w:r>
              <w:rPr>
                <w:sz w:val="19"/>
              </w:rPr>
              <w:t xml:space="preserve">, </w:t>
            </w:r>
            <w:r>
              <w:rPr>
                <w:rFonts w:ascii="Consolas" w:hAnsi="Consolas" w:eastAsia="Consolas"/>
                <w:color w:val="1A4473"/>
                <w:sz w:val="19"/>
              </w:rPr>
              <w:t>PUBLIC_SCHEME</w:t>
            </w:r>
            <w:r>
              <w:rPr>
                <w:sz w:val="19"/>
              </w:rPr>
              <w:t xml:space="preserve">, </w:t>
            </w:r>
            <w:r>
              <w:rPr>
                <w:rFonts w:ascii="Consolas" w:hAnsi="Consolas" w:eastAsia="Consolas"/>
                <w:color w:val="1A4473"/>
                <w:sz w:val="19"/>
              </w:rPr>
              <w:t>APP_URL</w:t>
            </w:r>
          </w:p>
        </w:tc>
        <w:tc>
          <w:tcPr>
            <w:tcW w:type="dxa" w:w="5711"/>
            <w:tcMar>
              <w:top w:w="60" w:type="dxa"/>
              <w:left w:w="110" w:type="dxa"/>
              <w:bottom w:w="60" w:type="dxa"/>
              <w:right w:w="110" w:type="dxa"/>
            </w:tcMar>
          </w:tcPr>
          <w:p>
            <w:pPr>
              <w:spacing w:after="0" w:line="252" w:lineRule="auto"/>
            </w:pPr>
            <w:r>
              <w:rPr>
                <w:sz w:val="19"/>
              </w:rPr>
              <w:t>Dirección pública del proxy</w:t>
            </w:r>
          </w:p>
        </w:tc>
      </w:tr>
      <w:tr>
        <w:tc>
          <w:tcPr>
            <w:tcW w:type="dxa" w:w="380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KEYCLOAK_PUBLIC_URL</w:t>
            </w:r>
          </w:p>
        </w:tc>
        <w:tc>
          <w:tcPr>
            <w:tcW w:type="dxa" w:w="5711"/>
            <w:shd w:val="clear" w:color="auto" w:fill="EEF2F8"/>
            <w:tcMar>
              <w:top w:w="60" w:type="dxa"/>
              <w:left w:w="110" w:type="dxa"/>
              <w:bottom w:w="60" w:type="dxa"/>
              <w:right w:w="110" w:type="dxa"/>
            </w:tcMar>
          </w:tcPr>
          <w:p>
            <w:pPr>
              <w:spacing w:after="0" w:line="252" w:lineRule="auto"/>
            </w:pPr>
            <w:r>
              <w:rPr>
                <w:sz w:val="19"/>
              </w:rPr>
              <w:t>Dirección de Keycloak tal como la ve el navegador</w:t>
            </w:r>
          </w:p>
        </w:tc>
      </w:tr>
      <w:tr>
        <w:tc>
          <w:tcPr>
            <w:tcW w:type="dxa" w:w="3807"/>
            <w:tcMar>
              <w:top w:w="60" w:type="dxa"/>
              <w:left w:w="110" w:type="dxa"/>
              <w:bottom w:w="60" w:type="dxa"/>
              <w:right w:w="110" w:type="dxa"/>
            </w:tcMar>
          </w:tcPr>
          <w:p>
            <w:pPr>
              <w:spacing w:after="0" w:line="252" w:lineRule="auto"/>
            </w:pPr>
            <w:r>
              <w:rPr>
                <w:rFonts w:ascii="Consolas" w:hAnsi="Consolas" w:eastAsia="Consolas"/>
                <w:color w:val="1A4473"/>
                <w:sz w:val="19"/>
              </w:rPr>
              <w:t>KEYCLOAK_SSL_REQUIRED</w:t>
            </w:r>
          </w:p>
        </w:tc>
        <w:tc>
          <w:tcPr>
            <w:tcW w:type="dxa" w:w="5711"/>
            <w:tcMar>
              <w:top w:w="60" w:type="dxa"/>
              <w:left w:w="110" w:type="dxa"/>
              <w:bottom w:w="60" w:type="dxa"/>
              <w:right w:w="110" w:type="dxa"/>
            </w:tcMar>
          </w:tcPr>
          <w:p>
            <w:pPr>
              <w:spacing w:after="0" w:line="252" w:lineRule="auto"/>
            </w:pPr>
            <w:r>
              <w:rPr>
                <w:sz w:val="19"/>
              </w:rPr>
              <w:t>Política de exigencia de HTTPS en el realm</w:t>
            </w:r>
          </w:p>
        </w:tc>
      </w:tr>
      <w:tr>
        <w:tc>
          <w:tcPr>
            <w:tcW w:type="dxa" w:w="380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OAUTH2_PROXY_CLIENT_SECRET</w:t>
            </w:r>
          </w:p>
        </w:tc>
        <w:tc>
          <w:tcPr>
            <w:tcW w:type="dxa" w:w="5711"/>
            <w:shd w:val="clear" w:color="auto" w:fill="EEF2F8"/>
            <w:tcMar>
              <w:top w:w="60" w:type="dxa"/>
              <w:left w:w="110" w:type="dxa"/>
              <w:bottom w:w="60" w:type="dxa"/>
              <w:right w:w="110" w:type="dxa"/>
            </w:tcMar>
          </w:tcPr>
          <w:p>
            <w:pPr>
              <w:spacing w:after="0" w:line="252" w:lineRule="auto"/>
            </w:pPr>
            <w:r>
              <w:rPr>
                <w:sz w:val="19"/>
              </w:rPr>
              <w:t xml:space="preserve">Secreto del cliente </w:t>
            </w:r>
            <w:r>
              <w:rPr>
                <w:rFonts w:ascii="Consolas" w:hAnsi="Consolas" w:eastAsia="Consolas"/>
                <w:color w:val="1A4473"/>
                <w:sz w:val="19"/>
              </w:rPr>
              <w:t>library-proxy</w:t>
            </w:r>
          </w:p>
        </w:tc>
      </w:tr>
      <w:tr>
        <w:tc>
          <w:tcPr>
            <w:tcW w:type="dxa" w:w="3807"/>
            <w:tcMar>
              <w:top w:w="60" w:type="dxa"/>
              <w:left w:w="110" w:type="dxa"/>
              <w:bottom w:w="60" w:type="dxa"/>
              <w:right w:w="110" w:type="dxa"/>
            </w:tcMar>
          </w:tcPr>
          <w:p>
            <w:pPr>
              <w:spacing w:after="0" w:line="252" w:lineRule="auto"/>
            </w:pPr>
            <w:r>
              <w:rPr>
                <w:rFonts w:ascii="Consolas" w:hAnsi="Consolas" w:eastAsia="Consolas"/>
                <w:color w:val="1A4473"/>
                <w:sz w:val="19"/>
              </w:rPr>
              <w:t>OAUTH2_PROXY_COOKIE_SECRET</w:t>
            </w:r>
          </w:p>
        </w:tc>
        <w:tc>
          <w:tcPr>
            <w:tcW w:type="dxa" w:w="5711"/>
            <w:tcMar>
              <w:top w:w="60" w:type="dxa"/>
              <w:left w:w="110" w:type="dxa"/>
              <w:bottom w:w="60" w:type="dxa"/>
              <w:right w:w="110" w:type="dxa"/>
            </w:tcMar>
          </w:tcPr>
          <w:p>
            <w:pPr>
              <w:spacing w:after="0" w:line="252" w:lineRule="auto"/>
            </w:pPr>
            <w:r>
              <w:rPr>
                <w:sz w:val="19"/>
              </w:rPr>
              <w:t>Clave de cifrado de la cookie de sesión (16, 24 o 32 bytes)</w:t>
            </w:r>
          </w:p>
        </w:tc>
      </w:tr>
      <w:tr>
        <w:tc>
          <w:tcPr>
            <w:tcW w:type="dxa" w:w="380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OAUTH2_PROXY_COOKIE_SECURE</w:t>
            </w:r>
          </w:p>
        </w:tc>
        <w:tc>
          <w:tcPr>
            <w:tcW w:type="dxa" w:w="5711"/>
            <w:shd w:val="clear" w:color="auto" w:fill="EEF2F8"/>
            <w:tcMar>
              <w:top w:w="60" w:type="dxa"/>
              <w:left w:w="110" w:type="dxa"/>
              <w:bottom w:w="60" w:type="dxa"/>
              <w:right w:w="110" w:type="dxa"/>
            </w:tcMar>
          </w:tcPr>
          <w:p>
            <w:pPr>
              <w:spacing w:after="0" w:line="252" w:lineRule="auto"/>
            </w:pPr>
            <w:r>
              <w:rPr>
                <w:sz w:val="19"/>
              </w:rPr>
              <w:t xml:space="preserve">Debe ser </w:t>
            </w:r>
            <w:r>
              <w:rPr>
                <w:rFonts w:ascii="Consolas" w:hAnsi="Consolas" w:eastAsia="Consolas"/>
                <w:color w:val="1A4473"/>
                <w:sz w:val="19"/>
              </w:rPr>
              <w:t>true</w:t>
            </w:r>
            <w:r>
              <w:rPr>
                <w:sz w:val="19"/>
              </w:rPr>
              <w:t xml:space="preserve"> cuando el sitio se sirve por HTTPS</w:t>
            </w:r>
          </w:p>
        </w:tc>
      </w:tr>
      <w:tr>
        <w:tc>
          <w:tcPr>
            <w:tcW w:type="dxa" w:w="3807"/>
            <w:tcMar>
              <w:top w:w="60" w:type="dxa"/>
              <w:left w:w="110" w:type="dxa"/>
              <w:bottom w:w="60" w:type="dxa"/>
              <w:right w:w="110" w:type="dxa"/>
            </w:tcMar>
          </w:tcPr>
          <w:p>
            <w:pPr>
              <w:spacing w:after="0" w:line="252" w:lineRule="auto"/>
            </w:pPr>
            <w:r>
              <w:rPr>
                <w:rFonts w:ascii="Consolas" w:hAnsi="Consolas" w:eastAsia="Consolas"/>
                <w:color w:val="1A4473"/>
                <w:sz w:val="19"/>
              </w:rPr>
              <w:t>INSTITUTIONAL_CIDRS</w:t>
            </w:r>
          </w:p>
        </w:tc>
        <w:tc>
          <w:tcPr>
            <w:tcW w:type="dxa" w:w="5711"/>
            <w:tcMar>
              <w:top w:w="60" w:type="dxa"/>
              <w:left w:w="110" w:type="dxa"/>
              <w:bottom w:w="60" w:type="dxa"/>
              <w:right w:w="110" w:type="dxa"/>
            </w:tcMar>
          </w:tcPr>
          <w:p>
            <w:pPr>
              <w:spacing w:after="0" w:line="252" w:lineRule="auto"/>
            </w:pPr>
            <w:r>
              <w:rPr>
                <w:sz w:val="19"/>
              </w:rPr>
              <w:t>Rangos de IP del campus con acceso sin inicio de sesión</w:t>
            </w:r>
          </w:p>
        </w:tc>
      </w:tr>
      <w:tr>
        <w:tc>
          <w:tcPr>
            <w:tcW w:type="dxa" w:w="380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GUEST_CLIENT_SECRET</w:t>
            </w:r>
          </w:p>
        </w:tc>
        <w:tc>
          <w:tcPr>
            <w:tcW w:type="dxa" w:w="5711"/>
            <w:shd w:val="clear" w:color="auto" w:fill="EEF2F8"/>
            <w:tcMar>
              <w:top w:w="60" w:type="dxa"/>
              <w:left w:w="110" w:type="dxa"/>
              <w:bottom w:w="60" w:type="dxa"/>
              <w:right w:w="110" w:type="dxa"/>
            </w:tcMar>
          </w:tcPr>
          <w:p>
            <w:pPr>
              <w:spacing w:after="0" w:line="252" w:lineRule="auto"/>
            </w:pPr>
            <w:r>
              <w:rPr>
                <w:sz w:val="19"/>
              </w:rPr>
              <w:t xml:space="preserve">Secreto del cliente </w:t>
            </w:r>
            <w:r>
              <w:rPr>
                <w:rFonts w:ascii="Consolas" w:hAnsi="Consolas" w:eastAsia="Consolas"/>
                <w:color w:val="1A4473"/>
                <w:sz w:val="19"/>
              </w:rPr>
              <w:t>guest-portal</w:t>
            </w:r>
          </w:p>
        </w:tc>
      </w:tr>
      <w:tr>
        <w:tc>
          <w:tcPr>
            <w:tcW w:type="dxa" w:w="3807"/>
            <w:tcMar>
              <w:top w:w="60" w:type="dxa"/>
              <w:left w:w="110" w:type="dxa"/>
              <w:bottom w:w="60" w:type="dxa"/>
              <w:right w:w="110" w:type="dxa"/>
            </w:tcMar>
          </w:tcPr>
          <w:p>
            <w:pPr>
              <w:spacing w:after="0" w:line="252" w:lineRule="auto"/>
            </w:pPr>
            <w:r>
              <w:rPr>
                <w:rFonts w:ascii="Consolas" w:hAnsi="Consolas" w:eastAsia="Consolas"/>
                <w:color w:val="1A4473"/>
                <w:sz w:val="19"/>
              </w:rPr>
              <w:t>LDAP_URL</w:t>
            </w:r>
            <w:r>
              <w:rPr>
                <w:sz w:val="19"/>
              </w:rPr>
              <w:t xml:space="preserve">, </w:t>
            </w:r>
            <w:r>
              <w:rPr>
                <w:rFonts w:ascii="Consolas" w:hAnsi="Consolas" w:eastAsia="Consolas"/>
                <w:color w:val="1A4473"/>
                <w:sz w:val="19"/>
              </w:rPr>
              <w:t>LDAP_BIND_DN</w:t>
            </w:r>
            <w:r>
              <w:rPr>
                <w:sz w:val="19"/>
              </w:rPr>
              <w:t xml:space="preserve">, </w:t>
            </w:r>
            <w:r>
              <w:rPr>
                <w:rFonts w:ascii="Consolas" w:hAnsi="Consolas" w:eastAsia="Consolas"/>
                <w:color w:val="1A4473"/>
                <w:sz w:val="19"/>
              </w:rPr>
              <w:t>LDAP_BIND_PASSWORD</w:t>
            </w:r>
            <w:r>
              <w:rPr>
                <w:sz w:val="19"/>
              </w:rPr>
              <w:t xml:space="preserve">, </w:t>
            </w:r>
            <w:r>
              <w:rPr>
                <w:rFonts w:ascii="Consolas" w:hAnsi="Consolas" w:eastAsia="Consolas"/>
                <w:color w:val="1A4473"/>
                <w:sz w:val="19"/>
              </w:rPr>
              <w:t>LDAP_USERS_DN</w:t>
            </w:r>
          </w:p>
        </w:tc>
        <w:tc>
          <w:tcPr>
            <w:tcW w:type="dxa" w:w="5711"/>
            <w:tcMar>
              <w:top w:w="60" w:type="dxa"/>
              <w:left w:w="110" w:type="dxa"/>
              <w:bottom w:w="60" w:type="dxa"/>
              <w:right w:w="110" w:type="dxa"/>
            </w:tcMar>
          </w:tcPr>
          <w:p>
            <w:pPr>
              <w:spacing w:after="0" w:line="252" w:lineRule="auto"/>
            </w:pPr>
            <w:r>
              <w:rPr>
                <w:sz w:val="19"/>
              </w:rPr>
              <w:t>Conexión y credenciales del directorio institucional</w:t>
            </w:r>
          </w:p>
        </w:tc>
      </w:tr>
      <w:tr>
        <w:tc>
          <w:tcPr>
            <w:tcW w:type="dxa" w:w="380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HTTP_PORT</w:t>
            </w:r>
            <w:r>
              <w:rPr>
                <w:sz w:val="19"/>
              </w:rPr>
              <w:t xml:space="preserve">, </w:t>
            </w:r>
            <w:r>
              <w:rPr>
                <w:rFonts w:ascii="Consolas" w:hAnsi="Consolas" w:eastAsia="Consolas"/>
                <w:color w:val="1A4473"/>
                <w:sz w:val="19"/>
              </w:rPr>
              <w:t>HTTPS_PORT</w:t>
            </w:r>
          </w:p>
        </w:tc>
        <w:tc>
          <w:tcPr>
            <w:tcW w:type="dxa" w:w="5711"/>
            <w:shd w:val="clear" w:color="auto" w:fill="EEF2F8"/>
            <w:tcMar>
              <w:top w:w="60" w:type="dxa"/>
              <w:left w:w="110" w:type="dxa"/>
              <w:bottom w:w="60" w:type="dxa"/>
              <w:right w:w="110" w:type="dxa"/>
            </w:tcMar>
          </w:tcPr>
          <w:p>
            <w:pPr>
              <w:spacing w:after="0" w:line="252" w:lineRule="auto"/>
            </w:pPr>
            <w:r>
              <w:rPr>
                <w:sz w:val="19"/>
              </w:rPr>
              <w:t>Puertos publicados por Nginx</w:t>
            </w:r>
          </w:p>
        </w:tc>
      </w:tr>
      <w:tr>
        <w:tc>
          <w:tcPr>
            <w:tcW w:type="dxa" w:w="3807"/>
            <w:tcMar>
              <w:top w:w="60" w:type="dxa"/>
              <w:left w:w="110" w:type="dxa"/>
              <w:bottom w:w="60" w:type="dxa"/>
              <w:right w:w="110" w:type="dxa"/>
            </w:tcMar>
          </w:tcPr>
          <w:p>
            <w:pPr>
              <w:spacing w:after="0" w:line="252" w:lineRule="auto"/>
            </w:pPr>
            <w:r>
              <w:rPr>
                <w:rFonts w:ascii="Consolas" w:hAnsi="Consolas" w:eastAsia="Consolas"/>
                <w:color w:val="1A4473"/>
                <w:sz w:val="19"/>
              </w:rPr>
              <w:t>CERTBOT_EMAIL</w:t>
            </w:r>
          </w:p>
        </w:tc>
        <w:tc>
          <w:tcPr>
            <w:tcW w:type="dxa" w:w="5711"/>
            <w:tcMar>
              <w:top w:w="60" w:type="dxa"/>
              <w:left w:w="110" w:type="dxa"/>
              <w:bottom w:w="60" w:type="dxa"/>
              <w:right w:w="110" w:type="dxa"/>
            </w:tcMar>
          </w:tcPr>
          <w:p>
            <w:pPr>
              <w:spacing w:after="0" w:line="252" w:lineRule="auto"/>
            </w:pPr>
            <w:r>
              <w:rPr>
                <w:sz w:val="19"/>
              </w:rPr>
              <w:t>Correo de contacto para la emisión del certificado</w:t>
            </w:r>
          </w:p>
        </w:tc>
      </w:tr>
    </w:tbl>
    <w:p>
      <w:pPr>
        <w:spacing w:after="0" w:before="0" w:line="240" w:lineRule="auto"/>
      </w:pPr>
      <w:r>
        <w:rPr>
          <w:sz w:val="12"/>
        </w:rPr>
      </w:r>
    </w:p>
    <w:tbl>
      <w:tblPr>
        <w:tblW w:type="auto" w:w="0"/>
        <w:tblBorders>
          <w:top w:val="single" w:sz="4" w:space="0" w:color="E8A33D"/>
          <w:left w:val="single" w:sz="4" w:space="0" w:color="E8A33D"/>
          <w:bottom w:val="single" w:sz="4" w:space="0" w:color="E8A33D"/>
          <w:right w:val="single" w:sz="4" w:space="0" w:color="E8A33D"/>
          <w:insideH w:val="single" w:sz="4" w:space="0" w:color="E8A33D"/>
          <w:insideV w:val="single" w:sz="4" w:space="0" w:color="E8A33D"/>
        </w:tblBorders>
        <w:tblLayout w:type="fixed"/>
        <w:tblLook w:firstColumn="1" w:firstRow="1" w:lastColumn="0" w:lastRow="0" w:noHBand="0" w:noVBand="1" w:val="04A0"/>
      </w:tblPr>
      <w:tblGrid>
        <w:gridCol w:w="9518"/>
      </w:tblGrid>
      <w:tr>
        <w:tc>
          <w:tcPr>
            <w:tcW w:type="dxa" w:w="9518"/>
            <w:shd w:val="clear" w:color="auto" w:fill="FFF6E5"/>
            <w:tcMar>
              <w:top w:w="100" w:type="dxa"/>
              <w:left w:w="150" w:type="dxa"/>
              <w:bottom w:w="100" w:type="dxa"/>
              <w:right w:w="150" w:type="dxa"/>
            </w:tcMar>
          </w:tcPr>
          <w:p>
            <w:pPr>
              <w:spacing w:after="0"/>
            </w:pPr>
            <w:r>
              <w:rPr>
                <w:b/>
                <w:color w:val="8A5A0B"/>
                <w:sz w:val="18"/>
              </w:rPr>
              <w:t xml:space="preserve">IMPORTANTE  </w:t>
            </w:r>
            <w:r>
              <w:rPr>
                <w:sz w:val="20"/>
              </w:rPr>
              <w:t>Las credenciales de despliegue remoto (acceso SSH, direcciones de servidores) se mantienen fuera del control de versiones. Antes de la apertura del servicio conviene rotar los secretos generados durante la implantación y registrar quién custodia cada uno.</w:t>
            </w:r>
          </w:p>
        </w:tc>
      </w:tr>
    </w:tbl>
    <w:p>
      <w:pPr>
        <w:spacing w:after="0" w:before="0" w:line="240" w:lineRule="auto"/>
      </w:pPr>
      <w:r>
        <w:rPr>
          <w:sz w:val="8"/>
        </w:rPr>
      </w:r>
    </w:p>
    <w:p>
      <w:pPr>
        <w:pStyle w:val="Heading2"/>
      </w:pPr>
      <w:r>
        <w:t>12.1 Generación de secretos</w:t>
      </w:r>
    </w:p>
    <w:tbl>
      <w:tblPr>
        <w:tblW w:type="auto" w:w="0"/>
        <w:jc w:val="left"/>
        <w:tblBorders>
          <w:top w:val="single" w:sz="4" w:space="0" w:color="DDE3EC"/>
          <w:left w:val="single" w:sz="4" w:space="0" w:color="DDE3EC"/>
          <w:bottom w:val="single" w:sz="4" w:space="0" w:color="DDE3EC"/>
          <w:right w:val="single" w:sz="4" w:space="0" w:color="DDE3EC"/>
          <w:insideH w:val="single" w:sz="4" w:space="0" w:color="DDE3EC"/>
          <w:insideV w:val="single" w:sz="4" w:space="0" w:color="DDE3EC"/>
        </w:tblBorders>
        <w:tblLayout w:type="fixed"/>
        <w:tblLook w:firstColumn="1" w:firstRow="1" w:lastColumn="0" w:lastRow="0" w:noHBand="0" w:noVBand="1" w:val="04A0"/>
      </w:tblPr>
      <w:tblGrid>
        <w:gridCol w:w="9518"/>
      </w:tblGrid>
      <w:tr>
        <w:tc>
          <w:tcPr>
            <w:tcW w:type="dxa" w:w="9518"/>
            <w:shd w:val="clear" w:color="auto" w:fill="F4F6F9"/>
            <w:tcMar>
              <w:top w:w="110" w:type="dxa"/>
              <w:left w:w="160" w:type="dxa"/>
              <w:bottom w:w="110" w:type="dxa"/>
              <w:right w:w="140" w:type="dxa"/>
            </w:tcMar>
          </w:tcPr>
          <w:p>
            <w:pPr>
              <w:spacing w:after="0" w:before="0" w:line="240" w:lineRule="auto"/>
            </w:pPr>
            <w:r>
              <w:rPr>
                <w:rFonts w:ascii="Consolas" w:hAnsi="Consolas" w:eastAsia="Consolas"/>
                <w:color w:val="1B2A3D"/>
                <w:sz w:val="17"/>
              </w:rPr>
              <w:t>openssl rand -hex 16     # OAUTH2_PROXY_COOKIE_SECRET</w:t>
            </w:r>
          </w:p>
          <w:p>
            <w:pPr>
              <w:spacing w:after="0" w:before="0" w:line="240" w:lineRule="auto"/>
            </w:pPr>
            <w:r>
              <w:rPr>
                <w:rFonts w:ascii="Consolas" w:hAnsi="Consolas" w:eastAsia="Consolas"/>
                <w:color w:val="1B2A3D"/>
                <w:sz w:val="17"/>
              </w:rPr>
              <w:t>openssl rand -base64 32  # secretos de cliente</w:t>
            </w:r>
          </w:p>
        </w:tc>
      </w:tr>
    </w:tbl>
    <w:p>
      <w:pPr>
        <w:spacing w:after="0" w:before="0" w:line="240" w:lineRule="auto"/>
      </w:pPr>
      <w:r>
        <w:rPr>
          <w:sz w:val="8"/>
        </w:rPr>
      </w:r>
    </w:p>
    <w:p>
      <w:r>
        <w:br w:type="page"/>
      </w:r>
    </w:p>
    <w:p>
      <w:pPr>
        <w:pStyle w:val="Heading1"/>
        <w:pBdr>
          <w:bottom w:val="single" w:sz="6" w:space="4" w:color="9DB6D4"/>
        </w:pBdr>
      </w:pPr>
      <w:r>
        <w:t>13. Scripts de utilidad</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3236"/>
            <w:shd w:val="clear" w:color="auto" w:fill="142F5A"/>
            <w:tcMar>
              <w:top w:w="60" w:type="dxa"/>
              <w:left w:w="110" w:type="dxa"/>
              <w:bottom w:w="60" w:type="dxa"/>
              <w:right w:w="110" w:type="dxa"/>
            </w:tcMar>
          </w:tcPr>
          <w:p>
            <w:pPr>
              <w:spacing w:after="0"/>
            </w:pPr>
            <w:r>
              <w:rPr>
                <w:b/>
                <w:color w:val="FFFFFF"/>
                <w:sz w:val="19"/>
              </w:rPr>
              <w:t>Script</w:t>
            </w:r>
          </w:p>
        </w:tc>
        <w:tc>
          <w:tcPr>
            <w:tcW w:type="dxa" w:w="6282"/>
            <w:shd w:val="clear" w:color="auto" w:fill="142F5A"/>
            <w:tcMar>
              <w:top w:w="60" w:type="dxa"/>
              <w:left w:w="110" w:type="dxa"/>
              <w:bottom w:w="60" w:type="dxa"/>
              <w:right w:w="110" w:type="dxa"/>
            </w:tcMar>
          </w:tcPr>
          <w:p>
            <w:pPr>
              <w:spacing w:after="0"/>
            </w:pPr>
            <w:r>
              <w:rPr>
                <w:b/>
                <w:color w:val="FFFFFF"/>
                <w:sz w:val="19"/>
              </w:rPr>
              <w:t>Función</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generate-proxy-conf.py</w:t>
            </w:r>
          </w:p>
        </w:tc>
        <w:tc>
          <w:tcPr>
            <w:tcW w:type="dxa" w:w="6282"/>
            <w:tcMar>
              <w:top w:w="60" w:type="dxa"/>
              <w:left w:w="110" w:type="dxa"/>
              <w:bottom w:w="60" w:type="dxa"/>
              <w:right w:w="110" w:type="dxa"/>
            </w:tcMar>
          </w:tcPr>
          <w:p>
            <w:pPr>
              <w:spacing w:after="0" w:line="252" w:lineRule="auto"/>
            </w:pPr>
            <w:r>
              <w:rPr>
                <w:sz w:val="19"/>
              </w:rPr>
              <w:t xml:space="preserve">Genera las ubicaciones de Nginx y el catálogo </w:t>
            </w:r>
            <w:r>
              <w:rPr>
                <w:rFonts w:ascii="Consolas" w:hAnsi="Consolas" w:eastAsia="Consolas"/>
                <w:color w:val="1A4473"/>
                <w:sz w:val="19"/>
              </w:rPr>
              <w:t>databases.html</w:t>
            </w:r>
            <w:r>
              <w:rPr>
                <w:sz w:val="19"/>
              </w:rPr>
              <w:t xml:space="preserve"> a partir de las stanzas</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render-campus-geo.sh</w:t>
            </w:r>
          </w:p>
        </w:tc>
        <w:tc>
          <w:tcPr>
            <w:tcW w:type="dxa" w:w="6282"/>
            <w:shd w:val="clear" w:color="auto" w:fill="EEF2F8"/>
            <w:tcMar>
              <w:top w:w="60" w:type="dxa"/>
              <w:left w:w="110" w:type="dxa"/>
              <w:bottom w:w="60" w:type="dxa"/>
              <w:right w:w="110" w:type="dxa"/>
            </w:tcMar>
          </w:tcPr>
          <w:p>
            <w:pPr>
              <w:spacing w:after="0" w:line="252" w:lineRule="auto"/>
            </w:pPr>
            <w:r>
              <w:rPr>
                <w:sz w:val="19"/>
              </w:rPr>
              <w:t xml:space="preserve">Genera </w:t>
            </w:r>
            <w:r>
              <w:rPr>
                <w:rFonts w:ascii="Consolas" w:hAnsi="Consolas" w:eastAsia="Consolas"/>
                <w:color w:val="1A4473"/>
                <w:sz w:val="19"/>
              </w:rPr>
              <w:t>campus-ip.geo.conf</w:t>
            </w:r>
            <w:r>
              <w:rPr>
                <w:sz w:val="19"/>
              </w:rPr>
              <w:t xml:space="preserve"> con los rangos de IP del campus</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configure-public-access.sh</w:t>
            </w:r>
          </w:p>
        </w:tc>
        <w:tc>
          <w:tcPr>
            <w:tcW w:type="dxa" w:w="6282"/>
            <w:tcMar>
              <w:top w:w="60" w:type="dxa"/>
              <w:left w:w="110" w:type="dxa"/>
              <w:bottom w:w="60" w:type="dxa"/>
              <w:right w:w="110" w:type="dxa"/>
            </w:tcMar>
          </w:tcPr>
          <w:p>
            <w:pPr>
              <w:spacing w:after="0" w:line="252" w:lineRule="auto"/>
            </w:pPr>
            <w:r>
              <w:rPr>
                <w:sz w:val="19"/>
              </w:rPr>
              <w:t xml:space="preserve">Alinea la política SSL y las URL de redirección de Keycloak con </w:t>
            </w:r>
            <w:r>
              <w:rPr>
                <w:rFonts w:ascii="Consolas" w:hAnsi="Consolas" w:eastAsia="Consolas"/>
                <w:color w:val="1A4473"/>
                <w:sz w:val="19"/>
              </w:rPr>
              <w:t>APP_URL</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configure-guest-portal.sh</w:t>
            </w:r>
          </w:p>
        </w:tc>
        <w:tc>
          <w:tcPr>
            <w:tcW w:type="dxa" w:w="6282"/>
            <w:shd w:val="clear" w:color="auto" w:fill="EEF2F8"/>
            <w:tcMar>
              <w:top w:w="60" w:type="dxa"/>
              <w:left w:w="110" w:type="dxa"/>
              <w:bottom w:w="60" w:type="dxa"/>
              <w:right w:w="110" w:type="dxa"/>
            </w:tcMar>
          </w:tcPr>
          <w:p>
            <w:pPr>
              <w:spacing w:after="0" w:line="252" w:lineRule="auto"/>
            </w:pPr>
            <w:r>
              <w:rPr>
                <w:sz w:val="19"/>
              </w:rPr>
              <w:t>Concede al portal de invitados los permisos de la API de administración</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configure-ldap-federation.sh</w:t>
            </w:r>
          </w:p>
        </w:tc>
        <w:tc>
          <w:tcPr>
            <w:tcW w:type="dxa" w:w="6282"/>
            <w:tcMar>
              <w:top w:w="60" w:type="dxa"/>
              <w:left w:w="110" w:type="dxa"/>
              <w:bottom w:w="60" w:type="dxa"/>
              <w:right w:w="110" w:type="dxa"/>
            </w:tcMar>
          </w:tcPr>
          <w:p>
            <w:pPr>
              <w:spacing w:after="0" w:line="252" w:lineRule="auto"/>
            </w:pPr>
            <w:r>
              <w:rPr>
                <w:sz w:val="19"/>
              </w:rPr>
              <w:t>Crea la federación LDAP en Keycloak y ajusta las ACL del directorio</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issue-tls-cert.sh</w:t>
            </w:r>
          </w:p>
        </w:tc>
        <w:tc>
          <w:tcPr>
            <w:tcW w:type="dxa" w:w="6282"/>
            <w:shd w:val="clear" w:color="auto" w:fill="EEF2F8"/>
            <w:tcMar>
              <w:top w:w="60" w:type="dxa"/>
              <w:left w:w="110" w:type="dxa"/>
              <w:bottom w:w="60" w:type="dxa"/>
              <w:right w:w="110" w:type="dxa"/>
            </w:tcMar>
          </w:tcPr>
          <w:p>
            <w:pPr>
              <w:spacing w:after="0" w:line="252" w:lineRule="auto"/>
            </w:pPr>
            <w:r>
              <w:rPr>
                <w:sz w:val="19"/>
              </w:rPr>
              <w:t>Emite o renueva el certificado TLS</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validate-m1.sh</w:t>
            </w:r>
            <w:r>
              <w:rPr>
                <w:sz w:val="19"/>
              </w:rPr>
              <w:t xml:space="preserve"> … </w:t>
            </w:r>
            <w:r>
              <w:rPr>
                <w:rFonts w:ascii="Consolas" w:hAnsi="Consolas" w:eastAsia="Consolas"/>
                <w:color w:val="1A4473"/>
                <w:sz w:val="19"/>
              </w:rPr>
              <w:t>validate-m4.sh</w:t>
            </w:r>
          </w:p>
        </w:tc>
        <w:tc>
          <w:tcPr>
            <w:tcW w:type="dxa" w:w="6282"/>
            <w:tcMar>
              <w:top w:w="60" w:type="dxa"/>
              <w:left w:w="110" w:type="dxa"/>
              <w:bottom w:w="60" w:type="dxa"/>
              <w:right w:w="110" w:type="dxa"/>
            </w:tcMar>
          </w:tcPr>
          <w:p>
            <w:pPr>
              <w:spacing w:after="0" w:line="252" w:lineRule="auto"/>
            </w:pPr>
            <w:r>
              <w:rPr>
                <w:sz w:val="19"/>
              </w:rPr>
              <w:t>Comprobaciones funcionales por bloque de entrega</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validate-auth-flows.sh</w:t>
            </w:r>
          </w:p>
        </w:tc>
        <w:tc>
          <w:tcPr>
            <w:tcW w:type="dxa" w:w="6282"/>
            <w:shd w:val="clear" w:color="auto" w:fill="EEF2F8"/>
            <w:tcMar>
              <w:top w:w="60" w:type="dxa"/>
              <w:left w:w="110" w:type="dxa"/>
              <w:bottom w:w="60" w:type="dxa"/>
              <w:right w:w="110" w:type="dxa"/>
            </w:tcMar>
          </w:tcPr>
          <w:p>
            <w:pPr>
              <w:spacing w:after="0" w:line="252" w:lineRule="auto"/>
            </w:pPr>
            <w:r>
              <w:rPr>
                <w:sz w:val="19"/>
              </w:rPr>
              <w:t>Verifica redirecciones, cierre de sesión y forzado de HTTPS</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init-analytics-db.sql</w:t>
            </w:r>
          </w:p>
        </w:tc>
        <w:tc>
          <w:tcPr>
            <w:tcW w:type="dxa" w:w="6282"/>
            <w:tcMar>
              <w:top w:w="60" w:type="dxa"/>
              <w:left w:w="110" w:type="dxa"/>
              <w:bottom w:w="60" w:type="dxa"/>
              <w:right w:w="110" w:type="dxa"/>
            </w:tcMar>
          </w:tcPr>
          <w:p>
            <w:pPr>
              <w:spacing w:after="0" w:line="252" w:lineRule="auto"/>
            </w:pPr>
            <w:r>
              <w:rPr>
                <w:sz w:val="19"/>
              </w:rPr>
              <w:t xml:space="preserve">Crea las bases </w:t>
            </w:r>
            <w:r>
              <w:rPr>
                <w:rFonts w:ascii="Consolas" w:hAnsi="Consolas" w:eastAsia="Consolas"/>
                <w:color w:val="1A4473"/>
                <w:sz w:val="19"/>
              </w:rPr>
              <w:t>analytics</w:t>
            </w:r>
            <w:r>
              <w:rPr>
                <w:sz w:val="19"/>
              </w:rPr>
              <w:t xml:space="preserve"> y </w:t>
            </w:r>
            <w:r>
              <w:rPr>
                <w:rFonts w:ascii="Consolas" w:hAnsi="Consolas" w:eastAsia="Consolas"/>
                <w:color w:val="1A4473"/>
                <w:sz w:val="19"/>
              </w:rPr>
              <w:t>metabase</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analytics-schema.sql</w:t>
            </w:r>
          </w:p>
        </w:tc>
        <w:tc>
          <w:tcPr>
            <w:tcW w:type="dxa" w:w="6282"/>
            <w:shd w:val="clear" w:color="auto" w:fill="EEF2F8"/>
            <w:tcMar>
              <w:top w:w="60" w:type="dxa"/>
              <w:left w:w="110" w:type="dxa"/>
              <w:bottom w:w="60" w:type="dxa"/>
              <w:right w:w="110" w:type="dxa"/>
            </w:tcMar>
          </w:tcPr>
          <w:p>
            <w:pPr>
              <w:spacing w:after="0" w:line="252" w:lineRule="auto"/>
            </w:pPr>
            <w:r>
              <w:rPr>
                <w:sz w:val="19"/>
              </w:rPr>
              <w:t>Define el esquema de eventos de acceso</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deploy_m4.py</w:t>
            </w:r>
            <w:r>
              <w:rPr>
                <w:sz w:val="19"/>
              </w:rPr>
              <w:t xml:space="preserve">, </w:t>
            </w:r>
            <w:r>
              <w:rPr>
                <w:rFonts w:ascii="Consolas" w:hAnsi="Consolas" w:eastAsia="Consolas"/>
                <w:color w:val="1A4473"/>
                <w:sz w:val="19"/>
              </w:rPr>
              <w:t>check_m4.py</w:t>
            </w:r>
          </w:p>
        </w:tc>
        <w:tc>
          <w:tcPr>
            <w:tcW w:type="dxa" w:w="6282"/>
            <w:tcMar>
              <w:top w:w="60" w:type="dxa"/>
              <w:left w:w="110" w:type="dxa"/>
              <w:bottom w:w="60" w:type="dxa"/>
              <w:right w:w="110" w:type="dxa"/>
            </w:tcMar>
          </w:tcPr>
          <w:p>
            <w:pPr>
              <w:spacing w:after="0" w:line="252" w:lineRule="auto"/>
            </w:pPr>
            <w:r>
              <w:rPr>
                <w:sz w:val="19"/>
              </w:rPr>
              <w:t>Despliegue y comprobación remota del bloque de identidad y analítica</w:t>
            </w:r>
          </w:p>
        </w:tc>
      </w:tr>
    </w:tbl>
    <w:p>
      <w:pPr>
        <w:spacing w:after="0" w:before="0" w:line="240" w:lineRule="auto"/>
      </w:pPr>
      <w:r>
        <w:rPr>
          <w:sz w:val="12"/>
        </w:rPr>
      </w:r>
    </w:p>
    <w:p>
      <w:r>
        <w:br w:type="page"/>
      </w:r>
    </w:p>
    <w:p>
      <w:pPr>
        <w:pStyle w:val="Heading1"/>
        <w:pBdr>
          <w:bottom w:val="single" w:sz="6" w:space="4" w:color="9DB6D4"/>
        </w:pBdr>
      </w:pPr>
      <w:r>
        <w:t>14. Validación funcional</w:t>
      </w:r>
    </w:p>
    <w:p>
      <w:pPr>
        <w:spacing w:after="120"/>
      </w:pPr>
      <w:r>
        <w:t>Los validadores son comprobaciones automáticas que confirman que cada bloque funcional responde como se espera. Son la primera herramienta de diagnóstico ante cualquier duda sobre el estado del sistema.</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3236"/>
            <w:shd w:val="clear" w:color="auto" w:fill="142F5A"/>
            <w:tcMar>
              <w:top w:w="60" w:type="dxa"/>
              <w:left w:w="110" w:type="dxa"/>
              <w:bottom w:w="60" w:type="dxa"/>
              <w:right w:w="110" w:type="dxa"/>
            </w:tcMar>
          </w:tcPr>
          <w:p>
            <w:pPr>
              <w:spacing w:after="0"/>
            </w:pPr>
            <w:r>
              <w:rPr>
                <w:b/>
                <w:color w:val="FFFFFF"/>
                <w:sz w:val="19"/>
              </w:rPr>
              <w:t>Comando</w:t>
            </w:r>
          </w:p>
        </w:tc>
        <w:tc>
          <w:tcPr>
            <w:tcW w:type="dxa" w:w="6282"/>
            <w:shd w:val="clear" w:color="auto" w:fill="142F5A"/>
            <w:tcMar>
              <w:top w:w="60" w:type="dxa"/>
              <w:left w:w="110" w:type="dxa"/>
              <w:bottom w:w="60" w:type="dxa"/>
              <w:right w:w="110" w:type="dxa"/>
            </w:tcMar>
          </w:tcPr>
          <w:p>
            <w:pPr>
              <w:spacing w:after="0"/>
            </w:pPr>
            <w:r>
              <w:rPr>
                <w:b/>
                <w:color w:val="FFFFFF"/>
                <w:sz w:val="19"/>
              </w:rPr>
              <w:t>Qué comprueba</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./scripts/validate-m1.sh</w:t>
            </w:r>
          </w:p>
        </w:tc>
        <w:tc>
          <w:tcPr>
            <w:tcW w:type="dxa" w:w="6282"/>
            <w:tcMar>
              <w:top w:w="60" w:type="dxa"/>
              <w:left w:w="110" w:type="dxa"/>
              <w:bottom w:w="60" w:type="dxa"/>
              <w:right w:w="110" w:type="dxa"/>
            </w:tcMar>
          </w:tcPr>
          <w:p>
            <w:pPr>
              <w:spacing w:after="0" w:line="252" w:lineRule="auto"/>
            </w:pPr>
            <w:r>
              <w:rPr>
                <w:sz w:val="19"/>
              </w:rPr>
              <w:t>Punto de salud, configuración OIDC y redirecciones de inicio de sesión</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./scripts/validate-auth-flows.sh</w:t>
            </w:r>
          </w:p>
        </w:tc>
        <w:tc>
          <w:tcPr>
            <w:tcW w:type="dxa" w:w="6282"/>
            <w:shd w:val="clear" w:color="auto" w:fill="EEF2F8"/>
            <w:tcMar>
              <w:top w:w="60" w:type="dxa"/>
              <w:left w:w="110" w:type="dxa"/>
              <w:bottom w:w="60" w:type="dxa"/>
              <w:right w:w="110" w:type="dxa"/>
            </w:tcMar>
          </w:tcPr>
          <w:p>
            <w:pPr>
              <w:spacing w:after="0" w:line="252" w:lineRule="auto"/>
            </w:pPr>
            <w:r>
              <w:rPr>
                <w:sz w:val="19"/>
              </w:rPr>
              <w:t>Cierre de sesión, forzado de HTTPS y rutas públicas</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./scripts/validate-m2.sh</w:t>
            </w:r>
          </w:p>
        </w:tc>
        <w:tc>
          <w:tcPr>
            <w:tcW w:type="dxa" w:w="6282"/>
            <w:tcMar>
              <w:top w:w="60" w:type="dxa"/>
              <w:left w:w="110" w:type="dxa"/>
              <w:bottom w:w="60" w:type="dxa"/>
              <w:right w:w="110" w:type="dxa"/>
            </w:tcMar>
          </w:tcPr>
          <w:p>
            <w:pPr>
              <w:spacing w:after="0" w:line="252" w:lineRule="auto"/>
            </w:pPr>
            <w:r>
              <w:rPr>
                <w:sz w:val="19"/>
              </w:rPr>
              <w:t xml:space="preserve">Catálogo de bases y protección de las rutas </w:t>
            </w:r>
            <w:r>
              <w:rPr>
                <w:rFonts w:ascii="Consolas" w:hAnsi="Consolas" w:eastAsia="Consolas"/>
                <w:color w:val="1A4473"/>
                <w:sz w:val="19"/>
              </w:rPr>
              <w:t>/r/*</w:t>
            </w:r>
          </w:p>
        </w:tc>
      </w:tr>
      <w:tr>
        <w:tc>
          <w:tcPr>
            <w:tcW w:type="dxa" w:w="3236"/>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./scripts/validate-m3.sh</w:t>
            </w:r>
          </w:p>
        </w:tc>
        <w:tc>
          <w:tcPr>
            <w:tcW w:type="dxa" w:w="6282"/>
            <w:shd w:val="clear" w:color="auto" w:fill="EEF2F8"/>
            <w:tcMar>
              <w:top w:w="60" w:type="dxa"/>
              <w:left w:w="110" w:type="dxa"/>
              <w:bottom w:w="60" w:type="dxa"/>
              <w:right w:w="110" w:type="dxa"/>
            </w:tcMar>
          </w:tcPr>
          <w:p>
            <w:pPr>
              <w:spacing w:after="0" w:line="252" w:lineRule="auto"/>
            </w:pPr>
            <w:r>
              <w:rPr>
                <w:sz w:val="19"/>
              </w:rPr>
              <w:t xml:space="preserve">Acceso público a </w:t>
            </w:r>
            <w:r>
              <w:rPr>
                <w:rFonts w:ascii="Consolas" w:hAnsi="Consolas" w:eastAsia="Consolas"/>
                <w:color w:val="1A4473"/>
                <w:sz w:val="19"/>
              </w:rPr>
              <w:t>/guest/</w:t>
            </w:r>
            <w:r>
              <w:rPr>
                <w:sz w:val="19"/>
              </w:rPr>
              <w:t xml:space="preserve"> y protección de </w:t>
            </w:r>
            <w:r>
              <w:rPr>
                <w:rFonts w:ascii="Consolas" w:hAnsi="Consolas" w:eastAsia="Consolas"/>
                <w:color w:val="1A4473"/>
                <w:sz w:val="19"/>
              </w:rPr>
              <w:t>/guest/admin</w:t>
            </w:r>
          </w:p>
        </w:tc>
      </w:tr>
      <w:tr>
        <w:tc>
          <w:tcPr>
            <w:tcW w:type="dxa" w:w="3236"/>
            <w:tcMar>
              <w:top w:w="60" w:type="dxa"/>
              <w:left w:w="110" w:type="dxa"/>
              <w:bottom w:w="60" w:type="dxa"/>
              <w:right w:w="110" w:type="dxa"/>
            </w:tcMar>
          </w:tcPr>
          <w:p>
            <w:pPr>
              <w:spacing w:after="0" w:line="252" w:lineRule="auto"/>
            </w:pPr>
            <w:r>
              <w:rPr>
                <w:rFonts w:ascii="Consolas" w:hAnsi="Consolas" w:eastAsia="Consolas"/>
                <w:color w:val="1A4473"/>
                <w:sz w:val="19"/>
              </w:rPr>
              <w:t>./scripts/validate-m4.sh</w:t>
            </w:r>
          </w:p>
        </w:tc>
        <w:tc>
          <w:tcPr>
            <w:tcW w:type="dxa" w:w="6282"/>
            <w:tcMar>
              <w:top w:w="60" w:type="dxa"/>
              <w:left w:w="110" w:type="dxa"/>
              <w:bottom w:w="60" w:type="dxa"/>
              <w:right w:w="110" w:type="dxa"/>
            </w:tcMar>
          </w:tcPr>
          <w:p>
            <w:pPr>
              <w:spacing w:after="0" w:line="252" w:lineRule="auto"/>
            </w:pPr>
            <w:r>
              <w:rPr>
                <w:sz w:val="19"/>
              </w:rPr>
              <w:t>Disponibilidad de Metabase, base de analítica y procesador de registros</w:t>
            </w:r>
          </w:p>
        </w:tc>
      </w:tr>
    </w:tbl>
    <w:p>
      <w:pPr>
        <w:spacing w:after="0" w:before="0" w:line="240" w:lineRule="auto"/>
      </w:pPr>
      <w:r>
        <w:rPr>
          <w:sz w:val="12"/>
        </w:rPr>
      </w:r>
    </w:p>
    <w:p>
      <w:pPr>
        <w:spacing w:after="120"/>
      </w:pPr>
      <w:r>
        <w:rPr>
          <w:b/>
        </w:rPr>
        <w:t>Interpretación:</w:t>
      </w:r>
      <w:r>
        <w:t xml:space="preserve"> un código de salida cero indica comprobación superada. Ante un fallo, el primer paso es revisar el registro del servicio implicado con </w:t>
      </w:r>
      <w:r>
        <w:rPr>
          <w:rFonts w:ascii="Consolas" w:hAnsi="Consolas" w:eastAsia="Consolas"/>
          <w:color w:val="1A4473"/>
          <w:sz w:val="19"/>
        </w:rPr>
        <w:t>docker compose logs &lt;servicio&gt;</w:t>
      </w:r>
      <w:r>
        <w:t xml:space="preserve"> y consultar la tabla de la sección 15.</w:t>
      </w:r>
    </w:p>
    <w:p>
      <w:r>
        <w:br w:type="page"/>
      </w:r>
    </w:p>
    <w:p>
      <w:pPr>
        <w:pStyle w:val="Heading1"/>
        <w:pBdr>
          <w:bottom w:val="single" w:sz="6" w:space="4" w:color="9DB6D4"/>
        </w:pBdr>
      </w:pPr>
      <w:r>
        <w:t>15. Solución de problemas</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2570"/>
            <w:shd w:val="clear" w:color="auto" w:fill="142F5A"/>
            <w:tcMar>
              <w:top w:w="60" w:type="dxa"/>
              <w:left w:w="110" w:type="dxa"/>
              <w:bottom w:w="60" w:type="dxa"/>
              <w:right w:w="110" w:type="dxa"/>
            </w:tcMar>
          </w:tcPr>
          <w:p>
            <w:pPr>
              <w:spacing w:after="0"/>
            </w:pPr>
            <w:r>
              <w:rPr>
                <w:b/>
                <w:color w:val="FFFFFF"/>
                <w:sz w:val="18"/>
              </w:rPr>
              <w:t>Síntoma</w:t>
            </w:r>
          </w:p>
        </w:tc>
        <w:tc>
          <w:tcPr>
            <w:tcW w:type="dxa" w:w="2951"/>
            <w:shd w:val="clear" w:color="auto" w:fill="142F5A"/>
            <w:tcMar>
              <w:top w:w="60" w:type="dxa"/>
              <w:left w:w="110" w:type="dxa"/>
              <w:bottom w:w="60" w:type="dxa"/>
              <w:right w:w="110" w:type="dxa"/>
            </w:tcMar>
          </w:tcPr>
          <w:p>
            <w:pPr>
              <w:spacing w:after="0"/>
            </w:pPr>
            <w:r>
              <w:rPr>
                <w:b/>
                <w:color w:val="FFFFFF"/>
                <w:sz w:val="18"/>
              </w:rPr>
              <w:t>Causa probable</w:t>
            </w:r>
          </w:p>
        </w:tc>
        <w:tc>
          <w:tcPr>
            <w:tcW w:type="dxa" w:w="3998"/>
            <w:shd w:val="clear" w:color="auto" w:fill="142F5A"/>
            <w:tcMar>
              <w:top w:w="60" w:type="dxa"/>
              <w:left w:w="110" w:type="dxa"/>
              <w:bottom w:w="60" w:type="dxa"/>
              <w:right w:w="110" w:type="dxa"/>
            </w:tcMar>
          </w:tcPr>
          <w:p>
            <w:pPr>
              <w:spacing w:after="0"/>
            </w:pPr>
            <w:r>
              <w:rPr>
                <w:b/>
                <w:color w:val="FFFFFF"/>
                <w:sz w:val="18"/>
              </w:rPr>
              <w:t>Actuación</w:t>
            </w:r>
          </w:p>
        </w:tc>
      </w:tr>
      <w:tr>
        <w:tc>
          <w:tcPr>
            <w:tcW w:type="dxa" w:w="2570"/>
            <w:tcMar>
              <w:top w:w="60" w:type="dxa"/>
              <w:left w:w="110" w:type="dxa"/>
              <w:bottom w:w="60" w:type="dxa"/>
              <w:right w:w="110" w:type="dxa"/>
            </w:tcMar>
          </w:tcPr>
          <w:p>
            <w:pPr>
              <w:spacing w:after="0" w:line="252" w:lineRule="auto"/>
            </w:pPr>
            <w:r>
              <w:rPr>
                <w:sz w:val="18"/>
              </w:rPr>
              <w:t>Bucle de inicio de sesión o redirección continua</w:t>
            </w:r>
          </w:p>
        </w:tc>
        <w:tc>
          <w:tcPr>
            <w:tcW w:type="dxa" w:w="2951"/>
            <w:tcMar>
              <w:top w:w="60" w:type="dxa"/>
              <w:left w:w="110" w:type="dxa"/>
              <w:bottom w:w="60" w:type="dxa"/>
              <w:right w:w="110" w:type="dxa"/>
            </w:tcMar>
          </w:tcPr>
          <w:p>
            <w:pPr>
              <w:spacing w:after="0" w:line="252" w:lineRule="auto"/>
            </w:pPr>
            <w:r>
              <w:rPr>
                <w:rFonts w:ascii="Consolas" w:hAnsi="Consolas" w:eastAsia="Consolas"/>
                <w:color w:val="1A4473"/>
                <w:sz w:val="18"/>
              </w:rPr>
              <w:t>APP_URL</w:t>
            </w:r>
            <w:r>
              <w:rPr>
                <w:sz w:val="18"/>
              </w:rPr>
              <w:t xml:space="preserve"> y las URL de redirección de Keycloak no coinciden</w:t>
            </w:r>
          </w:p>
        </w:tc>
        <w:tc>
          <w:tcPr>
            <w:tcW w:type="dxa" w:w="3998"/>
            <w:tcMar>
              <w:top w:w="60" w:type="dxa"/>
              <w:left w:w="110" w:type="dxa"/>
              <w:bottom w:w="60" w:type="dxa"/>
              <w:right w:w="110" w:type="dxa"/>
            </w:tcMar>
          </w:tcPr>
          <w:p>
            <w:pPr>
              <w:spacing w:after="0" w:line="252" w:lineRule="auto"/>
            </w:pPr>
            <w:r>
              <w:rPr>
                <w:sz w:val="18"/>
              </w:rPr>
              <w:t xml:space="preserve">Ejecutar </w:t>
            </w:r>
            <w:r>
              <w:rPr>
                <w:rFonts w:ascii="Consolas" w:hAnsi="Consolas" w:eastAsia="Consolas"/>
                <w:color w:val="1A4473"/>
                <w:sz w:val="18"/>
              </w:rPr>
              <w:t>./scripts/configure-public-access.sh</w:t>
            </w:r>
            <w:r>
              <w:rPr>
                <w:sz w:val="18"/>
              </w:rPr>
              <w:t xml:space="preserve"> y revisar los secretos de oauth2-proxy</w:t>
            </w:r>
          </w:p>
        </w:tc>
      </w:tr>
      <w:tr>
        <w:tc>
          <w:tcPr>
            <w:tcW w:type="dxa" w:w="2570"/>
            <w:shd w:val="clear" w:color="auto" w:fill="EEF2F8"/>
            <w:tcMar>
              <w:top w:w="60" w:type="dxa"/>
              <w:left w:w="110" w:type="dxa"/>
              <w:bottom w:w="60" w:type="dxa"/>
              <w:right w:w="110" w:type="dxa"/>
            </w:tcMar>
          </w:tcPr>
          <w:p>
            <w:pPr>
              <w:spacing w:after="0" w:line="252" w:lineRule="auto"/>
            </w:pPr>
            <w:r>
              <w:rPr>
                <w:sz w:val="18"/>
              </w:rPr>
              <w:t xml:space="preserve">Error 502 al abrir </w:t>
            </w:r>
            <w:r>
              <w:rPr>
                <w:rFonts w:ascii="Consolas" w:hAnsi="Consolas" w:eastAsia="Consolas"/>
                <w:color w:val="1A4473"/>
                <w:sz w:val="18"/>
              </w:rPr>
              <w:t>/r/...</w:t>
            </w:r>
          </w:p>
        </w:tc>
        <w:tc>
          <w:tcPr>
            <w:tcW w:type="dxa" w:w="2951"/>
            <w:shd w:val="clear" w:color="auto" w:fill="EEF2F8"/>
            <w:tcMar>
              <w:top w:w="60" w:type="dxa"/>
              <w:left w:w="110" w:type="dxa"/>
              <w:bottom w:w="60" w:type="dxa"/>
              <w:right w:w="110" w:type="dxa"/>
            </w:tcMar>
          </w:tcPr>
          <w:p>
            <w:pPr>
              <w:spacing w:after="0" w:line="252" w:lineRule="auto"/>
            </w:pPr>
            <w:r>
              <w:rPr>
                <w:sz w:val="18"/>
              </w:rPr>
              <w:t>El origen no responde o la stanza se generó incorrectamente</w:t>
            </w:r>
          </w:p>
        </w:tc>
        <w:tc>
          <w:tcPr>
            <w:tcW w:type="dxa" w:w="3998"/>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8"/>
              </w:rPr>
              <w:t>docker compose ps</w:t>
            </w:r>
            <w:r>
              <w:rPr>
                <w:sz w:val="18"/>
              </w:rPr>
              <w:t>; regenerar la configuración; revisar el registro de Nginx</w:t>
            </w:r>
          </w:p>
        </w:tc>
      </w:tr>
      <w:tr>
        <w:tc>
          <w:tcPr>
            <w:tcW w:type="dxa" w:w="2570"/>
            <w:tcMar>
              <w:top w:w="60" w:type="dxa"/>
              <w:left w:w="110" w:type="dxa"/>
              <w:bottom w:w="60" w:type="dxa"/>
              <w:right w:w="110" w:type="dxa"/>
            </w:tcMar>
          </w:tcPr>
          <w:p>
            <w:pPr>
              <w:spacing w:after="0" w:line="252" w:lineRule="auto"/>
            </w:pPr>
            <w:r>
              <w:rPr>
                <w:sz w:val="18"/>
              </w:rPr>
              <w:t>ScienceDirect, Scopus o IOP no cargan</w:t>
            </w:r>
          </w:p>
        </w:tc>
        <w:tc>
          <w:tcPr>
            <w:tcW w:type="dxa" w:w="2951"/>
            <w:tcMar>
              <w:top w:w="60" w:type="dxa"/>
              <w:left w:w="110" w:type="dxa"/>
              <w:bottom w:w="60" w:type="dxa"/>
              <w:right w:w="110" w:type="dxa"/>
            </w:tcMar>
          </w:tcPr>
          <w:p>
            <w:pPr>
              <w:spacing w:after="0" w:line="252" w:lineRule="auto"/>
            </w:pPr>
            <w:r>
              <w:rPr>
                <w:sz w:val="18"/>
              </w:rPr>
              <w:t>La IP de salida no está autorizada por la editorial</w:t>
            </w:r>
          </w:p>
        </w:tc>
        <w:tc>
          <w:tcPr>
            <w:tcW w:type="dxa" w:w="3998"/>
            <w:tcMar>
              <w:top w:w="60" w:type="dxa"/>
              <w:left w:w="110" w:type="dxa"/>
              <w:bottom w:w="60" w:type="dxa"/>
              <w:right w:w="110" w:type="dxa"/>
            </w:tcMar>
          </w:tcPr>
          <w:p>
            <w:pPr>
              <w:spacing w:after="0" w:line="252" w:lineRule="auto"/>
            </w:pPr>
            <w:r>
              <w:rPr>
                <w:sz w:val="18"/>
              </w:rPr>
              <w:t xml:space="preserve">Confirmar </w:t>
            </w:r>
            <w:r>
              <w:rPr>
                <w:rFonts w:ascii="Consolas" w:hAnsi="Consolas" w:eastAsia="Consolas"/>
                <w:color w:val="1A4473"/>
                <w:sz w:val="18"/>
              </w:rPr>
              <w:t>169.58.217.137</w:t>
            </w:r>
            <w:r>
              <w:rPr>
                <w:sz w:val="18"/>
              </w:rPr>
              <w:t xml:space="preserve"> con la editorial; comprobar entre tanto con </w:t>
            </w:r>
            <w:r>
              <w:rPr>
                <w:rFonts w:ascii="Consolas" w:hAnsi="Consolas" w:eastAsia="Consolas"/>
                <w:color w:val="1A4473"/>
                <w:sz w:val="18"/>
              </w:rPr>
              <w:t>/r/simulator/</w:t>
            </w:r>
          </w:p>
        </w:tc>
      </w:tr>
      <w:tr>
        <w:tc>
          <w:tcPr>
            <w:tcW w:type="dxa" w:w="2570"/>
            <w:shd w:val="clear" w:color="auto" w:fill="EEF2F8"/>
            <w:tcMar>
              <w:top w:w="60" w:type="dxa"/>
              <w:left w:w="110" w:type="dxa"/>
              <w:bottom w:w="60" w:type="dxa"/>
              <w:right w:w="110" w:type="dxa"/>
            </w:tcMar>
          </w:tcPr>
          <w:p>
            <w:pPr>
              <w:spacing w:after="0" w:line="252" w:lineRule="auto"/>
            </w:pPr>
            <w:r>
              <w:rPr>
                <w:sz w:val="18"/>
              </w:rPr>
              <w:t>El campus sigue solicitando inicio de sesión</w:t>
            </w:r>
          </w:p>
        </w:tc>
        <w:tc>
          <w:tcPr>
            <w:tcW w:type="dxa" w:w="2951"/>
            <w:shd w:val="clear" w:color="auto" w:fill="EEF2F8"/>
            <w:tcMar>
              <w:top w:w="60" w:type="dxa"/>
              <w:left w:w="110" w:type="dxa"/>
              <w:bottom w:w="60" w:type="dxa"/>
              <w:right w:w="110" w:type="dxa"/>
            </w:tcMar>
          </w:tcPr>
          <w:p>
            <w:pPr>
              <w:spacing w:after="0" w:line="252" w:lineRule="auto"/>
            </w:pPr>
            <w:r>
              <w:rPr>
                <w:sz w:val="18"/>
              </w:rPr>
              <w:t>Rangos vacíos o configuración de geolocalización sin regenerar</w:t>
            </w:r>
          </w:p>
        </w:tc>
        <w:tc>
          <w:tcPr>
            <w:tcW w:type="dxa" w:w="3998"/>
            <w:shd w:val="clear" w:color="auto" w:fill="EEF2F8"/>
            <w:tcMar>
              <w:top w:w="60" w:type="dxa"/>
              <w:left w:w="110" w:type="dxa"/>
              <w:bottom w:w="60" w:type="dxa"/>
              <w:right w:w="110" w:type="dxa"/>
            </w:tcMar>
          </w:tcPr>
          <w:p>
            <w:pPr>
              <w:spacing w:after="0" w:line="252" w:lineRule="auto"/>
            </w:pPr>
            <w:r>
              <w:rPr>
                <w:sz w:val="18"/>
              </w:rPr>
              <w:t xml:space="preserve">Definir </w:t>
            </w:r>
            <w:r>
              <w:rPr>
                <w:rFonts w:ascii="Consolas" w:hAnsi="Consolas" w:eastAsia="Consolas"/>
                <w:color w:val="1A4473"/>
                <w:sz w:val="18"/>
              </w:rPr>
              <w:t>INSTITUTIONAL_CIDRS</w:t>
            </w:r>
            <w:r>
              <w:rPr>
                <w:sz w:val="18"/>
              </w:rPr>
              <w:t xml:space="preserve">, ejecutar </w:t>
            </w:r>
            <w:r>
              <w:rPr>
                <w:rFonts w:ascii="Consolas" w:hAnsi="Consolas" w:eastAsia="Consolas"/>
                <w:color w:val="1A4473"/>
                <w:sz w:val="18"/>
              </w:rPr>
              <w:t>render-campus-geo.sh</w:t>
            </w:r>
            <w:r>
              <w:rPr>
                <w:sz w:val="18"/>
              </w:rPr>
              <w:t xml:space="preserve"> y recargar Nginx</w:t>
            </w:r>
          </w:p>
        </w:tc>
      </w:tr>
      <w:tr>
        <w:tc>
          <w:tcPr>
            <w:tcW w:type="dxa" w:w="2570"/>
            <w:tcMar>
              <w:top w:w="60" w:type="dxa"/>
              <w:left w:w="110" w:type="dxa"/>
              <w:bottom w:w="60" w:type="dxa"/>
              <w:right w:w="110" w:type="dxa"/>
            </w:tcMar>
          </w:tcPr>
          <w:p>
            <w:pPr>
              <w:spacing w:after="0" w:line="252" w:lineRule="auto"/>
            </w:pPr>
            <w:r>
              <w:rPr>
                <w:rFonts w:ascii="Consolas" w:hAnsi="Consolas" w:eastAsia="Consolas"/>
                <w:color w:val="1A4473"/>
                <w:sz w:val="18"/>
              </w:rPr>
              <w:t>/guest/admin</w:t>
            </w:r>
            <w:r>
              <w:rPr>
                <w:sz w:val="18"/>
              </w:rPr>
              <w:t xml:space="preserve"> responde 403 o aparece vacío</w:t>
            </w:r>
          </w:p>
        </w:tc>
        <w:tc>
          <w:tcPr>
            <w:tcW w:type="dxa" w:w="2951"/>
            <w:tcMar>
              <w:top w:w="60" w:type="dxa"/>
              <w:left w:w="110" w:type="dxa"/>
              <w:bottom w:w="60" w:type="dxa"/>
              <w:right w:w="110" w:type="dxa"/>
            </w:tcMar>
          </w:tcPr>
          <w:p>
            <w:pPr>
              <w:spacing w:after="0" w:line="252" w:lineRule="auto"/>
            </w:pPr>
            <w:r>
              <w:rPr>
                <w:sz w:val="18"/>
              </w:rPr>
              <w:t xml:space="preserve">La cuenta no tiene rol </w:t>
            </w:r>
            <w:r>
              <w:rPr>
                <w:rFonts w:ascii="Consolas" w:hAnsi="Consolas" w:eastAsia="Consolas"/>
                <w:color w:val="1A4473"/>
                <w:sz w:val="18"/>
              </w:rPr>
              <w:t>admin</w:t>
            </w:r>
            <w:r>
              <w:rPr>
                <w:sz w:val="18"/>
              </w:rPr>
              <w:t>, o falta la configuración inicial del portal</w:t>
            </w:r>
          </w:p>
        </w:tc>
        <w:tc>
          <w:tcPr>
            <w:tcW w:type="dxa" w:w="3998"/>
            <w:tcMar>
              <w:top w:w="60" w:type="dxa"/>
              <w:left w:w="110" w:type="dxa"/>
              <w:bottom w:w="60" w:type="dxa"/>
              <w:right w:w="110" w:type="dxa"/>
            </w:tcMar>
          </w:tcPr>
          <w:p>
            <w:pPr>
              <w:spacing w:after="0" w:line="252" w:lineRule="auto"/>
            </w:pPr>
            <w:r>
              <w:rPr>
                <w:sz w:val="18"/>
              </w:rPr>
              <w:t xml:space="preserve">Usar una cuenta administradora; ejecutar </w:t>
            </w:r>
            <w:r>
              <w:rPr>
                <w:rFonts w:ascii="Consolas" w:hAnsi="Consolas" w:eastAsia="Consolas"/>
                <w:color w:val="1A4473"/>
                <w:sz w:val="18"/>
              </w:rPr>
              <w:t>configure-guest-portal.sh</w:t>
            </w:r>
          </w:p>
        </w:tc>
      </w:tr>
      <w:tr>
        <w:tc>
          <w:tcPr>
            <w:tcW w:type="dxa" w:w="2570"/>
            <w:shd w:val="clear" w:color="auto" w:fill="EEF2F8"/>
            <w:tcMar>
              <w:top w:w="60" w:type="dxa"/>
              <w:left w:w="110" w:type="dxa"/>
              <w:bottom w:w="60" w:type="dxa"/>
              <w:right w:w="110" w:type="dxa"/>
            </w:tcMar>
          </w:tcPr>
          <w:p>
            <w:pPr>
              <w:spacing w:after="0" w:line="252" w:lineRule="auto"/>
            </w:pPr>
            <w:r>
              <w:rPr>
                <w:sz w:val="18"/>
              </w:rPr>
              <w:t>El invitado aprobado no puede entrar</w:t>
            </w:r>
          </w:p>
        </w:tc>
        <w:tc>
          <w:tcPr>
            <w:tcW w:type="dxa" w:w="2951"/>
            <w:shd w:val="clear" w:color="auto" w:fill="EEF2F8"/>
            <w:tcMar>
              <w:top w:w="60" w:type="dxa"/>
              <w:left w:w="110" w:type="dxa"/>
              <w:bottom w:w="60" w:type="dxa"/>
              <w:right w:w="110" w:type="dxa"/>
            </w:tcMar>
          </w:tcPr>
          <w:p>
            <w:pPr>
              <w:spacing w:after="0" w:line="252" w:lineRule="auto"/>
            </w:pPr>
            <w:r>
              <w:rPr>
                <w:sz w:val="18"/>
              </w:rPr>
              <w:t>La cuenta permanece deshabilitada en Keycloak</w:t>
            </w:r>
          </w:p>
        </w:tc>
        <w:tc>
          <w:tcPr>
            <w:tcW w:type="dxa" w:w="3998"/>
            <w:shd w:val="clear" w:color="auto" w:fill="EEF2F8"/>
            <w:tcMar>
              <w:top w:w="60" w:type="dxa"/>
              <w:left w:w="110" w:type="dxa"/>
              <w:bottom w:w="60" w:type="dxa"/>
              <w:right w:w="110" w:type="dxa"/>
            </w:tcMar>
          </w:tcPr>
          <w:p>
            <w:pPr>
              <w:spacing w:after="0" w:line="252" w:lineRule="auto"/>
            </w:pPr>
            <w:r>
              <w:rPr>
                <w:sz w:val="18"/>
              </w:rPr>
              <w:t>Verificar en Keycloak → Users que la cuenta figura como habilitada</w:t>
            </w:r>
          </w:p>
        </w:tc>
      </w:tr>
      <w:tr>
        <w:tc>
          <w:tcPr>
            <w:tcW w:type="dxa" w:w="2570"/>
            <w:tcMar>
              <w:top w:w="60" w:type="dxa"/>
              <w:left w:w="110" w:type="dxa"/>
              <w:bottom w:w="60" w:type="dxa"/>
              <w:right w:w="110" w:type="dxa"/>
            </w:tcMar>
          </w:tcPr>
          <w:p>
            <w:pPr>
              <w:spacing w:after="0" w:line="252" w:lineRule="auto"/>
            </w:pPr>
            <w:r>
              <w:rPr>
                <w:sz w:val="18"/>
              </w:rPr>
              <w:t>Metabase solicita datos de MySQL o de ejemplo</w:t>
            </w:r>
          </w:p>
        </w:tc>
        <w:tc>
          <w:tcPr>
            <w:tcW w:type="dxa" w:w="2951"/>
            <w:tcMar>
              <w:top w:w="60" w:type="dxa"/>
              <w:left w:w="110" w:type="dxa"/>
              <w:bottom w:w="60" w:type="dxa"/>
              <w:right w:w="110" w:type="dxa"/>
            </w:tcMar>
          </w:tcPr>
          <w:p>
            <w:pPr>
              <w:spacing w:after="0" w:line="252" w:lineRule="auto"/>
            </w:pPr>
            <w:r>
              <w:rPr>
                <w:sz w:val="18"/>
              </w:rPr>
              <w:t>Es el asistente genérico de la herramienta</w:t>
            </w:r>
          </w:p>
        </w:tc>
        <w:tc>
          <w:tcPr>
            <w:tcW w:type="dxa" w:w="3998"/>
            <w:tcMar>
              <w:top w:w="60" w:type="dxa"/>
              <w:left w:w="110" w:type="dxa"/>
              <w:bottom w:w="60" w:type="dxa"/>
              <w:right w:w="110" w:type="dxa"/>
            </w:tcMar>
          </w:tcPr>
          <w:p>
            <w:pPr>
              <w:spacing w:after="0" w:line="252" w:lineRule="auto"/>
            </w:pPr>
            <w:r>
              <w:rPr>
                <w:sz w:val="18"/>
              </w:rPr>
              <w:t xml:space="preserve">Cerrar esa tarjeta y seleccionar </w:t>
            </w:r>
            <w:r>
              <w:rPr>
                <w:b/>
                <w:sz w:val="18"/>
              </w:rPr>
              <w:t>PostgreSQL</w:t>
            </w:r>
            <w:r>
              <w:rPr>
                <w:sz w:val="18"/>
              </w:rPr>
              <w:t xml:space="preserve"> con la base </w:t>
            </w:r>
            <w:r>
              <w:rPr>
                <w:rFonts w:ascii="Consolas" w:hAnsi="Consolas" w:eastAsia="Consolas"/>
                <w:color w:val="1A4473"/>
                <w:sz w:val="18"/>
              </w:rPr>
              <w:t>analytics</w:t>
            </w:r>
          </w:p>
        </w:tc>
      </w:tr>
      <w:tr>
        <w:tc>
          <w:tcPr>
            <w:tcW w:type="dxa" w:w="2570"/>
            <w:shd w:val="clear" w:color="auto" w:fill="EEF2F8"/>
            <w:tcMar>
              <w:top w:w="60" w:type="dxa"/>
              <w:left w:w="110" w:type="dxa"/>
              <w:bottom w:w="60" w:type="dxa"/>
              <w:right w:w="110" w:type="dxa"/>
            </w:tcMar>
          </w:tcPr>
          <w:p>
            <w:pPr>
              <w:spacing w:after="0" w:line="252" w:lineRule="auto"/>
            </w:pPr>
            <w:r>
              <w:rPr>
                <w:sz w:val="18"/>
              </w:rPr>
              <w:t>Metabase rechaza la contraseña</w:t>
            </w:r>
          </w:p>
        </w:tc>
        <w:tc>
          <w:tcPr>
            <w:tcW w:type="dxa" w:w="2951"/>
            <w:shd w:val="clear" w:color="auto" w:fill="EEF2F8"/>
            <w:tcMar>
              <w:top w:w="60" w:type="dxa"/>
              <w:left w:w="110" w:type="dxa"/>
              <w:bottom w:w="60" w:type="dxa"/>
              <w:right w:w="110" w:type="dxa"/>
            </w:tcMar>
          </w:tcPr>
          <w:p>
            <w:pPr>
              <w:spacing w:after="0" w:line="252" w:lineRule="auto"/>
            </w:pPr>
            <w:r>
              <w:rPr>
                <w:sz w:val="18"/>
              </w:rPr>
              <w:t>Se están usando credenciales distintas a las de PostgreSQL en producción</w:t>
            </w:r>
          </w:p>
        </w:tc>
        <w:tc>
          <w:tcPr>
            <w:tcW w:type="dxa" w:w="3998"/>
            <w:shd w:val="clear" w:color="auto" w:fill="EEF2F8"/>
            <w:tcMar>
              <w:top w:w="60" w:type="dxa"/>
              <w:left w:w="110" w:type="dxa"/>
              <w:bottom w:w="60" w:type="dxa"/>
              <w:right w:w="110" w:type="dxa"/>
            </w:tcMar>
          </w:tcPr>
          <w:p>
            <w:pPr>
              <w:spacing w:after="0" w:line="252" w:lineRule="auto"/>
            </w:pPr>
            <w:r>
              <w:rPr>
                <w:sz w:val="18"/>
              </w:rPr>
              <w:t xml:space="preserve">Emplear </w:t>
            </w:r>
            <w:r>
              <w:rPr>
                <w:rFonts w:ascii="Consolas" w:hAnsi="Consolas" w:eastAsia="Consolas"/>
                <w:color w:val="1A4473"/>
                <w:sz w:val="18"/>
              </w:rPr>
              <w:t>POSTGRES_USER</w:t>
            </w:r>
            <w:r>
              <w:rPr>
                <w:sz w:val="18"/>
              </w:rPr>
              <w:t xml:space="preserve"> y </w:t>
            </w:r>
            <w:r>
              <w:rPr>
                <w:rFonts w:ascii="Consolas" w:hAnsi="Consolas" w:eastAsia="Consolas"/>
                <w:color w:val="1A4473"/>
                <w:sz w:val="18"/>
              </w:rPr>
              <w:t>POSTGRES_PASSWORD</w:t>
            </w:r>
            <w:r>
              <w:rPr>
                <w:sz w:val="18"/>
              </w:rPr>
              <w:t xml:space="preserve"> del </w:t>
            </w:r>
            <w:r>
              <w:rPr>
                <w:rFonts w:ascii="Consolas" w:hAnsi="Consolas" w:eastAsia="Consolas"/>
                <w:color w:val="1A4473"/>
                <w:sz w:val="18"/>
              </w:rPr>
              <w:t>.env</w:t>
            </w:r>
            <w:r>
              <w:rPr>
                <w:sz w:val="18"/>
              </w:rPr>
              <w:t xml:space="preserve"> del servidor</w:t>
            </w:r>
          </w:p>
        </w:tc>
      </w:tr>
      <w:tr>
        <w:tc>
          <w:tcPr>
            <w:tcW w:type="dxa" w:w="2570"/>
            <w:tcMar>
              <w:top w:w="60" w:type="dxa"/>
              <w:left w:w="110" w:type="dxa"/>
              <w:bottom w:w="60" w:type="dxa"/>
              <w:right w:w="110" w:type="dxa"/>
            </w:tcMar>
          </w:tcPr>
          <w:p>
            <w:pPr>
              <w:spacing w:after="0" w:line="252" w:lineRule="auto"/>
            </w:pPr>
            <w:r>
              <w:rPr>
                <w:sz w:val="18"/>
              </w:rPr>
              <w:t>La analítica no muestra registros</w:t>
            </w:r>
          </w:p>
        </w:tc>
        <w:tc>
          <w:tcPr>
            <w:tcW w:type="dxa" w:w="2951"/>
            <w:tcMar>
              <w:top w:w="60" w:type="dxa"/>
              <w:left w:w="110" w:type="dxa"/>
              <w:bottom w:w="60" w:type="dxa"/>
              <w:right w:w="110" w:type="dxa"/>
            </w:tcMar>
          </w:tcPr>
          <w:p>
            <w:pPr>
              <w:spacing w:after="0" w:line="252" w:lineRule="auto"/>
            </w:pPr>
            <w:r>
              <w:rPr>
                <w:sz w:val="18"/>
              </w:rPr>
              <w:t>El procesador de registros está detenido o no hay tráfico autenticado</w:t>
            </w:r>
          </w:p>
        </w:tc>
        <w:tc>
          <w:tcPr>
            <w:tcW w:type="dxa" w:w="3998"/>
            <w:tcMar>
              <w:top w:w="60" w:type="dxa"/>
              <w:left w:w="110" w:type="dxa"/>
              <w:bottom w:w="60" w:type="dxa"/>
              <w:right w:w="110" w:type="dxa"/>
            </w:tcMar>
          </w:tcPr>
          <w:p>
            <w:pPr>
              <w:spacing w:after="0" w:line="252" w:lineRule="auto"/>
            </w:pPr>
            <w:r>
              <w:rPr>
                <w:rFonts w:ascii="Consolas" w:hAnsi="Consolas" w:eastAsia="Consolas"/>
                <w:color w:val="1A4473"/>
                <w:sz w:val="18"/>
              </w:rPr>
              <w:t>docker compose logs log-worker</w:t>
            </w:r>
            <w:r>
              <w:rPr>
                <w:sz w:val="18"/>
              </w:rPr>
              <w:t>; generar tráfico de prueba y reintentar</w:t>
            </w:r>
          </w:p>
        </w:tc>
      </w:tr>
      <w:tr>
        <w:tc>
          <w:tcPr>
            <w:tcW w:type="dxa" w:w="2570"/>
            <w:shd w:val="clear" w:color="auto" w:fill="EEF2F8"/>
            <w:tcMar>
              <w:top w:w="60" w:type="dxa"/>
              <w:left w:w="110" w:type="dxa"/>
              <w:bottom w:w="60" w:type="dxa"/>
              <w:right w:w="110" w:type="dxa"/>
            </w:tcMar>
          </w:tcPr>
          <w:p>
            <w:pPr>
              <w:spacing w:after="0" w:line="252" w:lineRule="auto"/>
            </w:pPr>
            <w:r>
              <w:rPr>
                <w:sz w:val="18"/>
              </w:rPr>
              <w:t>El directorio institucional no autentica</w:t>
            </w:r>
          </w:p>
        </w:tc>
        <w:tc>
          <w:tcPr>
            <w:tcW w:type="dxa" w:w="2951"/>
            <w:shd w:val="clear" w:color="auto" w:fill="EEF2F8"/>
            <w:tcMar>
              <w:top w:w="60" w:type="dxa"/>
              <w:left w:w="110" w:type="dxa"/>
              <w:bottom w:w="60" w:type="dxa"/>
              <w:right w:w="110" w:type="dxa"/>
            </w:tcMar>
          </w:tcPr>
          <w:p>
            <w:pPr>
              <w:spacing w:after="0" w:line="252" w:lineRule="auto"/>
            </w:pPr>
            <w:r>
              <w:rPr>
                <w:sz w:val="18"/>
              </w:rPr>
              <w:t>Federación no creada o credenciales de enlace incorrectas</w:t>
            </w:r>
          </w:p>
        </w:tc>
        <w:tc>
          <w:tcPr>
            <w:tcW w:type="dxa" w:w="3998"/>
            <w:shd w:val="clear" w:color="auto" w:fill="EEF2F8"/>
            <w:tcMar>
              <w:top w:w="60" w:type="dxa"/>
              <w:left w:w="110" w:type="dxa"/>
              <w:bottom w:w="60" w:type="dxa"/>
              <w:right w:w="110" w:type="dxa"/>
            </w:tcMar>
          </w:tcPr>
          <w:p>
            <w:pPr>
              <w:spacing w:after="0" w:line="252" w:lineRule="auto"/>
            </w:pPr>
            <w:r>
              <w:rPr>
                <w:sz w:val="18"/>
              </w:rPr>
              <w:t xml:space="preserve">Reejecutar </w:t>
            </w:r>
            <w:r>
              <w:rPr>
                <w:rFonts w:ascii="Consolas" w:hAnsi="Consolas" w:eastAsia="Consolas"/>
                <w:color w:val="1A4473"/>
                <w:sz w:val="18"/>
              </w:rPr>
              <w:t>configure-ldap-federation.sh</w:t>
            </w:r>
            <w:r>
              <w:rPr>
                <w:sz w:val="18"/>
              </w:rPr>
              <w:t xml:space="preserve"> y lanzar la sincronización en Keycloak</w:t>
            </w:r>
          </w:p>
        </w:tc>
      </w:tr>
    </w:tbl>
    <w:p>
      <w:pPr>
        <w:spacing w:after="0" w:before="0" w:line="240" w:lineRule="auto"/>
      </w:pPr>
      <w:r>
        <w:rPr>
          <w:sz w:val="12"/>
        </w:rPr>
      </w:r>
    </w:p>
    <w:p>
      <w:pPr>
        <w:pStyle w:val="Heading2"/>
      </w:pPr>
      <w:r>
        <w:t>15.1 Escalado de incidencias</w:t>
      </w:r>
    </w:p>
    <w:p>
      <w:pPr>
        <w:pStyle w:val="ListNumber"/>
      </w:pPr>
      <w:r>
        <w:t>Comprobar el punto de salud y el estado de los contenedores (R1).</w:t>
      </w:r>
    </w:p>
    <w:p>
      <w:pPr>
        <w:pStyle w:val="ListNumber"/>
      </w:pPr>
      <w:r>
        <w:t>Ejecutar el validador del bloque afectado (sección 14).</w:t>
      </w:r>
    </w:p>
    <w:p>
      <w:pPr>
        <w:pStyle w:val="ListNumber"/>
      </w:pPr>
      <w:r>
        <w:t>Revisar el registro del servicio implicado y localizar el primer error, no el último.</w:t>
      </w:r>
    </w:p>
    <w:p>
      <w:pPr>
        <w:pStyle w:val="ListNumber"/>
      </w:pPr>
      <w:r>
        <w:t>Aplicar la actuación correspondiente de la tabla anterior.</w:t>
      </w:r>
    </w:p>
    <w:p>
      <w:pPr>
        <w:pStyle w:val="ListNumber"/>
      </w:pPr>
      <w:r>
        <w:t>Si el fallo persiste, documentar el síntoma, el validador que falla y el fragmento de registro antes de escalar.</w:t>
      </w:r>
    </w:p>
    <w:p>
      <w:r>
        <w:br w:type="page"/>
      </w:r>
    </w:p>
    <w:p>
      <w:pPr>
        <w:pStyle w:val="Heading1"/>
        <w:pBdr>
          <w:bottom w:val="single" w:sz="6" w:space="4" w:color="9DB6D4"/>
        </w:pBdr>
      </w:pPr>
      <w:r>
        <w:t>16. Plan de capacitación</w:t>
      </w:r>
    </w:p>
    <w:p>
      <w:pPr>
        <w:spacing w:after="120"/>
      </w:pPr>
      <w:r>
        <w:rPr>
          <w:i/>
          <w:color w:val="555F6D"/>
          <w:sz w:val="21"/>
        </w:rPr>
        <w:t>Currículo modular para que el equipo interno pueda operar, explicar y extender el sistema de forma autónoma.</w:t>
      </w:r>
    </w:p>
    <w:p>
      <w:pPr>
        <w:pStyle w:val="Heading2"/>
      </w:pPr>
      <w:r>
        <w:t>16.1 Objetivo y resultados de aprendizaje</w:t>
      </w:r>
    </w:p>
    <w:p>
      <w:pPr>
        <w:spacing w:after="120"/>
      </w:pPr>
      <w:r>
        <w:t>Al completar los módulos de esta sección, cada participante —según su perfil— debe ser capaz de:</w:t>
      </w:r>
    </w:p>
    <w:p>
      <w:pPr>
        <w:pStyle w:val="ListBullet"/>
      </w:pPr>
      <w:r>
        <w:t>Explicar qué hace el sistema y qué papel cumple cada componente.</w:t>
      </w:r>
    </w:p>
    <w:p>
      <w:pPr>
        <w:pStyle w:val="ListBullet"/>
      </w:pPr>
      <w:r>
        <w:t>Verificar por sí mismo si la plataforma está sana y dónde mirar cuando no lo está.</w:t>
      </w:r>
    </w:p>
    <w:p>
      <w:pPr>
        <w:pStyle w:val="ListBullet"/>
      </w:pPr>
      <w:r>
        <w:t>Distinguir el acceso desde el campus del acceso remoto y administrar los roles de usuario.</w:t>
      </w:r>
    </w:p>
    <w:p>
      <w:pPr>
        <w:pStyle w:val="ListBullet"/>
      </w:pPr>
      <w:r>
        <w:t>Incorporar una base de datos editorial nueva y publicarla en el catálogo.</w:t>
      </w:r>
    </w:p>
    <w:p>
      <w:pPr>
        <w:pStyle w:val="ListBullet"/>
      </w:pPr>
      <w:r>
        <w:t>Gestionar el ciclo completo de una solicitud de invitado.</w:t>
      </w:r>
    </w:p>
    <w:p>
      <w:pPr>
        <w:pStyle w:val="ListBullet"/>
      </w:pPr>
      <w:r>
        <w:t>Obtener y exportar informes de uso sin asistencia del equipo de desarrollo.</w:t>
      </w:r>
    </w:p>
    <w:p>
      <w:pPr>
        <w:pStyle w:val="ListBullet"/>
      </w:pPr>
      <w:r>
        <w:t>Aplicar los procedimientos de operación y el diagnóstico de incidencias frecuentes.</w:t>
      </w:r>
    </w:p>
    <w:p>
      <w:pPr>
        <w:pStyle w:val="Heading2"/>
      </w:pPr>
      <w:r>
        <w:t>16.2 Estructura del currículo</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2379"/>
        <w:gridCol w:w="2379"/>
        <w:gridCol w:w="2379"/>
        <w:gridCol w:w="2379"/>
      </w:tblGrid>
      <w:tr>
        <w:trPr>
          <w:tblHeader/>
        </w:trPr>
        <w:tc>
          <w:tcPr>
            <w:tcW w:type="dxa" w:w="857"/>
            <w:shd w:val="clear" w:color="auto" w:fill="142F5A"/>
            <w:tcMar>
              <w:top w:w="60" w:type="dxa"/>
              <w:left w:w="110" w:type="dxa"/>
              <w:bottom w:w="60" w:type="dxa"/>
              <w:right w:w="110" w:type="dxa"/>
            </w:tcMar>
          </w:tcPr>
          <w:p>
            <w:pPr>
              <w:spacing w:after="0"/>
            </w:pPr>
            <w:r>
              <w:rPr>
                <w:b/>
                <w:color w:val="FFFFFF"/>
                <w:sz w:val="19"/>
              </w:rPr>
              <w:t>Módulo</w:t>
            </w:r>
          </w:p>
        </w:tc>
        <w:tc>
          <w:tcPr>
            <w:tcW w:type="dxa" w:w="2094"/>
            <w:shd w:val="clear" w:color="auto" w:fill="142F5A"/>
            <w:tcMar>
              <w:top w:w="60" w:type="dxa"/>
              <w:left w:w="110" w:type="dxa"/>
              <w:bottom w:w="60" w:type="dxa"/>
              <w:right w:w="110" w:type="dxa"/>
            </w:tcMar>
          </w:tcPr>
          <w:p>
            <w:pPr>
              <w:spacing w:after="0"/>
            </w:pPr>
            <w:r>
              <w:rPr>
                <w:b/>
                <w:color w:val="FFFFFF"/>
                <w:sz w:val="19"/>
              </w:rPr>
              <w:t>Título</w:t>
            </w:r>
          </w:p>
        </w:tc>
        <w:tc>
          <w:tcPr>
            <w:tcW w:type="dxa" w:w="4188"/>
            <w:shd w:val="clear" w:color="auto" w:fill="142F5A"/>
            <w:tcMar>
              <w:top w:w="60" w:type="dxa"/>
              <w:left w:w="110" w:type="dxa"/>
              <w:bottom w:w="60" w:type="dxa"/>
              <w:right w:w="110" w:type="dxa"/>
            </w:tcMar>
          </w:tcPr>
          <w:p>
            <w:pPr>
              <w:spacing w:after="0"/>
            </w:pPr>
            <w:r>
              <w:rPr>
                <w:b/>
                <w:color w:val="FFFFFF"/>
                <w:sz w:val="19"/>
              </w:rPr>
              <w:t>Objetivo</w:t>
            </w:r>
          </w:p>
        </w:tc>
        <w:tc>
          <w:tcPr>
            <w:tcW w:type="dxa" w:w="2379"/>
            <w:shd w:val="clear" w:color="auto" w:fill="142F5A"/>
            <w:tcMar>
              <w:top w:w="60" w:type="dxa"/>
              <w:left w:w="110" w:type="dxa"/>
              <w:bottom w:w="60" w:type="dxa"/>
              <w:right w:w="110" w:type="dxa"/>
            </w:tcMar>
          </w:tcPr>
          <w:p>
            <w:pPr>
              <w:spacing w:after="0"/>
            </w:pPr>
            <w:r>
              <w:rPr>
                <w:b/>
                <w:color w:val="FFFFFF"/>
                <w:sz w:val="19"/>
              </w:rPr>
              <w:t>Perfil destinatario</w:t>
            </w:r>
          </w:p>
        </w:tc>
      </w:tr>
      <w:tr>
        <w:tc>
          <w:tcPr>
            <w:tcW w:type="dxa" w:w="857"/>
            <w:tcMar>
              <w:top w:w="60" w:type="dxa"/>
              <w:left w:w="110" w:type="dxa"/>
              <w:bottom w:w="60" w:type="dxa"/>
              <w:right w:w="110" w:type="dxa"/>
            </w:tcMar>
          </w:tcPr>
          <w:p>
            <w:pPr>
              <w:spacing w:after="0" w:line="252" w:lineRule="auto"/>
            </w:pPr>
            <w:r>
              <w:rPr>
                <w:sz w:val="19"/>
              </w:rPr>
              <w:t>A</w:t>
            </w:r>
          </w:p>
        </w:tc>
        <w:tc>
          <w:tcPr>
            <w:tcW w:type="dxa" w:w="2094"/>
            <w:tcMar>
              <w:top w:w="60" w:type="dxa"/>
              <w:left w:w="110" w:type="dxa"/>
              <w:bottom w:w="60" w:type="dxa"/>
              <w:right w:w="110" w:type="dxa"/>
            </w:tcMar>
          </w:tcPr>
          <w:p>
            <w:pPr>
              <w:spacing w:after="0" w:line="252" w:lineRule="auto"/>
            </w:pPr>
            <w:r>
              <w:rPr>
                <w:sz w:val="19"/>
              </w:rPr>
              <w:t>Visión y arquitectura</w:t>
            </w:r>
          </w:p>
        </w:tc>
        <w:tc>
          <w:tcPr>
            <w:tcW w:type="dxa" w:w="4188"/>
            <w:tcMar>
              <w:top w:w="60" w:type="dxa"/>
              <w:left w:w="110" w:type="dxa"/>
              <w:bottom w:w="60" w:type="dxa"/>
              <w:right w:w="110" w:type="dxa"/>
            </w:tcMar>
          </w:tcPr>
          <w:p>
            <w:pPr>
              <w:spacing w:after="0" w:line="252" w:lineRule="auto"/>
            </w:pPr>
            <w:r>
              <w:rPr>
                <w:sz w:val="19"/>
              </w:rPr>
              <w:t>Comprender el propósito del sistema y su composición</w:t>
            </w:r>
          </w:p>
        </w:tc>
        <w:tc>
          <w:tcPr>
            <w:tcW w:type="dxa" w:w="2379"/>
            <w:tcMar>
              <w:top w:w="60" w:type="dxa"/>
              <w:left w:w="110" w:type="dxa"/>
              <w:bottom w:w="60" w:type="dxa"/>
              <w:right w:w="110" w:type="dxa"/>
            </w:tcMar>
          </w:tcPr>
          <w:p>
            <w:pPr>
              <w:spacing w:after="0" w:line="252" w:lineRule="auto"/>
            </w:pPr>
            <w:r>
              <w:rPr>
                <w:sz w:val="19"/>
              </w:rPr>
              <w:t>Todos</w:t>
            </w:r>
          </w:p>
        </w:tc>
      </w:tr>
      <w:tr>
        <w:tc>
          <w:tcPr>
            <w:tcW w:type="dxa" w:w="857"/>
            <w:shd w:val="clear" w:color="auto" w:fill="EEF2F8"/>
            <w:tcMar>
              <w:top w:w="60" w:type="dxa"/>
              <w:left w:w="110" w:type="dxa"/>
              <w:bottom w:w="60" w:type="dxa"/>
              <w:right w:w="110" w:type="dxa"/>
            </w:tcMar>
          </w:tcPr>
          <w:p>
            <w:pPr>
              <w:spacing w:after="0" w:line="252" w:lineRule="auto"/>
            </w:pPr>
            <w:r>
              <w:rPr>
                <w:sz w:val="19"/>
              </w:rPr>
              <w:t>B</w:t>
            </w:r>
          </w:p>
        </w:tc>
        <w:tc>
          <w:tcPr>
            <w:tcW w:type="dxa" w:w="2094"/>
            <w:shd w:val="clear" w:color="auto" w:fill="EEF2F8"/>
            <w:tcMar>
              <w:top w:w="60" w:type="dxa"/>
              <w:left w:w="110" w:type="dxa"/>
              <w:bottom w:w="60" w:type="dxa"/>
              <w:right w:w="110" w:type="dxa"/>
            </w:tcMar>
          </w:tcPr>
          <w:p>
            <w:pPr>
              <w:spacing w:after="0" w:line="252" w:lineRule="auto"/>
            </w:pPr>
            <w:r>
              <w:rPr>
                <w:sz w:val="19"/>
              </w:rPr>
              <w:t>Identidad, SSO y roles</w:t>
            </w:r>
          </w:p>
        </w:tc>
        <w:tc>
          <w:tcPr>
            <w:tcW w:type="dxa" w:w="4188"/>
            <w:shd w:val="clear" w:color="auto" w:fill="EEF2F8"/>
            <w:tcMar>
              <w:top w:w="60" w:type="dxa"/>
              <w:left w:w="110" w:type="dxa"/>
              <w:bottom w:w="60" w:type="dxa"/>
              <w:right w:w="110" w:type="dxa"/>
            </w:tcMar>
          </w:tcPr>
          <w:p>
            <w:pPr>
              <w:spacing w:after="0" w:line="252" w:lineRule="auto"/>
            </w:pPr>
            <w:r>
              <w:rPr>
                <w:sz w:val="19"/>
              </w:rPr>
              <w:t>Distinguir perfiles de usuario y gestionar el acceso</w:t>
            </w:r>
          </w:p>
        </w:tc>
        <w:tc>
          <w:tcPr>
            <w:tcW w:type="dxa" w:w="2379"/>
            <w:shd w:val="clear" w:color="auto" w:fill="EEF2F8"/>
            <w:tcMar>
              <w:top w:w="60" w:type="dxa"/>
              <w:left w:w="110" w:type="dxa"/>
              <w:bottom w:w="60" w:type="dxa"/>
              <w:right w:w="110" w:type="dxa"/>
            </w:tcMar>
          </w:tcPr>
          <w:p>
            <w:pPr>
              <w:spacing w:after="0" w:line="252" w:lineRule="auto"/>
            </w:pPr>
            <w:r>
              <w:rPr>
                <w:sz w:val="19"/>
              </w:rPr>
              <w:t>Todos</w:t>
            </w:r>
          </w:p>
        </w:tc>
      </w:tr>
      <w:tr>
        <w:tc>
          <w:tcPr>
            <w:tcW w:type="dxa" w:w="857"/>
            <w:tcMar>
              <w:top w:w="60" w:type="dxa"/>
              <w:left w:w="110" w:type="dxa"/>
              <w:bottom w:w="60" w:type="dxa"/>
              <w:right w:w="110" w:type="dxa"/>
            </w:tcMar>
          </w:tcPr>
          <w:p>
            <w:pPr>
              <w:spacing w:after="0" w:line="252" w:lineRule="auto"/>
            </w:pPr>
            <w:r>
              <w:rPr>
                <w:sz w:val="19"/>
              </w:rPr>
              <w:t>C</w:t>
            </w:r>
          </w:p>
        </w:tc>
        <w:tc>
          <w:tcPr>
            <w:tcW w:type="dxa" w:w="2094"/>
            <w:tcMar>
              <w:top w:w="60" w:type="dxa"/>
              <w:left w:w="110" w:type="dxa"/>
              <w:bottom w:w="60" w:type="dxa"/>
              <w:right w:w="110" w:type="dxa"/>
            </w:tcMar>
          </w:tcPr>
          <w:p>
            <w:pPr>
              <w:spacing w:after="0" w:line="252" w:lineRule="auto"/>
            </w:pPr>
            <w:r>
              <w:rPr>
                <w:sz w:val="19"/>
              </w:rPr>
              <w:t>Recursos editoriales</w:t>
            </w:r>
          </w:p>
        </w:tc>
        <w:tc>
          <w:tcPr>
            <w:tcW w:type="dxa" w:w="4188"/>
            <w:tcMar>
              <w:top w:w="60" w:type="dxa"/>
              <w:left w:w="110" w:type="dxa"/>
              <w:bottom w:w="60" w:type="dxa"/>
              <w:right w:w="110" w:type="dxa"/>
            </w:tcMar>
          </w:tcPr>
          <w:p>
            <w:pPr>
              <w:spacing w:after="0" w:line="252" w:lineRule="auto"/>
            </w:pPr>
            <w:r>
              <w:rPr>
                <w:sz w:val="19"/>
              </w:rPr>
              <w:t>Publicar y mantener bases de datos en el catálogo</w:t>
            </w:r>
          </w:p>
        </w:tc>
        <w:tc>
          <w:tcPr>
            <w:tcW w:type="dxa" w:w="2379"/>
            <w:tcMar>
              <w:top w:w="60" w:type="dxa"/>
              <w:left w:w="110" w:type="dxa"/>
              <w:bottom w:w="60" w:type="dxa"/>
              <w:right w:w="110" w:type="dxa"/>
            </w:tcMar>
          </w:tcPr>
          <w:p>
            <w:pPr>
              <w:spacing w:after="0" w:line="252" w:lineRule="auto"/>
            </w:pPr>
            <w:r>
              <w:rPr>
                <w:sz w:val="19"/>
              </w:rPr>
              <w:t>Técnico y biblioteca</w:t>
            </w:r>
          </w:p>
        </w:tc>
      </w:tr>
      <w:tr>
        <w:tc>
          <w:tcPr>
            <w:tcW w:type="dxa" w:w="857"/>
            <w:shd w:val="clear" w:color="auto" w:fill="EEF2F8"/>
            <w:tcMar>
              <w:top w:w="60" w:type="dxa"/>
              <w:left w:w="110" w:type="dxa"/>
              <w:bottom w:w="60" w:type="dxa"/>
              <w:right w:w="110" w:type="dxa"/>
            </w:tcMar>
          </w:tcPr>
          <w:p>
            <w:pPr>
              <w:spacing w:after="0" w:line="252" w:lineRule="auto"/>
            </w:pPr>
            <w:r>
              <w:rPr>
                <w:sz w:val="19"/>
              </w:rPr>
              <w:t>D</w:t>
            </w:r>
          </w:p>
        </w:tc>
        <w:tc>
          <w:tcPr>
            <w:tcW w:type="dxa" w:w="2094"/>
            <w:shd w:val="clear" w:color="auto" w:fill="EEF2F8"/>
            <w:tcMar>
              <w:top w:w="60" w:type="dxa"/>
              <w:left w:w="110" w:type="dxa"/>
              <w:bottom w:w="60" w:type="dxa"/>
              <w:right w:w="110" w:type="dxa"/>
            </w:tcMar>
          </w:tcPr>
          <w:p>
            <w:pPr>
              <w:spacing w:after="0" w:line="252" w:lineRule="auto"/>
            </w:pPr>
            <w:r>
              <w:rPr>
                <w:sz w:val="19"/>
              </w:rPr>
              <w:t>Portal de invitados</w:t>
            </w:r>
          </w:p>
        </w:tc>
        <w:tc>
          <w:tcPr>
            <w:tcW w:type="dxa" w:w="4188"/>
            <w:shd w:val="clear" w:color="auto" w:fill="EEF2F8"/>
            <w:tcMar>
              <w:top w:w="60" w:type="dxa"/>
              <w:left w:w="110" w:type="dxa"/>
              <w:bottom w:w="60" w:type="dxa"/>
              <w:right w:w="110" w:type="dxa"/>
            </w:tcMar>
          </w:tcPr>
          <w:p>
            <w:pPr>
              <w:spacing w:after="0" w:line="252" w:lineRule="auto"/>
            </w:pPr>
            <w:r>
              <w:rPr>
                <w:sz w:val="19"/>
              </w:rPr>
              <w:t>Operar el ciclo de solicitud y aprobación</w:t>
            </w:r>
          </w:p>
        </w:tc>
        <w:tc>
          <w:tcPr>
            <w:tcW w:type="dxa" w:w="2379"/>
            <w:shd w:val="clear" w:color="auto" w:fill="EEF2F8"/>
            <w:tcMar>
              <w:top w:w="60" w:type="dxa"/>
              <w:left w:w="110" w:type="dxa"/>
              <w:bottom w:w="60" w:type="dxa"/>
              <w:right w:w="110" w:type="dxa"/>
            </w:tcMar>
          </w:tcPr>
          <w:p>
            <w:pPr>
              <w:spacing w:after="0" w:line="252" w:lineRule="auto"/>
            </w:pPr>
            <w:r>
              <w:rPr>
                <w:sz w:val="19"/>
              </w:rPr>
              <w:t>Biblioteca</w:t>
            </w:r>
          </w:p>
        </w:tc>
      </w:tr>
      <w:tr>
        <w:tc>
          <w:tcPr>
            <w:tcW w:type="dxa" w:w="857"/>
            <w:tcMar>
              <w:top w:w="60" w:type="dxa"/>
              <w:left w:w="110" w:type="dxa"/>
              <w:bottom w:w="60" w:type="dxa"/>
              <w:right w:w="110" w:type="dxa"/>
            </w:tcMar>
          </w:tcPr>
          <w:p>
            <w:pPr>
              <w:spacing w:after="0" w:line="252" w:lineRule="auto"/>
            </w:pPr>
            <w:r>
              <w:rPr>
                <w:sz w:val="19"/>
              </w:rPr>
              <w:t>E</w:t>
            </w:r>
          </w:p>
        </w:tc>
        <w:tc>
          <w:tcPr>
            <w:tcW w:type="dxa" w:w="2094"/>
            <w:tcMar>
              <w:top w:w="60" w:type="dxa"/>
              <w:left w:w="110" w:type="dxa"/>
              <w:bottom w:w="60" w:type="dxa"/>
              <w:right w:w="110" w:type="dxa"/>
            </w:tcMar>
          </w:tcPr>
          <w:p>
            <w:pPr>
              <w:spacing w:after="0" w:line="252" w:lineRule="auto"/>
            </w:pPr>
            <w:r>
              <w:rPr>
                <w:sz w:val="19"/>
              </w:rPr>
              <w:t>Federación LDAP</w:t>
            </w:r>
          </w:p>
        </w:tc>
        <w:tc>
          <w:tcPr>
            <w:tcW w:type="dxa" w:w="4188"/>
            <w:tcMar>
              <w:top w:w="60" w:type="dxa"/>
              <w:left w:w="110" w:type="dxa"/>
              <w:bottom w:w="60" w:type="dxa"/>
              <w:right w:w="110" w:type="dxa"/>
            </w:tcMar>
          </w:tcPr>
          <w:p>
            <w:pPr>
              <w:spacing w:after="0" w:line="252" w:lineRule="auto"/>
            </w:pPr>
            <w:r>
              <w:rPr>
                <w:sz w:val="19"/>
              </w:rPr>
              <w:t>Verificar y diagnosticar la integración con el directorio</w:t>
            </w:r>
          </w:p>
        </w:tc>
        <w:tc>
          <w:tcPr>
            <w:tcW w:type="dxa" w:w="2379"/>
            <w:tcMar>
              <w:top w:w="60" w:type="dxa"/>
              <w:left w:w="110" w:type="dxa"/>
              <w:bottom w:w="60" w:type="dxa"/>
              <w:right w:w="110" w:type="dxa"/>
            </w:tcMar>
          </w:tcPr>
          <w:p>
            <w:pPr>
              <w:spacing w:after="0" w:line="252" w:lineRule="auto"/>
            </w:pPr>
            <w:r>
              <w:rPr>
                <w:sz w:val="19"/>
              </w:rPr>
              <w:t>Técnico</w:t>
            </w:r>
          </w:p>
        </w:tc>
      </w:tr>
      <w:tr>
        <w:tc>
          <w:tcPr>
            <w:tcW w:type="dxa" w:w="857"/>
            <w:shd w:val="clear" w:color="auto" w:fill="EEF2F8"/>
            <w:tcMar>
              <w:top w:w="60" w:type="dxa"/>
              <w:left w:w="110" w:type="dxa"/>
              <w:bottom w:w="60" w:type="dxa"/>
              <w:right w:w="110" w:type="dxa"/>
            </w:tcMar>
          </w:tcPr>
          <w:p>
            <w:pPr>
              <w:spacing w:after="0" w:line="252" w:lineRule="auto"/>
            </w:pPr>
            <w:r>
              <w:rPr>
                <w:sz w:val="19"/>
              </w:rPr>
              <w:t>F</w:t>
            </w:r>
          </w:p>
        </w:tc>
        <w:tc>
          <w:tcPr>
            <w:tcW w:type="dxa" w:w="2094"/>
            <w:shd w:val="clear" w:color="auto" w:fill="EEF2F8"/>
            <w:tcMar>
              <w:top w:w="60" w:type="dxa"/>
              <w:left w:w="110" w:type="dxa"/>
              <w:bottom w:w="60" w:type="dxa"/>
              <w:right w:w="110" w:type="dxa"/>
            </w:tcMar>
          </w:tcPr>
          <w:p>
            <w:pPr>
              <w:spacing w:after="0" w:line="252" w:lineRule="auto"/>
            </w:pPr>
            <w:r>
              <w:rPr>
                <w:sz w:val="19"/>
              </w:rPr>
              <w:t>Analítica y Metabase</w:t>
            </w:r>
          </w:p>
        </w:tc>
        <w:tc>
          <w:tcPr>
            <w:tcW w:type="dxa" w:w="4188"/>
            <w:shd w:val="clear" w:color="auto" w:fill="EEF2F8"/>
            <w:tcMar>
              <w:top w:w="60" w:type="dxa"/>
              <w:left w:w="110" w:type="dxa"/>
              <w:bottom w:w="60" w:type="dxa"/>
              <w:right w:w="110" w:type="dxa"/>
            </w:tcMar>
          </w:tcPr>
          <w:p>
            <w:pPr>
              <w:spacing w:after="0" w:line="252" w:lineRule="auto"/>
            </w:pPr>
            <w:r>
              <w:rPr>
                <w:sz w:val="19"/>
              </w:rPr>
              <w:t>Construir y exportar informes de uso</w:t>
            </w:r>
          </w:p>
        </w:tc>
        <w:tc>
          <w:tcPr>
            <w:tcW w:type="dxa" w:w="2379"/>
            <w:shd w:val="clear" w:color="auto" w:fill="EEF2F8"/>
            <w:tcMar>
              <w:top w:w="60" w:type="dxa"/>
              <w:left w:w="110" w:type="dxa"/>
              <w:bottom w:w="60" w:type="dxa"/>
              <w:right w:w="110" w:type="dxa"/>
            </w:tcMar>
          </w:tcPr>
          <w:p>
            <w:pPr>
              <w:spacing w:after="0" w:line="252" w:lineRule="auto"/>
            </w:pPr>
            <w:r>
              <w:rPr>
                <w:sz w:val="19"/>
              </w:rPr>
              <w:t>Biblioteca y dirección</w:t>
            </w:r>
          </w:p>
        </w:tc>
      </w:tr>
      <w:tr>
        <w:tc>
          <w:tcPr>
            <w:tcW w:type="dxa" w:w="857"/>
            <w:tcMar>
              <w:top w:w="60" w:type="dxa"/>
              <w:left w:w="110" w:type="dxa"/>
              <w:bottom w:w="60" w:type="dxa"/>
              <w:right w:w="110" w:type="dxa"/>
            </w:tcMar>
          </w:tcPr>
          <w:p>
            <w:pPr>
              <w:spacing w:after="0" w:line="252" w:lineRule="auto"/>
            </w:pPr>
            <w:r>
              <w:rPr>
                <w:sz w:val="19"/>
              </w:rPr>
              <w:t>G</w:t>
            </w:r>
          </w:p>
        </w:tc>
        <w:tc>
          <w:tcPr>
            <w:tcW w:type="dxa" w:w="2094"/>
            <w:tcMar>
              <w:top w:w="60" w:type="dxa"/>
              <w:left w:w="110" w:type="dxa"/>
              <w:bottom w:w="60" w:type="dxa"/>
              <w:right w:w="110" w:type="dxa"/>
            </w:tcMar>
          </w:tcPr>
          <w:p>
            <w:pPr>
              <w:spacing w:after="0" w:line="252" w:lineRule="auto"/>
            </w:pPr>
            <w:r>
              <w:rPr>
                <w:sz w:val="19"/>
              </w:rPr>
              <w:t>Operación y contingencias</w:t>
            </w:r>
          </w:p>
        </w:tc>
        <w:tc>
          <w:tcPr>
            <w:tcW w:type="dxa" w:w="4188"/>
            <w:tcMar>
              <w:top w:w="60" w:type="dxa"/>
              <w:left w:w="110" w:type="dxa"/>
              <w:bottom w:w="60" w:type="dxa"/>
              <w:right w:w="110" w:type="dxa"/>
            </w:tcMar>
          </w:tcPr>
          <w:p>
            <w:pPr>
              <w:spacing w:after="0" w:line="252" w:lineRule="auto"/>
            </w:pPr>
            <w:r>
              <w:rPr>
                <w:sz w:val="19"/>
              </w:rPr>
              <w:t>Aplicar runbooks y resolver incidencias</w:t>
            </w:r>
          </w:p>
        </w:tc>
        <w:tc>
          <w:tcPr>
            <w:tcW w:type="dxa" w:w="2379"/>
            <w:tcMar>
              <w:top w:w="60" w:type="dxa"/>
              <w:left w:w="110" w:type="dxa"/>
              <w:bottom w:w="60" w:type="dxa"/>
              <w:right w:w="110" w:type="dxa"/>
            </w:tcMar>
          </w:tcPr>
          <w:p>
            <w:pPr>
              <w:spacing w:after="0" w:line="252" w:lineRule="auto"/>
            </w:pPr>
            <w:r>
              <w:rPr>
                <w:sz w:val="19"/>
              </w:rPr>
              <w:t>Operación y técnico</w:t>
            </w:r>
          </w:p>
        </w:tc>
      </w:tr>
    </w:tbl>
    <w:p>
      <w:pPr>
        <w:spacing w:after="0" w:before="0" w:line="240" w:lineRule="auto"/>
      </w:pPr>
      <w:r>
        <w:rPr>
          <w:sz w:val="12"/>
        </w:rPr>
      </w:r>
    </w:p>
    <w:p>
      <w:pPr>
        <w:spacing w:after="120"/>
      </w:pPr>
      <w:r>
        <w:t>Cada módulo combina una parte expositiva, un ejercicio práctico sobre el sistema real o sobre el entorno de laboratorio, y un criterio de evaluación observable. El presente manual es el material de apoyo de todos ellos.</w:t>
      </w:r>
    </w:p>
    <w:p>
      <w:pPr>
        <w:pStyle w:val="Heading2"/>
      </w:pPr>
      <w:r>
        <w:t>Módulo A — Visión y arquitectura</w:t>
      </w:r>
    </w:p>
    <w:p>
      <w:pPr>
        <w:pStyle w:val="Heading4"/>
      </w:pPr>
      <w:r>
        <w:t>Contenidos</w:t>
      </w:r>
    </w:p>
    <w:p>
      <w:pPr>
        <w:pStyle w:val="ListBullet"/>
      </w:pPr>
      <w:r>
        <w:t>El problema del acceso remoto a recursos suscritos y cómo lo resuelve el proxy.</w:t>
      </w:r>
    </w:p>
    <w:p>
      <w:pPr>
        <w:pStyle w:val="ListBullet"/>
      </w:pPr>
      <w:r>
        <w:t>Recorrido de una petición y puntos de decisión de autorización (figura 1).</w:t>
      </w:r>
    </w:p>
    <w:p>
      <w:pPr>
        <w:pStyle w:val="ListBullet"/>
      </w:pPr>
      <w:r>
        <w:t>Función de cada contenedor y de los dos volúmenes de datos.</w:t>
      </w:r>
    </w:p>
    <w:p>
      <w:pPr>
        <w:pStyle w:val="ListBullet"/>
      </w:pPr>
      <w:r>
        <w:t>Concepto de dirección IP de salida y su relación con las editoriales.</w:t>
      </w:r>
    </w:p>
    <w:p>
      <w:pPr>
        <w:pStyle w:val="Heading4"/>
      </w:pPr>
      <w:r>
        <w:t>Ejercicio A1 — Reconocer la plataforma</w:t>
      </w:r>
    </w:p>
    <w:p>
      <w:pPr>
        <w:pStyle w:val="ListNumber"/>
      </w:pPr>
      <w:r>
        <w:t xml:space="preserve">Abrir </w:t>
      </w:r>
      <w:r>
        <w:rPr>
          <w:rFonts w:ascii="Consolas" w:hAnsi="Consolas" w:eastAsia="Consolas"/>
          <w:color w:val="1A4473"/>
          <w:sz w:val="19"/>
        </w:rPr>
        <w:t>/healthz</w:t>
      </w:r>
      <w:r>
        <w:t xml:space="preserve"> y confirmar la respuesta correcta.</w:t>
      </w:r>
    </w:p>
    <w:p>
      <w:pPr>
        <w:pStyle w:val="ListNumber"/>
      </w:pPr>
      <w:r>
        <w:t xml:space="preserve">Listar los contenedores con </w:t>
      </w:r>
      <w:r>
        <w:rPr>
          <w:rFonts w:ascii="Consolas" w:hAnsi="Consolas" w:eastAsia="Consolas"/>
          <w:color w:val="1A4473"/>
          <w:sz w:val="19"/>
        </w:rPr>
        <w:t>docker compose ps</w:t>
      </w:r>
      <w:r>
        <w:t>.</w:t>
      </w:r>
    </w:p>
    <w:p>
      <w:pPr>
        <w:pStyle w:val="ListNumber"/>
      </w:pPr>
      <w:r>
        <w:t>Identificar en la salida los servicios de identidad, invitados y analítica.</w:t>
      </w:r>
    </w:p>
    <w:p>
      <w:pPr>
        <w:pStyle w:val="ListNumber"/>
      </w:pPr>
      <w:r>
        <w:t xml:space="preserve">Señalar sobre el diagrama por dónde pasa una petición a </w:t>
      </w:r>
      <w:r>
        <w:rPr>
          <w:rFonts w:ascii="Consolas" w:hAnsi="Consolas" w:eastAsia="Consolas"/>
          <w:color w:val="1A4473"/>
          <w:sz w:val="19"/>
        </w:rPr>
        <w:t>/r/simulator/</w:t>
      </w:r>
      <w:r>
        <w:t>.</w:t>
      </w:r>
    </w:p>
    <w:p>
      <w:pPr>
        <w:pStyle w:val="Heading4"/>
      </w:pPr>
      <w:r>
        <w:t>Criterio de evaluación</w:t>
      </w:r>
    </w:p>
    <w:p>
      <w:pPr>
        <w:spacing w:after="120"/>
      </w:pPr>
      <w:r>
        <w:t>El participante nombra, sin ayuda, qué servicio atiende el inicio de sesión, cuál gestiona los invitados y cuál produce los informes de uso.</w:t>
      </w:r>
    </w:p>
    <w:p>
      <w:pPr>
        <w:spacing w:after="0" w:before="0" w:line="240" w:lineRule="auto"/>
      </w:pPr>
      <w:r>
        <w:rPr>
          <w:sz w:val="12"/>
        </w:rPr>
      </w:r>
    </w:p>
    <w:p>
      <w:pPr>
        <w:pStyle w:val="Heading2"/>
      </w:pPr>
      <w:r>
        <w:t>Módulo B — Identidad, SSO y roles</w:t>
      </w:r>
    </w:p>
    <w:p>
      <w:pPr>
        <w:pStyle w:val="Heading4"/>
      </w:pPr>
      <w:r>
        <w:t>Contenidos</w:t>
      </w:r>
    </w:p>
    <w:p>
      <w:pPr>
        <w:pStyle w:val="ListBullet"/>
      </w:pPr>
      <w:r>
        <w:t>Diferencia entre acceso remoto con inicio de sesión y acceso reconocido del campus.</w:t>
      </w:r>
    </w:p>
    <w:p>
      <w:pPr>
        <w:pStyle w:val="ListBullet"/>
      </w:pPr>
      <w:r>
        <w:t xml:space="preserve">Roles </w:t>
      </w:r>
      <w:r>
        <w:rPr>
          <w:rFonts w:ascii="Consolas" w:hAnsi="Consolas" w:eastAsia="Consolas"/>
          <w:color w:val="1A4473"/>
          <w:sz w:val="19"/>
        </w:rPr>
        <w:t>user</w:t>
      </w:r>
      <w:r>
        <w:t xml:space="preserve">, </w:t>
      </w:r>
      <w:r>
        <w:rPr>
          <w:rFonts w:ascii="Consolas" w:hAnsi="Consolas" w:eastAsia="Consolas"/>
          <w:color w:val="1A4473"/>
          <w:sz w:val="19"/>
        </w:rPr>
        <w:t>admin</w:t>
      </w:r>
      <w:r>
        <w:t xml:space="preserve"> y </w:t>
      </w:r>
      <w:r>
        <w:rPr>
          <w:rFonts w:ascii="Consolas" w:hAnsi="Consolas" w:eastAsia="Consolas"/>
          <w:color w:val="1A4473"/>
          <w:sz w:val="19"/>
        </w:rPr>
        <w:t>guest</w:t>
      </w:r>
      <w:r>
        <w:t>, y qué habilita cada uno.</w:t>
      </w:r>
    </w:p>
    <w:p>
      <w:pPr>
        <w:pStyle w:val="ListBullet"/>
      </w:pPr>
      <w:r>
        <w:t xml:space="preserve">Dónde se administran las cuentas: Keycloak Admin, realm </w:t>
      </w:r>
      <w:r>
        <w:rPr>
          <w:rFonts w:ascii="Consolas" w:hAnsi="Consolas" w:eastAsia="Consolas"/>
          <w:color w:val="1A4473"/>
          <w:sz w:val="19"/>
        </w:rPr>
        <w:t>library</w:t>
      </w:r>
      <w:r>
        <w:t>.</w:t>
      </w:r>
    </w:p>
    <w:p>
      <w:pPr>
        <w:pStyle w:val="ListBullet"/>
      </w:pPr>
      <w:r>
        <w:t>Cierre de sesión y comportamiento esperado al volver a un recurso protegido.</w:t>
      </w:r>
    </w:p>
    <w:p>
      <w:pPr>
        <w:pStyle w:val="Heading4"/>
      </w:pPr>
      <w:r>
        <w:t>Ejercicio B1 — Perfil de usuario de biblioteca</w:t>
      </w:r>
    </w:p>
    <w:p>
      <w:pPr>
        <w:pStyle w:val="ListNumber"/>
      </w:pPr>
      <w:r>
        <w:t>Cerrar cualquier sesión previa del navegador.</w:t>
      </w:r>
    </w:p>
    <w:p>
      <w:pPr>
        <w:pStyle w:val="ListNumber"/>
      </w:pPr>
      <w:r>
        <w:t xml:space="preserve">Abrir </w:t>
      </w:r>
      <w:r>
        <w:rPr>
          <w:rFonts w:ascii="Consolas" w:hAnsi="Consolas" w:eastAsia="Consolas"/>
          <w:color w:val="1A4473"/>
          <w:sz w:val="19"/>
        </w:rPr>
        <w:t>/databases.html</w:t>
      </w:r>
      <w:r>
        <w:t xml:space="preserve"> e iniciar sesión con la cuenta </w:t>
      </w:r>
      <w:r>
        <w:rPr>
          <w:rFonts w:ascii="Consolas" w:hAnsi="Consolas" w:eastAsia="Consolas"/>
          <w:color w:val="1A4473"/>
          <w:sz w:val="19"/>
        </w:rPr>
        <w:t>demo</w:t>
      </w:r>
      <w:r>
        <w:t>.</w:t>
      </w:r>
    </w:p>
    <w:p>
      <w:pPr>
        <w:pStyle w:val="ListNumber"/>
      </w:pPr>
      <w:r>
        <w:t>Confirmar el acceso al catálogo y abrir un recurso.</w:t>
      </w:r>
    </w:p>
    <w:p>
      <w:pPr>
        <w:pStyle w:val="ListNumber"/>
      </w:pPr>
      <w:r>
        <w:t xml:space="preserve">Intentar acceder a </w:t>
      </w:r>
      <w:r>
        <w:rPr>
          <w:rFonts w:ascii="Consolas" w:hAnsi="Consolas" w:eastAsia="Consolas"/>
          <w:color w:val="1A4473"/>
          <w:sz w:val="19"/>
        </w:rPr>
        <w:t>/guest/admin</w:t>
      </w:r>
      <w:r>
        <w:t xml:space="preserve"> y comprobar que el acceso se deniega.</w:t>
      </w:r>
    </w:p>
    <w:p>
      <w:pPr>
        <w:pStyle w:val="Heading4"/>
      </w:pPr>
      <w:r>
        <w:t>Ejercicio B2 — Perfil administrador</w:t>
      </w:r>
    </w:p>
    <w:p>
      <w:pPr>
        <w:pStyle w:val="ListNumber"/>
      </w:pPr>
      <w:r>
        <w:t xml:space="preserve">Iniciar sesión con la cuenta </w:t>
      </w:r>
      <w:r>
        <w:rPr>
          <w:rFonts w:ascii="Consolas" w:hAnsi="Consolas" w:eastAsia="Consolas"/>
          <w:color w:val="1A4473"/>
          <w:sz w:val="19"/>
        </w:rPr>
        <w:t>librarian</w:t>
      </w:r>
      <w:r>
        <w:t>.</w:t>
      </w:r>
    </w:p>
    <w:p>
      <w:pPr>
        <w:pStyle w:val="ListNumber"/>
      </w:pPr>
      <w:r>
        <w:t xml:space="preserve">Abrir </w:t>
      </w:r>
      <w:r>
        <w:rPr>
          <w:rFonts w:ascii="Consolas" w:hAnsi="Consolas" w:eastAsia="Consolas"/>
          <w:color w:val="1A4473"/>
          <w:sz w:val="19"/>
        </w:rPr>
        <w:t>/guest/admin</w:t>
      </w:r>
      <w:r>
        <w:t xml:space="preserve"> y comprobar que el panel carga.</w:t>
      </w:r>
    </w:p>
    <w:p>
      <w:pPr>
        <w:pStyle w:val="ListNumber"/>
      </w:pPr>
      <w:r>
        <w:t xml:space="preserve">Entrar en Keycloak Admin y localizar el realm </w:t>
      </w:r>
      <w:r>
        <w:rPr>
          <w:rFonts w:ascii="Consolas" w:hAnsi="Consolas" w:eastAsia="Consolas"/>
          <w:color w:val="1A4473"/>
          <w:sz w:val="19"/>
        </w:rPr>
        <w:t>library</w:t>
      </w:r>
      <w:r>
        <w:t>, sus usuarios y sus roles.</w:t>
      </w:r>
    </w:p>
    <w:p>
      <w:pPr>
        <w:pStyle w:val="Heading4"/>
      </w:pPr>
      <w:r>
        <w:t>Criterio de evaluación</w:t>
      </w:r>
    </w:p>
    <w:p>
      <w:pPr>
        <w:spacing w:after="120"/>
      </w:pPr>
      <w:r>
        <w:t>El participante explica la diferencia entre una cuenta de la comunidad y una cuenta administradora, y sabe dónde se asignan los roles.</w:t>
      </w:r>
    </w:p>
    <w:p>
      <w:pPr>
        <w:spacing w:after="0" w:before="0" w:line="240" w:lineRule="auto"/>
      </w:pPr>
      <w:r>
        <w:rPr>
          <w:sz w:val="12"/>
        </w:rPr>
      </w:r>
    </w:p>
    <w:p>
      <w:pPr>
        <w:pStyle w:val="Heading2"/>
      </w:pPr>
      <w:r>
        <w:t>Módulo C — Recursos editoriales</w:t>
      </w:r>
    </w:p>
    <w:p>
      <w:pPr>
        <w:pStyle w:val="Heading4"/>
      </w:pPr>
      <w:r>
        <w:t>Contenidos</w:t>
      </w:r>
    </w:p>
    <w:p>
      <w:pPr>
        <w:pStyle w:val="ListBullet"/>
      </w:pPr>
      <w:r>
        <w:t xml:space="preserve">El catálogo </w:t>
      </w:r>
      <w:r>
        <w:rPr>
          <w:rFonts w:ascii="Consolas" w:hAnsi="Consolas" w:eastAsia="Consolas"/>
          <w:color w:val="1A4473"/>
          <w:sz w:val="19"/>
        </w:rPr>
        <w:t>databases.html</w:t>
      </w:r>
      <w:r>
        <w:t xml:space="preserve"> y cómo se genera.</w:t>
      </w:r>
    </w:p>
    <w:p>
      <w:pPr>
        <w:pStyle w:val="ListBullet"/>
      </w:pPr>
      <w:r>
        <w:t>Estructura de una stanza y significado de cada clave.</w:t>
      </w:r>
    </w:p>
    <w:p>
      <w:pPr>
        <w:pStyle w:val="ListBullet"/>
      </w:pPr>
      <w:r>
        <w:t>Regeneración de la configuración y recarga de Nginx.</w:t>
      </w:r>
    </w:p>
    <w:p>
      <w:pPr>
        <w:pStyle w:val="ListBullet"/>
      </w:pPr>
      <w:r>
        <w:t>Por qué existe el simulador editorial y cuándo usarlo.</w:t>
      </w:r>
    </w:p>
    <w:p>
      <w:pPr>
        <w:pStyle w:val="ListBullet"/>
      </w:pPr>
      <w:r>
        <w:t>Autorización de la IP de salida en recursos reales.</w:t>
      </w:r>
    </w:p>
    <w:p>
      <w:pPr>
        <w:pStyle w:val="Heading4"/>
      </w:pPr>
      <w:r>
        <w:t>Ejercicio C1 — Navegación a través del proxy</w:t>
      </w:r>
    </w:p>
    <w:p>
      <w:pPr>
        <w:pStyle w:val="ListNumber"/>
      </w:pPr>
      <w:r>
        <w:t xml:space="preserve">Tras iniciar sesión, abrir </w:t>
      </w:r>
      <w:r>
        <w:rPr>
          <w:rFonts w:ascii="Consolas" w:hAnsi="Consolas" w:eastAsia="Consolas"/>
          <w:color w:val="1A4473"/>
          <w:sz w:val="19"/>
        </w:rPr>
        <w:t>/r/simulator/</w:t>
      </w:r>
      <w:r>
        <w:t>.</w:t>
      </w:r>
    </w:p>
    <w:p>
      <w:pPr>
        <w:pStyle w:val="ListNumber"/>
      </w:pPr>
      <w:r>
        <w:t>Navegar un artículo HTML y descargar un PDF.</w:t>
      </w:r>
    </w:p>
    <w:p>
      <w:pPr>
        <w:pStyle w:val="ListNumber"/>
      </w:pPr>
      <w:r>
        <w:t>Comprobar que la barra de direcciones permanece en el dominio institucional.</w:t>
      </w:r>
    </w:p>
    <w:p>
      <w:pPr>
        <w:pStyle w:val="ListNumber"/>
      </w:pPr>
      <w:r>
        <w:t>Identificar en la página un enlace reescrito.</w:t>
      </w:r>
    </w:p>
    <w:p>
      <w:pPr>
        <w:pStyle w:val="Heading4"/>
      </w:pPr>
      <w:r>
        <w:t>Ejercicio C2 — Publicar un recurso nuevo (entorno de laboratorio)</w:t>
      </w:r>
    </w:p>
    <w:p>
      <w:pPr>
        <w:pStyle w:val="ListNumber"/>
      </w:pPr>
      <w:r>
        <w:t xml:space="preserve">Copiar </w:t>
      </w:r>
      <w:r>
        <w:rPr>
          <w:rFonts w:ascii="Consolas" w:hAnsi="Consolas" w:eastAsia="Consolas"/>
          <w:color w:val="1A4473"/>
          <w:sz w:val="19"/>
        </w:rPr>
        <w:t>stanzas/simulator.yml</w:t>
      </w:r>
      <w:r>
        <w:t xml:space="preserve"> a </w:t>
      </w:r>
      <w:r>
        <w:rPr>
          <w:rFonts w:ascii="Consolas" w:hAnsi="Consolas" w:eastAsia="Consolas"/>
          <w:color w:val="1A4473"/>
          <w:sz w:val="19"/>
        </w:rPr>
        <w:t>stanzas/demo2.yml</w:t>
      </w:r>
      <w:r>
        <w:t>.</w:t>
      </w:r>
    </w:p>
    <w:p>
      <w:pPr>
        <w:pStyle w:val="ListNumber"/>
      </w:pPr>
      <w:r>
        <w:t xml:space="preserve">Modificar </w:t>
      </w:r>
      <w:r>
        <w:rPr>
          <w:rFonts w:ascii="Consolas" w:hAnsi="Consolas" w:eastAsia="Consolas"/>
          <w:color w:val="1A4473"/>
          <w:sz w:val="19"/>
        </w:rPr>
        <w:t>name</w:t>
      </w:r>
      <w:r>
        <w:t xml:space="preserve"> y </w:t>
      </w:r>
      <w:r>
        <w:rPr>
          <w:rFonts w:ascii="Consolas" w:hAnsi="Consolas" w:eastAsia="Consolas"/>
          <w:color w:val="1A4473"/>
          <w:sz w:val="19"/>
        </w:rPr>
        <w:t>title</w:t>
      </w:r>
      <w:r>
        <w:t>.</w:t>
      </w:r>
    </w:p>
    <w:p>
      <w:pPr>
        <w:pStyle w:val="ListNumber"/>
      </w:pPr>
      <w:r>
        <w:t>Regenerar la configuración y recargar Nginx.</w:t>
      </w:r>
    </w:p>
    <w:p>
      <w:pPr>
        <w:pStyle w:val="ListNumber"/>
      </w:pPr>
      <w:r>
        <w:t>Verificar que el recurso aparece en el catálogo y que su ruta responde.</w:t>
      </w:r>
    </w:p>
    <w:p>
      <w:pPr>
        <w:pStyle w:val="Heading4"/>
      </w:pPr>
      <w:r>
        <w:t>Criterio de evaluación</w:t>
      </w:r>
    </w:p>
    <w:p>
      <w:pPr>
        <w:spacing w:after="120"/>
      </w:pPr>
      <w:r>
        <w:t>El participante indica qué archivo debe crear para una base nueva y qué comando publica el cambio.</w:t>
      </w:r>
    </w:p>
    <w:p>
      <w:pPr>
        <w:spacing w:after="0" w:before="0" w:line="240" w:lineRule="auto"/>
      </w:pPr>
      <w:r>
        <w:rPr>
          <w:sz w:val="12"/>
        </w:rPr>
      </w:r>
    </w:p>
    <w:p>
      <w:pPr>
        <w:pStyle w:val="Heading2"/>
      </w:pPr>
      <w:r>
        <w:t>Módulo D — Portal de invitados</w:t>
      </w:r>
    </w:p>
    <w:p>
      <w:pPr>
        <w:pStyle w:val="Heading4"/>
      </w:pPr>
      <w:r>
        <w:t>Contenidos</w:t>
      </w:r>
    </w:p>
    <w:p>
      <w:pPr>
        <w:pStyle w:val="ListBullet"/>
      </w:pPr>
      <w:r>
        <w:t>Auto-registro sin modificar el núcleo del gestor de identidad.</w:t>
      </w:r>
    </w:p>
    <w:p>
      <w:pPr>
        <w:pStyle w:val="ListBullet"/>
      </w:pPr>
      <w:r>
        <w:t>Estados de una solicitud: pendiente, aprobada y rechazada.</w:t>
      </w:r>
    </w:p>
    <w:p>
      <w:pPr>
        <w:pStyle w:val="ListBullet"/>
      </w:pPr>
      <w:r>
        <w:t>Reflejo opcional en el directorio institucional.</w:t>
      </w:r>
    </w:p>
    <w:p>
      <w:pPr>
        <w:pStyle w:val="ListBullet"/>
      </w:pPr>
      <w:r>
        <w:t xml:space="preserve">Por qué </w:t>
      </w:r>
      <w:r>
        <w:rPr>
          <w:rFonts w:ascii="Consolas" w:hAnsi="Consolas" w:eastAsia="Consolas"/>
          <w:color w:val="1A4473"/>
          <w:sz w:val="19"/>
        </w:rPr>
        <w:t>/guest/</w:t>
      </w:r>
      <w:r>
        <w:t xml:space="preserve"> muestra siempre el formulario público.</w:t>
      </w:r>
    </w:p>
    <w:p>
      <w:pPr>
        <w:pStyle w:val="Heading4"/>
      </w:pPr>
      <w:r>
        <w:t>Ejercicio D1 — Ciclo completo de una solicitud</w:t>
      </w:r>
    </w:p>
    <w:p>
      <w:pPr>
        <w:pStyle w:val="ListNumber"/>
      </w:pPr>
      <w:r>
        <w:t xml:space="preserve">En una ventana privada, registrar un invitado de prueba en </w:t>
      </w:r>
      <w:r>
        <w:rPr>
          <w:rFonts w:ascii="Consolas" w:hAnsi="Consolas" w:eastAsia="Consolas"/>
          <w:color w:val="1A4473"/>
          <w:sz w:val="19"/>
        </w:rPr>
        <w:t>/guest/</w:t>
      </w:r>
      <w:r>
        <w:t>.</w:t>
      </w:r>
    </w:p>
    <w:p>
      <w:pPr>
        <w:pStyle w:val="ListNumber"/>
      </w:pPr>
      <w:r>
        <w:t xml:space="preserve">Con la cuenta administradora, abrir </w:t>
      </w:r>
      <w:r>
        <w:rPr>
          <w:rFonts w:ascii="Consolas" w:hAnsi="Consolas" w:eastAsia="Consolas"/>
          <w:color w:val="1A4473"/>
          <w:sz w:val="19"/>
        </w:rPr>
        <w:t>/guest/admin</w:t>
      </w:r>
      <w:r>
        <w:t xml:space="preserve"> y localizar la solicitud pendiente.</w:t>
      </w:r>
    </w:p>
    <w:p>
      <w:pPr>
        <w:pStyle w:val="ListNumber"/>
      </w:pPr>
      <w:r>
        <w:t>Aprobar la solicitud.</w:t>
      </w:r>
    </w:p>
    <w:p>
      <w:pPr>
        <w:pStyle w:val="ListNumber"/>
      </w:pPr>
      <w:r>
        <w:t>Iniciar sesión con la cuenta del invitado y comprobar el acceso al catálogo.</w:t>
      </w:r>
    </w:p>
    <w:p>
      <w:pPr>
        <w:pStyle w:val="ListNumber"/>
      </w:pPr>
      <w:r>
        <w:t>Registrar una segunda solicitud, rechazarla y comprobar que no obtiene acceso.</w:t>
      </w:r>
    </w:p>
    <w:p>
      <w:pPr>
        <w:pStyle w:val="Heading4"/>
      </w:pPr>
      <w:r>
        <w:t>Criterio de evaluación</w:t>
      </w:r>
    </w:p>
    <w:p>
      <w:pPr>
        <w:spacing w:after="120"/>
      </w:pPr>
      <w:r>
        <w:t>El participante completa registro, aprobación e inicio de sesión del invitado sin asistencia.</w:t>
      </w:r>
    </w:p>
    <w:p>
      <w:pPr>
        <w:spacing w:after="0" w:before="0" w:line="240" w:lineRule="auto"/>
      </w:pPr>
      <w:r>
        <w:rPr>
          <w:sz w:val="12"/>
        </w:rPr>
      </w:r>
    </w:p>
    <w:p>
      <w:pPr>
        <w:pStyle w:val="Heading2"/>
      </w:pPr>
      <w:r>
        <w:t>Módulo E — Federación LDAP</w:t>
      </w:r>
    </w:p>
    <w:p>
      <w:pPr>
        <w:pStyle w:val="Heading4"/>
      </w:pPr>
      <w:r>
        <w:t>Contenidos</w:t>
      </w:r>
    </w:p>
    <w:p>
      <w:pPr>
        <w:pStyle w:val="ListBullet"/>
      </w:pPr>
      <w:r>
        <w:t>Concepto de federación de usuarios en Keycloak.</w:t>
      </w:r>
    </w:p>
    <w:p>
      <w:pPr>
        <w:pStyle w:val="ListBullet"/>
      </w:pPr>
      <w:r>
        <w:t xml:space="preserve">Qué hace el script </w:t>
      </w:r>
      <w:r>
        <w:rPr>
          <w:rFonts w:ascii="Consolas" w:hAnsi="Consolas" w:eastAsia="Consolas"/>
          <w:color w:val="1A4473"/>
          <w:sz w:val="19"/>
        </w:rPr>
        <w:t>configure-ldap-federation.sh</w:t>
      </w:r>
      <w:r>
        <w:t>.</w:t>
      </w:r>
    </w:p>
    <w:p>
      <w:pPr>
        <w:pStyle w:val="ListBullet"/>
      </w:pPr>
      <w:r>
        <w:t>Sincronización periódica frente a sincronización manual.</w:t>
      </w:r>
    </w:p>
    <w:p>
      <w:pPr>
        <w:pStyle w:val="ListBullet"/>
      </w:pPr>
      <w:r>
        <w:t>Señales habituales de un enlace mal configurado.</w:t>
      </w:r>
    </w:p>
    <w:p>
      <w:pPr>
        <w:pStyle w:val="Heading4"/>
      </w:pPr>
      <w:r>
        <w:t>Ejercicio E1 — Verificación del directorio</w:t>
      </w:r>
    </w:p>
    <w:p>
      <w:pPr>
        <w:pStyle w:val="ListNumber"/>
      </w:pPr>
      <w:r>
        <w:t xml:space="preserve">En Keycloak Admin, abrir </w:t>
      </w:r>
      <w:r>
        <w:rPr>
          <w:b/>
        </w:rPr>
        <w:t>User federation</w:t>
      </w:r>
      <w:r>
        <w:t xml:space="preserve"> y revisar el componente </w:t>
      </w:r>
      <w:r>
        <w:rPr>
          <w:rFonts w:ascii="Consolas" w:hAnsi="Consolas" w:eastAsia="Consolas"/>
          <w:color w:val="1A4473"/>
          <w:sz w:val="19"/>
        </w:rPr>
        <w:t>bibliolatino-ldap</w:t>
      </w:r>
      <w:r>
        <w:t>.</w:t>
      </w:r>
    </w:p>
    <w:p>
      <w:pPr>
        <w:pStyle w:val="ListNumber"/>
      </w:pPr>
      <w:r>
        <w:t>Buscar una cuenta conocida del directorio.</w:t>
      </w:r>
    </w:p>
    <w:p>
      <w:pPr>
        <w:pStyle w:val="ListNumber"/>
      </w:pPr>
      <w:r>
        <w:t>Iniciar sesión en el proxy con credenciales institucionales.</w:t>
      </w:r>
    </w:p>
    <w:p>
      <w:pPr>
        <w:pStyle w:val="ListNumber"/>
      </w:pPr>
      <w:r>
        <w:t>Lanzar una sincronización manual y observar el resultado.</w:t>
      </w:r>
    </w:p>
    <w:p>
      <w:pPr>
        <w:pStyle w:val="Heading4"/>
      </w:pPr>
      <w:r>
        <w:t>Criterio de evaluación</w:t>
      </w:r>
    </w:p>
    <w:p>
      <w:pPr>
        <w:spacing w:after="120"/>
      </w:pPr>
      <w:r>
        <w:t>El técnico sabe dónde comprobar el estado de la federación y qué revisar cuando el directorio no autentica.</w:t>
      </w:r>
    </w:p>
    <w:p>
      <w:pPr>
        <w:spacing w:after="0" w:before="0" w:line="240" w:lineRule="auto"/>
      </w:pPr>
      <w:r>
        <w:rPr>
          <w:sz w:val="12"/>
        </w:rPr>
      </w:r>
    </w:p>
    <w:p>
      <w:pPr>
        <w:pStyle w:val="Heading2"/>
      </w:pPr>
      <w:r>
        <w:t>Módulo F — Analítica y Metabase</w:t>
      </w:r>
    </w:p>
    <w:p>
      <w:pPr>
        <w:pStyle w:val="Heading4"/>
      </w:pPr>
      <w:r>
        <w:t>Contenidos</w:t>
      </w:r>
    </w:p>
    <w:p>
      <w:pPr>
        <w:pStyle w:val="ListBullet"/>
      </w:pPr>
      <w:r>
        <w:t>Origen de los datos: registro de Nginx, procesamiento y almacenamiento.</w:t>
      </w:r>
    </w:p>
    <w:p>
      <w:pPr>
        <w:pStyle w:val="ListBullet"/>
      </w:pPr>
      <w:r>
        <w:t xml:space="preserve">Diferencia entre la base </w:t>
      </w:r>
      <w:r>
        <w:rPr>
          <w:rFonts w:ascii="Consolas" w:hAnsi="Consolas" w:eastAsia="Consolas"/>
          <w:color w:val="1A4473"/>
          <w:sz w:val="19"/>
        </w:rPr>
        <w:t>analytics</w:t>
      </w:r>
      <w:r>
        <w:t xml:space="preserve"> y la base interna </w:t>
      </w:r>
      <w:r>
        <w:rPr>
          <w:rFonts w:ascii="Consolas" w:hAnsi="Consolas" w:eastAsia="Consolas"/>
          <w:color w:val="1A4473"/>
          <w:sz w:val="19"/>
        </w:rPr>
        <w:t>metabase</w:t>
      </w:r>
      <w:r>
        <w:t>.</w:t>
      </w:r>
    </w:p>
    <w:p>
      <w:pPr>
        <w:pStyle w:val="ListBullet"/>
      </w:pPr>
      <w:r>
        <w:t>Tabla de eventos y vistas agregadas disponibles.</w:t>
      </w:r>
    </w:p>
    <w:p>
      <w:pPr>
        <w:pStyle w:val="ListBullet"/>
      </w:pPr>
      <w:r>
        <w:t>Formatos de exportación: CSV, XML y PDF.</w:t>
      </w:r>
    </w:p>
    <w:p>
      <w:pPr>
        <w:pStyle w:val="Heading4"/>
      </w:pPr>
      <w:r>
        <w:t>Ejercicio F1 — Del acceso al informe</w:t>
      </w:r>
    </w:p>
    <w:p>
      <w:pPr>
        <w:pStyle w:val="ListNumber"/>
      </w:pPr>
      <w:r>
        <w:t xml:space="preserve">Generar tráfico: iniciar sesión y visitar </w:t>
      </w:r>
      <w:r>
        <w:rPr>
          <w:rFonts w:ascii="Consolas" w:hAnsi="Consolas" w:eastAsia="Consolas"/>
          <w:color w:val="1A4473"/>
          <w:sz w:val="19"/>
        </w:rPr>
        <w:t>/r/simulator/</w:t>
      </w:r>
      <w:r>
        <w:t>, incluyendo un PDF.</w:t>
      </w:r>
    </w:p>
    <w:p>
      <w:pPr>
        <w:pStyle w:val="ListNumber"/>
      </w:pPr>
      <w:r>
        <w:t xml:space="preserve">Abrir </w:t>
      </w:r>
      <w:r>
        <w:rPr>
          <w:rFonts w:ascii="Consolas" w:hAnsi="Consolas" w:eastAsia="Consolas"/>
          <w:color w:val="1A4473"/>
          <w:sz w:val="19"/>
        </w:rPr>
        <w:t>/metabase/</w:t>
      </w:r>
      <w:r>
        <w:t>.</w:t>
      </w:r>
    </w:p>
    <w:p>
      <w:pPr>
        <w:pStyle w:val="ListNumber"/>
      </w:pPr>
      <w:r>
        <w:t xml:space="preserve">Explorar la tabla </w:t>
      </w:r>
      <w:r>
        <w:rPr>
          <w:rFonts w:ascii="Consolas" w:hAnsi="Consolas" w:eastAsia="Consolas"/>
          <w:color w:val="1A4473"/>
          <w:sz w:val="19"/>
        </w:rPr>
        <w:t>access_events</w:t>
      </w:r>
      <w:r>
        <w:t xml:space="preserve"> o la vista </w:t>
      </w:r>
      <w:r>
        <w:rPr>
          <w:rFonts w:ascii="Consolas" w:hAnsi="Consolas" w:eastAsia="Consolas"/>
          <w:color w:val="1A4473"/>
          <w:sz w:val="19"/>
        </w:rPr>
        <w:t>v_access_by_resource</w:t>
      </w:r>
      <w:r>
        <w:t>.</w:t>
      </w:r>
    </w:p>
    <w:p>
      <w:pPr>
        <w:pStyle w:val="ListNumber"/>
      </w:pPr>
      <w:r>
        <w:t>Crear una pregunta sencilla, por ejemplo accesos por tipo de contenido.</w:t>
      </w:r>
    </w:p>
    <w:p>
      <w:pPr>
        <w:pStyle w:val="ListNumber"/>
      </w:pPr>
      <w:r>
        <w:t>Exportar el resultado a CSV y a PDF.</w:t>
      </w:r>
    </w:p>
    <w:p>
      <w:pPr>
        <w:pStyle w:val="Heading4"/>
      </w:pPr>
      <w:r>
        <w:t>Criterio de evaluación</w:t>
      </w:r>
    </w:p>
    <w:p>
      <w:pPr>
        <w:spacing w:after="120"/>
      </w:pPr>
      <w:r>
        <w:t>El bibliotecario obtiene un informe exportado partiendo únicamente de la interfaz de Metabase.</w:t>
      </w:r>
    </w:p>
    <w:p>
      <w:pPr>
        <w:spacing w:after="0" w:before="0" w:line="240" w:lineRule="auto"/>
      </w:pPr>
      <w:r>
        <w:rPr>
          <w:sz w:val="12"/>
        </w:rPr>
      </w:r>
    </w:p>
    <w:p>
      <w:pPr>
        <w:pStyle w:val="Heading2"/>
      </w:pPr>
      <w:r>
        <w:t>Módulo G — Operación y contingencias</w:t>
      </w:r>
    </w:p>
    <w:p>
      <w:pPr>
        <w:pStyle w:val="Heading4"/>
      </w:pPr>
      <w:r>
        <w:t>Contenidos</w:t>
      </w:r>
    </w:p>
    <w:p>
      <w:pPr>
        <w:pStyle w:val="ListBullet"/>
      </w:pPr>
      <w:r>
        <w:t>Runbooks R1 a R7 y cuándo aplicar cada uno.</w:t>
      </w:r>
    </w:p>
    <w:p>
      <w:pPr>
        <w:pStyle w:val="ListBullet"/>
      </w:pPr>
      <w:r>
        <w:t>Validadores funcionales y lectura de su resultado.</w:t>
      </w:r>
    </w:p>
    <w:p>
      <w:pPr>
        <w:pStyle w:val="ListBullet"/>
      </w:pPr>
      <w:r>
        <w:t>Tabla de diagnóstico de la sección 15 y criterio de escalado.</w:t>
      </w:r>
    </w:p>
    <w:p>
      <w:pPr>
        <w:pStyle w:val="ListBullet"/>
      </w:pPr>
      <w:r>
        <w:t>Buenas prácticas de copia de seguridad y custodia de secretos.</w:t>
      </w:r>
    </w:p>
    <w:p>
      <w:pPr>
        <w:pStyle w:val="Heading4"/>
      </w:pPr>
      <w:r>
        <w:t>Ejercicio G1 — Diagnóstico guiado</w:t>
      </w:r>
    </w:p>
    <w:p>
      <w:pPr>
        <w:pStyle w:val="ListNumber"/>
      </w:pPr>
      <w:r>
        <w:t xml:space="preserve">Ejecutar </w:t>
      </w:r>
      <w:r>
        <w:rPr>
          <w:rFonts w:ascii="Consolas" w:hAnsi="Consolas" w:eastAsia="Consolas"/>
          <w:color w:val="1A4473"/>
          <w:sz w:val="19"/>
        </w:rPr>
        <w:t>./scripts/validate-m3.sh</w:t>
      </w:r>
      <w:r>
        <w:t xml:space="preserve"> y </w:t>
      </w:r>
      <w:r>
        <w:rPr>
          <w:rFonts w:ascii="Consolas" w:hAnsi="Consolas" w:eastAsia="Consolas"/>
          <w:color w:val="1A4473"/>
          <w:sz w:val="19"/>
        </w:rPr>
        <w:t>./scripts/validate-m4.sh</w:t>
      </w:r>
      <w:r>
        <w:t>.</w:t>
      </w:r>
    </w:p>
    <w:p>
      <w:pPr>
        <w:pStyle w:val="ListNumber"/>
      </w:pPr>
      <w:r>
        <w:t>En el entorno de laboratorio, reiniciar Nginx y confirmar la recuperación del servicio.</w:t>
      </w:r>
    </w:p>
    <w:p>
      <w:pPr>
        <w:pStyle w:val="ListNumber"/>
      </w:pPr>
      <w:r>
        <w:t xml:space="preserve">Localizar el detalle de un error con </w:t>
      </w:r>
      <w:r>
        <w:rPr>
          <w:rFonts w:ascii="Consolas" w:hAnsi="Consolas" w:eastAsia="Consolas"/>
          <w:color w:val="1A4473"/>
          <w:sz w:val="19"/>
        </w:rPr>
        <w:t>docker compose logs nginx --tail=50</w:t>
      </w:r>
      <w:r>
        <w:t>.</w:t>
      </w:r>
    </w:p>
    <w:p>
      <w:pPr>
        <w:pStyle w:val="ListNumber"/>
      </w:pPr>
      <w:r>
        <w:t>Describir, a partir de la tabla de diagnóstico, la actuación correspondiente.</w:t>
      </w:r>
    </w:p>
    <w:p>
      <w:pPr>
        <w:pStyle w:val="Heading4"/>
      </w:pPr>
      <w:r>
        <w:t>Criterio de evaluación</w:t>
      </w:r>
    </w:p>
    <w:p>
      <w:pPr>
        <w:spacing w:after="120"/>
      </w:pPr>
      <w:r>
        <w:t>El operador reinicia un servicio, confirma la salud del sistema y clasifica una incidencia según la tabla de diagnóstico.</w:t>
      </w:r>
    </w:p>
    <w:p>
      <w:pPr>
        <w:spacing w:after="0" w:before="0" w:line="240" w:lineRule="auto"/>
      </w:pPr>
      <w:r>
        <w:rPr>
          <w:sz w:val="12"/>
        </w:rPr>
      </w:r>
    </w:p>
    <w:p>
      <w:pPr>
        <w:pStyle w:val="Heading2"/>
      </w:pPr>
      <w:r>
        <w:t>16.3 Evaluación de competencias</w:t>
      </w:r>
    </w:p>
    <w:p>
      <w:pPr>
        <w:spacing w:after="120"/>
      </w:pPr>
      <w:r>
        <w:t>La capacitación se considera superada cuando cada participante demuestra, sobre el sistema, las siguientes capacidades:</w:t>
      </w:r>
    </w:p>
    <w:p>
      <w:pPr>
        <w:spacing w:after="40"/>
        <w:ind w:left="312"/>
      </w:pPr>
      <w:r>
        <w:rPr>
          <w:rFonts w:ascii="Segoe UI Symbol" w:hAnsi="Segoe UI Symbol"/>
          <w:color w:val="1F6FB2"/>
          <w:sz w:val="22"/>
        </w:rPr>
        <w:t xml:space="preserve">☐  </w:t>
      </w:r>
      <w:r>
        <w:t>Describe la arquitectura y el papel de cada servicio.</w:t>
      </w:r>
    </w:p>
    <w:p>
      <w:pPr>
        <w:spacing w:after="40"/>
        <w:ind w:left="312"/>
      </w:pPr>
      <w:r>
        <w:rPr>
          <w:rFonts w:ascii="Segoe UI Symbol" w:hAnsi="Segoe UI Symbol"/>
          <w:color w:val="1F6FB2"/>
          <w:sz w:val="22"/>
        </w:rPr>
        <w:t xml:space="preserve">☐  </w:t>
      </w:r>
      <w:r>
        <w:t>Verifica el estado de la plataforma y localiza el registro de un servicio.</w:t>
      </w:r>
    </w:p>
    <w:p>
      <w:pPr>
        <w:spacing w:after="40"/>
        <w:ind w:left="312"/>
      </w:pPr>
      <w:r>
        <w:rPr>
          <w:rFonts w:ascii="Segoe UI Symbol" w:hAnsi="Segoe UI Symbol"/>
          <w:color w:val="1F6FB2"/>
          <w:sz w:val="22"/>
        </w:rPr>
        <w:t xml:space="preserve">☐  </w:t>
      </w:r>
      <w:r>
        <w:t>Inicia sesión con perfiles distintos y explica qué habilita cada rol.</w:t>
      </w:r>
    </w:p>
    <w:p>
      <w:pPr>
        <w:spacing w:after="40"/>
        <w:ind w:left="312"/>
      </w:pPr>
      <w:r>
        <w:rPr>
          <w:rFonts w:ascii="Segoe UI Symbol" w:hAnsi="Segoe UI Symbol"/>
          <w:color w:val="1F6FB2"/>
          <w:sz w:val="22"/>
        </w:rPr>
        <w:t xml:space="preserve">☐  </w:t>
      </w:r>
      <w:r>
        <w:t>Publica una base de datos nueva en el catálogo.</w:t>
      </w:r>
    </w:p>
    <w:p>
      <w:pPr>
        <w:spacing w:after="40"/>
        <w:ind w:left="312"/>
      </w:pPr>
      <w:r>
        <w:rPr>
          <w:rFonts w:ascii="Segoe UI Symbol" w:hAnsi="Segoe UI Symbol"/>
          <w:color w:val="1F6FB2"/>
          <w:sz w:val="22"/>
        </w:rPr>
        <w:t xml:space="preserve">☐  </w:t>
      </w:r>
      <w:r>
        <w:t>Aprueba y rechaza solicitudes de invitado.</w:t>
      </w:r>
    </w:p>
    <w:p>
      <w:pPr>
        <w:spacing w:after="40"/>
        <w:ind w:left="312"/>
      </w:pPr>
      <w:r>
        <w:rPr>
          <w:rFonts w:ascii="Segoe UI Symbol" w:hAnsi="Segoe UI Symbol"/>
          <w:color w:val="1F6FB2"/>
          <w:sz w:val="22"/>
        </w:rPr>
        <w:t xml:space="preserve">☐  </w:t>
      </w:r>
      <w:r>
        <w:t>Construye y exporta un informe de uso.</w:t>
      </w:r>
    </w:p>
    <w:p>
      <w:pPr>
        <w:spacing w:after="40"/>
        <w:ind w:left="312"/>
      </w:pPr>
      <w:r>
        <w:rPr>
          <w:rFonts w:ascii="Segoe UI Symbol" w:hAnsi="Segoe UI Symbol"/>
          <w:color w:val="1F6FB2"/>
          <w:sz w:val="22"/>
        </w:rPr>
        <w:t xml:space="preserve">☐  </w:t>
      </w:r>
      <w:r>
        <w:t>Aplica al menos tres runbooks y una entrada de la tabla de diagnóstico.</w:t>
      </w:r>
    </w:p>
    <w:p>
      <w:pPr>
        <w:pStyle w:val="Heading2"/>
      </w:pPr>
      <w:r>
        <w:t>16.4 Guía del instructor</w:t>
      </w:r>
    </w:p>
    <w:p>
      <w:pPr>
        <w:pStyle w:val="Heading4"/>
      </w:pPr>
      <w:r>
        <w:t>Preparación del entorno de prácticas</w:t>
      </w:r>
    </w:p>
    <w:p>
      <w:pPr>
        <w:spacing w:after="40"/>
        <w:ind w:left="312"/>
      </w:pPr>
      <w:r>
        <w:rPr>
          <w:rFonts w:ascii="Segoe UI Symbol" w:hAnsi="Segoe UI Symbol"/>
          <w:color w:val="1F6FB2"/>
          <w:sz w:val="22"/>
        </w:rPr>
        <w:t xml:space="preserve">☐  </w:t>
      </w:r>
      <w:r>
        <w:t>Plataforma levantada y todos los contenedores en estado correcto.</w:t>
      </w:r>
    </w:p>
    <w:p>
      <w:pPr>
        <w:spacing w:after="40"/>
        <w:ind w:left="312"/>
      </w:pPr>
      <w:r>
        <w:rPr>
          <w:rFonts w:ascii="Segoe UI Symbol" w:hAnsi="Segoe UI Symbol"/>
          <w:color w:val="1F6FB2"/>
          <w:sz w:val="22"/>
        </w:rPr>
        <w:t xml:space="preserve">☐  </w:t>
      </w:r>
      <w:r>
        <w:t>Cuentas de práctica válidas para los perfiles de usuario y de administrador.</w:t>
      </w:r>
    </w:p>
    <w:p>
      <w:pPr>
        <w:spacing w:after="40"/>
        <w:ind w:left="312"/>
      </w:pPr>
      <w:r>
        <w:rPr>
          <w:rFonts w:ascii="Segoe UI Symbol" w:hAnsi="Segoe UI Symbol"/>
          <w:color w:val="1F6FB2"/>
          <w:sz w:val="22"/>
        </w:rPr>
        <w:t xml:space="preserve">☐  </w:t>
      </w:r>
      <w:r>
        <w:t>Simulador editorial accesible.</w:t>
      </w:r>
    </w:p>
    <w:p>
      <w:pPr>
        <w:spacing w:after="40"/>
        <w:ind w:left="312"/>
      </w:pPr>
      <w:r>
        <w:rPr>
          <w:rFonts w:ascii="Segoe UI Symbol" w:hAnsi="Segoe UI Symbol"/>
          <w:color w:val="1F6FB2"/>
          <w:sz w:val="22"/>
        </w:rPr>
        <w:t xml:space="preserve">☐  </w:t>
      </w:r>
      <w:r>
        <w:t>Al menos una solicitud de invitado limpia disponible para el módulo D.</w:t>
      </w:r>
    </w:p>
    <w:p>
      <w:pPr>
        <w:spacing w:after="40"/>
        <w:ind w:left="312"/>
      </w:pPr>
      <w:r>
        <w:rPr>
          <w:rFonts w:ascii="Segoe UI Symbol" w:hAnsi="Segoe UI Symbol"/>
          <w:color w:val="1F6FB2"/>
          <w:sz w:val="22"/>
        </w:rPr>
        <w:t xml:space="preserve">☐  </w:t>
      </w:r>
      <w:r>
        <w:t xml:space="preserve">Metabase conectado a la base </w:t>
      </w:r>
      <w:r>
        <w:rPr>
          <w:rFonts w:ascii="Consolas" w:hAnsi="Consolas" w:eastAsia="Consolas"/>
          <w:color w:val="1A4473"/>
          <w:sz w:val="19"/>
        </w:rPr>
        <w:t>analytics</w:t>
      </w:r>
      <w:r>
        <w:t xml:space="preserve"> y con datos recientes.</w:t>
      </w:r>
    </w:p>
    <w:p>
      <w:pPr>
        <w:spacing w:after="40"/>
        <w:ind w:left="312"/>
      </w:pPr>
      <w:r>
        <w:rPr>
          <w:rFonts w:ascii="Segoe UI Symbol" w:hAnsi="Segoe UI Symbol"/>
          <w:color w:val="1F6FB2"/>
          <w:sz w:val="22"/>
        </w:rPr>
        <w:t xml:space="preserve">☐  </w:t>
      </w:r>
      <w:r>
        <w:t>Entorno de laboratorio separado para los ejercicios que modifican configuración (C2, G1).</w:t>
      </w:r>
    </w:p>
    <w:p>
      <w:pPr>
        <w:pStyle w:val="Heading4"/>
      </w:pPr>
      <w:r>
        <w:t>Conducción</w:t>
      </w:r>
    </w:p>
    <w:p>
      <w:pPr>
        <w:spacing w:after="40"/>
        <w:ind w:left="312"/>
      </w:pPr>
      <w:r>
        <w:rPr>
          <w:rFonts w:ascii="Segoe UI Symbol" w:hAnsi="Segoe UI Symbol"/>
          <w:color w:val="1F6FB2"/>
          <w:sz w:val="22"/>
        </w:rPr>
        <w:t xml:space="preserve">☐  </w:t>
      </w:r>
      <w:r>
        <w:t>Recorrer los módulos en orden A → G; el módulo E puede omitirse con audiencia no técnica.</w:t>
      </w:r>
    </w:p>
    <w:p>
      <w:pPr>
        <w:spacing w:after="40"/>
        <w:ind w:left="312"/>
      </w:pPr>
      <w:r>
        <w:rPr>
          <w:rFonts w:ascii="Segoe UI Symbol" w:hAnsi="Segoe UI Symbol"/>
          <w:color w:val="1F6FB2"/>
          <w:sz w:val="22"/>
        </w:rPr>
        <w:t xml:space="preserve">☐  </w:t>
      </w:r>
      <w:r>
        <w:t>Realizar cada ejercicio sobre el sistema, no solo como demostración.</w:t>
      </w:r>
    </w:p>
    <w:p>
      <w:pPr>
        <w:spacing w:after="40"/>
        <w:ind w:left="312"/>
      </w:pPr>
      <w:r>
        <w:rPr>
          <w:rFonts w:ascii="Segoe UI Symbol" w:hAnsi="Segoe UI Symbol"/>
          <w:color w:val="1F6FB2"/>
          <w:sz w:val="22"/>
        </w:rPr>
        <w:t xml:space="preserve">☐  </w:t>
      </w:r>
      <w:r>
        <w:t>Reservar espacio para preguntas en los módulos con impacto operativo directo (C, D y F).</w:t>
      </w:r>
    </w:p>
    <w:p>
      <w:pPr>
        <w:spacing w:after="40"/>
        <w:ind w:left="312"/>
      </w:pPr>
      <w:r>
        <w:rPr>
          <w:rFonts w:ascii="Segoe UI Symbol" w:hAnsi="Segoe UI Symbol"/>
          <w:color w:val="1F6FB2"/>
          <w:sz w:val="22"/>
        </w:rPr>
        <w:t xml:space="preserve">☐  </w:t>
      </w:r>
      <w:r>
        <w:t>Registrar las dudas recurrentes para incorporarlas al apartado de preguntas frecuentes.</w:t>
      </w:r>
    </w:p>
    <w:p>
      <w:pPr>
        <w:pStyle w:val="Heading4"/>
      </w:pPr>
      <w:r>
        <w:t>Cierre y materiales</w:t>
      </w:r>
    </w:p>
    <w:p>
      <w:pPr>
        <w:spacing w:after="40"/>
        <w:ind w:left="312"/>
      </w:pPr>
      <w:r>
        <w:rPr>
          <w:rFonts w:ascii="Segoe UI Symbol" w:hAnsi="Segoe UI Symbol"/>
          <w:color w:val="1F6FB2"/>
          <w:sz w:val="22"/>
        </w:rPr>
        <w:t xml:space="preserve">☐  </w:t>
      </w:r>
      <w:r>
        <w:t>Entregar este manual y la presentación de apoyo.</w:t>
      </w:r>
    </w:p>
    <w:p>
      <w:pPr>
        <w:spacing w:after="40"/>
        <w:ind w:left="312"/>
      </w:pPr>
      <w:r>
        <w:rPr>
          <w:rFonts w:ascii="Segoe UI Symbol" w:hAnsi="Segoe UI Symbol"/>
          <w:color w:val="1F6FB2"/>
          <w:sz w:val="22"/>
        </w:rPr>
        <w:t xml:space="preserve">☐  </w:t>
      </w:r>
      <w:r>
        <w:t>Entregar la relación de secretos rotados y de los pendientes de rotar.</w:t>
      </w:r>
    </w:p>
    <w:p>
      <w:pPr>
        <w:spacing w:after="40"/>
        <w:ind w:left="312"/>
      </w:pPr>
      <w:r>
        <w:rPr>
          <w:rFonts w:ascii="Segoe UI Symbol" w:hAnsi="Segoe UI Symbol"/>
          <w:color w:val="1F6FB2"/>
          <w:sz w:val="22"/>
        </w:rPr>
        <w:t xml:space="preserve">☐  </w:t>
      </w:r>
      <w:r>
        <w:t>Confirmar el estado de la autorización de la IP de salida con las editoriales.</w:t>
      </w:r>
    </w:p>
    <w:p>
      <w:pPr>
        <w:spacing w:after="40"/>
        <w:ind w:left="312"/>
      </w:pPr>
      <w:r>
        <w:rPr>
          <w:rFonts w:ascii="Segoe UI Symbol" w:hAnsi="Segoe UI Symbol"/>
          <w:color w:val="1F6FB2"/>
          <w:sz w:val="22"/>
        </w:rPr>
        <w:t xml:space="preserve">☐  </w:t>
      </w:r>
      <w:r>
        <w:t>Dejar por escrito la vía de escalado para incidencias que superen el primer nivel.</w:t>
      </w:r>
    </w:p>
    <w:p>
      <w:pPr>
        <w:pStyle w:val="Heading2"/>
      </w:pPr>
      <w:r>
        <w:t>16.5 Preguntas frecuentes</w:t>
      </w:r>
    </w:p>
    <w:p>
      <w:pPr>
        <w:spacing w:after="40"/>
      </w:pPr>
      <w:r>
        <w:rPr>
          <w:b/>
        </w:rPr>
        <w:t>¿Por qué no se usa el registro propio del gestor de identidad para los invitados?</w:t>
      </w:r>
    </w:p>
    <w:p>
      <w:pPr>
        <w:spacing w:after="160"/>
      </w:pPr>
      <w:r>
        <w:t>Porque el proceso exige aprobación manual y cuentas deshabilitadas hasta la validación del bibliotecario. El portal implementa ese control sin modificar el núcleo del gestor, lo que permite actualizarlo con normalidad.</w:t>
      </w:r>
    </w:p>
    <w:p>
      <w:pPr>
        <w:spacing w:after="40"/>
      </w:pPr>
      <w:r>
        <w:rPr>
          <w:b/>
        </w:rPr>
        <w:t>¿El personal que trabaja en el campus necesita VPN?</w:t>
      </w:r>
    </w:p>
    <w:p>
      <w:pPr>
        <w:spacing w:after="160"/>
      </w:pPr>
      <w:r>
        <w:t>No necesariamente: desde los rangos de IP institucionales el acceso puede concederse sin inicio de sesión. Desde fuera del campus se utiliza el inicio de sesión único.</w:t>
      </w:r>
    </w:p>
    <w:p>
      <w:pPr>
        <w:spacing w:after="40"/>
      </w:pPr>
      <w:r>
        <w:rPr>
          <w:b/>
        </w:rPr>
        <w:t>¿Se pueden añadir otras bases de datos, como JSTOR?</w:t>
      </w:r>
    </w:p>
    <w:p>
      <w:pPr>
        <w:spacing w:after="160"/>
      </w:pPr>
      <w:r>
        <w:t>Sí. Se crea una stanza nueva, se regenera la configuración y se recarga Nginx. Si el recurso es real, la editorial debe autorizar la IP de salida del proxy.</w:t>
      </w:r>
    </w:p>
    <w:p>
      <w:pPr>
        <w:spacing w:after="40"/>
      </w:pPr>
      <w:r>
        <w:rPr>
          <w:b/>
        </w:rPr>
        <w:t>¿Dónde se cambian las contraseñas de las cuentas de demostración?</w:t>
      </w:r>
    </w:p>
    <w:p>
      <w:pPr>
        <w:spacing w:after="160"/>
      </w:pPr>
      <w:r>
        <w:t xml:space="preserve">En Keycloak Admin, dentro del realm </w:t>
      </w:r>
      <w:r>
        <w:rPr>
          <w:rFonts w:ascii="Consolas" w:hAnsi="Consolas" w:eastAsia="Consolas"/>
          <w:color w:val="1A4473"/>
          <w:sz w:val="19"/>
        </w:rPr>
        <w:t>library</w:t>
      </w:r>
      <w:r>
        <w:t xml:space="preserve">, apartado </w:t>
      </w:r>
      <w:r>
        <w:rPr>
          <w:b/>
        </w:rPr>
        <w:t>Users</w:t>
      </w:r>
      <w:r>
        <w:t xml:space="preserve">. Además deben rotarse los secretos del archivo </w:t>
      </w:r>
      <w:r>
        <w:rPr>
          <w:rFonts w:ascii="Consolas" w:hAnsi="Consolas" w:eastAsia="Consolas"/>
          <w:color w:val="1A4473"/>
          <w:sz w:val="19"/>
        </w:rPr>
        <w:t>.env</w:t>
      </w:r>
      <w:r>
        <w:t xml:space="preserve"> y reiniciarse los servicios afectados.</w:t>
      </w:r>
    </w:p>
    <w:p>
      <w:pPr>
        <w:spacing w:after="40"/>
      </w:pPr>
      <w:r>
        <w:rPr>
          <w:b/>
        </w:rPr>
        <w:t>¿Qué ocurre si una editorial deja de responder?</w:t>
      </w:r>
    </w:p>
    <w:p>
      <w:pPr>
        <w:spacing w:after="160"/>
      </w:pPr>
      <w:r>
        <w:t>El recurso concreto devuelve error mientras el resto del sistema sigue operativo. La stanza puede deshabilitarse (</w:t>
      </w:r>
      <w:r>
        <w:rPr>
          <w:rFonts w:ascii="Consolas" w:hAnsi="Consolas" w:eastAsia="Consolas"/>
          <w:color w:val="1A4473"/>
          <w:sz w:val="19"/>
        </w:rPr>
        <w:t>enabled: false</w:t>
      </w:r>
      <w:r>
        <w:t>) y regenerarse la configuración para retirarla temporalmente del catálogo.</w:t>
      </w:r>
    </w:p>
    <w:p>
      <w:pPr>
        <w:spacing w:after="40"/>
      </w:pPr>
      <w:r>
        <w:rPr>
          <w:b/>
        </w:rPr>
        <w:t>¿Los informes de uso identifican a las personas?</w:t>
      </w:r>
    </w:p>
    <w:p>
      <w:pPr>
        <w:spacing w:after="160"/>
      </w:pPr>
      <w:r>
        <w:t>El registro incluye el identificador de la cuenta que accede. Su tratamiento debe ajustarse a la política de protección de datos de la institución, que determina plazos de conservación y quién puede consultarlos.</w:t>
      </w:r>
    </w:p>
    <w:p>
      <w:r>
        <w:br w:type="page"/>
      </w:r>
    </w:p>
    <w:p>
      <w:pPr>
        <w:pStyle w:val="Heading1"/>
        <w:pBdr>
          <w:bottom w:val="single" w:sz="6" w:space="4" w:color="9DB6D4"/>
        </w:pBdr>
      </w:pPr>
      <w:r>
        <w:t>17. Anexos</w:t>
      </w:r>
    </w:p>
    <w:p>
      <w:pPr>
        <w:pStyle w:val="Heading2"/>
      </w:pPr>
      <w:r>
        <w:t>17.1 Direcciones del entorno de referencia</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3173"/>
        <w:gridCol w:w="3173"/>
        <w:gridCol w:w="3173"/>
      </w:tblGrid>
      <w:tr>
        <w:trPr>
          <w:tblHeader/>
        </w:trPr>
        <w:tc>
          <w:tcPr>
            <w:tcW w:type="dxa" w:w="2665"/>
            <w:shd w:val="clear" w:color="auto" w:fill="142F5A"/>
            <w:tcMar>
              <w:top w:w="60" w:type="dxa"/>
              <w:left w:w="110" w:type="dxa"/>
              <w:bottom w:w="60" w:type="dxa"/>
              <w:right w:w="110" w:type="dxa"/>
            </w:tcMar>
          </w:tcPr>
          <w:p>
            <w:pPr>
              <w:spacing w:after="0"/>
            </w:pPr>
            <w:r>
              <w:rPr>
                <w:b/>
                <w:color w:val="FFFFFF"/>
                <w:sz w:val="19"/>
              </w:rPr>
              <w:t>Dirección</w:t>
            </w:r>
          </w:p>
        </w:tc>
        <w:tc>
          <w:tcPr>
            <w:tcW w:type="dxa" w:w="4188"/>
            <w:shd w:val="clear" w:color="auto" w:fill="142F5A"/>
            <w:tcMar>
              <w:top w:w="60" w:type="dxa"/>
              <w:left w:w="110" w:type="dxa"/>
              <w:bottom w:w="60" w:type="dxa"/>
              <w:right w:w="110" w:type="dxa"/>
            </w:tcMar>
          </w:tcPr>
          <w:p>
            <w:pPr>
              <w:spacing w:after="0"/>
            </w:pPr>
            <w:r>
              <w:rPr>
                <w:b/>
                <w:color w:val="FFFFFF"/>
                <w:sz w:val="19"/>
              </w:rPr>
              <w:t>Uso</w:t>
            </w:r>
          </w:p>
        </w:tc>
        <w:tc>
          <w:tcPr>
            <w:tcW w:type="dxa" w:w="2665"/>
            <w:shd w:val="clear" w:color="auto" w:fill="142F5A"/>
            <w:tcMar>
              <w:top w:w="60" w:type="dxa"/>
              <w:left w:w="110" w:type="dxa"/>
              <w:bottom w:w="60" w:type="dxa"/>
              <w:right w:w="110" w:type="dxa"/>
            </w:tcMar>
          </w:tcPr>
          <w:p>
            <w:pPr>
              <w:spacing w:after="0"/>
            </w:pPr>
            <w:r>
              <w:rPr>
                <w:b/>
                <w:color w:val="FFFFFF"/>
                <w:sz w:val="19"/>
              </w:rPr>
              <w:t>Acceso</w:t>
            </w:r>
          </w:p>
        </w:tc>
      </w:tr>
      <w:tr>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w:t>
            </w:r>
          </w:p>
        </w:tc>
        <w:tc>
          <w:tcPr>
            <w:tcW w:type="dxa" w:w="4188"/>
            <w:tcMar>
              <w:top w:w="60" w:type="dxa"/>
              <w:left w:w="110" w:type="dxa"/>
              <w:bottom w:w="60" w:type="dxa"/>
              <w:right w:w="110" w:type="dxa"/>
            </w:tcMar>
          </w:tcPr>
          <w:p>
            <w:pPr>
              <w:spacing w:after="0" w:line="252" w:lineRule="auto"/>
            </w:pPr>
            <w:r>
              <w:rPr>
                <w:sz w:val="19"/>
              </w:rPr>
              <w:t>Página de inicio y punto de entrada al SSO</w:t>
            </w:r>
          </w:p>
        </w:tc>
        <w:tc>
          <w:tcPr>
            <w:tcW w:type="dxa" w:w="2665"/>
            <w:tcMar>
              <w:top w:w="60" w:type="dxa"/>
              <w:left w:w="110" w:type="dxa"/>
              <w:bottom w:w="60" w:type="dxa"/>
              <w:right w:w="110" w:type="dxa"/>
            </w:tcMar>
          </w:tcPr>
          <w:p>
            <w:pPr>
              <w:spacing w:after="0" w:line="252" w:lineRule="auto"/>
            </w:pPr>
            <w:r>
              <w:rPr>
                <w:sz w:val="19"/>
              </w:rPr>
              <w:t>Autenticado o campus</w:t>
            </w:r>
          </w:p>
        </w:tc>
      </w:tr>
      <w:tr>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/databases.html</w:t>
            </w:r>
          </w:p>
        </w:tc>
        <w:tc>
          <w:tcPr>
            <w:tcW w:type="dxa" w:w="4188"/>
            <w:shd w:val="clear" w:color="auto" w:fill="EEF2F8"/>
            <w:tcMar>
              <w:top w:w="60" w:type="dxa"/>
              <w:left w:w="110" w:type="dxa"/>
              <w:bottom w:w="60" w:type="dxa"/>
              <w:right w:w="110" w:type="dxa"/>
            </w:tcMar>
          </w:tcPr>
          <w:p>
            <w:pPr>
              <w:spacing w:after="0" w:line="252" w:lineRule="auto"/>
            </w:pPr>
            <w:r>
              <w:rPr>
                <w:sz w:val="19"/>
              </w:rPr>
              <w:t>Catálogo de bases de datos</w:t>
            </w:r>
          </w:p>
        </w:tc>
        <w:tc>
          <w:tcPr>
            <w:tcW w:type="dxa" w:w="2665"/>
            <w:shd w:val="clear" w:color="auto" w:fill="EEF2F8"/>
            <w:tcMar>
              <w:top w:w="60" w:type="dxa"/>
              <w:left w:w="110" w:type="dxa"/>
              <w:bottom w:w="60" w:type="dxa"/>
              <w:right w:w="110" w:type="dxa"/>
            </w:tcMar>
          </w:tcPr>
          <w:p>
            <w:pPr>
              <w:spacing w:after="0" w:line="252" w:lineRule="auto"/>
            </w:pPr>
            <w:r>
              <w:rPr>
                <w:sz w:val="19"/>
              </w:rPr>
              <w:t>Autenticado o campus</w:t>
            </w:r>
          </w:p>
        </w:tc>
      </w:tr>
      <w:tr>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/r/simulator/</w:t>
            </w:r>
          </w:p>
        </w:tc>
        <w:tc>
          <w:tcPr>
            <w:tcW w:type="dxa" w:w="4188"/>
            <w:tcMar>
              <w:top w:w="60" w:type="dxa"/>
              <w:left w:w="110" w:type="dxa"/>
              <w:bottom w:w="60" w:type="dxa"/>
              <w:right w:w="110" w:type="dxa"/>
            </w:tcMar>
          </w:tcPr>
          <w:p>
            <w:pPr>
              <w:spacing w:after="0" w:line="252" w:lineRule="auto"/>
            </w:pPr>
            <w:r>
              <w:rPr>
                <w:sz w:val="19"/>
              </w:rPr>
              <w:t>Editorial simulada para demostraciones y prácticas</w:t>
            </w:r>
          </w:p>
        </w:tc>
        <w:tc>
          <w:tcPr>
            <w:tcW w:type="dxa" w:w="2665"/>
            <w:tcMar>
              <w:top w:w="60" w:type="dxa"/>
              <w:left w:w="110" w:type="dxa"/>
              <w:bottom w:w="60" w:type="dxa"/>
              <w:right w:w="110" w:type="dxa"/>
            </w:tcMar>
          </w:tcPr>
          <w:p>
            <w:pPr>
              <w:spacing w:after="0" w:line="252" w:lineRule="auto"/>
            </w:pPr>
            <w:r>
              <w:rPr>
                <w:sz w:val="19"/>
              </w:rPr>
              <w:t>Autenticado o campus</w:t>
            </w:r>
          </w:p>
        </w:tc>
      </w:tr>
      <w:tr>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/r/sciencedirect/</w:t>
            </w:r>
          </w:p>
        </w:tc>
        <w:tc>
          <w:tcPr>
            <w:tcW w:type="dxa" w:w="4188"/>
            <w:shd w:val="clear" w:color="auto" w:fill="EEF2F8"/>
            <w:tcMar>
              <w:top w:w="60" w:type="dxa"/>
              <w:left w:w="110" w:type="dxa"/>
              <w:bottom w:w="60" w:type="dxa"/>
              <w:right w:w="110" w:type="dxa"/>
            </w:tcMar>
          </w:tcPr>
          <w:p>
            <w:pPr>
              <w:spacing w:after="0" w:line="252" w:lineRule="auto"/>
            </w:pPr>
            <w:r>
              <w:rPr>
                <w:sz w:val="19"/>
              </w:rPr>
              <w:t>ScienceDirect</w:t>
            </w:r>
          </w:p>
        </w:tc>
        <w:tc>
          <w:tcPr>
            <w:tcW w:type="dxa" w:w="2665"/>
            <w:shd w:val="clear" w:color="auto" w:fill="EEF2F8"/>
            <w:tcMar>
              <w:top w:w="60" w:type="dxa"/>
              <w:left w:w="110" w:type="dxa"/>
              <w:bottom w:w="60" w:type="dxa"/>
              <w:right w:w="110" w:type="dxa"/>
            </w:tcMar>
          </w:tcPr>
          <w:p>
            <w:pPr>
              <w:spacing w:after="0" w:line="252" w:lineRule="auto"/>
            </w:pPr>
            <w:r>
              <w:rPr>
                <w:sz w:val="19"/>
              </w:rPr>
              <w:t>Autenticado o campus</w:t>
            </w:r>
          </w:p>
        </w:tc>
      </w:tr>
      <w:tr>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/r/scopus/</w:t>
            </w:r>
          </w:p>
        </w:tc>
        <w:tc>
          <w:tcPr>
            <w:tcW w:type="dxa" w:w="4188"/>
            <w:tcMar>
              <w:top w:w="60" w:type="dxa"/>
              <w:left w:w="110" w:type="dxa"/>
              <w:bottom w:w="60" w:type="dxa"/>
              <w:right w:w="110" w:type="dxa"/>
            </w:tcMar>
          </w:tcPr>
          <w:p>
            <w:pPr>
              <w:spacing w:after="0" w:line="252" w:lineRule="auto"/>
            </w:pPr>
            <w:r>
              <w:rPr>
                <w:sz w:val="19"/>
              </w:rPr>
              <w:t>Scopus</w:t>
            </w:r>
          </w:p>
        </w:tc>
        <w:tc>
          <w:tcPr>
            <w:tcW w:type="dxa" w:w="2665"/>
            <w:tcMar>
              <w:top w:w="60" w:type="dxa"/>
              <w:left w:w="110" w:type="dxa"/>
              <w:bottom w:w="60" w:type="dxa"/>
              <w:right w:w="110" w:type="dxa"/>
            </w:tcMar>
          </w:tcPr>
          <w:p>
            <w:pPr>
              <w:spacing w:after="0" w:line="252" w:lineRule="auto"/>
            </w:pPr>
            <w:r>
              <w:rPr>
                <w:sz w:val="19"/>
              </w:rPr>
              <w:t>Autenticado o campus</w:t>
            </w:r>
          </w:p>
        </w:tc>
      </w:tr>
      <w:tr>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/r/iop/</w:t>
            </w:r>
          </w:p>
        </w:tc>
        <w:tc>
          <w:tcPr>
            <w:tcW w:type="dxa" w:w="4188"/>
            <w:shd w:val="clear" w:color="auto" w:fill="EEF2F8"/>
            <w:tcMar>
              <w:top w:w="60" w:type="dxa"/>
              <w:left w:w="110" w:type="dxa"/>
              <w:bottom w:w="60" w:type="dxa"/>
              <w:right w:w="110" w:type="dxa"/>
            </w:tcMar>
          </w:tcPr>
          <w:p>
            <w:pPr>
              <w:spacing w:after="0" w:line="252" w:lineRule="auto"/>
            </w:pPr>
            <w:r>
              <w:rPr>
                <w:sz w:val="19"/>
              </w:rPr>
              <w:t>IOP Science</w:t>
            </w:r>
          </w:p>
        </w:tc>
        <w:tc>
          <w:tcPr>
            <w:tcW w:type="dxa" w:w="2665"/>
            <w:shd w:val="clear" w:color="auto" w:fill="EEF2F8"/>
            <w:tcMar>
              <w:top w:w="60" w:type="dxa"/>
              <w:left w:w="110" w:type="dxa"/>
              <w:bottom w:w="60" w:type="dxa"/>
              <w:right w:w="110" w:type="dxa"/>
            </w:tcMar>
          </w:tcPr>
          <w:p>
            <w:pPr>
              <w:spacing w:after="0" w:line="252" w:lineRule="auto"/>
            </w:pPr>
            <w:r>
              <w:rPr>
                <w:sz w:val="19"/>
              </w:rPr>
              <w:t>Autenticado o campus</w:t>
            </w:r>
          </w:p>
        </w:tc>
      </w:tr>
      <w:tr>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/guest/</w:t>
            </w:r>
          </w:p>
        </w:tc>
        <w:tc>
          <w:tcPr>
            <w:tcW w:type="dxa" w:w="4188"/>
            <w:tcMar>
              <w:top w:w="60" w:type="dxa"/>
              <w:left w:w="110" w:type="dxa"/>
              <w:bottom w:w="60" w:type="dxa"/>
              <w:right w:w="110" w:type="dxa"/>
            </w:tcMar>
          </w:tcPr>
          <w:p>
            <w:pPr>
              <w:spacing w:after="0" w:line="252" w:lineRule="auto"/>
            </w:pPr>
            <w:r>
              <w:rPr>
                <w:sz w:val="19"/>
              </w:rPr>
              <w:t>Solicitud de acceso de invitados</w:t>
            </w:r>
          </w:p>
        </w:tc>
        <w:tc>
          <w:tcPr>
            <w:tcW w:type="dxa" w:w="2665"/>
            <w:tcMar>
              <w:top w:w="60" w:type="dxa"/>
              <w:left w:w="110" w:type="dxa"/>
              <w:bottom w:w="60" w:type="dxa"/>
              <w:right w:w="110" w:type="dxa"/>
            </w:tcMar>
          </w:tcPr>
          <w:p>
            <w:pPr>
              <w:spacing w:after="0" w:line="252" w:lineRule="auto"/>
            </w:pPr>
            <w:r>
              <w:rPr>
                <w:sz w:val="19"/>
              </w:rPr>
              <w:t>Público</w:t>
            </w:r>
          </w:p>
        </w:tc>
      </w:tr>
      <w:tr>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/guest/admin</w:t>
            </w:r>
          </w:p>
        </w:tc>
        <w:tc>
          <w:tcPr>
            <w:tcW w:type="dxa" w:w="4188"/>
            <w:shd w:val="clear" w:color="auto" w:fill="EEF2F8"/>
            <w:tcMar>
              <w:top w:w="60" w:type="dxa"/>
              <w:left w:w="110" w:type="dxa"/>
              <w:bottom w:w="60" w:type="dxa"/>
              <w:right w:w="110" w:type="dxa"/>
            </w:tcMar>
          </w:tcPr>
          <w:p>
            <w:pPr>
              <w:spacing w:after="0" w:line="252" w:lineRule="auto"/>
            </w:pPr>
            <w:r>
              <w:rPr>
                <w:sz w:val="19"/>
              </w:rPr>
              <w:t>Aprobación de solicitudes</w:t>
            </w:r>
          </w:p>
        </w:tc>
        <w:tc>
          <w:tcPr>
            <w:tcW w:type="dxa" w:w="2665"/>
            <w:shd w:val="clear" w:color="auto" w:fill="EEF2F8"/>
            <w:tcMar>
              <w:top w:w="60" w:type="dxa"/>
              <w:left w:w="110" w:type="dxa"/>
              <w:bottom w:w="60" w:type="dxa"/>
              <w:right w:w="110" w:type="dxa"/>
            </w:tcMar>
          </w:tcPr>
          <w:p>
            <w:pPr>
              <w:spacing w:after="0" w:line="252" w:lineRule="auto"/>
            </w:pPr>
            <w:r>
              <w:rPr>
                <w:sz w:val="19"/>
              </w:rPr>
              <w:t xml:space="preserve">Rol </w:t>
            </w:r>
            <w:r>
              <w:rPr>
                <w:rFonts w:ascii="Consolas" w:hAnsi="Consolas" w:eastAsia="Consolas"/>
                <w:color w:val="1A4473"/>
                <w:sz w:val="19"/>
              </w:rPr>
              <w:t>admin</w:t>
            </w:r>
          </w:p>
        </w:tc>
      </w:tr>
      <w:tr>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/admin/</w:t>
            </w:r>
          </w:p>
        </w:tc>
        <w:tc>
          <w:tcPr>
            <w:tcW w:type="dxa" w:w="4188"/>
            <w:tcMar>
              <w:top w:w="60" w:type="dxa"/>
              <w:left w:w="110" w:type="dxa"/>
              <w:bottom w:w="60" w:type="dxa"/>
              <w:right w:w="110" w:type="dxa"/>
            </w:tcMar>
          </w:tcPr>
          <w:p>
            <w:pPr>
              <w:spacing w:after="0" w:line="252" w:lineRule="auto"/>
            </w:pPr>
            <w:r>
              <w:rPr>
                <w:sz w:val="19"/>
              </w:rPr>
              <w:t>Consola de administración de Keycloak</w:t>
            </w:r>
          </w:p>
        </w:tc>
        <w:tc>
          <w:tcPr>
            <w:tcW w:type="dxa" w:w="2665"/>
            <w:tcMar>
              <w:top w:w="60" w:type="dxa"/>
              <w:left w:w="110" w:type="dxa"/>
              <w:bottom w:w="60" w:type="dxa"/>
              <w:right w:w="110" w:type="dxa"/>
            </w:tcMar>
          </w:tcPr>
          <w:p>
            <w:pPr>
              <w:spacing w:after="0" w:line="252" w:lineRule="auto"/>
            </w:pPr>
            <w:r>
              <w:rPr>
                <w:sz w:val="19"/>
              </w:rPr>
              <w:t>Administrador de identidad</w:t>
            </w:r>
          </w:p>
        </w:tc>
      </w:tr>
      <w:tr>
        <w:tc>
          <w:tcPr>
            <w:tcW w:type="dxa" w:w="2665"/>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/metabase/</w:t>
            </w:r>
          </w:p>
        </w:tc>
        <w:tc>
          <w:tcPr>
            <w:tcW w:type="dxa" w:w="4188"/>
            <w:shd w:val="clear" w:color="auto" w:fill="EEF2F8"/>
            <w:tcMar>
              <w:top w:w="60" w:type="dxa"/>
              <w:left w:w="110" w:type="dxa"/>
              <w:bottom w:w="60" w:type="dxa"/>
              <w:right w:w="110" w:type="dxa"/>
            </w:tcMar>
          </w:tcPr>
          <w:p>
            <w:pPr>
              <w:spacing w:after="0" w:line="252" w:lineRule="auto"/>
            </w:pPr>
            <w:r>
              <w:rPr>
                <w:sz w:val="19"/>
              </w:rPr>
              <w:t>Paneles e informes de uso</w:t>
            </w:r>
          </w:p>
        </w:tc>
        <w:tc>
          <w:tcPr>
            <w:tcW w:type="dxa" w:w="2665"/>
            <w:shd w:val="clear" w:color="auto" w:fill="EEF2F8"/>
            <w:tcMar>
              <w:top w:w="60" w:type="dxa"/>
              <w:left w:w="110" w:type="dxa"/>
              <w:bottom w:w="60" w:type="dxa"/>
              <w:right w:w="110" w:type="dxa"/>
            </w:tcMar>
          </w:tcPr>
          <w:p>
            <w:pPr>
              <w:spacing w:after="0" w:line="252" w:lineRule="auto"/>
            </w:pPr>
            <w:r>
              <w:rPr>
                <w:sz w:val="19"/>
              </w:rPr>
              <w:t>Cuenta de Metabase</w:t>
            </w:r>
          </w:p>
        </w:tc>
      </w:tr>
      <w:tr>
        <w:tc>
          <w:tcPr>
            <w:tcW w:type="dxa" w:w="2665"/>
            <w:tcMar>
              <w:top w:w="60" w:type="dxa"/>
              <w:left w:w="110" w:type="dxa"/>
              <w:bottom w:w="60" w:type="dxa"/>
              <w:right w:w="110" w:type="dxa"/>
            </w:tcMar>
          </w:tcPr>
          <w:p>
            <w:pPr>
              <w:spacing w:after="0" w:line="252" w:lineRule="auto"/>
            </w:pPr>
            <w:r>
              <w:rPr>
                <w:rFonts w:ascii="Consolas" w:hAnsi="Consolas" w:eastAsia="Consolas"/>
                <w:color w:val="1A4473"/>
                <w:sz w:val="19"/>
              </w:rPr>
              <w:t>/healthz</w:t>
            </w:r>
          </w:p>
        </w:tc>
        <w:tc>
          <w:tcPr>
            <w:tcW w:type="dxa" w:w="4188"/>
            <w:tcMar>
              <w:top w:w="60" w:type="dxa"/>
              <w:left w:w="110" w:type="dxa"/>
              <w:bottom w:w="60" w:type="dxa"/>
              <w:right w:w="110" w:type="dxa"/>
            </w:tcMar>
          </w:tcPr>
          <w:p>
            <w:pPr>
              <w:spacing w:after="0" w:line="252" w:lineRule="auto"/>
            </w:pPr>
            <w:r>
              <w:rPr>
                <w:sz w:val="19"/>
              </w:rPr>
              <w:t>Comprobación de disponibilidad</w:t>
            </w:r>
          </w:p>
        </w:tc>
        <w:tc>
          <w:tcPr>
            <w:tcW w:type="dxa" w:w="2665"/>
            <w:tcMar>
              <w:top w:w="60" w:type="dxa"/>
              <w:left w:w="110" w:type="dxa"/>
              <w:bottom w:w="60" w:type="dxa"/>
              <w:right w:w="110" w:type="dxa"/>
            </w:tcMar>
          </w:tcPr>
          <w:p>
            <w:pPr>
              <w:spacing w:after="0" w:line="252" w:lineRule="auto"/>
            </w:pPr>
            <w:r>
              <w:rPr>
                <w:sz w:val="19"/>
              </w:rPr>
              <w:t>Público</w:t>
            </w:r>
          </w:p>
        </w:tc>
      </w:tr>
    </w:tbl>
    <w:p>
      <w:pPr>
        <w:spacing w:before="60" w:after="200"/>
      </w:pPr>
      <w:r>
        <w:rPr>
          <w:i/>
          <w:color w:val="555F6D"/>
          <w:sz w:val="17"/>
        </w:rPr>
        <w:t>Rutas sobre el dominio `https://proxy.bibliolatino.com`.</w:t>
      </w:r>
    </w:p>
    <w:p>
      <w:pPr>
        <w:pStyle w:val="Heading2"/>
      </w:pPr>
      <w:r>
        <w:t>17.2 Checklist de entrega</w:t>
      </w:r>
    </w:p>
    <w:p>
      <w:pPr>
        <w:spacing w:after="40"/>
        <w:ind w:left="312"/>
      </w:pPr>
      <w:r>
        <w:rPr>
          <w:rFonts w:ascii="Segoe UI Symbol" w:hAnsi="Segoe UI Symbol"/>
          <w:color w:val="1F6FB2"/>
          <w:sz w:val="22"/>
        </w:rPr>
        <w:t xml:space="preserve">☐  </w:t>
      </w:r>
      <w:r>
        <w:t>Código fuente del repositorio.</w:t>
      </w:r>
    </w:p>
    <w:p>
      <w:pPr>
        <w:spacing w:after="40"/>
        <w:ind w:left="312"/>
      </w:pPr>
      <w:r>
        <w:rPr>
          <w:rFonts w:ascii="Segoe UI Symbol" w:hAnsi="Segoe UI Symbol"/>
          <w:color w:val="1F6FB2"/>
          <w:sz w:val="22"/>
        </w:rPr>
        <w:t xml:space="preserve">☐  </w:t>
      </w:r>
      <w:r>
        <w:t>Definición de la plataforma (</w:t>
      </w:r>
      <w:r>
        <w:rPr>
          <w:rFonts w:ascii="Consolas" w:hAnsi="Consolas" w:eastAsia="Consolas"/>
          <w:color w:val="1A4473"/>
          <w:sz w:val="19"/>
        </w:rPr>
        <w:t>docker-compose.yml</w:t>
      </w:r>
      <w:r>
        <w:t>) e imágenes de los servicios.</w:t>
      </w:r>
    </w:p>
    <w:p>
      <w:pPr>
        <w:spacing w:after="40"/>
        <w:ind w:left="312"/>
      </w:pPr>
      <w:r>
        <w:rPr>
          <w:rFonts w:ascii="Segoe UI Symbol" w:hAnsi="Segoe UI Symbol"/>
          <w:color w:val="1F6FB2"/>
          <w:sz w:val="22"/>
        </w:rPr>
        <w:t xml:space="preserve">☐  </w:t>
      </w:r>
      <w:r>
        <w:t xml:space="preserve">Plantilla </w:t>
      </w:r>
      <w:r>
        <w:rPr>
          <w:rFonts w:ascii="Consolas" w:hAnsi="Consolas" w:eastAsia="Consolas"/>
          <w:color w:val="1A4473"/>
          <w:sz w:val="19"/>
        </w:rPr>
        <w:t>.env.example</w:t>
      </w:r>
      <w:r>
        <w:t xml:space="preserve"> actualizada, sin secretos reales.</w:t>
      </w:r>
    </w:p>
    <w:p>
      <w:pPr>
        <w:spacing w:after="40"/>
        <w:ind w:left="312"/>
      </w:pPr>
      <w:r>
        <w:rPr>
          <w:rFonts w:ascii="Segoe UI Symbol" w:hAnsi="Segoe UI Symbol"/>
          <w:color w:val="1F6FB2"/>
          <w:sz w:val="22"/>
        </w:rPr>
        <w:t xml:space="preserve">☐  </w:t>
      </w:r>
      <w:r>
        <w:t>Este manual técnico, operativo y de capacitación.</w:t>
      </w:r>
    </w:p>
    <w:p>
      <w:pPr>
        <w:spacing w:after="40"/>
        <w:ind w:left="312"/>
      </w:pPr>
      <w:r>
        <w:rPr>
          <w:rFonts w:ascii="Segoe UI Symbol" w:hAnsi="Segoe UI Symbol"/>
          <w:color w:val="1F6FB2"/>
          <w:sz w:val="22"/>
        </w:rPr>
        <w:t xml:space="preserve">☐  </w:t>
      </w:r>
      <w:r>
        <w:t>Presentación de apoyo para la capacitación.</w:t>
      </w:r>
    </w:p>
    <w:p>
      <w:pPr>
        <w:spacing w:after="40"/>
        <w:ind w:left="312"/>
      </w:pPr>
      <w:r>
        <w:rPr>
          <w:rFonts w:ascii="Segoe UI Symbol" w:hAnsi="Segoe UI Symbol"/>
          <w:color w:val="1F6FB2"/>
          <w:sz w:val="22"/>
        </w:rPr>
        <w:t xml:space="preserve">☐  </w:t>
      </w:r>
      <w:r>
        <w:t>Guía de métodos de autenticación adicionales (</w:t>
      </w:r>
      <w:r>
        <w:rPr>
          <w:rFonts w:ascii="Consolas" w:hAnsi="Consolas" w:eastAsia="Consolas"/>
          <w:color w:val="1A4473"/>
          <w:sz w:val="19"/>
        </w:rPr>
        <w:t>docs/milestone2-auth-and-stanzas.md</w:t>
      </w:r>
      <w:r>
        <w:t>).</w:t>
      </w:r>
    </w:p>
    <w:p>
      <w:pPr>
        <w:spacing w:after="40"/>
        <w:ind w:left="312"/>
      </w:pPr>
      <w:r>
        <w:rPr>
          <w:rFonts w:ascii="Segoe UI Symbol" w:hAnsi="Segoe UI Symbol"/>
          <w:color w:val="1F6FB2"/>
          <w:sz w:val="22"/>
        </w:rPr>
        <w:t xml:space="preserve">☐  </w:t>
      </w:r>
      <w:r>
        <w:t>Validadores funcionales ejecutados, con sus resultados o incidencias documentadas.</w:t>
      </w:r>
    </w:p>
    <w:p>
      <w:pPr>
        <w:spacing w:after="40"/>
        <w:ind w:left="312"/>
      </w:pPr>
      <w:r>
        <w:rPr>
          <w:rFonts w:ascii="Segoe UI Symbol" w:hAnsi="Segoe UI Symbol"/>
          <w:color w:val="1F6FB2"/>
          <w:sz w:val="22"/>
        </w:rPr>
        <w:t xml:space="preserve">☐  </w:t>
      </w:r>
      <w:r>
        <w:t xml:space="preserve">Metabase conectado a la base </w:t>
      </w:r>
      <w:r>
        <w:rPr>
          <w:rFonts w:ascii="Consolas" w:hAnsi="Consolas" w:eastAsia="Consolas"/>
          <w:color w:val="1A4473"/>
          <w:sz w:val="19"/>
        </w:rPr>
        <w:t>analytics</w:t>
      </w:r>
      <w:r>
        <w:t>, con al menos un informe de ejemplo.</w:t>
      </w:r>
    </w:p>
    <w:p>
      <w:pPr>
        <w:spacing w:after="40"/>
        <w:ind w:left="312"/>
      </w:pPr>
      <w:r>
        <w:rPr>
          <w:rFonts w:ascii="Segoe UI Symbol" w:hAnsi="Segoe UI Symbol"/>
          <w:color w:val="1F6FB2"/>
          <w:sz w:val="22"/>
        </w:rPr>
        <w:t xml:space="preserve">☐  </w:t>
      </w:r>
      <w:r>
        <w:t>Dirección IP de salida comunicada a las editoriales correspondientes.</w:t>
      </w:r>
    </w:p>
    <w:p>
      <w:pPr>
        <w:spacing w:after="40"/>
        <w:ind w:left="312"/>
      </w:pPr>
      <w:r>
        <w:rPr>
          <w:rFonts w:ascii="Segoe UI Symbol" w:hAnsi="Segoe UI Symbol"/>
          <w:color w:val="1F6FB2"/>
          <w:sz w:val="22"/>
        </w:rPr>
        <w:t xml:space="preserve">☐  </w:t>
      </w:r>
      <w:r>
        <w:t>Relación de secretos rotados y responsables de su custodia.</w:t>
      </w:r>
    </w:p>
    <w:p>
      <w:pPr>
        <w:pStyle w:val="Heading2"/>
      </w:pPr>
      <w:r>
        <w:t>17.3 Glosario</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2284"/>
            <w:shd w:val="clear" w:color="auto" w:fill="142F5A"/>
            <w:tcMar>
              <w:top w:w="60" w:type="dxa"/>
              <w:left w:w="110" w:type="dxa"/>
              <w:bottom w:w="60" w:type="dxa"/>
              <w:right w:w="110" w:type="dxa"/>
            </w:tcMar>
          </w:tcPr>
          <w:p>
            <w:pPr>
              <w:spacing w:after="0"/>
            </w:pPr>
            <w:r>
              <w:rPr>
                <w:b/>
                <w:color w:val="FFFFFF"/>
                <w:sz w:val="19"/>
              </w:rPr>
              <w:t>Término</w:t>
            </w:r>
          </w:p>
        </w:tc>
        <w:tc>
          <w:tcPr>
            <w:tcW w:type="dxa" w:w="7234"/>
            <w:shd w:val="clear" w:color="auto" w:fill="142F5A"/>
            <w:tcMar>
              <w:top w:w="60" w:type="dxa"/>
              <w:left w:w="110" w:type="dxa"/>
              <w:bottom w:w="60" w:type="dxa"/>
              <w:right w:w="110" w:type="dxa"/>
            </w:tcMar>
          </w:tcPr>
          <w:p>
            <w:pPr>
              <w:spacing w:after="0"/>
            </w:pPr>
            <w:r>
              <w:rPr>
                <w:b/>
                <w:color w:val="FFFFFF"/>
                <w:sz w:val="19"/>
              </w:rPr>
              <w:t>Definición</w:t>
            </w:r>
          </w:p>
        </w:tc>
      </w:tr>
      <w:tr>
        <w:tc>
          <w:tcPr>
            <w:tcW w:type="dxa" w:w="2284"/>
            <w:tcMar>
              <w:top w:w="60" w:type="dxa"/>
              <w:left w:w="110" w:type="dxa"/>
              <w:bottom w:w="60" w:type="dxa"/>
              <w:right w:w="110" w:type="dxa"/>
            </w:tcMar>
          </w:tcPr>
          <w:p>
            <w:pPr>
              <w:spacing w:after="0" w:line="252" w:lineRule="auto"/>
            </w:pPr>
            <w:r>
              <w:rPr>
                <w:sz w:val="19"/>
              </w:rPr>
              <w:t>Proxy inverso</w:t>
            </w:r>
          </w:p>
        </w:tc>
        <w:tc>
          <w:tcPr>
            <w:tcW w:type="dxa" w:w="7234"/>
            <w:tcMar>
              <w:top w:w="60" w:type="dxa"/>
              <w:left w:w="110" w:type="dxa"/>
              <w:bottom w:w="60" w:type="dxa"/>
              <w:right w:w="110" w:type="dxa"/>
            </w:tcMar>
          </w:tcPr>
          <w:p>
            <w:pPr>
              <w:spacing w:after="0" w:line="252" w:lineRule="auto"/>
            </w:pPr>
            <w:r>
              <w:rPr>
                <w:sz w:val="19"/>
              </w:rPr>
              <w:t>Servidor que recibe las peticiones de los usuarios y las reenvía a los recursos de destino en su nombre.</w:t>
            </w:r>
          </w:p>
        </w:tc>
      </w:tr>
      <w:tr>
        <w:tc>
          <w:tcPr>
            <w:tcW w:type="dxa" w:w="2284"/>
            <w:shd w:val="clear" w:color="auto" w:fill="EEF2F8"/>
            <w:tcMar>
              <w:top w:w="60" w:type="dxa"/>
              <w:left w:w="110" w:type="dxa"/>
              <w:bottom w:w="60" w:type="dxa"/>
              <w:right w:w="110" w:type="dxa"/>
            </w:tcMar>
          </w:tcPr>
          <w:p>
            <w:pPr>
              <w:spacing w:after="0" w:line="252" w:lineRule="auto"/>
            </w:pPr>
            <w:r>
              <w:rPr>
                <w:sz w:val="19"/>
              </w:rPr>
              <w:t>SSO</w:t>
            </w:r>
          </w:p>
        </w:tc>
        <w:tc>
          <w:tcPr>
            <w:tcW w:type="dxa" w:w="7234"/>
            <w:shd w:val="clear" w:color="auto" w:fill="EEF2F8"/>
            <w:tcMar>
              <w:top w:w="60" w:type="dxa"/>
              <w:left w:w="110" w:type="dxa"/>
              <w:bottom w:w="60" w:type="dxa"/>
              <w:right w:w="110" w:type="dxa"/>
            </w:tcMar>
          </w:tcPr>
          <w:p>
            <w:pPr>
              <w:spacing w:after="0" w:line="252" w:lineRule="auto"/>
            </w:pPr>
            <w:r>
              <w:rPr>
                <w:sz w:val="19"/>
              </w:rPr>
              <w:t>Inicio de sesión único: una sola autenticación habilita el acceso a varios recursos.</w:t>
            </w:r>
          </w:p>
        </w:tc>
      </w:tr>
      <w:tr>
        <w:tc>
          <w:tcPr>
            <w:tcW w:type="dxa" w:w="2284"/>
            <w:tcMar>
              <w:top w:w="60" w:type="dxa"/>
              <w:left w:w="110" w:type="dxa"/>
              <w:bottom w:w="60" w:type="dxa"/>
              <w:right w:w="110" w:type="dxa"/>
            </w:tcMar>
          </w:tcPr>
          <w:p>
            <w:pPr>
              <w:spacing w:after="0" w:line="252" w:lineRule="auto"/>
            </w:pPr>
            <w:r>
              <w:rPr>
                <w:sz w:val="19"/>
              </w:rPr>
              <w:t>OIDC</w:t>
            </w:r>
          </w:p>
        </w:tc>
        <w:tc>
          <w:tcPr>
            <w:tcW w:type="dxa" w:w="7234"/>
            <w:tcMar>
              <w:top w:w="60" w:type="dxa"/>
              <w:left w:w="110" w:type="dxa"/>
              <w:bottom w:w="60" w:type="dxa"/>
              <w:right w:w="110" w:type="dxa"/>
            </w:tcMar>
          </w:tcPr>
          <w:p>
            <w:pPr>
              <w:spacing w:after="0" w:line="252" w:lineRule="auto"/>
            </w:pPr>
            <w:r>
              <w:rPr>
                <w:sz w:val="19"/>
              </w:rPr>
              <w:t>OpenID Connect, protocolo de identidad sobre OAuth 2.0 que utiliza el sistema.</w:t>
            </w:r>
          </w:p>
        </w:tc>
      </w:tr>
      <w:tr>
        <w:tc>
          <w:tcPr>
            <w:tcW w:type="dxa" w:w="2284"/>
            <w:shd w:val="clear" w:color="auto" w:fill="EEF2F8"/>
            <w:tcMar>
              <w:top w:w="60" w:type="dxa"/>
              <w:left w:w="110" w:type="dxa"/>
              <w:bottom w:w="60" w:type="dxa"/>
              <w:right w:w="110" w:type="dxa"/>
            </w:tcMar>
          </w:tcPr>
          <w:p>
            <w:pPr>
              <w:spacing w:after="0" w:line="252" w:lineRule="auto"/>
            </w:pPr>
            <w:r>
              <w:rPr>
                <w:sz w:val="19"/>
              </w:rPr>
              <w:t>Realm</w:t>
            </w:r>
          </w:p>
        </w:tc>
        <w:tc>
          <w:tcPr>
            <w:tcW w:type="dxa" w:w="7234"/>
            <w:shd w:val="clear" w:color="auto" w:fill="EEF2F8"/>
            <w:tcMar>
              <w:top w:w="60" w:type="dxa"/>
              <w:left w:w="110" w:type="dxa"/>
              <w:bottom w:w="60" w:type="dxa"/>
              <w:right w:w="110" w:type="dxa"/>
            </w:tcMar>
          </w:tcPr>
          <w:p>
            <w:pPr>
              <w:spacing w:after="0" w:line="252" w:lineRule="auto"/>
            </w:pPr>
            <w:r>
              <w:rPr>
                <w:sz w:val="19"/>
              </w:rPr>
              <w:t xml:space="preserve">Espacio lógico de Keycloak que agrupa usuarios, roles y clientes; aquí, </w:t>
            </w:r>
            <w:r>
              <w:rPr>
                <w:rFonts w:ascii="Consolas" w:hAnsi="Consolas" w:eastAsia="Consolas"/>
                <w:color w:val="1A4473"/>
                <w:sz w:val="19"/>
              </w:rPr>
              <w:t>library</w:t>
            </w:r>
            <w:r>
              <w:rPr>
                <w:sz w:val="19"/>
              </w:rPr>
              <w:t>.</w:t>
            </w:r>
          </w:p>
        </w:tc>
      </w:tr>
      <w:tr>
        <w:tc>
          <w:tcPr>
            <w:tcW w:type="dxa" w:w="2284"/>
            <w:tcMar>
              <w:top w:w="60" w:type="dxa"/>
              <w:left w:w="110" w:type="dxa"/>
              <w:bottom w:w="60" w:type="dxa"/>
              <w:right w:w="110" w:type="dxa"/>
            </w:tcMar>
          </w:tcPr>
          <w:p>
            <w:pPr>
              <w:spacing w:after="0" w:line="252" w:lineRule="auto"/>
            </w:pPr>
            <w:r>
              <w:rPr>
                <w:sz w:val="19"/>
              </w:rPr>
              <w:t>Stanza</w:t>
            </w:r>
          </w:p>
        </w:tc>
        <w:tc>
          <w:tcPr>
            <w:tcW w:type="dxa" w:w="7234"/>
            <w:tcMar>
              <w:top w:w="60" w:type="dxa"/>
              <w:left w:w="110" w:type="dxa"/>
              <w:bottom w:w="60" w:type="dxa"/>
              <w:right w:w="110" w:type="dxa"/>
            </w:tcMar>
          </w:tcPr>
          <w:p>
            <w:pPr>
              <w:spacing w:after="0" w:line="252" w:lineRule="auto"/>
            </w:pPr>
            <w:r>
              <w:rPr>
                <w:sz w:val="19"/>
              </w:rPr>
              <w:t>Archivo de definición de una base de datos editorial y sus reglas de reescritura.</w:t>
            </w:r>
          </w:p>
        </w:tc>
      </w:tr>
      <w:tr>
        <w:tc>
          <w:tcPr>
            <w:tcW w:type="dxa" w:w="2284"/>
            <w:shd w:val="clear" w:color="auto" w:fill="EEF2F8"/>
            <w:tcMar>
              <w:top w:w="60" w:type="dxa"/>
              <w:left w:w="110" w:type="dxa"/>
              <w:bottom w:w="60" w:type="dxa"/>
              <w:right w:w="110" w:type="dxa"/>
            </w:tcMar>
          </w:tcPr>
          <w:p>
            <w:pPr>
              <w:spacing w:after="0" w:line="252" w:lineRule="auto"/>
            </w:pPr>
            <w:r>
              <w:rPr>
                <w:sz w:val="19"/>
              </w:rPr>
              <w:t>Reescritura de URL</w:t>
            </w:r>
          </w:p>
        </w:tc>
        <w:tc>
          <w:tcPr>
            <w:tcW w:type="dxa" w:w="7234"/>
            <w:shd w:val="clear" w:color="auto" w:fill="EEF2F8"/>
            <w:tcMar>
              <w:top w:w="60" w:type="dxa"/>
              <w:left w:w="110" w:type="dxa"/>
              <w:bottom w:w="60" w:type="dxa"/>
              <w:right w:w="110" w:type="dxa"/>
            </w:tcMar>
          </w:tcPr>
          <w:p>
            <w:pPr>
              <w:spacing w:after="0" w:line="252" w:lineRule="auto"/>
            </w:pPr>
            <w:r>
              <w:rPr>
                <w:sz w:val="19"/>
              </w:rPr>
              <w:t>Sustitución de las direcciones del editor por direcciones del proxy dentro del contenido servido.</w:t>
            </w:r>
          </w:p>
        </w:tc>
      </w:tr>
      <w:tr>
        <w:tc>
          <w:tcPr>
            <w:tcW w:type="dxa" w:w="2284"/>
            <w:tcMar>
              <w:top w:w="60" w:type="dxa"/>
              <w:left w:w="110" w:type="dxa"/>
              <w:bottom w:w="60" w:type="dxa"/>
              <w:right w:w="110" w:type="dxa"/>
            </w:tcMar>
          </w:tcPr>
          <w:p>
            <w:pPr>
              <w:spacing w:after="0" w:line="252" w:lineRule="auto"/>
            </w:pPr>
            <w:r>
              <w:rPr>
                <w:sz w:val="19"/>
              </w:rPr>
              <w:t>CIDR</w:t>
            </w:r>
          </w:p>
        </w:tc>
        <w:tc>
          <w:tcPr>
            <w:tcW w:type="dxa" w:w="7234"/>
            <w:tcMar>
              <w:top w:w="60" w:type="dxa"/>
              <w:left w:w="110" w:type="dxa"/>
              <w:bottom w:w="60" w:type="dxa"/>
              <w:right w:w="110" w:type="dxa"/>
            </w:tcMar>
          </w:tcPr>
          <w:p>
            <w:pPr>
              <w:spacing w:after="0" w:line="252" w:lineRule="auto"/>
            </w:pPr>
            <w:r>
              <w:rPr>
                <w:sz w:val="19"/>
              </w:rPr>
              <w:t xml:space="preserve">Notación para expresar un rango de direcciones IP, por ejemplo </w:t>
            </w:r>
            <w:r>
              <w:rPr>
                <w:rFonts w:ascii="Consolas" w:hAnsi="Consolas" w:eastAsia="Consolas"/>
                <w:color w:val="1A4473"/>
                <w:sz w:val="19"/>
              </w:rPr>
              <w:t>10.0.0.0/8</w:t>
            </w:r>
            <w:r>
              <w:rPr>
                <w:sz w:val="19"/>
              </w:rPr>
              <w:t>.</w:t>
            </w:r>
          </w:p>
        </w:tc>
      </w:tr>
      <w:tr>
        <w:tc>
          <w:tcPr>
            <w:tcW w:type="dxa" w:w="2284"/>
            <w:shd w:val="clear" w:color="auto" w:fill="EEF2F8"/>
            <w:tcMar>
              <w:top w:w="60" w:type="dxa"/>
              <w:left w:w="110" w:type="dxa"/>
              <w:bottom w:w="60" w:type="dxa"/>
              <w:right w:w="110" w:type="dxa"/>
            </w:tcMar>
          </w:tcPr>
          <w:p>
            <w:pPr>
              <w:spacing w:after="0" w:line="252" w:lineRule="auto"/>
            </w:pPr>
            <w:r>
              <w:rPr>
                <w:sz w:val="19"/>
              </w:rPr>
              <w:t>Federación LDAP</w:t>
            </w:r>
          </w:p>
        </w:tc>
        <w:tc>
          <w:tcPr>
            <w:tcW w:type="dxa" w:w="7234"/>
            <w:shd w:val="clear" w:color="auto" w:fill="EEF2F8"/>
            <w:tcMar>
              <w:top w:w="60" w:type="dxa"/>
              <w:left w:w="110" w:type="dxa"/>
              <w:bottom w:w="60" w:type="dxa"/>
              <w:right w:w="110" w:type="dxa"/>
            </w:tcMar>
          </w:tcPr>
          <w:p>
            <w:pPr>
              <w:spacing w:after="0" w:line="252" w:lineRule="auto"/>
            </w:pPr>
            <w:r>
              <w:rPr>
                <w:sz w:val="19"/>
              </w:rPr>
              <w:t>Delegación de la autenticación en el directorio institucional.</w:t>
            </w:r>
          </w:p>
        </w:tc>
      </w:tr>
      <w:tr>
        <w:tc>
          <w:tcPr>
            <w:tcW w:type="dxa" w:w="2284"/>
            <w:tcMar>
              <w:top w:w="60" w:type="dxa"/>
              <w:left w:w="110" w:type="dxa"/>
              <w:bottom w:w="60" w:type="dxa"/>
              <w:right w:w="110" w:type="dxa"/>
            </w:tcMar>
          </w:tcPr>
          <w:p>
            <w:pPr>
              <w:spacing w:after="0" w:line="252" w:lineRule="auto"/>
            </w:pPr>
            <w:r>
              <w:rPr>
                <w:sz w:val="19"/>
              </w:rPr>
              <w:t>Runbook</w:t>
            </w:r>
          </w:p>
        </w:tc>
        <w:tc>
          <w:tcPr>
            <w:tcW w:type="dxa" w:w="7234"/>
            <w:tcMar>
              <w:top w:w="60" w:type="dxa"/>
              <w:left w:w="110" w:type="dxa"/>
              <w:bottom w:w="60" w:type="dxa"/>
              <w:right w:w="110" w:type="dxa"/>
            </w:tcMar>
          </w:tcPr>
          <w:p>
            <w:pPr>
              <w:spacing w:after="0" w:line="252" w:lineRule="auto"/>
            </w:pPr>
            <w:r>
              <w:rPr>
                <w:sz w:val="19"/>
              </w:rPr>
              <w:t>Procedimiento operativo breve y repetible para una tarea concreta.</w:t>
            </w:r>
          </w:p>
        </w:tc>
      </w:tr>
      <w:tr>
        <w:tc>
          <w:tcPr>
            <w:tcW w:type="dxa" w:w="2284"/>
            <w:shd w:val="clear" w:color="auto" w:fill="EEF2F8"/>
            <w:tcMar>
              <w:top w:w="60" w:type="dxa"/>
              <w:left w:w="110" w:type="dxa"/>
              <w:bottom w:w="60" w:type="dxa"/>
              <w:right w:w="110" w:type="dxa"/>
            </w:tcMar>
          </w:tcPr>
          <w:p>
            <w:pPr>
              <w:spacing w:after="0" w:line="252" w:lineRule="auto"/>
            </w:pPr>
            <w:r>
              <w:rPr>
                <w:sz w:val="19"/>
              </w:rPr>
              <w:t>Contenedor</w:t>
            </w:r>
          </w:p>
        </w:tc>
        <w:tc>
          <w:tcPr>
            <w:tcW w:type="dxa" w:w="7234"/>
            <w:shd w:val="clear" w:color="auto" w:fill="EEF2F8"/>
            <w:tcMar>
              <w:top w:w="60" w:type="dxa"/>
              <w:left w:w="110" w:type="dxa"/>
              <w:bottom w:w="60" w:type="dxa"/>
              <w:right w:w="110" w:type="dxa"/>
            </w:tcMar>
          </w:tcPr>
          <w:p>
            <w:pPr>
              <w:spacing w:after="0" w:line="252" w:lineRule="auto"/>
            </w:pPr>
            <w:r>
              <w:rPr>
                <w:sz w:val="19"/>
              </w:rPr>
              <w:t>Unidad de ejecución aislada en la que se publica cada servicio de la plataforma.</w:t>
            </w:r>
          </w:p>
        </w:tc>
      </w:tr>
    </w:tbl>
    <w:p>
      <w:pPr>
        <w:spacing w:after="0" w:before="0" w:line="240" w:lineRule="auto"/>
      </w:pPr>
      <w:r>
        <w:rPr>
          <w:sz w:val="12"/>
        </w:rPr>
      </w:r>
    </w:p>
    <w:p>
      <w:pPr>
        <w:pStyle w:val="Heading2"/>
      </w:pPr>
      <w:r>
        <w:t>17.4 Documentación relacionada</w:t>
      </w:r>
    </w:p>
    <w:tbl>
      <w:tblPr>
        <w:tblW w:type="auto" w:w="0"/>
        <w:jc w:val="left"/>
        <w:tblBorders>
          <w:top w:val="single" w:sz="4" w:space="0" w:color="C3CEDF"/>
          <w:left w:val="single" w:sz="4" w:space="0" w:color="C3CEDF"/>
          <w:bottom w:val="single" w:sz="4" w:space="0" w:color="C3CEDF"/>
          <w:right w:val="single" w:sz="4" w:space="0" w:color="C3CEDF"/>
          <w:insideH w:val="single" w:sz="4" w:space="0" w:color="C3CEDF"/>
          <w:insideV w:val="single" w:sz="4" w:space="0" w:color="C3CEDF"/>
        </w:tblBorders>
        <w:tblLayout w:type="fixed"/>
        <w:tblLook w:firstColumn="1" w:firstRow="1" w:lastColumn="0" w:lastRow="0" w:noHBand="0" w:noVBand="1" w:val="04A0"/>
      </w:tblPr>
      <w:tblGrid>
        <w:gridCol w:w="4759"/>
        <w:gridCol w:w="4759"/>
      </w:tblGrid>
      <w:tr>
        <w:trPr>
          <w:tblHeader/>
        </w:trPr>
        <w:tc>
          <w:tcPr>
            <w:tcW w:type="dxa" w:w="3617"/>
            <w:shd w:val="clear" w:color="auto" w:fill="142F5A"/>
            <w:tcMar>
              <w:top w:w="60" w:type="dxa"/>
              <w:left w:w="110" w:type="dxa"/>
              <w:bottom w:w="60" w:type="dxa"/>
              <w:right w:w="110" w:type="dxa"/>
            </w:tcMar>
          </w:tcPr>
          <w:p>
            <w:pPr>
              <w:spacing w:after="0"/>
            </w:pPr>
            <w:r>
              <w:rPr>
                <w:b/>
                <w:color w:val="FFFFFF"/>
                <w:sz w:val="19"/>
              </w:rPr>
              <w:t>Archivo</w:t>
            </w:r>
          </w:p>
        </w:tc>
        <w:tc>
          <w:tcPr>
            <w:tcW w:type="dxa" w:w="5901"/>
            <w:shd w:val="clear" w:color="auto" w:fill="142F5A"/>
            <w:tcMar>
              <w:top w:w="60" w:type="dxa"/>
              <w:left w:w="110" w:type="dxa"/>
              <w:bottom w:w="60" w:type="dxa"/>
              <w:right w:w="110" w:type="dxa"/>
            </w:tcMar>
          </w:tcPr>
          <w:p>
            <w:pPr>
              <w:spacing w:after="0"/>
            </w:pPr>
            <w:r>
              <w:rPr>
                <w:b/>
                <w:color w:val="FFFFFF"/>
                <w:sz w:val="19"/>
              </w:rPr>
              <w:t>Contenido</w:t>
            </w:r>
          </w:p>
        </w:tc>
      </w:tr>
      <w:tr>
        <w:tc>
          <w:tcPr>
            <w:tcW w:type="dxa" w:w="3617"/>
            <w:tcMar>
              <w:top w:w="60" w:type="dxa"/>
              <w:left w:w="110" w:type="dxa"/>
              <w:bottom w:w="60" w:type="dxa"/>
              <w:right w:w="110" w:type="dxa"/>
            </w:tcMar>
          </w:tcPr>
          <w:p>
            <w:pPr>
              <w:spacing w:after="0" w:line="252" w:lineRule="auto"/>
            </w:pPr>
            <w:r>
              <w:rPr>
                <w:rFonts w:ascii="Consolas" w:hAnsi="Consolas" w:eastAsia="Consolas"/>
                <w:color w:val="1A4473"/>
                <w:sz w:val="19"/>
              </w:rPr>
              <w:t>README.md</w:t>
            </w:r>
          </w:p>
        </w:tc>
        <w:tc>
          <w:tcPr>
            <w:tcW w:type="dxa" w:w="5901"/>
            <w:tcMar>
              <w:top w:w="60" w:type="dxa"/>
              <w:left w:w="110" w:type="dxa"/>
              <w:bottom w:w="60" w:type="dxa"/>
              <w:right w:w="110" w:type="dxa"/>
            </w:tcMar>
          </w:tcPr>
          <w:p>
            <w:pPr>
              <w:spacing w:after="0" w:line="252" w:lineRule="auto"/>
            </w:pPr>
            <w:r>
              <w:rPr>
                <w:sz w:val="19"/>
              </w:rPr>
              <w:t>Arranque rápido y resumen del alcance</w:t>
            </w:r>
          </w:p>
        </w:tc>
      </w:tr>
      <w:tr>
        <w:tc>
          <w:tcPr>
            <w:tcW w:type="dxa" w:w="361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docs/manual-y-capacitacion.md</w:t>
            </w:r>
          </w:p>
        </w:tc>
        <w:tc>
          <w:tcPr>
            <w:tcW w:type="dxa" w:w="5901"/>
            <w:shd w:val="clear" w:color="auto" w:fill="EEF2F8"/>
            <w:tcMar>
              <w:top w:w="60" w:type="dxa"/>
              <w:left w:w="110" w:type="dxa"/>
              <w:bottom w:w="60" w:type="dxa"/>
              <w:right w:w="110" w:type="dxa"/>
            </w:tcMar>
          </w:tcPr>
          <w:p>
            <w:pPr>
              <w:spacing w:after="0" w:line="252" w:lineRule="auto"/>
            </w:pPr>
            <w:r>
              <w:rPr>
                <w:sz w:val="19"/>
              </w:rPr>
              <w:t>Versión en texto de este manual, para consulta dentro del repositorio</w:t>
            </w:r>
          </w:p>
        </w:tc>
      </w:tr>
      <w:tr>
        <w:tc>
          <w:tcPr>
            <w:tcW w:type="dxa" w:w="3617"/>
            <w:tcMar>
              <w:top w:w="60" w:type="dxa"/>
              <w:left w:w="110" w:type="dxa"/>
              <w:bottom w:w="60" w:type="dxa"/>
              <w:right w:w="110" w:type="dxa"/>
            </w:tcMar>
          </w:tcPr>
          <w:p>
            <w:pPr>
              <w:spacing w:after="0" w:line="252" w:lineRule="auto"/>
            </w:pPr>
            <w:r>
              <w:rPr>
                <w:rFonts w:ascii="Consolas" w:hAnsi="Consolas" w:eastAsia="Consolas"/>
                <w:color w:val="1A4473"/>
                <w:sz w:val="19"/>
              </w:rPr>
              <w:t>docs/milestone2-auth-and-stanzas.md</w:t>
            </w:r>
          </w:p>
        </w:tc>
        <w:tc>
          <w:tcPr>
            <w:tcW w:type="dxa" w:w="5901"/>
            <w:tcMar>
              <w:top w:w="60" w:type="dxa"/>
              <w:left w:w="110" w:type="dxa"/>
              <w:bottom w:w="60" w:type="dxa"/>
              <w:right w:w="110" w:type="dxa"/>
            </w:tcMar>
          </w:tcPr>
          <w:p>
            <w:pPr>
              <w:spacing w:after="0" w:line="252" w:lineRule="auto"/>
            </w:pPr>
            <w:r>
              <w:rPr>
                <w:sz w:val="19"/>
              </w:rPr>
              <w:t>Métodos de autenticación adicionales y detalle de stanzas</w:t>
            </w:r>
          </w:p>
        </w:tc>
      </w:tr>
      <w:tr>
        <w:tc>
          <w:tcPr>
            <w:tcW w:type="dxa" w:w="3617"/>
            <w:shd w:val="clear" w:color="auto" w:fill="EEF2F8"/>
            <w:tcMar>
              <w:top w:w="60" w:type="dxa"/>
              <w:left w:w="110" w:type="dxa"/>
              <w:bottom w:w="60" w:type="dxa"/>
              <w:right w:w="110" w:type="dxa"/>
            </w:tcMar>
          </w:tcPr>
          <w:p>
            <w:pPr>
              <w:spacing w:after="0" w:line="252" w:lineRule="auto"/>
            </w:pPr>
            <w:r>
              <w:rPr>
                <w:rFonts w:ascii="Consolas" w:hAnsi="Consolas" w:eastAsia="Consolas"/>
                <w:color w:val="1A4473"/>
                <w:sz w:val="19"/>
              </w:rPr>
              <w:t>docs/detail.md</w:t>
            </w:r>
          </w:p>
        </w:tc>
        <w:tc>
          <w:tcPr>
            <w:tcW w:type="dxa" w:w="5901"/>
            <w:shd w:val="clear" w:color="auto" w:fill="EEF2F8"/>
            <w:tcMar>
              <w:top w:w="60" w:type="dxa"/>
              <w:left w:w="110" w:type="dxa"/>
              <w:bottom w:w="60" w:type="dxa"/>
              <w:right w:w="110" w:type="dxa"/>
            </w:tcMar>
          </w:tcPr>
          <w:p>
            <w:pPr>
              <w:spacing w:after="0" w:line="252" w:lineRule="auto"/>
            </w:pPr>
            <w:r>
              <w:rPr>
                <w:sz w:val="19"/>
              </w:rPr>
              <w:t>Alcance original del encargo</w:t>
            </w:r>
          </w:p>
        </w:tc>
      </w:tr>
      <w:tr>
        <w:tc>
          <w:tcPr>
            <w:tcW w:type="dxa" w:w="3617"/>
            <w:tcMar>
              <w:top w:w="60" w:type="dxa"/>
              <w:left w:w="110" w:type="dxa"/>
              <w:bottom w:w="60" w:type="dxa"/>
              <w:right w:w="110" w:type="dxa"/>
            </w:tcMar>
          </w:tcPr>
          <w:p>
            <w:pPr>
              <w:spacing w:after="0" w:line="252" w:lineRule="auto"/>
            </w:pPr>
            <w:r>
              <w:rPr>
                <w:rFonts w:ascii="Consolas" w:hAnsi="Consolas" w:eastAsia="Consolas"/>
                <w:color w:val="1A4473"/>
                <w:sz w:val="19"/>
              </w:rPr>
              <w:t>.env.example</w:t>
            </w:r>
          </w:p>
        </w:tc>
        <w:tc>
          <w:tcPr>
            <w:tcW w:type="dxa" w:w="5901"/>
            <w:tcMar>
              <w:top w:w="60" w:type="dxa"/>
              <w:left w:w="110" w:type="dxa"/>
              <w:bottom w:w="60" w:type="dxa"/>
              <w:right w:w="110" w:type="dxa"/>
            </w:tcMar>
          </w:tcPr>
          <w:p>
            <w:pPr>
              <w:spacing w:after="0" w:line="252" w:lineRule="auto"/>
            </w:pPr>
            <w:r>
              <w:rPr>
                <w:sz w:val="19"/>
              </w:rPr>
              <w:t>Plantilla de configuración</w:t>
            </w:r>
          </w:p>
        </w:tc>
      </w:tr>
    </w:tbl>
    <w:p>
      <w:pPr>
        <w:spacing w:after="0" w:before="0" w:line="240" w:lineRule="auto"/>
      </w:pPr>
      <w:r>
        <w:rPr>
          <w:sz w:val="12"/>
        </w:rPr>
      </w:r>
    </w:p>
    <w:p>
      <w:pPr>
        <w:spacing w:after="0" w:before="0" w:line="240" w:lineRule="auto"/>
      </w:pPr>
      <w:r>
        <w:rPr>
          <w:sz w:val="32"/>
        </w:rPr>
      </w:r>
    </w:p>
    <w:p>
      <w:pPr>
        <w:spacing w:after="120"/>
      </w:pPr>
      <w:r>
        <w:rPr>
          <w:i/>
          <w:color w:val="555F6D"/>
          <w:sz w:val="19"/>
        </w:rPr>
        <w:t>Fin del manual. Ante cualquier incidencia operativa, el punto de partida recomendado es la tabla de diagnóstico de la sección 15 y los validadores funcionales de la sección 14.</w:t>
      </w:r>
    </w:p>
    <w:sectPr w:rsidR="00FC693F" w:rsidRPr="0006063C" w:rsidSect="00034616">
      <w:footerReference w:type="default" r:id="rId9"/>
      <w:pgSz w:w="12240" w:h="15840"/>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3CEDF"/>
      </w:pBdr>
      <w:tabs>
        <w:tab w:val="right" w:pos="190360"/>
      </w:tabs>
    </w:pPr>
    <w:r>
      <w:rPr>
        <w:color w:val="555F6D"/>
        <w:sz w:val="16"/>
      </w:rPr>
    </w:r>
    <w:r>
      <w:rPr>
        <w:color w:val="555F6D"/>
        <w:sz w:val="16"/>
      </w:rPr>
      <w:t>University Library Proxy — Manual técnico, operativo y de capacitación</w:t>
      <w:tab/>
    </w:r>
    <w:r>
      <w:rPr>
        <w:color w:val="555F6D"/>
        <w:sz w:val="16"/>
      </w:rPr>
    </w:r>
    <w:r>
      <w:rPr>
        <w:color w:val="555F6D"/>
        <w:sz w:val="16"/>
      </w:rPr>
      <w:fldChar w:fldCharType="begin"/>
    </w:r>
    <w:r>
      <w:rPr>
        <w:color w:val="555F6D"/>
        <w:sz w:val="16"/>
      </w:rPr>
      <w:instrText xml:space="preserve"> PAGE </w:instrText>
    </w:r>
    <w:r>
      <w:rPr>
        <w:color w:val="555F6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eastAsia="Calibri"/>
      <w:color w:val="22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42F5A"/>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42F5A"/>
      <w:sz w:val="26"/>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i w:val="0"/>
      <w:color w:val="1F6FB2"/>
      <w:sz w:val="23"/>
    </w:rPr>
  </w:style>
  <w:style w:type="paragraph" w:styleId="Heading4">
    <w:name w:val="heading 4"/>
    <w:basedOn w:val="Normal"/>
    <w:next w:val="Normal"/>
    <w:link w:val="Heading4Char"/>
    <w:uiPriority w:val="9"/>
    <w:semiHidden/>
    <w:unhideWhenUsed/>
    <w:qFormat/>
    <w:rsid w:val="00FC693F"/>
    <w:pPr>
      <w:keepNext/>
      <w:keepLines/>
      <w:spacing w:before="180" w:after="40"/>
      <w:outlineLvl w:val="3"/>
    </w:pPr>
    <w:rPr>
      <w:rFonts w:asciiTheme="majorHAnsi" w:eastAsiaTheme="majorEastAsia" w:hAnsiTheme="majorHAnsi" w:cstheme="majorBidi" w:ascii="Calibri" w:hAnsi="Calibri"/>
      <w:b/>
      <w:bCs/>
      <w:i w:val="0"/>
      <w:iCs/>
      <w:color w:val="555F6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25"/>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25"/>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