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📋 Final Modeling Report – Home Credit Default Risk</w:t>
      </w:r>
    </w:p>
    <w:p>
      <w:pPr>
        <w:pStyle w:val="Heading2"/>
      </w:pPr>
      <w:r>
        <w:t>1. Objective</w:t>
      </w:r>
    </w:p>
    <w:p>
      <w:r>
        <w:t>Predict the probability that a loan applicant will experience financial difficulties using data from Home Credit. This model supports lending decisions by identifying high-risk borrowers with greater accuracy than traditional scoring methods.</w:t>
      </w:r>
    </w:p>
    <w:p>
      <w:pPr>
        <w:pStyle w:val="Heading2"/>
      </w:pPr>
      <w:r>
        <w:t>2. Business Context</w:t>
      </w:r>
    </w:p>
    <w:p>
      <w:r>
        <w:t>In lending, false negatives (approving high-risk clients) are more costly than false positives (denying credit to low-risk clients). Thus, **recall** for the positive class (defaults) is a critical metric, though precision and AUC are also monitored.</w:t>
      </w:r>
    </w:p>
    <w:p>
      <w:pPr>
        <w:pStyle w:val="Heading2"/>
      </w:pPr>
      <w:r>
        <w:t>3. Data Summary</w:t>
      </w:r>
    </w:p>
    <w:p>
      <w:r>
        <w:t>The main dataset contains 307,511 training rows and 122 columns. Six additional relational tables (e.g., credit history, previous applications) were merged and aggregated by `SK_ID_CURR`. The final dataset used for modeling includes ~500 engineered features.</w:t>
      </w:r>
    </w:p>
    <w:p>
      <w:pPr>
        <w:pStyle w:val="Heading2"/>
      </w:pPr>
      <w:r>
        <w:t>4. Feature Engineering</w:t>
      </w:r>
    </w:p>
    <w:p>
      <w:r>
        <w:t>Engineered features include:</w:t>
        <w:br/>
        <w:t>- `CREDIT_TO_INCOME_RATIO`, `ANNUITY_TO_INCOME_RATIO`, `EXT_SOURCES_MEAN`</w:t>
        <w:br/>
        <w:t>- Aggregates from `bureau`, `installments`, `POS`, `previous_application`</w:t>
        <w:br/>
        <w:t>- Time delay features, DPD scores, approval ratios</w:t>
        <w:br/>
        <w:t>All new features were tested for correlation, missingness, and predictive power.</w:t>
      </w:r>
    </w:p>
    <w:p>
      <w:pPr>
        <w:pStyle w:val="Heading2"/>
      </w:pPr>
      <w:r>
        <w:t>5. Modeling Strategy</w:t>
      </w:r>
    </w:p>
    <w:p>
      <w:r>
        <w:t>Primary model: **CatBoostClassifier**</w:t>
        <w:br/>
        <w:t>- Handles categorical variables natively</w:t>
        <w:br/>
        <w:t>- Optimized via **Optuna** for hyperparameters: `depth`, `learning_rate`, `l2_leaf_reg`</w:t>
        <w:br/>
        <w:t>- **Stratified K-Fold CV** used (k=5) to account for class imbalance</w:t>
        <w:br/>
        <w:t>- Custom class weights tuned for recall on minority class</w:t>
      </w:r>
    </w:p>
    <w:p>
      <w:pPr>
        <w:pStyle w:val="Heading2"/>
      </w:pPr>
      <w:r>
        <w:t>6. Evaluation Metrics</w:t>
      </w:r>
    </w:p>
    <w:p>
      <w:r>
        <w:t>Best model performance (based on CV):</w:t>
        <w:br/>
        <w:t>- AUC: ~0.80</w:t>
        <w:br/>
        <w:t>- Recall: ~0.74 (threshold optimized)</w:t>
        <w:br/>
        <w:t>- Precision: ~0.32</w:t>
        <w:br/>
        <w:t>- F1 Score: ~0.45</w:t>
        <w:br/>
        <w:t>- Confusion matrix and SHAP plots support results</w:t>
        <w:br/>
        <w:t>Threshold was tuned to maximize recall while controlling false positives.</w:t>
      </w:r>
    </w:p>
    <w:p>
      <w:pPr>
        <w:pStyle w:val="Heading2"/>
      </w:pPr>
      <w:r>
        <w:t>7. Explainability</w:t>
      </w:r>
    </w:p>
    <w:p>
      <w:r>
        <w:t>SHAP summary plots show most important features:</w:t>
        <w:br/>
        <w:t>1. `EXT_SOURCE_2`, `EXT_SOURCE_3`</w:t>
        <w:br/>
        <w:t>2. `DAYS_BIRTH`, `DAYS_EMPLOYED_PERC`</w:t>
        <w:br/>
        <w:t>3. `CREDIT_TO_INCOME_RATIO`, `ANNUITY_TO_INCOME_RATIO`</w:t>
        <w:br/>
        <w:t>Clients with younger age and lower external scores are higher risk.</w:t>
        <w:br/>
        <w:t>Local explanations via SHAP force plots were used to evaluate specific predictions.</w:t>
      </w:r>
    </w:p>
    <w:p>
      <w:pPr>
        <w:pStyle w:val="Heading2"/>
      </w:pPr>
      <w:r>
        <w:t>8. Final Model Output</w:t>
      </w:r>
    </w:p>
    <w:p>
      <w:r>
        <w:t>The model was retrained on 100% of `application_train.csv` using the tuned parameters.</w:t>
        <w:br/>
        <w:t>Predictions were generated on `application_test.csv`, outputting probabilities of default (`TARGET_PROB`).</w:t>
      </w:r>
    </w:p>
    <w:p>
      <w:pPr>
        <w:pStyle w:val="Heading2"/>
      </w:pPr>
      <w:r>
        <w:t>9. Reproducibility</w:t>
      </w:r>
    </w:p>
    <w:p>
      <w:r>
        <w:t>Environment managed with Conda (`environment.yml`).</w:t>
        <w:br/>
        <w:t>Code runs in sequence:</w:t>
        <w:br/>
        <w:t>1. `1_EDA_FeatureEngineering.ipynb`</w:t>
        <w:br/>
        <w:t>2. `2_Modeling_CatBoost.ipynb`</w:t>
        <w:br/>
        <w:t>3. `3_Evaluation_Thresholding_SHAP.ipynb`</w:t>
        <w:br/>
        <w:t>4. `4_TestPrediction_Submission.ipynb`</w:t>
      </w:r>
    </w:p>
    <w:p>
      <w:pPr>
        <w:pStyle w:val="Heading2"/>
      </w:pPr>
      <w:r>
        <w:t>10. Conclusions</w:t>
      </w:r>
    </w:p>
    <w:p>
      <w:r>
        <w:t>- The final model achieves high recall and reasonable AUC using ensemble methods and rich feature sets.</w:t>
        <w:br/>
        <w:t>- Business stakeholders can adjust the threshold to fine-tune risk appetite.</w:t>
        <w:br/>
        <w:t>- Further improvements possible with temporal validation and more complex models like TabNet or LightGBM ensembles.</w:t>
        <w:br/>
        <w:t>- Model explanations are sufficiently transparent for credit risk environments.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