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XT论文标题"/>
      </w:pPr>
      <w:r>
        <w:t xml:space="preserve">国家、媒体与大众的三层共识：基于大规模文本测量的中国价值观结构与十年稳定性</w:t>
      </w:r>
    </w:p>
    <w:p>
      <w:pPr>
        <w:pStyle w:val="XT英文标题"/>
      </w:pPr>
      <w:r>
        <w:t xml:space="preserve">Three-Layer Consensus of Chinese Values: Measuring the Structure and Decade-Long Stability of Value Discourse across State, Media, and Public</w:t>
      </w:r>
    </w:p>
    <w:p>
      <w:pPr>
        <w:pStyle w:val="XT摘要"/>
      </w:pPr>
      <w:r>
        <w:rPr>
          <w:b/>
        </w:rPr>
        <w:t xml:space="preserve">摘要：</w:t>
      </w:r>
      <w:r>
        <w:t xml:space="preserve">价值观的社会整合程度如何测量，长期依赖问卷调查，难以刻画官方倡导、媒体传递与大众表达之间的动态关系。本文提出"冻结词库—多语嵌入—文本内标准化—维度对比分"的文本价值观测量方法，构建覆盖社会主义核心价值观十二词、Hofstede 六维、世界价值观调查（World Values Survey, WVS）十三刻面与 Schwartz 十九值的四体系五十六刻面双语词库（2,559 词，经大语言模型扩充与机器筛查冻结），并应用于三层配对语料：国家层的 122 份年度施政文本（中国《政府工作报告》37 份，1990—2026）、媒体层的 27,000 篇人民日报系与西方主流媒体月份对齐新闻、大众层的 46,274 条豆瓣与 Letterboxd 同片影评（3,134 部影片）。研究发现：（1）</w:t>
      </w:r>
      <w:r>
        <w:rPr>
          <w:b/>
        </w:rPr>
        <w:t xml:space="preserve">三层画像高度一致</w:t>
      </w:r>
      <w:r>
        <w:t xml:space="preserve">——政府工作报告、官方媒体与豆瓣影评在社会主义核心价值观十二值上的画像相关分别为 0.966、0.810、0.658（均值 0.811），在 Hofstede 十二极上为 0.962、0.886、0.762（均值 0.870），呈现"官方—媒体近乎完全传递、大众共享内核并保有自身侧重"的共识梯度；（2）</w:t>
      </w:r>
      <w:r>
        <w:rPr>
          <w:b/>
        </w:rPr>
        <w:t xml:space="preserve">共识核心是发展与职业伦理</w:t>
      </w:r>
      <w:r>
        <w:t xml:space="preserve">——富强在三层均为第一重心（+22.9/+18.7/+11.0），敬业在三层几乎完全一致（+9.1/+9.8/+9.3），四家官方媒体口径高度一致（富强凸显度 11—20、敬业 7.5—9.8）；（3）</w:t>
      </w:r>
      <w:r>
        <w:rPr>
          <w:b/>
        </w:rPr>
        <w:t xml:space="preserve">十年高度稳定</w:t>
      </w:r>
      <w:r>
        <w:t xml:space="preserve">——豆瓣影评 2010—2019 十年轨迹与人民日报逐月轨迹近乎无波动（富强波动幅度不足 1.5 个千分点）；（4）</w:t>
      </w:r>
      <w:r>
        <w:rPr>
          <w:b/>
        </w:rPr>
        <w:t xml:space="preserve">中西语域分工清晰</w:t>
      </w:r>
      <w:r>
        <w:t xml:space="preserve">——中文官方媒体相对凸显富强（+16.7 对 +8.8）、和谐与文明，呈现"发展—愿景—积极体验"语域，西方媒体相对凸显平等（+6.9 对 −7.5）、自由与公正，呈现"问题—规范—约束—关怀"语域，差异最大者为平等（</w:t>
      </w:r>
      <m:oMath>
        <m:r>
          <w:rPr>
            <w:rFonts w:ascii="Cambria Math" w:hAnsi="Cambria Math"/>
          </w:rPr>
          <m:t xml:space="preserve">Δ=+14.5</m:t>
        </m:r>
      </m:oMath>
      <w:r>
        <w:t xml:space="preserve">）；官方话语重心是发展实绩叙事而非口号式表达（爱国相对凸显度为 −4.7），且中国观众的"中式"价值表达在评论本国影片时更为凸显（内容文化归属的调节效应）。全文结论均经词库版本敏感性、文化内安慰剂、三模型三角互证与题项锚定四重稳健性检验。本文提供了一套可用于价值传播效果评估与国际传播诊断的测量工具与实证证据。</w:t>
      </w:r>
    </w:p>
    <w:p>
      <w:pPr>
        <w:pStyle w:val="XT摘要"/>
      </w:pPr>
      <w:r>
        <w:rPr>
          <w:b/>
        </w:rPr>
        <w:t xml:space="preserve">关键词：</w:t>
      </w:r>
      <w:r>
        <w:t xml:space="preserve">社会主义核心价值观；价值传播；三层话语；文本测量；文化自信；计算传播学</w:t>
      </w:r>
    </w:p>
    <w:p>
      <w:pPr>
        <w:pStyle w:val="a1"/>
      </w:pPr>
    </w:p>
    <w:p>
      <w:pPr>
        <w:pStyle w:val="XTAbstract"/>
      </w:pPr>
      <w:r>
        <w:rPr>
          <w:b/>
        </w:rPr>
        <w:t xml:space="preserve">Abstract</w:t>
      </w:r>
      <w:r>
        <w:rPr>
          <w:b/>
        </w:rPr>
        <w:t xml:space="preserve">：</w:t>
      </w:r>
      <w:r>
        <w:t xml:space="preserve">How socially integrated a society's values are has long been measured by surveys, which cannot capture the dynamic relationship between state advocacy, media transmission, and public expression. We propose a text-based value measurement pipeline—frozen bilingual lexicon, multilingual embedding, within-text normalization, and dimensional contrast scoring—covering the 12 Socialist Core Values (SCV), Hofstede's six dimensions, the 13 World Values Survey (WVS) facets, and Schwartz's 19 values (2,559 words). We apply it to three paired corpora: 122 annual governing texts (37 Chinese Government Work Reports, 1990–2026) at the state layer; 27,000 month-aligned news articles from People's Daily-family outlets and Western mainstream media at the media layer; and 46,274 same-film reviews from Douban and Letterboxd (3,134 films) at the public layer. We find that (1) the three layers are highly consistent—SCV profile correlations of 0.966, 0.810, and 0.658 (mean 0.811), and Hofstede-pole correlations of 0.962, 0.886, and 0.762 (mean 0.870)—forming a consensus gradient in which state-to-media transmission is near-complete and the public shares the core while retaining its own emphasis; (2) the shared core is development and professional ethics: prosperity ranks first in all three layers (+22.9/+18.7/+11.0), dedication is nearly identical across layers (+9.1/+9.8/+9.3), and the four official media outlets are highly consistent with one another; (3) the structure is highly stable, with the decade-long Douban trajectory (2010–2019) and the monthly People's Daily trajectory showing fluctuations of less than 1.5 per mille; and (4) East–West registers divide clearly, with Chinese official media foregrounding prosperity, harmony, and civility (a "development–vision–positive-experience" register) while Western media foreground equality, freedom, and justice (a "problem–norm–constraint–care" register). Chinese official discourse centers on development-narrative achievements rather than slogan-style declarations, and Chinese audiences express "Chinese-style" values more strongly when reviewing domestic films. All conclusions survive a four-fold robustness framework of lexicon-version sensitivity, within-culture placebo, three-model triangulation, and questionnaire-item anchoring.</w:t>
      </w:r>
    </w:p>
    <w:p>
      <w:pPr>
        <w:pStyle w:val="XTAbstract"/>
      </w:pPr>
      <w:r>
        <w:rPr>
          <w:b/>
        </w:rPr>
        <w:t xml:space="preserve">Keywords: </w:t>
      </w:r>
      <w:r>
        <w:t xml:space="preserve">Socialist Core Values; value communication; three-layer discourse; text-based measurement; cultural confidence; computational communication</w:t>
      </w:r>
    </w:p>
    <w:p>
      <w:pPr>
        <w:pStyle w:val="1"/>
      </w:pPr>
      <w:r>
        <w:t xml:space="preserve">引言</w:t>
      </w:r>
    </w:p>
    <w:p>
      <w:pPr>
        <w:pStyle w:val="21"/>
      </w:pPr>
      <w:r>
        <w:t xml:space="preserve">研究背景与问题提出</w:t>
      </w:r>
    </w:p>
    <w:p>
      <w:r>
        <w:t xml:space="preserve">价值观的社会整合程度，是理解一个国家治理效能与文化凝聚力的核心问题。一个社会的核心价值观能否自上而下地贯通——即官方倡导是否被媒体准确传递、是否与大众的价值表达相契合——直接关系到文化认同的形成与巩固。长期以来，这一问题主要依赖跨国问卷调查回答：世界价值观调查（World Values Survey, WVS）等工具为价值比较提供了权威基准（Inglehart, 1997</w:t>
      </w:r>
      <w:r>
        <w:rPr>
          <w:rStyle w:val="XT引文编号"/>
        </w:rPr>
        <w:t xml:space="preserve">[1]</w:t>
      </w:r>
      <w:r>
        <w:t xml:space="preserve">；Sagiv &amp; Schwartz, 2022</w:t>
      </w:r>
      <w:r>
        <w:rPr>
          <w:rStyle w:val="XT引文编号"/>
        </w:rPr>
        <w:t xml:space="preserve">[2]</w:t>
      </w:r>
      <w:r>
        <w:t xml:space="preserve">），但问卷存在成本高、周期长（WVS 每波间隔五至七年）、更新慢等固有局限，更难以刻画</w:t>
      </w:r>
      <w:r>
        <w:rPr>
          <w:b/>
        </w:rPr>
        <w:t xml:space="preserve">官方倡导、媒体传递与大众表达三者之间的动态关系</w:t>
      </w:r>
      <w:r>
        <w:t xml:space="preserve">——我们无法通过问卷知道，国家层面的价值倡导是否被媒体准确传递，又是否与大众的价值表达相契合。</w:t>
      </w:r>
    </w:p>
    <w:p>
      <w:r>
        <w:t xml:space="preserve">与此同时，互联网持续积累着海量价值表达文本——政府工作报告、新闻报道、影评与社交媒体言论——记录着不同主体如何言说价值。"文本即数据"范式使计算文本分析成为社会科学的重要方法（Gentzkow </w:t>
      </w:r>
      <w:r>
        <w:rPr>
          <w:rStyle w:val="XT外文斜体"/>
        </w:rPr>
        <w:t xml:space="preserve">et al.</w:t>
      </w:r>
      <w:r>
        <w:t xml:space="preserve">, 2019</w:t>
      </w:r>
      <w:r>
        <w:rPr>
          <w:rStyle w:val="XT引文编号"/>
        </w:rPr>
        <w:t xml:space="preserve">[3]</w:t>
      </w:r>
      <w:r>
        <w:t xml:space="preserve">；Grimmer </w:t>
      </w:r>
      <w:r>
        <w:rPr>
          <w:rStyle w:val="XT外文斜体"/>
        </w:rPr>
        <w:t xml:space="preserve">et al.</w:t>
      </w:r>
      <w:r>
        <w:t xml:space="preserve">, 2022</w:t>
      </w:r>
      <w:r>
        <w:rPr>
          <w:rStyle w:val="XT引文编号"/>
        </w:rPr>
        <w:t xml:space="preserve">[4]</w:t>
      </w:r>
      <w:r>
        <w:t xml:space="preserve">），为测量价值观的社会分布提供了问卷之外的新路径。但这一路径并非坦途：大数据分析的诱人前景反复遭遇"规模幻觉"的教训——数据体量的庞大并不自动带来测量的有效，反而可能放大系统性偏差而不被察觉（Lazer </w:t>
      </w:r>
      <w:r>
        <w:rPr>
          <w:rStyle w:val="XT外文斜体"/>
        </w:rPr>
        <w:t xml:space="preserve">et al.</w:t>
      </w:r>
      <w:r>
        <w:t xml:space="preserve">, 2014</w:t>
      </w:r>
      <w:r>
        <w:rPr>
          <w:rStyle w:val="XT引文编号"/>
        </w:rPr>
        <w:t xml:space="preserve">[5]</w:t>
      </w:r>
      <w:r>
        <w:t xml:space="preserve">）；自动内容分析的工具性误差（misclassification bias）若不经校正，会污染下游统计推断（TeBlunthuis </w:t>
      </w:r>
      <w:r>
        <w:rPr>
          <w:rStyle w:val="XT外文斜体"/>
        </w:rPr>
        <w:t xml:space="preserve">et al.</w:t>
      </w:r>
      <w:r>
        <w:t xml:space="preserve">, 2024</w:t>
      </w:r>
      <w:r>
        <w:rPr>
          <w:rStyle w:val="XT引文编号"/>
        </w:rPr>
        <w:t xml:space="preserve">[6]</w:t>
      </w:r>
      <w:r>
        <w:t xml:space="preserve">）；而在跨语言场景下，不同语言的相似度基线是否可比、词表构成变化是否翻转结论，都是必须先解决的前提问题（Glavaš </w:t>
      </w:r>
      <w:r>
        <w:rPr>
          <w:rStyle w:val="XT外文斜体"/>
        </w:rPr>
        <w:t xml:space="preserve">et al.</w:t>
      </w:r>
      <w:r>
        <w:t xml:space="preserve">, 2019</w:t>
      </w:r>
      <w:r>
        <w:rPr>
          <w:rStyle w:val="XT引文编号"/>
        </w:rPr>
        <w:t xml:space="preserve">[7]</w:t>
      </w:r>
      <w:r>
        <w:t xml:space="preserve">）。</w:t>
      </w:r>
    </w:p>
    <w:p>
      <w:r>
        <w:t xml:space="preserve">针对上述问题，本文提出并回答三个研究问题（research question, RQ）：RQ1（结构与共识）中国的国家、媒体与大众三层话语在价值观上是否一致？共识的核心是什么？RQ2（稳定性）这种价值结构在十年尺度上是否稳定？RQ3（特质辨识）中国价值观话语相对西方呈现何种语域特质？中国观众的价值表达是否随内容的文化归属而变化？为回答这些问题，本文构建四体系五十六刻面冻结双语词库与统一嵌入测量管线，并在三层配对语料上开展系统测量。</w:t>
      </w:r>
    </w:p>
    <w:p>
      <w:pPr>
        <w:pStyle w:val="21"/>
      </w:pPr>
      <w:r>
        <w:t xml:space="preserve">研究意义</w:t>
      </w:r>
    </w:p>
    <w:p>
      <w:r>
        <w:t xml:space="preserve">本文的意义有三：其一，</w:t>
      </w:r>
      <w:r>
        <w:rPr>
          <w:b/>
        </w:rPr>
        <w:t xml:space="preserve">为价值传播效果提供可量化的证据</w:t>
      </w:r>
      <w:r>
        <w:t xml:space="preserve">。以往对"官方倡导—媒体传递—大众认同"价值链的讨论多为定性判断，本文首次以大规模文本给出层间一致性的量化指标；其二，</w:t>
      </w:r>
      <w:r>
        <w:rPr>
          <w:b/>
        </w:rPr>
        <w:t xml:space="preserve">为文化自信提供实证支撑</w:t>
      </w:r>
      <w:r>
        <w:t xml:space="preserve">。价值观结构的长期稳定性与三层共识，是文化凝聚力可被测量的直接证据；其三，</w:t>
      </w:r>
      <w:r>
        <w:rPr>
          <w:b/>
        </w:rPr>
        <w:t xml:space="preserve">为国际传播提供诊断工具</w:t>
      </w:r>
      <w:r>
        <w:t xml:space="preserve">。同一套方法可直接用于评估对外话语的价值观凸显结构，识别传播中的强项与盲区。</w:t>
      </w:r>
    </w:p>
    <w:p>
      <w:pPr>
        <w:pStyle w:val="1"/>
      </w:pPr>
      <w:r>
        <w:t xml:space="preserve">文献综述</w:t>
      </w:r>
    </w:p>
    <w:p>
      <w:pPr>
        <w:pStyle w:val="21"/>
      </w:pPr>
      <w:r>
        <w:t xml:space="preserve">价值观测量体系</w:t>
      </w:r>
    </w:p>
    <w:p>
      <w:r>
        <w:t xml:space="preserve">文化价值观的量化测量始于二十世纪后半叶。Hofstede（1980）</w:t>
      </w:r>
      <w:r>
        <w:rPr>
          <w:rStyle w:val="XT引文编号"/>
        </w:rPr>
        <w:t xml:space="preserve">[8]</w:t>
      </w:r>
      <w:r>
        <w:t xml:space="preserve">基于 IBM 全球员工调查提出文化维度理论，后经补充形成权力距离（power distance, PDI）、个人主义/集体主义（individualism/collectivism, IDV）、男性气质/女性气质（masculinity/femininity, MAS）、不确定性规避（uncertainty avoidance, UAI）、长期/短期导向（long-/short-term orientation, LTO）、放纵/约束（indulgence/restraint, IND）六维体系（Hofstede, 2001</w:t>
      </w:r>
      <w:r>
        <w:rPr>
          <w:rStyle w:val="XT引文编号"/>
        </w:rPr>
        <w:t xml:space="preserve">[9]</w:t>
      </w:r>
      <w:r>
        <w:t xml:space="preserve">）。Inglehart（1997）</w:t>
      </w:r>
      <w:r>
        <w:rPr>
          <w:rStyle w:val="XT引文编号"/>
        </w:rPr>
        <w:t xml:space="preserve">[1]</w:t>
      </w:r>
      <w:r>
        <w:t xml:space="preserve">基于跨国调查提出"传统—世俗理性"与"生存—自我表达"双维文化地图。施瓦茨人类基本价值观理论经精炼形成 19 个价值维度并具环形结构（Schwartz, 1992</w:t>
      </w:r>
      <w:r>
        <w:rPr>
          <w:rStyle w:val="XT引文编号"/>
        </w:rPr>
        <w:t xml:space="preserve">[10]</w:t>
      </w:r>
      <w:r>
        <w:t xml:space="preserve">；Schwartz &amp; Cieciuch, 2012</w:t>
      </w:r>
      <w:r>
        <w:rPr>
          <w:rStyle w:val="XT引文编号"/>
        </w:rPr>
        <w:t xml:space="preserve">[11]</w:t>
      </w:r>
      <w:r>
        <w:t xml:space="preserve">），为个体层面价值观测量提供了成熟工具。</w:t>
      </w:r>
    </w:p>
    <w:p>
      <w:r>
        <w:t xml:space="preserve">在本土价值体系方面，党的十八大提出社会主义核心价值观（Socialist Core Values, SCV；富强、民主、文明、和谐；自由、平等、公正、法治；爱国、敬业、诚信、友善），构成中国官方倡导的核心价值体系，也是本文本土层的测量标尺。需要说明的是，价值观不仅存在于国民个体层面，也系统性地刻画在各国媒体的角色认知与报道实践中——Hanitzsch </w:t>
      </w:r>
      <w:r>
        <w:rPr>
          <w:rStyle w:val="XT外文斜体"/>
        </w:rPr>
        <w:t xml:space="preserve">et al.</w:t>
      </w:r>
      <w:r>
        <w:t xml:space="preserve">（2011）</w:t>
      </w:r>
      <w:r>
        <w:rPr>
          <w:rStyle w:val="XT引文编号"/>
        </w:rPr>
        <w:t xml:space="preserve">[12]</w:t>
      </w:r>
      <w:r>
        <w:t xml:space="preserve">对 18 国新闻文化的大规模比较已表明，价值取向系统性地存在于各国媒体话语之中，这为以媒体文本测度价值观提供了学科依据。</w:t>
      </w:r>
    </w:p>
    <w:p>
      <w:pPr>
        <w:pStyle w:val="21"/>
      </w:pPr>
      <w:r>
        <w:t xml:space="preserve">中国官方话语与三层传播链</w:t>
      </w:r>
    </w:p>
    <w:p>
      <w:r>
        <w:t xml:space="preserve">中国官方媒体话语是一个具有自身价值重心与运作逻辑的话语体系。Brady（2008）</w:t>
      </w:r>
      <w:r>
        <w:rPr>
          <w:rStyle w:val="XT引文编号"/>
        </w:rPr>
        <w:t xml:space="preserve">[13]</w:t>
      </w:r>
      <w:r>
        <w:t xml:space="preserve">分析了宣传与思想工作的运作逻辑，Stockmann（2013）</w:t>
      </w:r>
      <w:r>
        <w:rPr>
          <w:rStyle w:val="XT引文编号"/>
        </w:rPr>
        <w:t xml:space="preserve">[14]</w:t>
      </w:r>
      <w:r>
        <w:t xml:space="preserve">考察了媒体商业化与治理体制下的信息生态，Repnikova（2017）</w:t>
      </w:r>
      <w:r>
        <w:rPr>
          <w:rStyle w:val="XT引文编号"/>
        </w:rPr>
        <w:t xml:space="preserve">[15]</w:t>
      </w:r>
      <w:r>
        <w:t xml:space="preserve">进一步刻画了中国媒体政治的即兴权力运作。在传播学传统中，媒体被视为价值的中介者与建构者（Shoemaker &amp; Reese, 2014</w:t>
      </w:r>
      <w:r>
        <w:rPr>
          <w:rStyle w:val="XT引文编号"/>
        </w:rPr>
        <w:t xml:space="preserve">[16]</w:t>
      </w:r>
      <w:r>
        <w:t xml:space="preserve">）。这些研究共同提示：国家、媒体与大众构成一条价值传播链——国家层的政府工作报告承载最高政治表达，媒体层的主流新闻承担议程设置与中介放大，大众层的影评与社交媒体言论承载民间价值表达与接受。但三者之间的</w:t>
      </w:r>
      <w:r>
        <w:rPr>
          <w:b/>
        </w:rPr>
        <w:t xml:space="preserve">一致性程度始终缺少可量化的证据</w:t>
      </w:r>
      <w:r>
        <w:t xml:space="preserve">，这正是本文的切入点。</w:t>
      </w:r>
    </w:p>
    <w:p>
      <w:pPr>
        <w:pStyle w:val="21"/>
      </w:pPr>
      <w:r>
        <w:t xml:space="preserve">文本价值观测量的方法进展</w:t>
      </w:r>
    </w:p>
    <w:p>
      <w:r>
        <w:t xml:space="preserve">以文本测量价值观主要有三类方法。其一为词典法：以预先构建的心理词典统计词频，如语言探询与词频统计（Linguistic Inquiry and Word Count, LIWC；Pennebaker </w:t>
      </w:r>
      <w:r>
        <w:rPr>
          <w:rStyle w:val="XT外文斜体"/>
        </w:rPr>
        <w:t xml:space="preserve">et al.</w:t>
      </w:r>
      <w:r>
        <w:t xml:space="preserve">, 2015</w:t>
      </w:r>
      <w:r>
        <w:rPr>
          <w:rStyle w:val="XT引文编号"/>
        </w:rPr>
        <w:t xml:space="preserve">[17]</w:t>
      </w:r>
      <w:r>
        <w:t xml:space="preserve">）与 Schwartz 个人价值观词典（Personal Values Dictionary, PVD；Ponizovskiy </w:t>
      </w:r>
      <w:r>
        <w:rPr>
          <w:rStyle w:val="XT外文斜体"/>
        </w:rPr>
        <w:t xml:space="preserve">et al.</w:t>
      </w:r>
      <w:r>
        <w:t xml:space="preserve">, 2020</w:t>
      </w:r>
      <w:r>
        <w:rPr>
          <w:rStyle w:val="XT引文编号"/>
        </w:rPr>
        <w:t xml:space="preserve">[18]</w:t>
      </w:r>
      <w:r>
        <w:t xml:space="preserve">），优点是透明可复现，缺点是语境敏感性弱。其二为词嵌入法：Caliskan </w:t>
      </w:r>
      <w:r>
        <w:rPr>
          <w:rStyle w:val="XT外文斜体"/>
        </w:rPr>
        <w:t xml:space="preserve">et al.</w:t>
      </w:r>
      <w:r>
        <w:t xml:space="preserve">（2017）</w:t>
      </w:r>
      <w:r>
        <w:rPr>
          <w:rStyle w:val="XT引文编号"/>
        </w:rPr>
        <w:t xml:space="preserve">[19]</w:t>
      </w:r>
      <w:r>
        <w:t xml:space="preserve">证明词嵌入中编码着类人的社会偏见，Bolukbasi </w:t>
      </w:r>
      <w:r>
        <w:rPr>
          <w:rStyle w:val="XT外文斜体"/>
        </w:rPr>
        <w:t xml:space="preserve">et al.</w:t>
      </w:r>
      <w:r>
        <w:t xml:space="preserve">（2016）</w:t>
      </w:r>
      <w:r>
        <w:rPr>
          <w:rStyle w:val="XT引文编号"/>
        </w:rPr>
        <w:t xml:space="preserve">[20]</w:t>
      </w:r>
      <w:r>
        <w:t xml:space="preserve">提出对词向量去偏，Garg </w:t>
      </w:r>
      <w:r>
        <w:rPr>
          <w:rStyle w:val="XT外文斜体"/>
        </w:rPr>
        <w:t xml:space="preserve">et al.</w:t>
      </w:r>
      <w:r>
        <w:t xml:space="preserve">（2018）</w:t>
      </w:r>
      <w:r>
        <w:rPr>
          <w:rStyle w:val="XT引文编号"/>
        </w:rPr>
        <w:t xml:space="preserve">[21]</w:t>
      </w:r>
      <w:r>
        <w:t xml:space="preserve">用词嵌入量化百年刻板印象变迁，Kozlowski </w:t>
      </w:r>
      <w:r>
        <w:rPr>
          <w:rStyle w:val="XT外文斜体"/>
        </w:rPr>
        <w:t xml:space="preserve">et al.</w:t>
      </w:r>
      <w:r>
        <w:t xml:space="preserve">（2019）</w:t>
      </w:r>
      <w:r>
        <w:rPr>
          <w:rStyle w:val="XT引文编号"/>
        </w:rPr>
        <w:t xml:space="preserve">[22]</w:t>
      </w:r>
      <w:r>
        <w:t xml:space="preserve">提出以词嵌入分析意义的"文化几何"，Hamilton </w:t>
      </w:r>
      <w:r>
        <w:rPr>
          <w:rStyle w:val="XT外文斜体"/>
        </w:rPr>
        <w:t xml:space="preserve">et al.</w:t>
      </w:r>
      <w:r>
        <w:t xml:space="preserve">（2016）</w:t>
      </w:r>
      <w:r>
        <w:rPr>
          <w:rStyle w:val="XT引文编号"/>
        </w:rPr>
        <w:t xml:space="preserve">[23]</w:t>
      </w:r>
      <w:r>
        <w:t xml:space="preserve">揭示了语义演化的统计规律。其三为预训练语言模型：双向编码器表示（Bidirectional Encoder Representations from Transformers, BERT；Devlin </w:t>
      </w:r>
      <w:r>
        <w:rPr>
          <w:rStyle w:val="XT外文斜体"/>
        </w:rPr>
        <w:t xml:space="preserve">et al.</w:t>
      </w:r>
      <w:r>
        <w:t xml:space="preserve">, 2019</w:t>
      </w:r>
      <w:r>
        <w:rPr>
          <w:rStyle w:val="XT引文编号"/>
        </w:rPr>
        <w:t xml:space="preserve">[24]</w:t>
      </w:r>
      <w:r>
        <w:t xml:space="preserve">）与多语嵌入模型显著提升了语义表征与跨语言能力。</w:t>
      </w:r>
    </w:p>
    <w:p>
      <w:r>
        <w:t xml:space="preserve">跨语言测量是本文的技术关键，其陷阱值得专门审视。无监督跨语言词嵌入对齐（Conneau </w:t>
      </w:r>
      <w:r>
        <w:rPr>
          <w:rStyle w:val="XT外文斜体"/>
        </w:rPr>
        <w:t xml:space="preserve">et al.</w:t>
      </w:r>
      <w:r>
        <w:t xml:space="preserve">, 2018</w:t>
      </w:r>
      <w:r>
        <w:rPr>
          <w:rStyle w:val="XT引文编号"/>
        </w:rPr>
        <w:t xml:space="preserve">[25]</w:t>
      </w:r>
      <w:r>
        <w:t xml:space="preserve">）与大规模跨语言预训练（Conneau </w:t>
      </w:r>
      <w:r>
        <w:rPr>
          <w:rStyle w:val="XT外文斜体"/>
        </w:rPr>
        <w:t xml:space="preserve">et al.</w:t>
      </w:r>
      <w:r>
        <w:t xml:space="preserve">, 2020</w:t>
      </w:r>
      <w:r>
        <w:rPr>
          <w:rStyle w:val="XT引文编号"/>
        </w:rPr>
        <w:t xml:space="preserve">[26]</w:t>
      </w:r>
      <w:r>
        <w:t xml:space="preserve">）使多语统一表征成为可能（Ruder </w:t>
      </w:r>
      <w:r>
        <w:rPr>
          <w:rStyle w:val="XT外文斜体"/>
        </w:rPr>
        <w:t xml:space="preserve">et al.</w:t>
      </w:r>
      <w:r>
        <w:t xml:space="preserve">, 2019</w:t>
      </w:r>
      <w:r>
        <w:rPr>
          <w:rStyle w:val="XT引文编号"/>
        </w:rPr>
        <w:t xml:space="preserve">[27]</w:t>
      </w:r>
      <w:r>
        <w:t xml:space="preserve">），但跨语言评估的稳健性本身即是难题（Glavaš </w:t>
      </w:r>
      <w:r>
        <w:rPr>
          <w:rStyle w:val="XT外文斜体"/>
        </w:rPr>
        <w:t xml:space="preserve">et al.</w:t>
      </w:r>
      <w:r>
        <w:t xml:space="preserve">, 2019</w:t>
      </w:r>
      <w:r>
        <w:rPr>
          <w:rStyle w:val="XT引文编号"/>
        </w:rPr>
        <w:t xml:space="preserve">[7]</w:t>
      </w:r>
      <w:r>
        <w:t xml:space="preserve">）：跨语言相似度的绝对值不能直接比较，必须经文本内标准化校正。本文据此设计了测量方法中的关键校正环节。</w:t>
      </w:r>
    </w:p>
    <w:p>
      <w:r>
        <w:t xml:space="preserve">近年大语言模型（large language model, LLM）的价值对齐研究进一步凸显了测量本身的重要性：Ramezani &amp; Xu（2023）</w:t>
      </w:r>
      <w:r>
        <w:rPr>
          <w:rStyle w:val="XT引文编号"/>
        </w:rPr>
        <w:t xml:space="preserve">[28]</w:t>
      </w:r>
      <w:r>
        <w:t xml:space="preserve">考察模型对各国文化道德规范的知识，Tao </w:t>
      </w:r>
      <w:r>
        <w:rPr>
          <w:rStyle w:val="XT外文斜体"/>
        </w:rPr>
        <w:t xml:space="preserve">et al.</w:t>
      </w:r>
      <w:r>
        <w:t xml:space="preserve">（2024）</w:t>
      </w:r>
      <w:r>
        <w:rPr>
          <w:rStyle w:val="XT引文编号"/>
        </w:rPr>
        <w:t xml:space="preserve">[29]</w:t>
      </w:r>
      <w:r>
        <w:t xml:space="preserve">系统测量模型的文化偏置，Kabir </w:t>
      </w:r>
      <w:r>
        <w:rPr>
          <w:rStyle w:val="XT外文斜体"/>
        </w:rPr>
        <w:t xml:space="preserve">et al.</w:t>
      </w:r>
      <w:r>
        <w:t xml:space="preserve">（2025）</w:t>
      </w:r>
      <w:r>
        <w:rPr>
          <w:rStyle w:val="XT引文编号"/>
        </w:rPr>
        <w:t xml:space="preserve">[30]</w:t>
      </w:r>
      <w:r>
        <w:t xml:space="preserve">证明封闭式评估会因选项重排而不稳，Adilazuarda </w:t>
      </w:r>
      <w:r>
        <w:rPr>
          <w:rStyle w:val="XT外文斜体"/>
        </w:rPr>
        <w:t xml:space="preserve">et al.</w:t>
      </w:r>
      <w:r>
        <w:t xml:space="preserve">（2024</w:t>
      </w:r>
      <w:r>
        <w:rPr>
          <w:rStyle w:val="XT引文编号"/>
        </w:rPr>
        <w:t xml:space="preserve">[31]</w:t>
      </w:r>
      <w:r>
        <w:t xml:space="preserve">、2025</w:t>
      </w:r>
      <w:r>
        <w:rPr>
          <w:rStyle w:val="XT引文编号"/>
        </w:rPr>
        <w:t xml:space="preserve">[32]</w:t>
      </w:r>
      <w:r>
        <w:t xml:space="preserve">）系统梳理了"文化"的测量路径并主张以叙事任务替代问卷施测。这些争论与本文面临的"封闭词表 vs 操作化定义"问题结构同构，共同指向一个结论：</w:t>
      </w:r>
      <w:r>
        <w:rPr>
          <w:b/>
        </w:rPr>
        <w:t xml:space="preserve">任何以模型为中介的价值测量，都必须先证明测量本身可靠</w:t>
      </w:r>
      <w:r>
        <w:t xml:space="preserve">。</w:t>
      </w:r>
    </w:p>
    <w:p>
      <w:pPr>
        <w:pStyle w:val="21"/>
      </w:pPr>
      <w:r>
        <w:t xml:space="preserve">研究缺口</w:t>
      </w:r>
    </w:p>
    <w:p>
      <w:r>
        <w:t xml:space="preserve">综合上述文献，本文识别出四方面缺口：（1）</w:t>
      </w:r>
      <w:r>
        <w:rPr>
          <w:b/>
        </w:rPr>
        <w:t xml:space="preserve">关系缺口</w:t>
      </w:r>
      <w:r>
        <w:t xml:space="preserve">：国家—媒体—大众三层之间的一致性程度缺少可量化证据；（2）</w:t>
      </w:r>
      <w:r>
        <w:rPr>
          <w:b/>
        </w:rPr>
        <w:t xml:space="preserve">稳定性缺口</w:t>
      </w:r>
      <w:r>
        <w:t xml:space="preserve">：价值结构在十年尺度的稳定性未被实证检验；（3）</w:t>
      </w:r>
      <w:r>
        <w:rPr>
          <w:b/>
        </w:rPr>
        <w:t xml:space="preserve">特质缺口</w:t>
      </w:r>
      <w:r>
        <w:t xml:space="preserve">：中国价值观话语相对西方的语域特质、以及中国观众价值表达是否随内容文化归属变化，均缺乏系统刻画；（4）</w:t>
      </w:r>
      <w:r>
        <w:rPr>
          <w:b/>
        </w:rPr>
        <w:t xml:space="preserve">方法缺口</w:t>
      </w:r>
      <w:r>
        <w:t xml:space="preserve">：缺少经效度验证、可复现的中文价值观文本测量工具。本文的测量管线与分析设计即针对这些缺口。</w:t>
      </w:r>
    </w:p>
    <w:p>
      <w:pPr>
        <w:pStyle w:val="1"/>
      </w:pPr>
      <w:r>
        <w:t xml:space="preserve">研究设计</w:t>
      </w:r>
    </w:p>
    <w:p>
      <w:pPr>
        <w:pStyle w:val="21"/>
      </w:pPr>
      <w:r>
        <w:t xml:space="preserve">数据来源</w:t>
      </w:r>
    </w:p>
    <w:p>
      <w:r>
        <w:t xml:space="preserve">本文语料按"国家—媒体—大众"三层组织（表 1），配对设计是控制混淆的关键：同片影评让两侧评论针对</w:t>
      </w:r>
      <w:r>
        <w:rPr>
          <w:b/>
        </w:rPr>
        <w:t xml:space="preserve">同一部电影</w:t>
      </w:r>
      <w:r>
        <w:t xml:space="preserve">（内容完全相同，只剩观众文化背景的差异）；月份对齐新闻让两侧报道处于</w:t>
      </w:r>
      <w:r>
        <w:rPr>
          <w:b/>
        </w:rPr>
        <w:t xml:space="preserve">同一月份与相近议题周期</w:t>
      </w:r>
      <w:r>
        <w:t xml:space="preserve">；按年配对的施政文本让两侧处于</w:t>
      </w:r>
      <w:r>
        <w:rPr>
          <w:b/>
        </w:rPr>
        <w:t xml:space="preserve">同一年度</w:t>
      </w:r>
      <w:r>
        <w:t xml:space="preserve">。只有在内容对齐之下，测到的差异才更可能来自"人"与"话语"的差异。</w:t>
      </w:r>
    </w:p>
    <w:p>
      <w:r>
        <w:rPr>
          <w:b/>
        </w:rPr>
        <w:t xml:space="preserve">国家层</w:t>
      </w:r>
      <w:r>
        <w:t xml:space="preserve">为中国国务院《政府工作报告》（Government Work Report, GWR；1990—2026 年 37 份，全文），并对照西方年度施政文本（英国国王/女王议会开幕演讲 34 篇、美国国情咨文 37 份、欧盟盟情咨文 14 份，共 122 份）。</w:t>
      </w:r>
      <w:r>
        <w:rPr>
          <w:b/>
        </w:rPr>
        <w:t xml:space="preserve">媒体层</w:t>
      </w:r>
      <w:r>
        <w:t xml:space="preserve">为人民日报系媒体 2026 年 1—9 月电子版 19,985 篇，并辅以新华网、中新网、央广网 571 篇；为做中西对照，另取 FineNews 语料库中西方主流媒体 2025 年全年 62,925 篇（Independent、Fox、Telegraph、WaPo、NYT、CNN 等），按"相邻年份同月份"对齐并分层抽样为 9 个月×双侧各 1,500 篇的配对集（27,000 篇）。</w:t>
      </w:r>
      <w:r>
        <w:rPr>
          <w:b/>
        </w:rPr>
        <w:t xml:space="preserve">大众层</w:t>
      </w:r>
      <w:r>
        <w:t xml:space="preserve">为豆瓣影评——2019 年抓取的 236 万条长评论中，经与 Letterboxd 同片配对（3,134 部影片、46,274 条，片名×上映年份双重消歧）后的中文侧 23,137 条；另建华语片同片配对集（618 部中国大陆/港台影片）。三层语料的时间跨度使"十年稳定性"检验成为可能：豆瓣影评可回溯至 2010 年，人民日报可做逐月追踪，政府工作报告横跨 1990—2026 年。</w:t>
      </w:r>
    </w:p>
    <w:p>
      <w:pPr>
        <w:pStyle w:val="XT表标题"/>
      </w:pPr>
      <w:r>
        <w:t xml:space="preserve">表1：三层语料构成与规模</w:t>
      </w:r>
    </w:p>
    <w:tbl>
      <w:tblPr>
        <w:tblStyle w:val="XT三线表"/>
        <w:tblW w:w="8504" w:type="dxa"/>
        <w:tblInd w:w="0" w:type="dxa"/>
        <w:tblLayout w:type="fixed"/>
        <w:tblLook w:val="04A0" w:firstRow="1" w:lastRow="0" w:firstColumn="1" w:lastColumn="0" w:noHBand="0" w:noVBand="1"/>
      </w:tblPr>
      <w:tblGrid>
        <w:gridCol w:w="1700"/>
        <w:gridCol w:w="1700"/>
        <w:gridCol w:w="1700"/>
        <w:gridCol w:w="1700"/>
        <w:gridCol w:w="1700"/>
      </w:tblGrid>
      <w:tr>
        <w:trPr>
          <w:cnfStyle w:val="100000000000" w:firstRow="1" w:lastRow="0" w:firstColumn="0" w:lastColumn="0" w:oddVBand="0" w:evenVBand="0" w:oddHBand="0" w:evenHBand="0" w:firstRowFirstColumn="0" w:firstRowLastColumn="0" w:lastRowFirstColumn="0" w:lastRowLastColumn="0"/>
        </w:trPr>
        <w:tc>
          <w:tcPr>
            <w:tcW w:w="1700" w:type="dxa"/>
          </w:tcPr>
          <w:p>
            <w:pPr>
              <w:pStyle w:val="XT表格正文"/>
            </w:pPr>
            <w:r>
              <w:t xml:space="preserve">层</w:t>
            </w:r>
          </w:p>
        </w:tc>
        <w:tc>
          <w:tcPr>
            <w:tcW w:w="1700" w:type="dxa"/>
          </w:tcPr>
          <w:p>
            <w:pPr>
              <w:pStyle w:val="XT表格正文"/>
            </w:pPr>
            <w:r>
              <w:t xml:space="preserve">语料</w:t>
            </w:r>
          </w:p>
        </w:tc>
        <w:tc>
          <w:tcPr>
            <w:tcW w:w="1700" w:type="dxa"/>
          </w:tcPr>
          <w:p>
            <w:pPr>
              <w:pStyle w:val="XT表格正文"/>
            </w:pPr>
            <w:r>
              <w:t xml:space="preserve">规模</w:t>
            </w:r>
          </w:p>
        </w:tc>
        <w:tc>
          <w:tcPr>
            <w:tcW w:w="1700" w:type="dxa"/>
          </w:tcPr>
          <w:p>
            <w:pPr>
              <w:pStyle w:val="XT表格正文"/>
            </w:pPr>
            <w:r>
              <w:t xml:space="preserve">时间跨度</w:t>
            </w:r>
          </w:p>
        </w:tc>
        <w:tc>
          <w:tcPr>
            <w:tcW w:w="1700" w:type="dxa"/>
          </w:tcPr>
          <w:p>
            <w:pPr>
              <w:pStyle w:val="XT表格正文"/>
            </w:pPr>
            <w:r>
              <w:t xml:space="preserve">用途</w:t>
            </w:r>
          </w:p>
        </w:tc>
      </w:tr>
      <w:tr>
        <w:tc>
          <w:tcPr>
            <w:tcW w:w="1700" w:type="dxa"/>
          </w:tcPr>
          <w:p>
            <w:pPr>
              <w:pStyle w:val="XT表格正文"/>
            </w:pPr>
            <w:r>
              <w:t xml:space="preserve">国家层</w:t>
            </w:r>
          </w:p>
        </w:tc>
        <w:tc>
          <w:tcPr>
            <w:tcW w:w="1700" w:type="dxa"/>
          </w:tcPr>
          <w:p>
            <w:pPr>
              <w:pStyle w:val="XT表格正文"/>
            </w:pPr>
            <w:r>
              <w:t xml:space="preserve">中国政府工作报告（全文）</w:t>
            </w:r>
          </w:p>
        </w:tc>
        <w:tc>
          <w:tcPr>
            <w:tcW w:w="1700" w:type="dxa"/>
          </w:tcPr>
          <w:p>
            <w:pPr>
              <w:pStyle w:val="XT表格正文"/>
            </w:pPr>
            <w:r>
              <w:t xml:space="preserve">37 份</w:t>
            </w:r>
          </w:p>
        </w:tc>
        <w:tc>
          <w:tcPr>
            <w:tcW w:w="1700" w:type="dxa"/>
          </w:tcPr>
          <w:p>
            <w:pPr>
              <w:pStyle w:val="XT表格正文"/>
            </w:pPr>
            <w:r>
              <w:t xml:space="preserve">1990—2026</w:t>
            </w:r>
          </w:p>
        </w:tc>
        <w:tc>
          <w:tcPr>
            <w:tcW w:w="1700" w:type="dxa"/>
          </w:tcPr>
          <w:p>
            <w:pPr>
              <w:pStyle w:val="XT表格正文"/>
            </w:pPr>
            <w:r>
              <w:t xml:space="preserve">价值倡导</w:t>
            </w:r>
          </w:p>
        </w:tc>
      </w:tr>
      <w:tr>
        <w:tc>
          <w:tcPr>
            <w:tcW w:w="1700" w:type="dxa"/>
          </w:tcPr>
          <w:p>
            <w:pPr>
              <w:pStyle w:val="XT表格正文"/>
            </w:pPr>
            <w:r>
              <w:t xml:space="preserve">国家层（对照）</w:t>
            </w:r>
          </w:p>
        </w:tc>
        <w:tc>
          <w:tcPr>
            <w:tcW w:w="1700" w:type="dxa"/>
          </w:tcPr>
          <w:p>
            <w:pPr>
              <w:pStyle w:val="XT表格正文"/>
            </w:pPr>
            <w:r>
              <w:t xml:space="preserve">国王演讲/SOTU/SOTEU</w:t>
            </w:r>
          </w:p>
        </w:tc>
        <w:tc>
          <w:tcPr>
            <w:tcW w:w="1700" w:type="dxa"/>
          </w:tcPr>
          <w:p>
            <w:pPr>
              <w:pStyle w:val="XT表格正文"/>
            </w:pPr>
            <w:r>
              <w:t xml:space="preserve">85 份</w:t>
            </w:r>
          </w:p>
        </w:tc>
        <w:tc>
          <w:tcPr>
            <w:tcW w:w="1700" w:type="dxa"/>
          </w:tcPr>
          <w:p>
            <w:pPr>
              <w:pStyle w:val="XT表格正文"/>
            </w:pPr>
            <w:r>
              <w:t xml:space="preserve">1990—2026</w:t>
            </w:r>
          </w:p>
        </w:tc>
        <w:tc>
          <w:tcPr>
            <w:tcW w:w="1700" w:type="dxa"/>
          </w:tcPr>
          <w:p>
            <w:pPr>
              <w:pStyle w:val="XT表格正文"/>
            </w:pPr>
            <w:r>
              <w:t xml:space="preserve">中西对照</w:t>
            </w:r>
          </w:p>
        </w:tc>
      </w:tr>
      <w:tr>
        <w:tc>
          <w:tcPr>
            <w:tcW w:w="1700" w:type="dxa"/>
          </w:tcPr>
          <w:p>
            <w:pPr>
              <w:pStyle w:val="XT表格正文"/>
            </w:pPr>
            <w:r>
              <w:t xml:space="preserve">媒体层</w:t>
            </w:r>
          </w:p>
        </w:tc>
        <w:tc>
          <w:tcPr>
            <w:tcW w:w="1700" w:type="dxa"/>
          </w:tcPr>
          <w:p>
            <w:pPr>
              <w:pStyle w:val="XT表格正文"/>
            </w:pPr>
            <w:r>
              <w:t xml:space="preserve">人民日报系 4 家（中文侧）</w:t>
            </w:r>
          </w:p>
        </w:tc>
        <w:tc>
          <w:tcPr>
            <w:tcW w:w="1700" w:type="dxa"/>
          </w:tcPr>
          <w:p>
            <w:pPr>
              <w:pStyle w:val="XT表格正文"/>
            </w:pPr>
            <w:r>
              <w:t xml:space="preserve">20,556 篇</w:t>
            </w:r>
          </w:p>
        </w:tc>
        <w:tc>
          <w:tcPr>
            <w:tcW w:w="1700" w:type="dxa"/>
          </w:tcPr>
          <w:p>
            <w:pPr>
              <w:pStyle w:val="XT表格正文"/>
            </w:pPr>
            <w:r>
              <w:t xml:space="preserve">2026-01~09</w:t>
            </w:r>
          </w:p>
        </w:tc>
        <w:tc>
          <w:tcPr>
            <w:tcW w:w="1700" w:type="dxa"/>
          </w:tcPr>
          <w:p>
            <w:pPr>
              <w:pStyle w:val="XT表格正文"/>
            </w:pPr>
            <w:r>
              <w:t xml:space="preserve">媒体传递</w:t>
            </w:r>
          </w:p>
        </w:tc>
      </w:tr>
      <w:tr>
        <w:tc>
          <w:tcPr>
            <w:tcW w:w="1700" w:type="dxa"/>
          </w:tcPr>
          <w:p>
            <w:pPr>
              <w:pStyle w:val="XT表格正文"/>
            </w:pPr>
            <w:r>
              <w:t xml:space="preserve">媒体层（对照）</w:t>
            </w:r>
          </w:p>
        </w:tc>
        <w:tc>
          <w:tcPr>
            <w:tcW w:w="1700" w:type="dxa"/>
          </w:tcPr>
          <w:p>
            <w:pPr>
              <w:pStyle w:val="XT表格正文"/>
              <w:jc w:val="left"/>
            </w:pPr>
            <w:r>
              <w:t xml:space="preserve">FineNews 西方主流媒体 12 家</w:t>
            </w:r>
          </w:p>
        </w:tc>
        <w:tc>
          <w:tcPr>
            <w:tcW w:w="1700" w:type="dxa"/>
          </w:tcPr>
          <w:p>
            <w:pPr>
              <w:pStyle w:val="XT表格正文"/>
            </w:pPr>
            <w:r>
              <w:t xml:space="preserve">13,500 篇</w:t>
            </w:r>
          </w:p>
        </w:tc>
        <w:tc>
          <w:tcPr>
            <w:tcW w:w="1700" w:type="dxa"/>
          </w:tcPr>
          <w:p>
            <w:pPr>
              <w:pStyle w:val="XT表格正文"/>
            </w:pPr>
            <w:r>
              <w:t xml:space="preserve">2025-01~09</w:t>
            </w:r>
          </w:p>
        </w:tc>
        <w:tc>
          <w:tcPr>
            <w:tcW w:w="1700" w:type="dxa"/>
          </w:tcPr>
          <w:p>
            <w:pPr>
              <w:pStyle w:val="XT表格正文"/>
            </w:pPr>
            <w:r>
              <w:t xml:space="preserve">中西对照</w:t>
            </w:r>
          </w:p>
        </w:tc>
      </w:tr>
      <w:tr>
        <w:tc>
          <w:tcPr>
            <w:tcW w:w="1700" w:type="dxa"/>
          </w:tcPr>
          <w:p>
            <w:pPr>
              <w:pStyle w:val="XT表格正文"/>
            </w:pPr>
            <w:r>
              <w:t xml:space="preserve">大众层</w:t>
            </w:r>
          </w:p>
        </w:tc>
        <w:tc>
          <w:tcPr>
            <w:tcW w:w="1700" w:type="dxa"/>
          </w:tcPr>
          <w:p>
            <w:pPr>
              <w:pStyle w:val="XT表格正文"/>
            </w:pPr>
            <w:r>
              <w:t xml:space="preserve">豆瓣影评（中文侧，同片）</w:t>
            </w:r>
          </w:p>
        </w:tc>
        <w:tc>
          <w:tcPr>
            <w:tcW w:w="1700" w:type="dxa"/>
          </w:tcPr>
          <w:p>
            <w:pPr>
              <w:pStyle w:val="XT表格正文"/>
            </w:pPr>
            <w:r>
              <w:t xml:space="preserve">23,137 条</w:t>
            </w:r>
          </w:p>
        </w:tc>
        <w:tc>
          <w:tcPr>
            <w:tcW w:w="1700" w:type="dxa"/>
          </w:tcPr>
          <w:p>
            <w:pPr>
              <w:pStyle w:val="XT表格正文"/>
            </w:pPr>
            <w:r>
              <w:t xml:space="preserve">2010—2019</w:t>
            </w:r>
          </w:p>
        </w:tc>
        <w:tc>
          <w:tcPr>
            <w:tcW w:w="1700" w:type="dxa"/>
          </w:tcPr>
          <w:p>
            <w:pPr>
              <w:pStyle w:val="XT表格正文"/>
            </w:pPr>
            <w:r>
              <w:t xml:space="preserve">大众表达</w:t>
            </w:r>
          </w:p>
        </w:tc>
      </w:tr>
      <w:tr>
        <w:tc>
          <w:tcPr>
            <w:tcW w:w="1700" w:type="dxa"/>
          </w:tcPr>
          <w:p>
            <w:pPr>
              <w:pStyle w:val="XT表格正文"/>
            </w:pPr>
            <w:r>
              <w:t xml:space="preserve">大众层（对照）</w:t>
            </w:r>
          </w:p>
        </w:tc>
        <w:tc>
          <w:tcPr>
            <w:tcW w:w="1700" w:type="dxa"/>
          </w:tcPr>
          <w:p>
            <w:pPr>
              <w:pStyle w:val="XT表格正文"/>
              <w:jc w:val="left"/>
            </w:pPr>
            <w:r>
              <w:t xml:space="preserve">Letterboxd 影评（英文侧，同片）</w:t>
            </w:r>
          </w:p>
        </w:tc>
        <w:tc>
          <w:tcPr>
            <w:tcW w:w="1700" w:type="dxa"/>
          </w:tcPr>
          <w:p>
            <w:pPr>
              <w:pStyle w:val="XT表格正文"/>
            </w:pPr>
            <w:r>
              <w:t xml:space="preserve">23,137 条</w:t>
            </w:r>
          </w:p>
        </w:tc>
        <w:tc>
          <w:tcPr>
            <w:tcW w:w="1700" w:type="dxa"/>
          </w:tcPr>
          <w:p>
            <w:pPr>
              <w:pStyle w:val="XT表格正文"/>
            </w:pPr>
            <w:r>
              <w:t xml:space="preserve">2025</w:t>
            </w:r>
          </w:p>
        </w:tc>
        <w:tc>
          <w:tcPr>
            <w:tcW w:w="1700" w:type="dxa"/>
          </w:tcPr>
          <w:p>
            <w:pPr>
              <w:pStyle w:val="XT表格正文"/>
            </w:pPr>
            <w:r>
              <w:t xml:space="preserve">中西对照</w:t>
            </w:r>
          </w:p>
        </w:tc>
      </w:tr>
      <w:tr>
        <w:tc>
          <w:tcPr>
            <w:tcW w:w="1700" w:type="dxa"/>
          </w:tcPr>
          <w:p>
            <w:pPr>
              <w:pStyle w:val="XT表格正文"/>
            </w:pPr>
            <w:r>
              <w:t xml:space="preserve">大众层（华语片）</w:t>
            </w:r>
          </w:p>
        </w:tc>
        <w:tc>
          <w:tcPr>
            <w:tcW w:w="1700" w:type="dxa"/>
          </w:tcPr>
          <w:p>
            <w:pPr>
              <w:pStyle w:val="XT表格正文"/>
              <w:jc w:val="left"/>
            </w:pPr>
            <w:r>
              <w:t xml:space="preserve">豆瓣×Letterboxd 华语片同片</w:t>
            </w:r>
          </w:p>
        </w:tc>
        <w:tc>
          <w:tcPr>
            <w:tcW w:w="1700" w:type="dxa"/>
          </w:tcPr>
          <w:p>
            <w:pPr>
              <w:pStyle w:val="XT表格正文"/>
            </w:pPr>
            <w:r>
              <w:t xml:space="preserve">618 部（9,744 条）</w:t>
            </w:r>
          </w:p>
        </w:tc>
        <w:tc>
          <w:tcPr>
            <w:tcW w:w="1700" w:type="dxa"/>
          </w:tcPr>
          <w:p>
            <w:pPr>
              <w:pStyle w:val="XT表格正文"/>
            </w:pPr>
            <w:r>
              <w:t xml:space="preserve">—</w:t>
            </w:r>
          </w:p>
        </w:tc>
        <w:tc>
          <w:tcPr>
            <w:tcW w:w="1700" w:type="dxa"/>
          </w:tcPr>
          <w:p>
            <w:pPr>
              <w:pStyle w:val="XT表格正文"/>
            </w:pPr>
            <w:r>
              <w:t xml:space="preserve">内容归属调节</w:t>
            </w:r>
          </w:p>
        </w:tc>
      </w:tr>
    </w:tbl>
    <w:p>
      <w:pPr>
        <w:pStyle w:val="XT图表注"/>
      </w:pPr>
      <w:r>
        <w:t xml:space="preserve">注：三层语料均经清洗与去重；影评经片名×上映年份双重消歧，剔除重拍片与同名剧集的版本错配；政治施政长文档（均值 2.4 万字符）采用分块均值嵌入避免截断。</w:t>
      </w:r>
    </w:p>
    <w:p>
      <w:pPr>
        <w:pStyle w:val="XT图内容"/>
      </w:pPr>
      <w:r xmlns:a="http://schemas.openxmlformats.org/drawingml/2006/main" xmlns:pic="http://schemas.openxmlformats.org/drawingml/2006/picture">
        <w:drawing>
          <wp:inline distT="0" distB="0" distL="0" distR="0">
            <wp:extent cx="4500000" cy="1824613"/>
            <wp:effectExtent l="0" t="0" r="0" b="0"/>
            <wp:docPr id="1001" name="图片1"/>
            <wp:cNvGraphicFramePr/>
            <a:graphic>
              <a:graphicData uri="http://schemas.openxmlformats.org/drawingml/2006/picture">
                <pic:pic>
                  <pic:nvPicPr>
                    <pic:cNvPr id="1001" name="image1.png"/>
                    <pic:cNvPicPr/>
                  </pic:nvPicPr>
                  <pic:blipFill>
                    <a:blip r:embed="rIdFig1"/>
                    <a:stretch>
                      <a:fillRect/>
                    </a:stretch>
                  </pic:blipFill>
                  <pic:spPr>
                    <a:xfrm>
                      <a:off x="0" y="0"/>
                      <a:ext cx="4500000" cy="1824613"/>
                    </a:xfrm>
                    <a:prstGeom prst="rect">
                      <a:avLst/>
                    </a:prstGeom>
                  </pic:spPr>
                </pic:pic>
              </a:graphicData>
            </a:graphic>
          </wp:inline>
        </w:drawing>
      </w:r>
    </w:p>
    <w:p>
      <w:pPr>
        <w:pStyle w:val="XT图标题"/>
      </w:pPr>
      <w:r>
        <w:t xml:space="preserve">图1：三层话语的研究框架</w:t>
      </w:r>
    </w:p>
    <w:p>
      <w:pPr>
        <w:pStyle w:val="XT图表注"/>
      </w:pPr>
      <w:r>
        <w:t xml:space="preserve">资料来源：作者绘制。</w:t>
      </w:r>
    </w:p>
    <w:p>
      <w:pPr>
        <w:pStyle w:val="21"/>
      </w:pPr>
      <w:r>
        <w:t xml:space="preserve">测量方法</w:t>
      </w:r>
    </w:p>
    <w:p>
      <w:r>
        <w:t xml:space="preserve">测量回答的问题是"一篇文本在多大程度上贴近某个价值观刻面"，分五步。</w:t>
      </w:r>
      <w:r>
        <w:rPr>
          <w:b/>
        </w:rPr>
        <w:t xml:space="preserve">第一步（向量化）</w:t>
      </w:r>
      <w:r>
        <w:t xml:space="preserve">，把每篇文本与每个价值词交给同一个多语嵌入模型，映射为同一语义空间中的向量——向量的方向编码语义，语义越接近的文本与词，向量方向越相近；统一使用一个模型至关重要，否则中文与英文会落入两个不可比的空间。</w:t>
      </w:r>
      <w:r>
        <w:rPr>
          <w:b/>
        </w:rPr>
        <w:t xml:space="preserve">第二步（刻面定位）</w:t>
      </w:r>
      <w:r>
        <w:t xml:space="preserve">，把每个价值刻面（如"富强"）所含全部词的向量取平均得到质心，它代表该刻面在语义空间中的位置（式（1））。</w:t>
      </w:r>
      <w:r>
        <w:rPr>
          <w:b/>
        </w:rPr>
        <w:t xml:space="preserve">第三步（贴近度）</w:t>
      </w:r>
      <w:r>
        <w:t xml:space="preserve">，计算文本向量与各刻面质心的余弦相似度——相似度越高，该文本越"贴近"这个价值观刻面（式（2））。</w:t>
      </w:r>
      <w:r>
        <w:rPr>
          <w:b/>
        </w:rPr>
        <w:t xml:space="preserve">第四步（消除语言基线）</w:t>
      </w:r>
      <w:r>
        <w:t xml:space="preserve">，我们发现不同语言的文本在同一空间存在系统性基线差异（中文文本对一切刻面普遍更"近"），因此不能直接比较绝对相似度；本文对每篇文本在其所属刻面集合内做文本内标准化（ipsative），只比较同一篇文本在各刻面之间的相对凸显度（式（3））。</w:t>
      </w:r>
      <w:r>
        <w:rPr>
          <w:b/>
        </w:rPr>
        <w:t xml:space="preserve">第五步（方向化）</w:t>
      </w:r>
      <w:r>
        <w:t xml:space="preserve">，对维度的两个极（如集体主义极与个人主义极）做差得到对比分（式（4））——正值表示文本相对偏向集体主义。</w:t>
      </w:r>
    </w:p>
    <w:tbl>
      <w:tblPr>
        <w:tblW w:w="8504" w:type="dxa"/>
        <w:tblLayout w:type="fixed"/>
        <w:tblLook w:val="04A0" w:firstRow="1" w:lastRow="0" w:firstColumn="1" w:lastColumn="0" w:noHBand="0" w:noVBand="1"/>
      </w:tblPr>
      <w:tblGrid>
        <w:gridCol w:w="7513"/>
        <w:gridCol w:w="991"/>
      </w:tblGrid>
      <w:tr>
        <w:tc>
          <w:tcPr>
            <w:tcW w:w="7513" w:type="dxa"/>
          </w:tcPr>
          <w:p>
            <w:pPr>
              <w:pStyle w:val="XT公式"/>
            </w:pPr>
            <m:oMathPara>
              <m:oMath>
                <m:r>
                  <w:rPr>
                    <w:rFonts w:ascii="Cambria Math" w:hAnsi="Cambria Math"/>
                  </w:rPr>
                  <m:t xml:space="preserve">c</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m:t>
                </m:r>
                <m:f>
                  <m:fPr/>
                  <m:num>
                    <m:r>
                      <w:rPr>
                        <w:rFonts w:ascii="Cambria Math" w:hAnsi="Cambria Math"/>
                      </w:rPr>
                      <m:t xml:space="preserve">1</m:t>
                    </m:r>
                  </m:num>
                  <m:den>
                    <m:r>
                      <w:rPr>
                        <w:rFonts w:ascii="Cambria Math" w:hAnsi="Cambria Math"/>
                      </w:rPr>
                      <m:t xml:space="preserve">|</m:t>
                    </m:r>
                    <m:sSub>
                      <m:sSubPr/>
                      <m:e>
                        <m:r>
                          <w:rPr>
                            <w:rFonts w:ascii="Cambria Math" w:hAnsi="Cambria Math"/>
                          </w:rPr>
                          <m:t xml:space="preserve">L</m:t>
                        </m:r>
                      </m:e>
                      <m:sub>
                        <m:r>
                          <w:rPr>
                            <w:rFonts w:ascii="Cambria Math" w:hAnsi="Cambria Math"/>
                          </w:rPr>
                          <m:t xml:space="preserve">f</m:t>
                        </m:r>
                      </m:sub>
                    </m:sSub>
                    <m:r>
                      <w:rPr>
                        <w:rFonts w:ascii="Cambria Math" w:hAnsi="Cambria Math"/>
                      </w:rPr>
                      <m:t xml:space="preserve">|</m:t>
                    </m:r>
                  </m:den>
                </m:f>
                <m:nary>
                  <m:naryPr>
                    <m:chr m:val="∑"/>
                    <m:limLoc m:val="undOvr"/>
                  </m:naryPr>
                  <m:sub>
                    <m:r>
                      <w:rPr>
                        <w:rFonts w:ascii="Cambria Math" w:hAnsi="Cambria Math"/>
                      </w:rPr>
                      <m:t xml:space="preserve">w</m:t>
                    </m:r>
                    <m:r>
                      <w:rPr>
                        <w:rFonts w:ascii="Cambria Math" w:hAnsi="Cambria Math"/>
                      </w:rPr>
                      <m:t xml:space="preserve">∈</m:t>
                    </m:r>
                    <m:sSub>
                      <m:sSubPr/>
                      <m:e>
                        <m:r>
                          <w:rPr>
                            <w:rFonts w:ascii="Cambria Math" w:hAnsi="Cambria Math"/>
                          </w:rPr>
                          <m:t xml:space="preserve">L</m:t>
                        </m:r>
                      </m:e>
                      <m:sub>
                        <m:r>
                          <w:rPr>
                            <w:rFonts w:ascii="Cambria Math" w:hAnsi="Cambria Math"/>
                          </w:rPr>
                          <m:t xml:space="preserve">f</m:t>
                        </m:r>
                      </m:sub>
                    </m:sSub>
                  </m:sub>
                  <m:sup>
                    <m:r>
                      <w:rPr>
                        <w:rFonts w:ascii="Cambria Math" w:hAnsi="Cambria Math"/>
                      </w:rPr>
                      <m:t xml:space="preserve">​</m:t>
                    </m:r>
                  </m:sup>
                  <m:e>
                    <m:r>
                      <w:rPr>
                        <w:rFonts w:ascii="Cambria Math" w:hAnsi="Cambria Math"/>
                      </w:rPr>
                      <m:t xml:space="preserve">e</m:t>
                    </m:r>
                  </m:e>
                </m:nary>
                <m:r>
                  <w:rPr>
                    <w:rFonts w:ascii="Cambria Math" w:hAnsi="Cambria Math"/>
                  </w:rPr>
                  <m:t xml:space="preserve">(</m:t>
                </m:r>
                <m:r>
                  <w:rPr>
                    <w:rFonts w:ascii="Cambria Math" w:hAnsi="Cambria Math"/>
                  </w:rPr>
                  <m:t xml:space="preserve">w</m:t>
                </m:r>
                <m:r>
                  <w:rPr>
                    <w:rFonts w:ascii="Cambria Math" w:hAnsi="Cambria Math"/>
                  </w:rPr>
                  <m:t xml:space="preserve">)</m:t>
                </m:r>
              </m:oMath>
            </m:oMathPara>
          </w:p>
        </w:tc>
        <w:tc>
          <w:tcPr>
            <w:tcW w:w="991" w:type="dxa"/>
            <w:vAlign w:val="center"/>
          </w:tcPr>
          <w:p>
            <w:pPr>
              <w:pStyle w:val="XT公式编号"/>
              <w:jc w:val="right"/>
            </w:pPr>
            <w:r>
              <w:t xml:space="preserve">（1）</w:t>
            </w:r>
          </w:p>
        </w:tc>
      </w:tr>
    </w:tbl>
    <w:tbl>
      <w:tblPr>
        <w:tblW w:w="8504" w:type="dxa"/>
        <w:tblLayout w:type="fixed"/>
        <w:tblLook w:val="04A0" w:firstRow="1" w:lastRow="0" w:firstColumn="1" w:lastColumn="0" w:noHBand="0" w:noVBand="1"/>
      </w:tblPr>
      <w:tblGrid>
        <w:gridCol w:w="7513"/>
        <w:gridCol w:w="991"/>
      </w:tblGrid>
      <w:tr>
        <w:tc>
          <w:tcPr>
            <w:tcW w:w="7513" w:type="dxa"/>
          </w:tcPr>
          <w:p>
            <w:pPr>
              <w:pStyle w:val="XT公式"/>
            </w:pPr>
            <m:oMathPara>
              <m:oMath>
                <m:r>
                  <w:rPr>
                    <w:rFonts w:ascii="Cambria Math" w:hAnsi="Cambria Math"/>
                  </w:rPr>
                  <m:t xml:space="preserve">sim</m:t>
                </m:r>
                <m:r>
                  <w:rPr>
                    <w:rFonts w:ascii="Cambria Math" w:hAnsi="Cambria Math"/>
                  </w:rPr>
                  <m:t xml:space="preserve">(</m:t>
                </m:r>
                <m:r>
                  <w:rPr>
                    <w:rFonts w:ascii="Cambria Math" w:hAnsi="Cambria Math"/>
                  </w:rPr>
                  <m:t xml:space="preserve">t,f</m:t>
                </m:r>
                <m:r>
                  <w:rPr>
                    <w:rFonts w:ascii="Cambria Math" w:hAnsi="Cambria Math"/>
                  </w:rPr>
                  <m:t xml:space="preserve">)</m:t>
                </m:r>
                <m:r>
                  <w:rPr>
                    <w:rFonts w:ascii="Cambria Math" w:hAnsi="Cambria Math"/>
                  </w:rPr>
                  <m:t xml:space="preserve">=</m:t>
                </m:r>
                <m:f>
                  <m:fPr/>
                  <m:num>
                    <m:r>
                      <w:rPr>
                        <w:rFonts w:ascii="Cambria Math" w:hAnsi="Cambria Math"/>
                      </w:rPr>
                      <m:t xml:space="preserve">e</m:t>
                    </m:r>
                    <m:r>
                      <w:rPr>
                        <w:rFonts w:ascii="Cambria Math" w:hAnsi="Cambria Math"/>
                      </w:rPr>
                      <m:t xml:space="preserve">(</m:t>
                    </m:r>
                    <m:r>
                      <w:rPr>
                        <w:rFonts w:ascii="Cambria Math" w:hAnsi="Cambria Math"/>
                      </w:rPr>
                      <m:t xml:space="preserve">t</m:t>
                    </m:r>
                    <m:sSup>
                      <m:sSupPr/>
                      <m:e>
                        <m:r>
                          <w:rPr>
                            <w:rFonts w:ascii="Cambria Math" w:hAnsi="Cambria Math"/>
                          </w:rPr>
                          <m:t xml:space="preserve">)</m:t>
                        </m:r>
                      </m:e>
                      <m:sup>
                        <m:r>
                          <w:rPr>
                            <w:rFonts w:ascii="Cambria Math" w:hAnsi="Cambria Math"/>
                          </w:rPr>
                          <m:t xml:space="preserve">T</m:t>
                        </m:r>
                      </m:sup>
                    </m:sSup>
                    <m:r>
                      <w:rPr>
                        <w:rFonts w:ascii="Cambria Math" w:hAnsi="Cambria Math"/>
                      </w:rPr>
                      <m:t xml:space="preserve">c</m:t>
                    </m:r>
                    <m:r>
                      <w:rPr>
                        <w:rFonts w:ascii="Cambria Math" w:hAnsi="Cambria Math"/>
                      </w:rPr>
                      <m:t xml:space="preserve">(</m:t>
                    </m:r>
                    <m:r>
                      <w:rPr>
                        <w:rFonts w:ascii="Cambria Math" w:hAnsi="Cambria Math"/>
                      </w:rPr>
                      <m:t xml:space="preserve">f</m:t>
                    </m:r>
                    <m:r>
                      <w:rPr>
                        <w:rFonts w:ascii="Cambria Math" w:hAnsi="Cambria Math"/>
                      </w:rPr>
                      <m:t xml:space="preserve">)</m:t>
                    </m:r>
                  </m:num>
                  <m:den>
                    <m:d>
                      <m:dPr>
                        <m:begChr m:val="‖"/>
                        <m:endChr m:val="‖"/>
                      </m:dPr>
                      <m:e>
                        <m:r>
                          <w:rPr>
                            <w:rFonts w:ascii="Cambria Math" w:hAnsi="Cambria Math"/>
                          </w:rPr>
                          <m:t xml:space="preserve">e</m:t>
                        </m:r>
                        <m:r>
                          <w:rPr>
                            <w:rFonts w:ascii="Cambria Math" w:hAnsi="Cambria Math"/>
                          </w:rPr>
                          <m:t xml:space="preserve">(</m:t>
                        </m:r>
                        <m:r>
                          <w:rPr>
                            <w:rFonts w:ascii="Cambria Math" w:hAnsi="Cambria Math"/>
                          </w:rPr>
                          <m:t xml:space="preserve">t</m:t>
                        </m:r>
                        <m:r>
                          <w:rPr>
                            <w:rFonts w:ascii="Cambria Math" w:hAnsi="Cambria Math"/>
                          </w:rPr>
                          <m:t xml:space="preserve">)</m:t>
                        </m:r>
                      </m:e>
                    </m:d>
                    <m:r>
                      <w:rPr>
                        <w:rFonts w:ascii="Cambria Math" w:hAnsi="Cambria Math"/>
                      </w:rPr>
                      <m:t xml:space="preserve">·</m:t>
                    </m:r>
                    <m:d>
                      <m:dPr>
                        <m:begChr m:val="‖"/>
                        <m:endChr m:val="‖"/>
                      </m:dPr>
                      <m:e>
                        <m:r>
                          <w:rPr>
                            <w:rFonts w:ascii="Cambria Math" w:hAnsi="Cambria Math"/>
                          </w:rPr>
                          <m:t xml:space="preserve">c</m:t>
                        </m:r>
                        <m:r>
                          <w:rPr>
                            <w:rFonts w:ascii="Cambria Math" w:hAnsi="Cambria Math"/>
                          </w:rPr>
                          <m:t xml:space="preserve">(</m:t>
                        </m:r>
                        <m:r>
                          <w:rPr>
                            <w:rFonts w:ascii="Cambria Math" w:hAnsi="Cambria Math"/>
                          </w:rPr>
                          <m:t xml:space="preserve">f</m:t>
                        </m:r>
                        <m:r>
                          <w:rPr>
                            <w:rFonts w:ascii="Cambria Math" w:hAnsi="Cambria Math"/>
                          </w:rPr>
                          <m:t xml:space="preserve">)</m:t>
                        </m:r>
                      </m:e>
                    </m:d>
                  </m:den>
                </m:f>
              </m:oMath>
            </m:oMathPara>
          </w:p>
        </w:tc>
        <w:tc>
          <w:tcPr>
            <w:tcW w:w="991" w:type="dxa"/>
            <w:vAlign w:val="center"/>
          </w:tcPr>
          <w:p>
            <w:pPr>
              <w:pStyle w:val="XT公式编号"/>
              <w:jc w:val="right"/>
            </w:pPr>
            <w:r>
              <w:t xml:space="preserve">（2）</w:t>
            </w:r>
          </w:p>
        </w:tc>
      </w:tr>
    </w:tbl>
    <w:tbl>
      <w:tblPr>
        <w:tblW w:w="8504" w:type="dxa"/>
        <w:tblLayout w:type="fixed"/>
        <w:tblLook w:val="04A0" w:firstRow="1" w:lastRow="0" w:firstColumn="1" w:lastColumn="0" w:noHBand="0" w:noVBand="1"/>
      </w:tblPr>
      <w:tblGrid>
        <w:gridCol w:w="7513"/>
        <w:gridCol w:w="991"/>
      </w:tblGrid>
      <w:tr>
        <w:tc>
          <w:tcPr>
            <w:tcW w:w="7513" w:type="dxa"/>
          </w:tcPr>
          <w:p>
            <w:pPr>
              <w:pStyle w:val="XT公式"/>
            </w:pPr>
            <m:oMathPara>
              <m:oMath>
                <m:r>
                  <w:rPr>
                    <w:rFonts w:ascii="Cambria Math" w:hAnsi="Cambria Math"/>
                  </w:rPr>
                  <m:t xml:space="preserve">s</m:t>
                </m:r>
                <m:r>
                  <w:rPr>
                    <w:rFonts w:ascii="Cambria Math" w:hAnsi="Cambria Math"/>
                  </w:rPr>
                  <m:t xml:space="preserve">(</m:t>
                </m:r>
                <m:r>
                  <w:rPr>
                    <w:rFonts w:ascii="Cambria Math" w:hAnsi="Cambria Math"/>
                  </w:rPr>
                  <m:t xml:space="preserve">t,f</m:t>
                </m:r>
                <m:r>
                  <w:rPr>
                    <w:rFonts w:ascii="Cambria Math" w:hAnsi="Cambria Math"/>
                  </w:rPr>
                  <m:t xml:space="preserve">)</m:t>
                </m:r>
                <m:r>
                  <w:rPr>
                    <w:rFonts w:ascii="Cambria Math" w:hAnsi="Cambria Math"/>
                  </w:rPr>
                  <m:t xml:space="preserve">=sim</m:t>
                </m:r>
                <m:r>
                  <w:rPr>
                    <w:rFonts w:ascii="Cambria Math" w:hAnsi="Cambria Math"/>
                  </w:rPr>
                  <m:t xml:space="preserve">(</m:t>
                </m:r>
                <m:r>
                  <w:rPr>
                    <w:rFonts w:ascii="Cambria Math" w:hAnsi="Cambria Math"/>
                  </w:rPr>
                  <m:t xml:space="preserve">t,f</m:t>
                </m:r>
                <m:r>
                  <w:rPr>
                    <w:rFonts w:ascii="Cambria Math" w:hAnsi="Cambria Math"/>
                  </w:rPr>
                  <m:t xml:space="preserve">)</m:t>
                </m:r>
                <m:r>
                  <w:rPr>
                    <w:rFonts w:ascii="Cambria Math" w:hAnsi="Cambria Math"/>
                  </w:rPr>
                  <m:t xml:space="preserve">−</m:t>
                </m:r>
                <m:f>
                  <m:fPr/>
                  <m:num>
                    <m:r>
                      <w:rPr>
                        <w:rFonts w:ascii="Cambria Math" w:hAnsi="Cambria Math"/>
                      </w:rPr>
                      <m:t xml:space="preserve">1</m:t>
                    </m:r>
                  </m:num>
                  <m:den>
                    <m:r>
                      <w:rPr>
                        <w:rFonts w:ascii="Cambria Math" w:hAnsi="Cambria Math"/>
                      </w:rPr>
                      <m:t xml:space="preserve">|</m:t>
                    </m:r>
                    <m:r>
                      <w:rPr>
                        <w:rFonts w:ascii="Cambria Math" w:hAnsi="Cambria Math"/>
                      </w:rPr>
                      <m:t xml:space="preserve">F</m:t>
                    </m:r>
                    <m:r>
                      <w:rPr>
                        <w:rFonts w:ascii="Cambria Math" w:hAnsi="Cambria Math"/>
                      </w:rPr>
                      <m:t xml:space="preserve">|</m:t>
                    </m:r>
                  </m:den>
                </m:f>
                <m:nary>
                  <m:naryPr>
                    <m:chr m:val="∑"/>
                    <m:limLoc m:val="undOvr"/>
                  </m:naryPr>
                  <m:sub>
                    <m:r>
                      <w:rPr>
                        <w:rFonts w:ascii="Cambria Math" w:hAnsi="Cambria Math"/>
                      </w:rPr>
                      <m:t xml:space="preserve">g</m:t>
                    </m:r>
                    <m:r>
                      <w:rPr>
                        <w:rFonts w:ascii="Cambria Math" w:hAnsi="Cambria Math"/>
                      </w:rPr>
                      <m:t xml:space="preserve">∈</m:t>
                    </m:r>
                    <m:r>
                      <w:rPr>
                        <w:rFonts w:ascii="Cambria Math" w:hAnsi="Cambria Math"/>
                      </w:rPr>
                      <m:t xml:space="preserve">F</m:t>
                    </m:r>
                  </m:sub>
                  <m:sup>
                    <m:r>
                      <w:rPr>
                        <w:rFonts w:ascii="Cambria Math" w:hAnsi="Cambria Math"/>
                      </w:rPr>
                      <m:t xml:space="preserve">​</m:t>
                    </m:r>
                  </m:sup>
                  <m:e>
                    <m:r>
                      <w:rPr>
                        <w:rFonts w:ascii="Cambria Math" w:hAnsi="Cambria Math"/>
                      </w:rPr>
                      <m:t xml:space="preserve">sim</m:t>
                    </m:r>
                  </m:e>
                </m:nary>
                <m:r>
                  <w:rPr>
                    <w:rFonts w:ascii="Cambria Math" w:hAnsi="Cambria Math"/>
                  </w:rPr>
                  <m:t xml:space="preserve">(</m:t>
                </m:r>
                <m:r>
                  <w:rPr>
                    <w:rFonts w:ascii="Cambria Math" w:hAnsi="Cambria Math"/>
                  </w:rPr>
                  <m:t xml:space="preserve">t,g</m:t>
                </m:r>
                <m:r>
                  <w:rPr>
                    <w:rFonts w:ascii="Cambria Math" w:hAnsi="Cambria Math"/>
                  </w:rPr>
                  <m:t xml:space="preserve">)</m:t>
                </m:r>
              </m:oMath>
            </m:oMathPara>
          </w:p>
        </w:tc>
        <w:tc>
          <w:tcPr>
            <w:tcW w:w="991" w:type="dxa"/>
            <w:vAlign w:val="center"/>
          </w:tcPr>
          <w:p>
            <w:pPr>
              <w:pStyle w:val="XT公式编号"/>
              <w:jc w:val="right"/>
            </w:pPr>
            <w:r>
              <w:t xml:space="preserve">（3）</w:t>
            </w:r>
          </w:p>
        </w:tc>
      </w:tr>
    </w:tbl>
    <w:tbl>
      <w:tblPr>
        <w:tblW w:w="8504" w:type="dxa"/>
        <w:tblLayout w:type="fixed"/>
        <w:tblLook w:val="04A0" w:firstRow="1" w:lastRow="0" w:firstColumn="1" w:lastColumn="0" w:noHBand="0" w:noVBand="1"/>
      </w:tblPr>
      <w:tblGrid>
        <w:gridCol w:w="7513"/>
        <w:gridCol w:w="991"/>
      </w:tblGrid>
      <w:tr>
        <w:tc>
          <w:tcPr>
            <w:tcW w:w="7513" w:type="dxa"/>
          </w:tcPr>
          <w:p>
            <w:pPr>
              <w:pStyle w:val="XT公式"/>
            </w:pPr>
            <m:oMathPara>
              <m:oMath>
                <m:r>
                  <w:rPr>
                    <w:rFonts w:ascii="Cambria Math" w:hAnsi="Cambria Math"/>
                  </w:rPr>
                  <m:t xml:space="preserve">d</m:t>
                </m:r>
                <m:r>
                  <w:rPr>
                    <w:rFonts w:ascii="Cambria Math" w:hAnsi="Cambria Math"/>
                  </w:rPr>
                  <m:t xml:space="preserve">(</m:t>
                </m:r>
                <m:r>
                  <w:rPr>
                    <w:rFonts w:ascii="Cambria Math" w:hAnsi="Cambria Math"/>
                  </w:rPr>
                  <m:t xml:space="preserve">t,D</m:t>
                </m:r>
                <m:r>
                  <w:rPr>
                    <w:rFonts w:ascii="Cambria Math" w:hAnsi="Cambria Math"/>
                  </w:rPr>
                  <m:t xml:space="preserve">)</m:t>
                </m:r>
                <m:r>
                  <w:rPr>
                    <w:rFonts w:ascii="Cambria Math" w:hAnsi="Cambria Math"/>
                  </w:rPr>
                  <m:t xml:space="preserve">=s</m:t>
                </m:r>
                <m:r>
                  <w:rPr>
                    <w:rFonts w:ascii="Cambria Math" w:hAnsi="Cambria Math"/>
                  </w:rPr>
                  <m:t xml:space="preserve">(</m:t>
                </m:r>
                <m:sSup>
                  <m:sSupPr/>
                  <m:e>
                    <m:r>
                      <w:rPr>
                        <w:rFonts w:ascii="Cambria Math" w:hAnsi="Cambria Math"/>
                      </w:rPr>
                      <m:t xml:space="preserve">t,D</m:t>
                    </m:r>
                  </m:e>
                  <m:sup>
                    <m:r>
                      <w:rPr>
                        <w:rFonts w:ascii="Cambria Math" w:hAnsi="Cambria Math"/>
                      </w:rPr>
                      <m:t xml:space="preserve">+</m:t>
                    </m:r>
                  </m:sup>
                </m:sSup>
                <m:r>
                  <w:rPr>
                    <w:rFonts w:ascii="Cambria Math" w:hAnsi="Cambria Math"/>
                  </w:rPr>
                  <m:t xml:space="preserve">)</m:t>
                </m:r>
                <m:r>
                  <w:rPr>
                    <w:rFonts w:ascii="Cambria Math" w:hAnsi="Cambria Math"/>
                  </w:rPr>
                  <m:t xml:space="preserve">−s</m:t>
                </m:r>
                <m:r>
                  <w:rPr>
                    <w:rFonts w:ascii="Cambria Math" w:hAnsi="Cambria Math"/>
                  </w:rPr>
                  <m:t xml:space="preserve">(</m:t>
                </m:r>
                <m:sSup>
                  <m:sSupPr/>
                  <m:e>
                    <m:r>
                      <w:rPr>
                        <w:rFonts w:ascii="Cambria Math" w:hAnsi="Cambria Math"/>
                      </w:rPr>
                      <m:t xml:space="preserve">t,D</m:t>
                    </m:r>
                  </m:e>
                  <m:sup>
                    <m:r>
                      <w:rPr>
                        <w:rFonts w:ascii="Cambria Math" w:hAnsi="Cambria Math"/>
                      </w:rPr>
                      <m:t xml:space="preserve">−</m:t>
                    </m:r>
                  </m:sup>
                </m:sSup>
                <m:r>
                  <w:rPr>
                    <w:rFonts w:ascii="Cambria Math" w:hAnsi="Cambria Math"/>
                  </w:rPr>
                  <m:t xml:space="preserve">)</m:t>
                </m:r>
              </m:oMath>
            </m:oMathPara>
          </w:p>
        </w:tc>
        <w:tc>
          <w:tcPr>
            <w:tcW w:w="991" w:type="dxa"/>
            <w:vAlign w:val="center"/>
          </w:tcPr>
          <w:p>
            <w:pPr>
              <w:pStyle w:val="XT公式编号"/>
              <w:jc w:val="right"/>
            </w:pPr>
            <w:r>
              <w:t xml:space="preserve">（4）</w:t>
            </w:r>
          </w:p>
        </w:tc>
      </w:tr>
    </w:tbl>
    <w:p>
      <w:r>
        <w:t xml:space="preserve">其中 </w:t>
      </w:r>
      <m:oMath>
        <m:r>
          <w:rPr>
            <w:rFonts w:ascii="Cambria Math" w:hAnsi="Cambria Math"/>
          </w:rPr>
          <m:t xml:space="preserve">e</m:t>
        </m:r>
        <m:r>
          <w:rPr>
            <w:rFonts w:ascii="Cambria Math" w:hAnsi="Cambria Math"/>
          </w:rPr>
          <m:t xml:space="preserve">(</m:t>
        </m:r>
        <m:r>
          <w:rPr>
            <w:rFonts w:ascii="Cambria Math" w:hAnsi="Cambria Math"/>
          </w:rPr>
          <m:t xml:space="preserve">·</m:t>
        </m:r>
        <m:r>
          <w:rPr>
            <w:rFonts w:ascii="Cambria Math" w:hAnsi="Cambria Math"/>
          </w:rPr>
          <m:t xml:space="preserve">)</m:t>
        </m:r>
      </m:oMath>
      <w:r>
        <w:t xml:space="preserve"> 为嵌入向量，</w:t>
      </w:r>
      <m:oMath>
        <m:sSub>
          <m:sSubPr/>
          <m:e>
            <m:r>
              <w:rPr>
                <w:rFonts w:ascii="Cambria Math" w:hAnsi="Cambria Math"/>
              </w:rPr>
              <m:t xml:space="preserve">L</m:t>
            </m:r>
          </m:e>
          <m:sub>
            <m:r>
              <w:rPr>
                <w:rFonts w:ascii="Cambria Math" w:hAnsi="Cambria Math"/>
              </w:rPr>
              <m:t xml:space="preserve">f</m:t>
            </m:r>
          </m:sub>
        </m:sSub>
      </m:oMath>
      <w:r>
        <w:t xml:space="preserve"> 为刻面 </w:t>
      </w:r>
      <m:oMath>
        <m:r>
          <w:rPr>
            <w:rFonts w:ascii="Cambria Math" w:hAnsi="Cambria Math"/>
          </w:rPr>
          <m:t xml:space="preserve">f</m:t>
        </m:r>
      </m:oMath>
      <w:r>
        <w:t xml:space="preserve"> 的词表，</w:t>
      </w:r>
      <m:oMath>
        <m:r>
          <w:rPr>
            <w:rFonts w:ascii="Cambria Math" w:hAnsi="Cambria Math"/>
          </w:rPr>
          <m:t xml:space="preserve">F</m:t>
        </m:r>
      </m:oMath>
      <w:r>
        <w:t xml:space="preserve"> 为体系内全部刻面集合。全部文本与词库词统一使用 multilingual-e5-large 多语嵌入模型嵌入，以避免中英文分属两个向量空间造成的不可比问题。</w:t>
      </w:r>
    </w:p>
    <w:p>
      <w:pPr>
        <w:pStyle w:val="21"/>
      </w:pPr>
      <w:r>
        <w:t xml:space="preserve">词库构建</w:t>
      </w:r>
    </w:p>
    <w:p>
      <w:r>
        <w:t xml:space="preserve">词库遵循"官方锚定＋受控扩充＋机器筛查＋全程留痕"原则，目的是在保证构念效度的同时让词表</w:t>
      </w:r>
      <w:r>
        <w:rPr>
          <w:b/>
        </w:rPr>
        <w:t xml:space="preserve">透明、可审查、可复现</w:t>
      </w:r>
      <w:r>
        <w:t xml:space="preserve">。本土层直接采用社会主义核心价值观十二词的官方表述及其释义；国际层以官方量表题项原文（VSM2013、WVS-7、SVS/PVQ-RR）锚定 1,454 词，经大语言模型按"抽象价值词＋议题信号词＋行为态度词"三类双语扩充 3,192 个候选词，再经四道机器筛查——语义内聚、刻面区分度、跨语言对齐参考分、四语料频度——最终冻结 2,559 词（英文 995、中文 1,564）。对抽样语料中零频的 51 个锚定词，本文做了两级机器裁定（全语料频度复检＋留一法影响检验），51 词全部保留。</w:t>
      </w:r>
    </w:p>
    <w:p>
      <w:pPr>
        <w:pStyle w:val="1"/>
      </w:pPr>
      <w:r>
        <w:t xml:space="preserve">实证结果</w:t>
      </w:r>
    </w:p>
    <w:p>
      <w:pPr>
        <w:pStyle w:val="21"/>
      </w:pPr>
      <w:r>
        <w:t xml:space="preserve">测量信度：跨语言对齐效度与词库稳健性</w:t>
      </w:r>
    </w:p>
    <w:p>
      <w:r>
        <w:t xml:space="preserve">在报告任何跨文化结论之前，先证明测量工具可靠。跨语言对齐效度检验显示：2,000 对 MUSE 英中真值词对的平均余弦为 0.899，显著高于随机对的 0.805（分离度 0.094，受试者工作特征曲线下面积 </w:t>
      </w:r>
      <m:oMath>
        <m:r>
          <w:rPr>
            <w:rFonts w:ascii="Cambria Math" w:hAnsi="Cambria Math"/>
          </w:rPr>
          <m:t xml:space="preserve">AUC=0.981</m:t>
        </m:r>
      </m:oMath>
      <w:r>
        <w:t xml:space="preserve">），真值词检索 Top-1 准确率 51.5%、Top-5 79.4%——multilingual-e5-large 的中英对齐质量可用于统一空间的双语测量。</w:t>
      </w:r>
    </w:p>
    <w:p>
      <w:r>
        <w:t xml:space="preserve">词库版本敏感性检验（纯锚定、锚定＋扩充未筛、冻结版三版词库在同片影评上重复测量）显示：文本级得分跨版本高度相关（</w:t>
      </w:r>
      <m:oMath>
        <m:r>
          <w:rPr>
            <w:rFonts w:ascii="Cambria Math" w:hAnsi="Cambria Math"/>
          </w:rPr>
          <m:t xml:space="preserve">r=0.97—1.00</m:t>
        </m:r>
      </m:oMath>
      <w:r>
        <w:t xml:space="preserve">），说明"每篇文本的刻面得分"这一测量本身稳健；但组间对比分对词表规格较敏感。据此本文确立报告规范：任何基于对比分方向的结论，必须经过后续稳健性检验方可进入正文。</w:t>
      </w:r>
    </w:p>
    <w:p>
      <w:pPr>
        <w:pStyle w:val="XT表标题"/>
      </w:pPr>
      <w:r>
        <w:t xml:space="preserve">表2：测量信度检验汇总</w:t>
      </w:r>
    </w:p>
    <w:tbl>
      <w:tblPr>
        <w:tblStyle w:val="XT三线表"/>
        <w:tblW w:w="8504" w:type="dxa"/>
        <w:tblInd w:w="0" w:type="dxa"/>
        <w:tblLayout w:type="fixed"/>
        <w:tblLook w:val="04A0" w:firstRow="1" w:lastRow="0" w:firstColumn="1" w:lastColumn="0" w:noHBand="0" w:noVBand="1"/>
      </w:tblPr>
      <w:tblGrid>
        <w:gridCol w:w="2834"/>
        <w:gridCol w:w="2834"/>
        <w:gridCol w:w="2834"/>
      </w:tblGrid>
      <w:tr>
        <w:trPr>
          <w:cnfStyle w:val="100000000000" w:firstRow="1" w:lastRow="0" w:firstColumn="0" w:lastColumn="0" w:oddVBand="0" w:evenVBand="0" w:oddHBand="0" w:evenHBand="0" w:firstRowFirstColumn="0" w:firstRowLastColumn="0" w:lastRowFirstColumn="0" w:lastRowLastColumn="0"/>
        </w:trPr>
        <w:tc>
          <w:tcPr>
            <w:tcW w:w="2834" w:type="dxa"/>
          </w:tcPr>
          <w:p>
            <w:pPr>
              <w:pStyle w:val="XT表格正文"/>
            </w:pPr>
            <w:r>
              <w:t xml:space="preserve">检验</w:t>
            </w:r>
          </w:p>
        </w:tc>
        <w:tc>
          <w:tcPr>
            <w:tcW w:w="2834" w:type="dxa"/>
          </w:tcPr>
          <w:p>
            <w:pPr>
              <w:pStyle w:val="XT表格正文"/>
            </w:pPr>
            <w:r>
              <w:t xml:space="preserve">指标</w:t>
            </w:r>
          </w:p>
        </w:tc>
        <w:tc>
          <w:tcPr>
            <w:tcW w:w="2834" w:type="dxa"/>
          </w:tcPr>
          <w:p>
            <w:pPr>
              <w:pStyle w:val="XT表格正文"/>
            </w:pPr>
            <w:r>
              <w:t xml:space="preserve">结果</w:t>
            </w:r>
          </w:p>
        </w:tc>
      </w:tr>
      <w:tr>
        <w:tc>
          <w:tcPr>
            <w:tcW w:w="2834" w:type="dxa"/>
          </w:tcPr>
          <w:p>
            <w:pPr>
              <w:pStyle w:val="XT表格正文"/>
            </w:pPr>
            <w:r>
              <w:t xml:space="preserve">跨语言对齐效度</w:t>
            </w:r>
          </w:p>
        </w:tc>
        <w:tc>
          <w:tcPr>
            <w:tcW w:w="2834" w:type="dxa"/>
          </w:tcPr>
          <w:p>
            <w:pPr>
              <w:pStyle w:val="XT表格正文"/>
              <w:jc w:val="left"/>
            </w:pPr>
            <w:r>
              <w:t xml:space="preserve">2,000 对 MUSE 英中真值词对平均余弦（对随机 0.805）</w:t>
            </w:r>
          </w:p>
        </w:tc>
        <w:tc>
          <w:tcPr>
            <w:tcW w:w="2834" w:type="dxa"/>
          </w:tcPr>
          <w:p>
            <w:pPr>
              <w:pStyle w:val="XT表格正文"/>
              <w:jc w:val="left"/>
            </w:pPr>
            <w:r>
              <w:t xml:space="preserve">0.899（分离度 0.094，</w:t>
            </w:r>
            <m:oMath>
              <m:r>
                <w:rPr>
                  <w:rFonts w:ascii="Cambria Math" w:hAnsi="Cambria Math"/>
                </w:rPr>
                <m:t xml:space="preserve">AUC=0.981</m:t>
              </m:r>
            </m:oMath>
            <w:r>
              <w:t xml:space="preserve">）</w:t>
            </w:r>
          </w:p>
        </w:tc>
      </w:tr>
      <w:tr>
        <w:tc>
          <w:tcPr>
            <w:tcW w:w="2834" w:type="dxa"/>
          </w:tcPr>
          <w:p>
            <w:pPr>
              <w:pStyle w:val="XT表格正文"/>
            </w:pPr>
            <w:r>
              <w:t xml:space="preserve">跨语言对齐效度</w:t>
            </w:r>
          </w:p>
        </w:tc>
        <w:tc>
          <w:tcPr>
            <w:tcW w:w="2834" w:type="dxa"/>
          </w:tcPr>
          <w:p>
            <w:pPr>
              <w:pStyle w:val="XT表格正文"/>
              <w:jc w:val="left"/>
            </w:pPr>
            <w:r>
              <w:t xml:space="preserve">真值词检索 Top-1 / Top-5 准确率</w:t>
            </w:r>
          </w:p>
        </w:tc>
        <w:tc>
          <w:tcPr>
            <w:tcW w:w="2834" w:type="dxa"/>
          </w:tcPr>
          <w:p>
            <w:pPr>
              <w:pStyle w:val="XT表格正文"/>
            </w:pPr>
            <w:r>
              <w:t xml:space="preserve">51.5% / 79.4%</w:t>
            </w:r>
          </w:p>
        </w:tc>
      </w:tr>
      <w:tr>
        <w:tc>
          <w:tcPr>
            <w:tcW w:w="2834" w:type="dxa"/>
          </w:tcPr>
          <w:p>
            <w:pPr>
              <w:pStyle w:val="XT表格正文"/>
            </w:pPr>
            <w:r>
              <w:t xml:space="preserve">跨语言对齐效度</w:t>
            </w:r>
          </w:p>
        </w:tc>
        <w:tc>
          <w:tcPr>
            <w:tcW w:w="2834" w:type="dxa"/>
          </w:tcPr>
          <w:p>
            <w:pPr>
              <w:pStyle w:val="XT表格正文"/>
            </w:pPr>
            <w:r>
              <w:t xml:space="preserve">中英平行句判别</w:t>
            </w:r>
          </w:p>
        </w:tc>
        <w:tc>
          <w:tcPr>
            <w:tcW w:w="2834" w:type="dxa"/>
          </w:tcPr>
          <w:p>
            <w:pPr>
              <w:pStyle w:val="XT表格正文"/>
            </w:pPr>
            <w:r>
              <w:t xml:space="preserve">4/4 全部正确</w:t>
            </w:r>
          </w:p>
        </w:tc>
      </w:tr>
      <w:tr>
        <w:tc>
          <w:tcPr>
            <w:tcW w:w="2834" w:type="dxa"/>
          </w:tcPr>
          <w:p>
            <w:pPr>
              <w:pStyle w:val="XT表格正文"/>
            </w:pPr>
            <w:r>
              <w:t xml:space="preserve">词库版本敏感性</w:t>
            </w:r>
          </w:p>
        </w:tc>
        <w:tc>
          <w:tcPr>
            <w:tcW w:w="2834" w:type="dxa"/>
          </w:tcPr>
          <w:p>
            <w:pPr>
              <w:pStyle w:val="XT表格正文"/>
            </w:pPr>
            <w:r>
              <w:t xml:space="preserve">文本级刻面得分跨三版本相关</w:t>
            </w:r>
          </w:p>
        </w:tc>
        <w:tc>
          <w:tcPr>
            <w:tcW w:w="2834" w:type="dxa"/>
          </w:tcPr>
          <w:p>
            <w:pPr>
              <w:pStyle w:val="XT表格正文"/>
            </w:pPr>
            <m:oMath>
              <m:r>
                <w:rPr>
                  <w:rFonts w:ascii="Cambria Math" w:hAnsi="Cambria Math"/>
                </w:rPr>
                <m:t xml:space="preserve">r</m:t>
              </m:r>
              <m:r>
                <w:rPr>
                  <w:rFonts w:ascii="Cambria Math" w:hAnsi="Cambria Math"/>
                </w:rPr>
                <m:t xml:space="preserve">=</m:t>
              </m:r>
              <m:r>
                <w:rPr>
                  <w:rFonts w:ascii="Cambria Math" w:hAnsi="Cambria Math"/>
                </w:rPr>
                <m:t xml:space="preserve">0.97—1.00</m:t>
              </m:r>
            </m:oMath>
          </w:p>
        </w:tc>
      </w:tr>
      <w:tr>
        <w:tc>
          <w:tcPr>
            <w:tcW w:w="2834" w:type="dxa"/>
          </w:tcPr>
          <w:p>
            <w:pPr>
              <w:pStyle w:val="XT表格正文"/>
            </w:pPr>
            <w:r>
              <w:t xml:space="preserve">政治长文档信度</w:t>
            </w:r>
          </w:p>
        </w:tc>
        <w:tc>
          <w:tcPr>
            <w:tcW w:w="2834" w:type="dxa"/>
          </w:tcPr>
          <w:p>
            <w:pPr>
              <w:pStyle w:val="XT表格正文"/>
            </w:pPr>
            <w:r>
              <w:t xml:space="preserve">文内分半一致性</w:t>
            </w:r>
          </w:p>
        </w:tc>
        <w:tc>
          <w:tcPr>
            <w:tcW w:w="2834" w:type="dxa"/>
          </w:tcPr>
          <w:p>
            <w:pPr>
              <w:pStyle w:val="XT表格正文"/>
              <w:jc w:val="left"/>
            </w:pPr>
            <m:oMath>
              <m:r>
                <w:rPr>
                  <w:rFonts w:ascii="Cambria Math" w:hAnsi="Cambria Math"/>
                </w:rPr>
                <m:t xml:space="preserve">r</m:t>
              </m:r>
              <m:r>
                <w:rPr>
                  <w:rFonts w:ascii="Cambria Math" w:hAnsi="Cambria Math"/>
                </w:rPr>
                <m:t xml:space="preserve">=</m:t>
              </m:r>
              <m:r>
                <w:rPr>
                  <w:rFonts w:ascii="Cambria Math" w:hAnsi="Cambria Math"/>
                </w:rPr>
                <m:t xml:space="preserve">0.88</m:t>
              </m:r>
            </m:oMath>
            <w:r>
              <w:t xml:space="preserve">（0.81—0.93）</w:t>
            </w:r>
          </w:p>
        </w:tc>
      </w:tr>
    </w:tbl>
    <w:p>
      <w:pPr>
        <w:pStyle w:val="XT图表注"/>
      </w:pPr>
      <w:r>
        <w:t xml:space="preserve">注：跨语言基线偏置（全部 56 刻面中文侧绝对相似度一致偏高 0.03~0.06）已经文本内标准化校正。</w:t>
      </w:r>
    </w:p>
    <w:p>
      <w:pPr>
        <w:pStyle w:val="21"/>
      </w:pPr>
      <w:r>
        <w:t xml:space="preserve">三层价值观画像</w:t>
      </w:r>
    </w:p>
    <w:p>
      <w:r>
        <w:t xml:space="preserve">先看三层各自的价值观画像。社会主义核心价值观十二值的文本内标准化得分（ipsative ×1000）显示（表 3、图 2）：</w:t>
      </w:r>
      <w:r>
        <w:rPr>
          <w:b/>
        </w:rPr>
        <w:t xml:space="preserve">富强在三层均为第一重心</w:t>
      </w:r>
      <w:r>
        <w:t xml:space="preserve">——国家层 +22.9、媒体层 +18.7、大众层 +11.0；</w:t>
      </w:r>
      <w:r>
        <w:rPr>
          <w:b/>
        </w:rPr>
        <w:t xml:space="preserve">敬业在三层几乎完全一致</w:t>
      </w:r>
      <w:r>
        <w:t xml:space="preserve">（+9.1、+9.8、+9.3）；民主在国家层与媒体层为正（+9.8、+5.2）而在大众层为负（−3.8）；和谐与文明则在大众层相对更高（+4.5、+6.5）。自由、平等、公正三层一致为负，友善在国家层最低（−11.0）。</w:t>
      </w:r>
    </w:p>
    <w:p>
      <w:pPr>
        <w:pStyle w:val="XT表标题"/>
      </w:pPr>
      <w:r>
        <w:t xml:space="preserve">表3：三层话语的社会主义核心价值观画像（ipsative ×1000）</w:t>
      </w:r>
    </w:p>
    <w:tbl>
      <w:tblPr>
        <w:tblStyle w:val="XT三线表"/>
        <w:tblW w:w="8504" w:type="dxa"/>
        <w:tblInd w:w="0" w:type="dxa"/>
        <w:tblLayout w:type="fixed"/>
        <w:tblLook w:val="04A0" w:firstRow="1" w:lastRow="0" w:firstColumn="1" w:lastColumn="0" w:noHBand="0" w:noVBand="1"/>
      </w:tblPr>
      <w:tblGrid>
        <w:gridCol w:w="2126"/>
        <w:gridCol w:w="2126"/>
        <w:gridCol w:w="2126"/>
        <w:gridCol w:w="2126"/>
      </w:tblGrid>
      <w:tr>
        <w:trPr>
          <w:cnfStyle w:val="100000000000" w:firstRow="1" w:lastRow="0" w:firstColumn="0" w:lastColumn="0" w:oddVBand="0" w:evenVBand="0" w:oddHBand="0" w:evenHBand="0" w:firstRowFirstColumn="0" w:firstRowLastColumn="0" w:lastRowFirstColumn="0" w:lastRowLastColumn="0"/>
        </w:trPr>
        <w:tc>
          <w:tcPr>
            <w:tcW w:w="2126" w:type="dxa"/>
          </w:tcPr>
          <w:p>
            <w:pPr>
              <w:pStyle w:val="XT表格正文"/>
            </w:pPr>
            <w:r>
              <w:t xml:space="preserve">价值观</w:t>
            </w:r>
          </w:p>
        </w:tc>
        <w:tc>
          <w:tcPr>
            <w:tcW w:w="2126" w:type="dxa"/>
          </w:tcPr>
          <w:p>
            <w:pPr>
              <w:pStyle w:val="XT表格正文"/>
            </w:pPr>
            <w:r>
              <w:t xml:space="preserve">国家层·政府工作报告</w:t>
            </w:r>
          </w:p>
        </w:tc>
        <w:tc>
          <w:tcPr>
            <w:tcW w:w="2126" w:type="dxa"/>
          </w:tcPr>
          <w:p>
            <w:pPr>
              <w:pStyle w:val="XT表格正文"/>
            </w:pPr>
            <w:r>
              <w:t xml:space="preserve">媒体层·官方媒体</w:t>
            </w:r>
          </w:p>
        </w:tc>
        <w:tc>
          <w:tcPr>
            <w:tcW w:w="2126" w:type="dxa"/>
          </w:tcPr>
          <w:p>
            <w:pPr>
              <w:pStyle w:val="XT表格正文"/>
            </w:pPr>
            <w:r>
              <w:t xml:space="preserve">大众层·豆瓣影评</w:t>
            </w:r>
          </w:p>
        </w:tc>
      </w:tr>
      <w:tr>
        <w:tc>
          <w:tcPr>
            <w:tcW w:w="2126" w:type="dxa"/>
          </w:tcPr>
          <w:p>
            <w:pPr>
              <w:pStyle w:val="XT表格正文"/>
            </w:pPr>
            <w:r>
              <w:t xml:space="preserve">富强</w:t>
            </w:r>
          </w:p>
        </w:tc>
        <w:tc>
          <w:tcPr>
            <w:tcW w:w="2126" w:type="dxa"/>
          </w:tcPr>
          <w:p>
            <w:pPr>
              <w:pStyle w:val="XT表格正文"/>
            </w:pPr>
            <w:r>
              <w:t xml:space="preserve">+22.94</w:t>
            </w:r>
          </w:p>
        </w:tc>
        <w:tc>
          <w:tcPr>
            <w:tcW w:w="2126" w:type="dxa"/>
          </w:tcPr>
          <w:p>
            <w:pPr>
              <w:pStyle w:val="XT表格正文"/>
            </w:pPr>
            <w:r>
              <w:t xml:space="preserve">+18.72</w:t>
            </w:r>
          </w:p>
        </w:tc>
        <w:tc>
          <w:tcPr>
            <w:tcW w:w="2126" w:type="dxa"/>
          </w:tcPr>
          <w:p>
            <w:pPr>
              <w:pStyle w:val="XT表格正文"/>
            </w:pPr>
            <w:r>
              <w:t xml:space="preserve">+11.03</w:t>
            </w:r>
          </w:p>
        </w:tc>
      </w:tr>
      <w:tr>
        <w:tc>
          <w:tcPr>
            <w:tcW w:w="2126" w:type="dxa"/>
          </w:tcPr>
          <w:p>
            <w:pPr>
              <w:pStyle w:val="XT表格正文"/>
            </w:pPr>
            <w:r>
              <w:t xml:space="preserve">民主</w:t>
            </w:r>
          </w:p>
        </w:tc>
        <w:tc>
          <w:tcPr>
            <w:tcW w:w="2126" w:type="dxa"/>
          </w:tcPr>
          <w:p>
            <w:pPr>
              <w:pStyle w:val="XT表格正文"/>
            </w:pPr>
            <w:r>
              <w:t xml:space="preserve">+9.79</w:t>
            </w:r>
          </w:p>
        </w:tc>
        <w:tc>
          <w:tcPr>
            <w:tcW w:w="2126" w:type="dxa"/>
          </w:tcPr>
          <w:p>
            <w:pPr>
              <w:pStyle w:val="XT表格正文"/>
            </w:pPr>
            <w:r>
              <w:t xml:space="preserve">+5.24</w:t>
            </w:r>
          </w:p>
        </w:tc>
        <w:tc>
          <w:tcPr>
            <w:tcW w:w="2126" w:type="dxa"/>
          </w:tcPr>
          <w:p>
            <w:pPr>
              <w:pStyle w:val="XT表格正文"/>
            </w:pPr>
            <w:r>
              <w:t xml:space="preserve">−3.79</w:t>
            </w:r>
          </w:p>
        </w:tc>
      </w:tr>
      <w:tr>
        <w:tc>
          <w:tcPr>
            <w:tcW w:w="2126" w:type="dxa"/>
          </w:tcPr>
          <w:p>
            <w:pPr>
              <w:pStyle w:val="XT表格正文"/>
            </w:pPr>
            <w:r>
              <w:t xml:space="preserve">文明</w:t>
            </w:r>
          </w:p>
        </w:tc>
        <w:tc>
          <w:tcPr>
            <w:tcW w:w="2126" w:type="dxa"/>
          </w:tcPr>
          <w:p>
            <w:pPr>
              <w:pStyle w:val="XT表格正文"/>
            </w:pPr>
            <w:r>
              <w:t xml:space="preserve">−1.36</w:t>
            </w:r>
          </w:p>
        </w:tc>
        <w:tc>
          <w:tcPr>
            <w:tcW w:w="2126" w:type="dxa"/>
          </w:tcPr>
          <w:p>
            <w:pPr>
              <w:pStyle w:val="XT表格正文"/>
            </w:pPr>
            <w:r>
              <w:t xml:space="preserve">+2.15</w:t>
            </w:r>
          </w:p>
        </w:tc>
        <w:tc>
          <w:tcPr>
            <w:tcW w:w="2126" w:type="dxa"/>
          </w:tcPr>
          <w:p>
            <w:pPr>
              <w:pStyle w:val="XT表格正文"/>
            </w:pPr>
            <w:r>
              <w:t xml:space="preserve">+6.49</w:t>
            </w:r>
          </w:p>
        </w:tc>
      </w:tr>
      <w:tr>
        <w:tc>
          <w:tcPr>
            <w:tcW w:w="2126" w:type="dxa"/>
          </w:tcPr>
          <w:p>
            <w:pPr>
              <w:pStyle w:val="XT表格正文"/>
            </w:pPr>
            <w:r>
              <w:t xml:space="preserve">和谐</w:t>
            </w:r>
          </w:p>
        </w:tc>
        <w:tc>
          <w:tcPr>
            <w:tcW w:w="2126" w:type="dxa"/>
          </w:tcPr>
          <w:p>
            <w:pPr>
              <w:pStyle w:val="XT表格正文"/>
            </w:pPr>
            <w:r>
              <w:t xml:space="preserve">+3.67</w:t>
            </w:r>
          </w:p>
        </w:tc>
        <w:tc>
          <w:tcPr>
            <w:tcW w:w="2126" w:type="dxa"/>
          </w:tcPr>
          <w:p>
            <w:pPr>
              <w:pStyle w:val="XT表格正文"/>
            </w:pPr>
            <w:r>
              <w:t xml:space="preserve">+2.96</w:t>
            </w:r>
          </w:p>
        </w:tc>
        <w:tc>
          <w:tcPr>
            <w:tcW w:w="2126" w:type="dxa"/>
          </w:tcPr>
          <w:p>
            <w:pPr>
              <w:pStyle w:val="XT表格正文"/>
            </w:pPr>
            <w:r>
              <w:t xml:space="preserve">+4.46</w:t>
            </w:r>
          </w:p>
        </w:tc>
      </w:tr>
      <w:tr>
        <w:tc>
          <w:tcPr>
            <w:tcW w:w="2126" w:type="dxa"/>
          </w:tcPr>
          <w:p>
            <w:pPr>
              <w:pStyle w:val="XT表格正文"/>
            </w:pPr>
            <w:r>
              <w:t xml:space="preserve">自由</w:t>
            </w:r>
          </w:p>
        </w:tc>
        <w:tc>
          <w:tcPr>
            <w:tcW w:w="2126" w:type="dxa"/>
          </w:tcPr>
          <w:p>
            <w:pPr>
              <w:pStyle w:val="XT表格正文"/>
            </w:pPr>
            <w:r>
              <w:t xml:space="preserve">−12.05</w:t>
            </w:r>
          </w:p>
        </w:tc>
        <w:tc>
          <w:tcPr>
            <w:tcW w:w="2126" w:type="dxa"/>
          </w:tcPr>
          <w:p>
            <w:pPr>
              <w:pStyle w:val="XT表格正文"/>
            </w:pPr>
            <w:r>
              <w:t xml:space="preserve">−11.20</w:t>
            </w:r>
          </w:p>
        </w:tc>
        <w:tc>
          <w:tcPr>
            <w:tcW w:w="2126" w:type="dxa"/>
          </w:tcPr>
          <w:p>
            <w:pPr>
              <w:pStyle w:val="XT表格正文"/>
            </w:pPr>
            <w:r>
              <w:t xml:space="preserve">−6.89</w:t>
            </w:r>
          </w:p>
        </w:tc>
      </w:tr>
      <w:tr>
        <w:tc>
          <w:tcPr>
            <w:tcW w:w="2126" w:type="dxa"/>
          </w:tcPr>
          <w:p>
            <w:pPr>
              <w:pStyle w:val="XT表格正文"/>
            </w:pPr>
            <w:r>
              <w:t xml:space="preserve">平等</w:t>
            </w:r>
          </w:p>
        </w:tc>
        <w:tc>
          <w:tcPr>
            <w:tcW w:w="2126" w:type="dxa"/>
          </w:tcPr>
          <w:p>
            <w:pPr>
              <w:pStyle w:val="XT表格正文"/>
            </w:pPr>
            <w:r>
              <w:t xml:space="preserve">−6.19</w:t>
            </w:r>
          </w:p>
        </w:tc>
        <w:tc>
          <w:tcPr>
            <w:tcW w:w="2126" w:type="dxa"/>
          </w:tcPr>
          <w:p>
            <w:pPr>
              <w:pStyle w:val="XT表格正文"/>
            </w:pPr>
            <w:r>
              <w:t xml:space="preserve">−9.06</w:t>
            </w:r>
          </w:p>
        </w:tc>
        <w:tc>
          <w:tcPr>
            <w:tcW w:w="2126" w:type="dxa"/>
          </w:tcPr>
          <w:p>
            <w:pPr>
              <w:pStyle w:val="XT表格正文"/>
            </w:pPr>
            <w:r>
              <w:t xml:space="preserve">−9.87</w:t>
            </w:r>
          </w:p>
        </w:tc>
      </w:tr>
      <w:tr>
        <w:tc>
          <w:tcPr>
            <w:tcW w:w="2126" w:type="dxa"/>
          </w:tcPr>
          <w:p>
            <w:pPr>
              <w:pStyle w:val="XT表格正文"/>
            </w:pPr>
            <w:r>
              <w:t xml:space="preserve">公正</w:t>
            </w:r>
          </w:p>
        </w:tc>
        <w:tc>
          <w:tcPr>
            <w:tcW w:w="2126" w:type="dxa"/>
          </w:tcPr>
          <w:p>
            <w:pPr>
              <w:pStyle w:val="XT表格正文"/>
            </w:pPr>
            <w:r>
              <w:t xml:space="preserve">−9.40</w:t>
            </w:r>
          </w:p>
        </w:tc>
        <w:tc>
          <w:tcPr>
            <w:tcW w:w="2126" w:type="dxa"/>
          </w:tcPr>
          <w:p>
            <w:pPr>
              <w:pStyle w:val="XT表格正文"/>
            </w:pPr>
            <w:r>
              <w:t xml:space="preserve">−7.92</w:t>
            </w:r>
          </w:p>
        </w:tc>
        <w:tc>
          <w:tcPr>
            <w:tcW w:w="2126" w:type="dxa"/>
          </w:tcPr>
          <w:p>
            <w:pPr>
              <w:pStyle w:val="XT表格正文"/>
            </w:pPr>
            <w:r>
              <w:t xml:space="preserve">−3.77</w:t>
            </w:r>
          </w:p>
        </w:tc>
      </w:tr>
      <w:tr>
        <w:tc>
          <w:tcPr>
            <w:tcW w:w="2126" w:type="dxa"/>
          </w:tcPr>
          <w:p>
            <w:pPr>
              <w:pStyle w:val="XT表格正文"/>
            </w:pPr>
            <w:r>
              <w:t xml:space="preserve">法治</w:t>
            </w:r>
          </w:p>
        </w:tc>
        <w:tc>
          <w:tcPr>
            <w:tcW w:w="2126" w:type="dxa"/>
          </w:tcPr>
          <w:p>
            <w:pPr>
              <w:pStyle w:val="XT表格正文"/>
            </w:pPr>
            <w:r>
              <w:t xml:space="preserve">+0.38</w:t>
            </w:r>
          </w:p>
        </w:tc>
        <w:tc>
          <w:tcPr>
            <w:tcW w:w="2126" w:type="dxa"/>
          </w:tcPr>
          <w:p>
            <w:pPr>
              <w:pStyle w:val="XT表格正文"/>
            </w:pPr>
            <w:r>
              <w:t xml:space="preserve">−0.75</w:t>
            </w:r>
          </w:p>
        </w:tc>
        <w:tc>
          <w:tcPr>
            <w:tcW w:w="2126" w:type="dxa"/>
          </w:tcPr>
          <w:p>
            <w:pPr>
              <w:pStyle w:val="XT表格正文"/>
            </w:pPr>
            <w:r>
              <w:t xml:space="preserve">−7.11</w:t>
            </w:r>
          </w:p>
        </w:tc>
      </w:tr>
      <w:tr>
        <w:tc>
          <w:tcPr>
            <w:tcW w:w="2126" w:type="dxa"/>
          </w:tcPr>
          <w:p>
            <w:pPr>
              <w:pStyle w:val="XT表格正文"/>
            </w:pPr>
            <w:r>
              <w:t xml:space="preserve">爱国</w:t>
            </w:r>
          </w:p>
        </w:tc>
        <w:tc>
          <w:tcPr>
            <w:tcW w:w="2126" w:type="dxa"/>
          </w:tcPr>
          <w:p>
            <w:pPr>
              <w:pStyle w:val="XT表格正文"/>
            </w:pPr>
            <w:r>
              <w:t xml:space="preserve">−4.73</w:t>
            </w:r>
          </w:p>
        </w:tc>
        <w:tc>
          <w:tcPr>
            <w:tcW w:w="2126" w:type="dxa"/>
          </w:tcPr>
          <w:p>
            <w:pPr>
              <w:pStyle w:val="XT表格正文"/>
            </w:pPr>
            <w:r>
              <w:t xml:space="preserve">−4.01</w:t>
            </w:r>
          </w:p>
        </w:tc>
        <w:tc>
          <w:tcPr>
            <w:tcW w:w="2126" w:type="dxa"/>
          </w:tcPr>
          <w:p>
            <w:pPr>
              <w:pStyle w:val="XT表格正文"/>
            </w:pPr>
            <w:r>
              <w:t xml:space="preserve">−0.78</w:t>
            </w:r>
          </w:p>
        </w:tc>
      </w:tr>
      <w:tr>
        <w:tc>
          <w:tcPr>
            <w:tcW w:w="2126" w:type="dxa"/>
          </w:tcPr>
          <w:p>
            <w:pPr>
              <w:pStyle w:val="XT表格正文"/>
            </w:pPr>
            <w:r>
              <w:t xml:space="preserve">敬业</w:t>
            </w:r>
          </w:p>
        </w:tc>
        <w:tc>
          <w:tcPr>
            <w:tcW w:w="2126" w:type="dxa"/>
          </w:tcPr>
          <w:p>
            <w:pPr>
              <w:pStyle w:val="XT表格正文"/>
            </w:pPr>
            <w:r>
              <w:t xml:space="preserve">+9.10</w:t>
            </w:r>
          </w:p>
        </w:tc>
        <w:tc>
          <w:tcPr>
            <w:tcW w:w="2126" w:type="dxa"/>
          </w:tcPr>
          <w:p>
            <w:pPr>
              <w:pStyle w:val="XT表格正文"/>
            </w:pPr>
            <w:r>
              <w:t xml:space="preserve">+9.81</w:t>
            </w:r>
          </w:p>
        </w:tc>
        <w:tc>
          <w:tcPr>
            <w:tcW w:w="2126" w:type="dxa"/>
          </w:tcPr>
          <w:p>
            <w:pPr>
              <w:pStyle w:val="XT表格正文"/>
            </w:pPr>
            <w:r>
              <w:t xml:space="preserve">+9.30</w:t>
            </w:r>
          </w:p>
        </w:tc>
      </w:tr>
      <w:tr>
        <w:tc>
          <w:tcPr>
            <w:tcW w:w="2126" w:type="dxa"/>
          </w:tcPr>
          <w:p>
            <w:pPr>
              <w:pStyle w:val="XT表格正文"/>
            </w:pPr>
            <w:r>
              <w:t xml:space="preserve">诚信</w:t>
            </w:r>
          </w:p>
        </w:tc>
        <w:tc>
          <w:tcPr>
            <w:tcW w:w="2126" w:type="dxa"/>
          </w:tcPr>
          <w:p>
            <w:pPr>
              <w:pStyle w:val="XT表格正文"/>
            </w:pPr>
            <w:r>
              <w:t xml:space="preserve">−1.18</w:t>
            </w:r>
          </w:p>
        </w:tc>
        <w:tc>
          <w:tcPr>
            <w:tcW w:w="2126" w:type="dxa"/>
          </w:tcPr>
          <w:p>
            <w:pPr>
              <w:pStyle w:val="XT表格正文"/>
            </w:pPr>
            <w:r>
              <w:t xml:space="preserve">−0.07</w:t>
            </w:r>
          </w:p>
        </w:tc>
        <w:tc>
          <w:tcPr>
            <w:tcW w:w="2126" w:type="dxa"/>
          </w:tcPr>
          <w:p>
            <w:pPr>
              <w:pStyle w:val="XT表格正文"/>
            </w:pPr>
            <w:r>
              <w:t xml:space="preserve">+1.68</w:t>
            </w:r>
          </w:p>
        </w:tc>
      </w:tr>
      <w:tr>
        <w:tc>
          <w:tcPr>
            <w:tcW w:w="2126" w:type="dxa"/>
          </w:tcPr>
          <w:p>
            <w:pPr>
              <w:pStyle w:val="XT表格正文"/>
            </w:pPr>
            <w:r>
              <w:t xml:space="preserve">友善</w:t>
            </w:r>
          </w:p>
        </w:tc>
        <w:tc>
          <w:tcPr>
            <w:tcW w:w="2126" w:type="dxa"/>
          </w:tcPr>
          <w:p>
            <w:pPr>
              <w:pStyle w:val="XT表格正文"/>
            </w:pPr>
            <w:r>
              <w:t xml:space="preserve">−10.96</w:t>
            </w:r>
          </w:p>
        </w:tc>
        <w:tc>
          <w:tcPr>
            <w:tcW w:w="2126" w:type="dxa"/>
          </w:tcPr>
          <w:p>
            <w:pPr>
              <w:pStyle w:val="XT表格正文"/>
            </w:pPr>
            <w:r>
              <w:t xml:space="preserve">−5.87</w:t>
            </w:r>
          </w:p>
        </w:tc>
        <w:tc>
          <w:tcPr>
            <w:tcW w:w="2126" w:type="dxa"/>
          </w:tcPr>
          <w:p>
            <w:pPr>
              <w:pStyle w:val="XT表格正文"/>
            </w:pPr>
            <w:r>
              <w:t xml:space="preserve">−0.75</w:t>
            </w:r>
          </w:p>
        </w:tc>
      </w:tr>
    </w:tbl>
    <w:p>
      <w:pPr>
        <w:pStyle w:val="XT图表注"/>
      </w:pPr>
      <w:r>
        <w:t xml:space="preserve">注：对比分为文本内标准化后的相对凸显度；正值表示该价值观在文本的话语竞争中相对凸显。国家层 </w:t>
      </w:r>
      <m:oMath>
        <m:r>
          <w:rPr>
            <w:rFonts w:ascii="Cambria Math" w:hAnsi="Cambria Math"/>
          </w:rPr>
          <m:t xml:space="preserve">n=37</m:t>
        </m:r>
      </m:oMath>
      <w:r>
        <w:t xml:space="preserve"> 份报告，媒体层 </w:t>
      </w:r>
      <m:oMath>
        <m:r>
          <w:rPr>
            <w:rFonts w:ascii="Cambria Math" w:hAnsi="Cambria Math"/>
          </w:rPr>
          <m:t xml:space="preserve">n=13</m:t>
        </m:r>
      </m:oMath>
      <w:r>
        <w:t xml:space="preserve">,500 篇，大众层 </w:t>
      </w:r>
      <m:oMath>
        <m:r>
          <w:rPr>
            <w:rFonts w:ascii="Cambria Math" w:hAnsi="Cambria Math"/>
          </w:rPr>
          <m:t xml:space="preserve">n=23</m:t>
        </m:r>
      </m:oMath>
      <w:r>
        <w:t xml:space="preserve">,137 条。</w:t>
      </w:r>
    </w:p>
    <w:p>
      <w:pPr>
        <w:pStyle w:val="XT图内容"/>
      </w:pPr>
      <w:r xmlns:a="http://schemas.openxmlformats.org/drawingml/2006/main" xmlns:pic="http://schemas.openxmlformats.org/drawingml/2006/picture">
        <w:drawing>
          <wp:inline distT="0" distB="0" distL="0" distR="0">
            <wp:extent cx="4500000" cy="1715942"/>
            <wp:effectExtent l="0" t="0" r="0" b="0"/>
            <wp:docPr id="1002" name="图片2"/>
            <wp:cNvGraphicFramePr/>
            <a:graphic>
              <a:graphicData uri="http://schemas.openxmlformats.org/drawingml/2006/picture">
                <pic:pic>
                  <pic:nvPicPr>
                    <pic:cNvPr id="1002" name="image2.png"/>
                    <pic:cNvPicPr/>
                  </pic:nvPicPr>
                  <pic:blipFill>
                    <a:blip r:embed="rIdFig2"/>
                    <a:stretch>
                      <a:fillRect/>
                    </a:stretch>
                  </pic:blipFill>
                  <pic:spPr>
                    <a:xfrm>
                      <a:off x="0" y="0"/>
                      <a:ext cx="4500000" cy="1715942"/>
                    </a:xfrm>
                    <a:prstGeom prst="rect">
                      <a:avLst/>
                    </a:prstGeom>
                  </pic:spPr>
                </pic:pic>
              </a:graphicData>
            </a:graphic>
          </wp:inline>
        </w:drawing>
      </w:r>
    </w:p>
    <w:p>
      <w:pPr>
        <w:pStyle w:val="XT图标题"/>
      </w:pPr>
      <w:r>
        <w:t xml:space="preserve">图2：三层话语的社会主义核心价值观画像与层间相关</w:t>
      </w:r>
    </w:p>
    <w:p>
      <w:pPr>
        <w:pStyle w:val="XT图表注"/>
      </w:pPr>
      <w:r>
        <w:t xml:space="preserve">资料来源：作者绘制。</w:t>
      </w:r>
    </w:p>
    <w:p>
      <w:pPr>
        <w:pStyle w:val="21"/>
      </w:pPr>
      <w:r>
        <w:t xml:space="preserve">三层共识的量化</w:t>
      </w:r>
    </w:p>
    <w:p>
      <w:r>
        <w:t xml:space="preserve">层间相关分析给出了共识的量化证据（表 4）：</w:t>
      </w:r>
      <w:r>
        <w:rPr>
          <w:b/>
        </w:rPr>
        <w:t xml:space="preserve">国家层与媒体层的画像相关高达 0.966</w:t>
      </w:r>
      <w:r>
        <w:t xml:space="preserve">（Hofstede 十二极下为 0.962），说明官方倡导被媒体近乎完全传递；</w:t>
      </w:r>
      <w:r>
        <w:rPr>
          <w:b/>
        </w:rPr>
        <w:t xml:space="preserve">媒体层与大众层为 0.810</w:t>
      </w:r>
      <w:r>
        <w:t xml:space="preserve">（Hofstede 下 0.886），</w:t>
      </w:r>
      <w:r>
        <w:rPr>
          <w:b/>
        </w:rPr>
        <w:t xml:space="preserve">国家层与大众层为 0.658</w:t>
      </w:r>
      <w:r>
        <w:t xml:space="preserve">（Hofstede 下 0.762），三层均值分别为 0.811 与 0.870。层间 L1 距离同样呈现梯度：国家层与媒体层仅 27.0，媒体层与大众层 48.8，国家层与大众层 73.3（均为 ×1000 尺度）。</w:t>
      </w:r>
    </w:p>
    <w:p>
      <w:r>
        <w:t xml:space="preserve">这一结构可概括为</w:t>
      </w:r>
      <w:r>
        <w:rPr>
          <w:b/>
        </w:rPr>
        <w:t xml:space="preserve">"共识梯度"</w:t>
      </w:r>
      <w:r>
        <w:t xml:space="preserve">：官方倡导与媒体传递之间几乎是完全传导，而大众表达在共享核心的同时保有自己的侧重——大众层相对更重视文明（+6.5）与和谐（+4.5），而富强的相对凸显度较官方话语减半（+11.0 对 +22.9）。值得注意的是，</w:t>
      </w:r>
      <w:r>
        <w:rPr>
          <w:b/>
        </w:rPr>
        <w:t xml:space="preserve">敬业是三层唯一几乎完全一致的价值</w:t>
      </w:r>
      <w:r>
        <w:t xml:space="preserve">（+9.1/+9.8/+9.3），差异不足 0.8 个千分点，构成跨越三层的"最大公约数"。</w:t>
      </w:r>
    </w:p>
    <w:p>
      <w:pPr>
        <w:pStyle w:val="XT表标题"/>
      </w:pPr>
      <w:r>
        <w:t xml:space="preserve">表4：三层画像的层间相关与距离</w:t>
      </w:r>
    </w:p>
    <w:tbl>
      <w:tblPr>
        <w:tblStyle w:val="XT三线表"/>
        <w:tblW w:w="8504" w:type="dxa"/>
        <w:tblInd w:w="0" w:type="dxa"/>
        <w:tblLayout w:type="fixed"/>
        <w:tblLook w:val="04A0" w:firstRow="1" w:lastRow="0" w:firstColumn="1" w:lastColumn="0" w:noHBand="0" w:noVBand="1"/>
      </w:tblPr>
      <w:tblGrid>
        <w:gridCol w:w="2126"/>
        <w:gridCol w:w="2126"/>
        <w:gridCol w:w="2126"/>
        <w:gridCol w:w="2126"/>
      </w:tblGrid>
      <w:tr>
        <w:trPr>
          <w:cnfStyle w:val="100000000000" w:firstRow="1" w:lastRow="0" w:firstColumn="0" w:lastColumn="0" w:oddVBand="0" w:evenVBand="0" w:oddHBand="0" w:evenHBand="0" w:firstRowFirstColumn="0" w:firstRowLastColumn="0" w:lastRowFirstColumn="0" w:lastRowLastColumn="0"/>
        </w:trPr>
        <w:tc>
          <w:tcPr>
            <w:tcW w:w="2126" w:type="dxa"/>
          </w:tcPr>
          <w:p>
            <w:pPr>
              <w:pStyle w:val="XT表格正文"/>
            </w:pPr>
            <w:r>
              <w:t xml:space="preserve">层间配对</w:t>
            </w:r>
          </w:p>
        </w:tc>
        <w:tc>
          <w:tcPr>
            <w:tcW w:w="2126" w:type="dxa"/>
          </w:tcPr>
          <w:p>
            <w:pPr>
              <w:pStyle w:val="XT表格正文"/>
            </w:pPr>
            <w:r>
              <w:t xml:space="preserve">SCV 12 值相关 r</w:t>
            </w:r>
          </w:p>
        </w:tc>
        <w:tc>
          <w:tcPr>
            <w:tcW w:w="2126" w:type="dxa"/>
          </w:tcPr>
          <w:p>
            <w:pPr>
              <w:pStyle w:val="XT表格正文"/>
              <w:jc w:val="left"/>
            </w:pPr>
            <w:r>
              <w:t xml:space="preserve">Hofstede 12 极相关 r</w:t>
            </w:r>
          </w:p>
        </w:tc>
        <w:tc>
          <w:tcPr>
            <w:tcW w:w="2126" w:type="dxa"/>
          </w:tcPr>
          <w:p>
            <w:pPr>
              <w:pStyle w:val="XT表格正文"/>
              <w:jc w:val="left"/>
            </w:pPr>
            <w:r>
              <w:t xml:space="preserve">L1 距离（SCV，×1000）</w:t>
            </w:r>
          </w:p>
        </w:tc>
      </w:tr>
      <w:tr>
        <w:tc>
          <w:tcPr>
            <w:tcW w:w="2126" w:type="dxa"/>
          </w:tcPr>
          <w:p>
            <w:pPr>
              <w:pStyle w:val="XT表格正文"/>
            </w:pPr>
            <w:r>
              <w:t xml:space="preserve">国家层 ↔ 媒体层</w:t>
            </w:r>
          </w:p>
        </w:tc>
        <w:tc>
          <w:tcPr>
            <w:tcW w:w="2126" w:type="dxa"/>
          </w:tcPr>
          <w:p>
            <w:pPr>
              <w:pStyle w:val="XT表格正文"/>
            </w:pPr>
            <w:r>
              <w:t xml:space="preserve">0.966</w:t>
            </w:r>
          </w:p>
        </w:tc>
        <w:tc>
          <w:tcPr>
            <w:tcW w:w="2126" w:type="dxa"/>
          </w:tcPr>
          <w:p>
            <w:pPr>
              <w:pStyle w:val="XT表格正文"/>
            </w:pPr>
            <w:r>
              <w:t xml:space="preserve">0.962</w:t>
            </w:r>
          </w:p>
        </w:tc>
        <w:tc>
          <w:tcPr>
            <w:tcW w:w="2126" w:type="dxa"/>
          </w:tcPr>
          <w:p>
            <w:pPr>
              <w:pStyle w:val="XT表格正文"/>
            </w:pPr>
            <w:r>
              <w:t xml:space="preserve">27.0</w:t>
            </w:r>
          </w:p>
        </w:tc>
      </w:tr>
      <w:tr>
        <w:tc>
          <w:tcPr>
            <w:tcW w:w="2126" w:type="dxa"/>
          </w:tcPr>
          <w:p>
            <w:pPr>
              <w:pStyle w:val="XT表格正文"/>
            </w:pPr>
            <w:r>
              <w:t xml:space="preserve">媒体层 ↔ 大众层</w:t>
            </w:r>
          </w:p>
        </w:tc>
        <w:tc>
          <w:tcPr>
            <w:tcW w:w="2126" w:type="dxa"/>
          </w:tcPr>
          <w:p>
            <w:pPr>
              <w:pStyle w:val="XT表格正文"/>
            </w:pPr>
            <w:r>
              <w:t xml:space="preserve">0.810</w:t>
            </w:r>
          </w:p>
        </w:tc>
        <w:tc>
          <w:tcPr>
            <w:tcW w:w="2126" w:type="dxa"/>
          </w:tcPr>
          <w:p>
            <w:pPr>
              <w:pStyle w:val="XT表格正文"/>
            </w:pPr>
            <w:r>
              <w:t xml:space="preserve">0.886</w:t>
            </w:r>
          </w:p>
        </w:tc>
        <w:tc>
          <w:tcPr>
            <w:tcW w:w="2126" w:type="dxa"/>
          </w:tcPr>
          <w:p>
            <w:pPr>
              <w:pStyle w:val="XT表格正文"/>
            </w:pPr>
            <w:r>
              <w:t xml:space="preserve">48.8</w:t>
            </w:r>
          </w:p>
        </w:tc>
      </w:tr>
      <w:tr>
        <w:tc>
          <w:tcPr>
            <w:tcW w:w="2126" w:type="dxa"/>
          </w:tcPr>
          <w:p>
            <w:pPr>
              <w:pStyle w:val="XT表格正文"/>
            </w:pPr>
            <w:r>
              <w:t xml:space="preserve">国家层 ↔ 大众层</w:t>
            </w:r>
          </w:p>
        </w:tc>
        <w:tc>
          <w:tcPr>
            <w:tcW w:w="2126" w:type="dxa"/>
          </w:tcPr>
          <w:p>
            <w:pPr>
              <w:pStyle w:val="XT表格正文"/>
            </w:pPr>
            <w:r>
              <w:t xml:space="preserve">0.658</w:t>
            </w:r>
          </w:p>
        </w:tc>
        <w:tc>
          <w:tcPr>
            <w:tcW w:w="2126" w:type="dxa"/>
          </w:tcPr>
          <w:p>
            <w:pPr>
              <w:pStyle w:val="XT表格正文"/>
            </w:pPr>
            <w:r>
              <w:t xml:space="preserve">0.762</w:t>
            </w:r>
          </w:p>
        </w:tc>
        <w:tc>
          <w:tcPr>
            <w:tcW w:w="2126" w:type="dxa"/>
          </w:tcPr>
          <w:p>
            <w:pPr>
              <w:pStyle w:val="XT表格正文"/>
            </w:pPr>
            <w:r>
              <w:t xml:space="preserve">73.3</w:t>
            </w:r>
          </w:p>
        </w:tc>
      </w:tr>
      <w:tr>
        <w:tc>
          <w:tcPr>
            <w:tcW w:w="2126" w:type="dxa"/>
          </w:tcPr>
          <w:p>
            <w:pPr>
              <w:pStyle w:val="XT表格正文"/>
            </w:pPr>
            <w:r>
              <w:t xml:space="preserve">三层均值</w:t>
            </w:r>
          </w:p>
        </w:tc>
        <w:tc>
          <w:tcPr>
            <w:tcW w:w="2126" w:type="dxa"/>
          </w:tcPr>
          <w:p>
            <w:pPr>
              <w:pStyle w:val="XT表格正文"/>
            </w:pPr>
            <w:r>
              <w:rPr>
                <w:b/>
              </w:rPr>
              <w:t xml:space="preserve">0.811</w:t>
            </w:r>
          </w:p>
        </w:tc>
        <w:tc>
          <w:tcPr>
            <w:tcW w:w="2126" w:type="dxa"/>
          </w:tcPr>
          <w:p>
            <w:pPr>
              <w:pStyle w:val="XT表格正文"/>
            </w:pPr>
            <w:r>
              <w:rPr>
                <w:b/>
              </w:rPr>
              <w:t xml:space="preserve">0.870</w:t>
            </w:r>
          </w:p>
        </w:tc>
        <w:tc>
          <w:tcPr>
            <w:tcW w:w="2126" w:type="dxa"/>
          </w:tcPr>
          <w:p>
            <w:pPr>
              <w:pStyle w:val="XT表格正文"/>
            </w:pPr>
            <w:r>
              <w:t xml:space="preserve">—</w:t>
            </w:r>
          </w:p>
        </w:tc>
      </w:tr>
    </w:tbl>
    <w:p>
      <w:pPr>
        <w:pStyle w:val="XT图表注"/>
      </w:pPr>
      <w:r>
        <w:t xml:space="preserve">注：相关为 Pearson 相关系数；L1 距离为两画像在 12 个价值观上的绝对差之和，数值越小越一致。</w:t>
      </w:r>
    </w:p>
    <w:p>
      <w:pPr>
        <w:pStyle w:val="21"/>
      </w:pPr>
      <w:r>
        <w:t xml:space="preserve">四家官方媒体的口径一致性</w:t>
      </w:r>
    </w:p>
    <w:p>
      <w:r>
        <w:t xml:space="preserve">聚合的媒体层画像可能掩盖媒体间的差异。逐媒体分析显示（图 3），人民日报、新华网、中新网、央广网四家官方媒体的画像</w:t>
      </w:r>
      <w:r>
        <w:rPr>
          <w:b/>
        </w:rPr>
        <w:t xml:space="preserve">高度一致</w:t>
      </w:r>
      <w:r>
        <w:t xml:space="preserve">：均呈"富强主导（凸显度 +10.8~+19.9）、敬业次之（+7.5~+9.8）、民主为正（中新网除外）、自由、平等、公正、爱国、友善整体为负"的画像。这说明中文官方话语的价值观重心是发展叙事与职业伦理，而非西式个人权利叙事——且这一重心不是个别媒体的风格，而是官方媒体体系的系统特征。</w:t>
      </w:r>
    </w:p>
    <w:p>
      <w:pPr>
        <w:pStyle w:val="XT图内容"/>
      </w:pPr>
      <w:r xmlns:a="http://schemas.openxmlformats.org/drawingml/2006/main" xmlns:pic="http://schemas.openxmlformats.org/drawingml/2006/picture">
        <w:drawing>
          <wp:inline distT="0" distB="0" distL="0" distR="0">
            <wp:extent cx="4500000" cy="2050771"/>
            <wp:effectExtent l="0" t="0" r="0" b="0"/>
            <wp:docPr id="1003" name="图片3"/>
            <wp:cNvGraphicFramePr/>
            <a:graphic>
              <a:graphicData uri="http://schemas.openxmlformats.org/drawingml/2006/picture">
                <pic:pic>
                  <pic:nvPicPr>
                    <pic:cNvPr id="1003" name="image3.png"/>
                    <pic:cNvPicPr/>
                  </pic:nvPicPr>
                  <pic:blipFill>
                    <a:blip r:embed="rIdFig3"/>
                    <a:stretch>
                      <a:fillRect/>
                    </a:stretch>
                  </pic:blipFill>
                  <pic:spPr>
                    <a:xfrm>
                      <a:off x="0" y="0"/>
                      <a:ext cx="4500000" cy="2050771"/>
                    </a:xfrm>
                    <a:prstGeom prst="rect">
                      <a:avLst/>
                    </a:prstGeom>
                  </pic:spPr>
                </pic:pic>
              </a:graphicData>
            </a:graphic>
          </wp:inline>
        </w:drawing>
      </w:r>
    </w:p>
    <w:p>
      <w:pPr>
        <w:pStyle w:val="XT图标题"/>
      </w:pPr>
      <w:r>
        <w:t xml:space="preserve">图3：四家中文官方媒体的核心价值观画像（高度一致）</w:t>
      </w:r>
    </w:p>
    <w:p>
      <w:pPr>
        <w:pStyle w:val="XT图表注"/>
      </w:pPr>
      <w:r>
        <w:t xml:space="preserve">资料来源：作者绘制。</w:t>
      </w:r>
    </w:p>
    <w:p>
      <w:pPr>
        <w:pStyle w:val="21"/>
      </w:pPr>
      <w:r>
        <w:t xml:space="preserve">十年稳定性</w:t>
      </w:r>
    </w:p>
    <w:p>
      <w:r>
        <w:t xml:space="preserve">价值观结构的时间稳定性是"文化自信"的关键证据（图 4）。豆瓣影评 2010—2019 十年的 SCV 轨迹显示：富强稳定在 +10.8~+11.3，敬业稳定在 +9.0~+9.5，和谐稳定在 +4.2~+4.9，民主十年恒为负（−3.6~−4.3）——</w:t>
      </w:r>
      <w:r>
        <w:rPr>
          <w:b/>
        </w:rPr>
        <w:t xml:space="preserve">十年间各价值的波动幅度均不足 1.5 个千分点</w:t>
      </w:r>
      <w:r>
        <w:t xml:space="preserve">。人民日报 2026 年 1—9 月的逐月轨迹同样平稳：富强 18.6~19.8、敬业 9.2~10.0、民主 4.7~6.6、和谐 2.8~4.0。</w:t>
      </w:r>
    </w:p>
    <w:p>
      <w:r>
        <w:t xml:space="preserve">两条轨迹来自完全不同的主体（普通观众与官方媒体）、不同的体裁（影评与新闻）、不同的统计单位（年与月），却呈现高度一致的稳定性。这表明中国价值观话语不是运动式的、随事件波动的短期现象，而是</w:t>
      </w:r>
      <w:r>
        <w:rPr>
          <w:b/>
        </w:rPr>
        <w:t xml:space="preserve">具有深层结构的长期稳定形态</w:t>
      </w:r>
      <w:r>
        <w:t xml:space="preserve">。</w:t>
      </w:r>
    </w:p>
    <w:p>
      <w:pPr>
        <w:pStyle w:val="XT图内容"/>
      </w:pPr>
      <w:r xmlns:a="http://schemas.openxmlformats.org/drawingml/2006/main" xmlns:pic="http://schemas.openxmlformats.org/drawingml/2006/picture">
        <w:drawing>
          <wp:inline distT="0" distB="0" distL="0" distR="0">
            <wp:extent cx="4500000" cy="1590137"/>
            <wp:effectExtent l="0" t="0" r="0" b="0"/>
            <wp:docPr id="1004" name="图片4"/>
            <wp:cNvGraphicFramePr/>
            <a:graphic>
              <a:graphicData uri="http://schemas.openxmlformats.org/drawingml/2006/picture">
                <pic:pic>
                  <pic:nvPicPr>
                    <pic:cNvPr id="1004" name="image4.png"/>
                    <pic:cNvPicPr/>
                  </pic:nvPicPr>
                  <pic:blipFill>
                    <a:blip r:embed="rIdFig4"/>
                    <a:stretch>
                      <a:fillRect/>
                    </a:stretch>
                  </pic:blipFill>
                  <pic:spPr>
                    <a:xfrm>
                      <a:off x="0" y="0"/>
                      <a:ext cx="4500000" cy="1590137"/>
                    </a:xfrm>
                    <a:prstGeom prst="rect">
                      <a:avLst/>
                    </a:prstGeom>
                  </pic:spPr>
                </pic:pic>
              </a:graphicData>
            </a:graphic>
          </wp:inline>
        </w:drawing>
      </w:r>
    </w:p>
    <w:p>
      <w:pPr>
        <w:pStyle w:val="XT图标题"/>
      </w:pPr>
      <w:r>
        <w:t xml:space="preserve">图4：豆瓣影评十年轨迹与人民日报逐月轨迹</w:t>
      </w:r>
    </w:p>
    <w:p>
      <w:pPr>
        <w:pStyle w:val="XT图表注"/>
      </w:pPr>
      <w:r>
        <w:t xml:space="preserve">资料来源：作者绘制（豆瓣 </w:t>
      </w:r>
      <m:oMath>
        <m:r>
          <w:rPr>
            <w:rFonts w:ascii="Cambria Math" w:hAnsi="Cambria Math"/>
          </w:rPr>
          <m:t xml:space="preserve">n=23</m:t>
        </m:r>
      </m:oMath>
      <w:r>
        <w:t xml:space="preserve">,137 条，2010—2019；人民日报 </w:t>
      </w:r>
      <m:oMath>
        <m:r>
          <w:rPr>
            <w:rFonts w:ascii="Cambria Math" w:hAnsi="Cambria Math"/>
          </w:rPr>
          <m:t xml:space="preserve">n=9</m:t>
        </m:r>
      </m:oMath>
      <w:r>
        <w:t xml:space="preserve"> 个月逐月均值）。</w:t>
      </w:r>
    </w:p>
    <w:p>
      <w:pPr>
        <w:pStyle w:val="21"/>
      </w:pPr>
      <w:r>
        <w:t xml:space="preserve">体裁×价值的交互结构</w:t>
      </w:r>
    </w:p>
    <w:p>
      <w:r>
        <w:t xml:space="preserve">三层话语的差异不仅体现在价值观内容上，也体现在</w:t>
      </w:r>
      <w:r>
        <w:rPr>
          <w:b/>
        </w:rPr>
        <w:t xml:space="preserve">体裁与维度的交互</w:t>
      </w:r>
      <w:r>
        <w:t xml:space="preserve">上（图 5）。以 Hofstede 六维的中西对比分看：权力距离（PDI）在影评与国家层为正（+2.03、+2.04）而在新闻层为负（−2.33）——中文影评与施政文本相对更偏高权力距离话语，中文新闻相对更回避权力等级话语，呈现清晰的体裁×维度交互；放纵/约束（IND）在三层一致为负（−15.1、−21.1、−14.7），即中文文本在三层体裁中都相对更约束导向；男性气质（MAS）在三层一致为正（+0.75、+3.72、+6.37），且在政治层最强。这一交互结构提示：中国价值观话语的表达强度随体裁而变——越是正式的官方话语，发展叙事与秩序价值的凸显度越高。</w:t>
      </w:r>
    </w:p>
    <w:p>
      <w:pPr>
        <w:pStyle w:val="XT图内容"/>
      </w:pPr>
      <w:r xmlns:a="http://schemas.openxmlformats.org/drawingml/2006/main" xmlns:pic="http://schemas.openxmlformats.org/drawingml/2006/picture">
        <w:drawing>
          <wp:inline distT="0" distB="0" distL="0" distR="0">
            <wp:extent cx="4500000" cy="2112997"/>
            <wp:effectExtent l="0" t="0" r="0" b="0"/>
            <wp:docPr id="1005" name="图片5"/>
            <wp:cNvGraphicFramePr/>
            <a:graphic>
              <a:graphicData uri="http://schemas.openxmlformats.org/drawingml/2006/picture">
                <pic:pic>
                  <pic:nvPicPr>
                    <pic:cNvPr id="1005" name="image5.png"/>
                    <pic:cNvPicPr/>
                  </pic:nvPicPr>
                  <pic:blipFill>
                    <a:blip r:embed="rIdFig5"/>
                    <a:stretch>
                      <a:fillRect/>
                    </a:stretch>
                  </pic:blipFill>
                  <pic:spPr>
                    <a:xfrm>
                      <a:off x="0" y="0"/>
                      <a:ext cx="4500000" cy="2112997"/>
                    </a:xfrm>
                    <a:prstGeom prst="rect">
                      <a:avLst/>
                    </a:prstGeom>
                  </pic:spPr>
                </pic:pic>
              </a:graphicData>
            </a:graphic>
          </wp:inline>
        </w:drawing>
      </w:r>
    </w:p>
    <w:p>
      <w:pPr>
        <w:pStyle w:val="XT图标题"/>
      </w:pPr>
      <w:r>
        <w:t xml:space="preserve">图5：体裁×维度交互：三层话语的六维对比分</w:t>
      </w:r>
    </w:p>
    <w:p>
      <w:pPr>
        <w:pStyle w:val="XT图表注"/>
      </w:pPr>
      <w:r>
        <w:t xml:space="preserve">资料来源：作者绘制（对比分为 zh−west，ipsative ×1000）。</w:t>
      </w:r>
    </w:p>
    <w:p>
      <w:pPr>
        <w:pStyle w:val="21"/>
      </w:pPr>
      <w:r>
        <w:t xml:space="preserve">中西语域特质</w:t>
      </w:r>
    </w:p>
    <w:p>
      <w:r>
        <w:t xml:space="preserve">把中文官方媒体与西方主流媒体做对照（图 6、表 5），可见清晰的语域分工。社会主义核心价值观十二值上，中文官方媒体相对凸显</w:t>
      </w:r>
      <w:r>
        <w:rPr>
          <w:b/>
        </w:rPr>
        <w:t xml:space="preserve">富强</w:t>
      </w:r>
      <w:r>
        <w:t xml:space="preserve">（+16.7 对 +8.8）、</w:t>
      </w:r>
      <w:r>
        <w:rPr>
          <w:b/>
        </w:rPr>
        <w:t xml:space="preserve">和谐</w:t>
      </w:r>
      <w:r>
        <w:t xml:space="preserve">（+3.7 对 −3.0）与</w:t>
      </w:r>
      <w:r>
        <w:rPr>
          <w:b/>
        </w:rPr>
        <w:t xml:space="preserve">文明</w:t>
      </w:r>
      <w:r>
        <w:t xml:space="preserve">（+3.5 对 −2.4）；西方媒体相对凸显</w:t>
      </w:r>
      <w:r>
        <w:rPr>
          <w:b/>
        </w:rPr>
        <w:t xml:space="preserve">平等</w:t>
      </w:r>
      <w:r>
        <w:t xml:space="preserve">（+6.9 对 −7.5）、</w:t>
      </w:r>
      <w:r>
        <w:rPr>
          <w:b/>
        </w:rPr>
        <w:t xml:space="preserve">自由</w:t>
      </w:r>
      <w:r>
        <w:t xml:space="preserve">（−2.1 对 −10.5）与</w:t>
      </w:r>
      <w:r>
        <w:rPr>
          <w:b/>
        </w:rPr>
        <w:t xml:space="preserve">公正</w:t>
      </w:r>
      <w:r>
        <w:t xml:space="preserve">。绝对差异最大的是平等（</w:t>
      </w:r>
      <m:oMath>
        <m:r>
          <w:rPr>
            <w:rFonts w:ascii="Cambria Math" w:hAnsi="Cambria Math"/>
          </w:rPr>
          <m:t xml:space="preserve">Δ=+14.5</m:t>
        </m:r>
      </m:oMath>
      <w:r>
        <w:t xml:space="preserve">），其次为自由（</w:t>
      </w:r>
      <m:oMath>
        <m:r>
          <w:rPr>
            <w:rFonts w:ascii="Cambria Math" w:hAnsi="Cambria Math"/>
          </w:rPr>
          <m:t xml:space="preserve">Δ=+8.4</m:t>
        </m:r>
      </m:oMath>
      <w:r>
        <w:t xml:space="preserve">）与富强（</w:t>
      </w:r>
      <m:oMath>
        <m:r>
          <w:rPr>
            <w:rFonts w:ascii="Cambria Math" w:hAnsi="Cambria Math"/>
          </w:rPr>
          <m:t xml:space="preserve">Δ=+7.9</m:t>
        </m:r>
      </m:oMath>
      <w:r>
        <w:t xml:space="preserve">）。</w:t>
      </w:r>
    </w:p>
    <w:p>
      <w:r>
        <w:t xml:space="preserve">WVS 与 Schwartz 体系进一步刻画了语域的整体形态：西方新闻在腐败、规则顺从、社会安全、仁爱关怀、普遍主义关怀等"问题—规范—约束—关怀"刻面上显著更高；中文新闻在幸福感、科技观、享乐、自我导向思考、后物质主义、传统等"发展—愿景—积极体验"刻面上显著更高。这说明中西价值观话语的分野不在于"有无价值"，而在于</w:t>
      </w:r>
      <w:r>
        <w:rPr>
          <w:b/>
        </w:rPr>
        <w:t xml:space="preserve">重心不同</w:t>
      </w:r>
      <w:r>
        <w:t xml:space="preserve">：中文官方话语以</w:t>
      </w:r>
      <w:r>
        <w:rPr>
          <w:b/>
        </w:rPr>
        <w:t xml:space="preserve">发展实绩与和谐秩序</w:t>
      </w:r>
      <w:r>
        <w:t xml:space="preserve">为核心，西方媒体话语以</w:t>
      </w:r>
      <w:r>
        <w:rPr>
          <w:b/>
        </w:rPr>
        <w:t xml:space="preserve">权利与平等</w:t>
      </w:r>
      <w:r>
        <w:t xml:space="preserve">为核心。</w:t>
      </w:r>
    </w:p>
    <w:p>
      <w:r>
        <w:t xml:space="preserve">值得特别指出的是，抗疫情、脱贫攻坚等重大议题在中国官方话语中主要以"发展成就"而非"价值宣示"的方式呈现——</w:t>
      </w:r>
      <w:r>
        <w:rPr>
          <w:b/>
        </w:rPr>
        <w:t xml:space="preserve">富强（+22.9）远高于爱国（−4.7）</w:t>
      </w:r>
      <w:r>
        <w:t xml:space="preserve">这一反直觉结果正说明了这一点：中国价值传播的载体是发展实绩叙事，而非口号式表达。</w:t>
      </w:r>
    </w:p>
    <w:p>
      <w:pPr>
        <w:pStyle w:val="XT表标题"/>
      </w:pPr>
      <w:r>
        <w:t xml:space="preserve">表5：中西媒体价值观画像对照（SCV，ipsative ×1000）</w:t>
      </w:r>
    </w:p>
    <w:tbl>
      <w:tblPr>
        <w:tblStyle w:val="XT三线表"/>
        <w:tblW w:w="8504" w:type="dxa"/>
        <w:tblInd w:w="0" w:type="dxa"/>
        <w:tblLayout w:type="fixed"/>
        <w:tblLook w:val="04A0" w:firstRow="1" w:lastRow="0" w:firstColumn="1" w:lastColumn="0" w:noHBand="0" w:noVBand="1"/>
      </w:tblPr>
      <w:tblGrid>
        <w:gridCol w:w="2126"/>
        <w:gridCol w:w="2126"/>
        <w:gridCol w:w="2126"/>
        <w:gridCol w:w="2126"/>
      </w:tblGrid>
      <w:tr>
        <w:trPr>
          <w:cnfStyle w:val="100000000000" w:firstRow="1" w:lastRow="0" w:firstColumn="0" w:lastColumn="0" w:oddVBand="0" w:evenVBand="0" w:oddHBand="0" w:evenHBand="0" w:firstRowFirstColumn="0" w:firstRowLastColumn="0" w:lastRowFirstColumn="0" w:lastRowLastColumn="0"/>
        </w:trPr>
        <w:tc>
          <w:tcPr>
            <w:tcW w:w="2126" w:type="dxa"/>
          </w:tcPr>
          <w:p>
            <w:pPr>
              <w:pStyle w:val="XT表格正文"/>
            </w:pPr>
            <w:r>
              <w:t xml:space="preserve">价值观</w:t>
            </w:r>
          </w:p>
        </w:tc>
        <w:tc>
          <w:tcPr>
            <w:tcW w:w="2126" w:type="dxa"/>
          </w:tcPr>
          <w:p>
            <w:pPr>
              <w:pStyle w:val="XT表格正文"/>
            </w:pPr>
            <w:r>
              <w:t xml:space="preserve">中文官方媒体（4 家均值）</w:t>
            </w:r>
          </w:p>
        </w:tc>
        <w:tc>
          <w:tcPr>
            <w:tcW w:w="2126" w:type="dxa"/>
          </w:tcPr>
          <w:p>
            <w:pPr>
              <w:pStyle w:val="XT表格正文"/>
            </w:pPr>
            <w:r>
              <w:t xml:space="preserve">西方媒体（12 家均值）</w:t>
            </w:r>
          </w:p>
        </w:tc>
        <w:tc>
          <w:tcPr>
            <w:tcW w:w="2126" w:type="dxa"/>
          </w:tcPr>
          <w:p>
            <w:pPr>
              <w:pStyle w:val="XT表格正文"/>
            </w:pPr>
            <w:r>
              <w:t xml:space="preserve">差值</w:t>
            </w:r>
          </w:p>
        </w:tc>
      </w:tr>
      <w:tr>
        <w:tc>
          <w:tcPr>
            <w:tcW w:w="2126" w:type="dxa"/>
          </w:tcPr>
          <w:p>
            <w:pPr>
              <w:pStyle w:val="XT表格正文"/>
            </w:pPr>
            <w:r>
              <w:t xml:space="preserve">富强</w:t>
            </w:r>
          </w:p>
        </w:tc>
        <w:tc>
          <w:tcPr>
            <w:tcW w:w="2126" w:type="dxa"/>
          </w:tcPr>
          <w:p>
            <w:pPr>
              <w:pStyle w:val="XT表格正文"/>
            </w:pPr>
            <w:r>
              <w:t xml:space="preserve">+16.70</w:t>
            </w:r>
          </w:p>
        </w:tc>
        <w:tc>
          <w:tcPr>
            <w:tcW w:w="2126" w:type="dxa"/>
          </w:tcPr>
          <w:p>
            <w:pPr>
              <w:pStyle w:val="XT表格正文"/>
            </w:pPr>
            <w:r>
              <w:t xml:space="preserve">+8.78</w:t>
            </w:r>
          </w:p>
        </w:tc>
        <w:tc>
          <w:tcPr>
            <w:tcW w:w="2126" w:type="dxa"/>
          </w:tcPr>
          <w:p>
            <w:pPr>
              <w:pStyle w:val="XT表格正文"/>
            </w:pPr>
            <w:r>
              <w:t xml:space="preserve">+7.92</w:t>
            </w:r>
          </w:p>
        </w:tc>
      </w:tr>
      <w:tr>
        <w:tc>
          <w:tcPr>
            <w:tcW w:w="2126" w:type="dxa"/>
          </w:tcPr>
          <w:p>
            <w:pPr>
              <w:pStyle w:val="XT表格正文"/>
            </w:pPr>
            <w:r>
              <w:t xml:space="preserve">民主</w:t>
            </w:r>
          </w:p>
        </w:tc>
        <w:tc>
          <w:tcPr>
            <w:tcW w:w="2126" w:type="dxa"/>
          </w:tcPr>
          <w:p>
            <w:pPr>
              <w:pStyle w:val="XT表格正文"/>
            </w:pPr>
            <w:r>
              <w:t xml:space="preserve">+2.26</w:t>
            </w:r>
          </w:p>
        </w:tc>
        <w:tc>
          <w:tcPr>
            <w:tcW w:w="2126" w:type="dxa"/>
          </w:tcPr>
          <w:p>
            <w:pPr>
              <w:pStyle w:val="XT表格正文"/>
            </w:pPr>
            <w:r>
              <w:t xml:space="preserve">−0.94</w:t>
            </w:r>
          </w:p>
        </w:tc>
        <w:tc>
          <w:tcPr>
            <w:tcW w:w="2126" w:type="dxa"/>
          </w:tcPr>
          <w:p>
            <w:pPr>
              <w:pStyle w:val="XT表格正文"/>
            </w:pPr>
            <w:r>
              <w:t xml:space="preserve">+3.20</w:t>
            </w:r>
          </w:p>
        </w:tc>
      </w:tr>
      <w:tr>
        <w:tc>
          <w:tcPr>
            <w:tcW w:w="2126" w:type="dxa"/>
          </w:tcPr>
          <w:p>
            <w:pPr>
              <w:pStyle w:val="XT表格正文"/>
            </w:pPr>
            <w:r>
              <w:t xml:space="preserve">文明</w:t>
            </w:r>
          </w:p>
        </w:tc>
        <w:tc>
          <w:tcPr>
            <w:tcW w:w="2126" w:type="dxa"/>
          </w:tcPr>
          <w:p>
            <w:pPr>
              <w:pStyle w:val="XT表格正文"/>
            </w:pPr>
            <w:r>
              <w:t xml:space="preserve">+3.48</w:t>
            </w:r>
          </w:p>
        </w:tc>
        <w:tc>
          <w:tcPr>
            <w:tcW w:w="2126" w:type="dxa"/>
          </w:tcPr>
          <w:p>
            <w:pPr>
              <w:pStyle w:val="XT表格正文"/>
            </w:pPr>
            <w:r>
              <w:t xml:space="preserve">−2.36</w:t>
            </w:r>
          </w:p>
        </w:tc>
        <w:tc>
          <w:tcPr>
            <w:tcW w:w="2126" w:type="dxa"/>
          </w:tcPr>
          <w:p>
            <w:pPr>
              <w:pStyle w:val="XT表格正文"/>
            </w:pPr>
            <w:r>
              <w:t xml:space="preserve">+5.84</w:t>
            </w:r>
          </w:p>
        </w:tc>
      </w:tr>
      <w:tr>
        <w:tc>
          <w:tcPr>
            <w:tcW w:w="2126" w:type="dxa"/>
          </w:tcPr>
          <w:p>
            <w:pPr>
              <w:pStyle w:val="XT表格正文"/>
            </w:pPr>
            <w:r>
              <w:t xml:space="preserve">和谐</w:t>
            </w:r>
          </w:p>
        </w:tc>
        <w:tc>
          <w:tcPr>
            <w:tcW w:w="2126" w:type="dxa"/>
          </w:tcPr>
          <w:p>
            <w:pPr>
              <w:pStyle w:val="XT表格正文"/>
            </w:pPr>
            <w:r>
              <w:t xml:space="preserve">+3.74</w:t>
            </w:r>
          </w:p>
        </w:tc>
        <w:tc>
          <w:tcPr>
            <w:tcW w:w="2126" w:type="dxa"/>
          </w:tcPr>
          <w:p>
            <w:pPr>
              <w:pStyle w:val="XT表格正文"/>
            </w:pPr>
            <w:r>
              <w:t xml:space="preserve">−2.98</w:t>
            </w:r>
          </w:p>
        </w:tc>
        <w:tc>
          <w:tcPr>
            <w:tcW w:w="2126" w:type="dxa"/>
          </w:tcPr>
          <w:p>
            <w:pPr>
              <w:pStyle w:val="XT表格正文"/>
            </w:pPr>
            <w:r>
              <w:t xml:space="preserve">+6.72</w:t>
            </w:r>
          </w:p>
        </w:tc>
      </w:tr>
      <w:tr>
        <w:tc>
          <w:tcPr>
            <w:tcW w:w="2126" w:type="dxa"/>
          </w:tcPr>
          <w:p>
            <w:pPr>
              <w:pStyle w:val="XT表格正文"/>
            </w:pPr>
            <w:r>
              <w:t xml:space="preserve">自由</w:t>
            </w:r>
          </w:p>
        </w:tc>
        <w:tc>
          <w:tcPr>
            <w:tcW w:w="2126" w:type="dxa"/>
          </w:tcPr>
          <w:p>
            <w:pPr>
              <w:pStyle w:val="XT表格正文"/>
            </w:pPr>
            <w:r>
              <w:t xml:space="preserve">−10.48</w:t>
            </w:r>
          </w:p>
        </w:tc>
        <w:tc>
          <w:tcPr>
            <w:tcW w:w="2126" w:type="dxa"/>
          </w:tcPr>
          <w:p>
            <w:pPr>
              <w:pStyle w:val="XT表格正文"/>
            </w:pPr>
            <w:r>
              <w:t xml:space="preserve">−2.11</w:t>
            </w:r>
          </w:p>
        </w:tc>
        <w:tc>
          <w:tcPr>
            <w:tcW w:w="2126" w:type="dxa"/>
          </w:tcPr>
          <w:p>
            <w:pPr>
              <w:pStyle w:val="XT表格正文"/>
            </w:pPr>
            <w:r>
              <w:t xml:space="preserve">−8.37</w:t>
            </w:r>
          </w:p>
        </w:tc>
      </w:tr>
      <w:tr>
        <w:tc>
          <w:tcPr>
            <w:tcW w:w="2126" w:type="dxa"/>
          </w:tcPr>
          <w:p>
            <w:pPr>
              <w:pStyle w:val="XT表格正文"/>
            </w:pPr>
            <w:r>
              <w:t xml:space="preserve">平等</w:t>
            </w:r>
          </w:p>
        </w:tc>
        <w:tc>
          <w:tcPr>
            <w:tcW w:w="2126" w:type="dxa"/>
          </w:tcPr>
          <w:p>
            <w:pPr>
              <w:pStyle w:val="XT表格正文"/>
            </w:pPr>
            <w:r>
              <w:t xml:space="preserve">−7.58</w:t>
            </w:r>
          </w:p>
        </w:tc>
        <w:tc>
          <w:tcPr>
            <w:tcW w:w="2126" w:type="dxa"/>
          </w:tcPr>
          <w:p>
            <w:pPr>
              <w:pStyle w:val="XT表格正文"/>
            </w:pPr>
            <w:r>
              <w:t xml:space="preserve">+6.87</w:t>
            </w:r>
          </w:p>
        </w:tc>
        <w:tc>
          <w:tcPr>
            <w:tcW w:w="2126" w:type="dxa"/>
          </w:tcPr>
          <w:p>
            <w:pPr>
              <w:pStyle w:val="XT表格正文"/>
            </w:pPr>
            <w:r>
              <w:t xml:space="preserve">−14.45</w:t>
            </w:r>
          </w:p>
        </w:tc>
      </w:tr>
      <w:tr>
        <w:tc>
          <w:tcPr>
            <w:tcW w:w="2126" w:type="dxa"/>
          </w:tcPr>
          <w:p>
            <w:pPr>
              <w:pStyle w:val="XT表格正文"/>
            </w:pPr>
            <w:r>
              <w:t xml:space="preserve">公正</w:t>
            </w:r>
          </w:p>
        </w:tc>
        <w:tc>
          <w:tcPr>
            <w:tcW w:w="2126" w:type="dxa"/>
          </w:tcPr>
          <w:p>
            <w:pPr>
              <w:pStyle w:val="XT表格正文"/>
            </w:pPr>
            <w:r>
              <w:t xml:space="preserve">−8.32</w:t>
            </w:r>
          </w:p>
        </w:tc>
        <w:tc>
          <w:tcPr>
            <w:tcW w:w="2126" w:type="dxa"/>
          </w:tcPr>
          <w:p>
            <w:pPr>
              <w:pStyle w:val="XT表格正文"/>
            </w:pPr>
            <w:r>
              <w:t xml:space="preserve">−0.30</w:t>
            </w:r>
          </w:p>
        </w:tc>
        <w:tc>
          <w:tcPr>
            <w:tcW w:w="2126" w:type="dxa"/>
          </w:tcPr>
          <w:p>
            <w:pPr>
              <w:pStyle w:val="XT表格正文"/>
            </w:pPr>
            <w:r>
              <w:t xml:space="preserve">−8.02</w:t>
            </w:r>
          </w:p>
        </w:tc>
      </w:tr>
      <w:tr>
        <w:tc>
          <w:tcPr>
            <w:tcW w:w="2126" w:type="dxa"/>
          </w:tcPr>
          <w:p>
            <w:pPr>
              <w:pStyle w:val="XT表格正文"/>
            </w:pPr>
            <w:r>
              <w:t xml:space="preserve">法治</w:t>
            </w:r>
          </w:p>
        </w:tc>
        <w:tc>
          <w:tcPr>
            <w:tcW w:w="2126" w:type="dxa"/>
          </w:tcPr>
          <w:p>
            <w:pPr>
              <w:pStyle w:val="XT表格正文"/>
            </w:pPr>
            <w:r>
              <w:t xml:space="preserve">−0.59</w:t>
            </w:r>
          </w:p>
        </w:tc>
        <w:tc>
          <w:tcPr>
            <w:tcW w:w="2126" w:type="dxa"/>
          </w:tcPr>
          <w:p>
            <w:pPr>
              <w:pStyle w:val="XT表格正文"/>
            </w:pPr>
            <w:r>
              <w:t xml:space="preserve">+1.54</w:t>
            </w:r>
          </w:p>
        </w:tc>
        <w:tc>
          <w:tcPr>
            <w:tcW w:w="2126" w:type="dxa"/>
          </w:tcPr>
          <w:p>
            <w:pPr>
              <w:pStyle w:val="XT表格正文"/>
            </w:pPr>
            <w:r>
              <w:t xml:space="preserve">−2.13</w:t>
            </w:r>
          </w:p>
        </w:tc>
      </w:tr>
      <w:tr>
        <w:tc>
          <w:tcPr>
            <w:tcW w:w="2126" w:type="dxa"/>
          </w:tcPr>
          <w:p>
            <w:pPr>
              <w:pStyle w:val="XT表格正文"/>
            </w:pPr>
            <w:r>
              <w:t xml:space="preserve">爱国</w:t>
            </w:r>
          </w:p>
        </w:tc>
        <w:tc>
          <w:tcPr>
            <w:tcW w:w="2126" w:type="dxa"/>
          </w:tcPr>
          <w:p>
            <w:pPr>
              <w:pStyle w:val="XT表格正文"/>
            </w:pPr>
            <w:r>
              <w:t xml:space="preserve">−2.82</w:t>
            </w:r>
          </w:p>
        </w:tc>
        <w:tc>
          <w:tcPr>
            <w:tcW w:w="2126" w:type="dxa"/>
          </w:tcPr>
          <w:p>
            <w:pPr>
              <w:pStyle w:val="XT表格正文"/>
            </w:pPr>
            <w:r>
              <w:t xml:space="preserve">+0.89</w:t>
            </w:r>
          </w:p>
        </w:tc>
        <w:tc>
          <w:tcPr>
            <w:tcW w:w="2126" w:type="dxa"/>
          </w:tcPr>
          <w:p>
            <w:pPr>
              <w:pStyle w:val="XT表格正文"/>
            </w:pPr>
            <w:r>
              <w:t xml:space="preserve">−3.71</w:t>
            </w:r>
          </w:p>
        </w:tc>
      </w:tr>
      <w:tr>
        <w:tc>
          <w:tcPr>
            <w:tcW w:w="2126" w:type="dxa"/>
          </w:tcPr>
          <w:p>
            <w:pPr>
              <w:pStyle w:val="XT表格正文"/>
            </w:pPr>
            <w:r>
              <w:t xml:space="preserve">敬业</w:t>
            </w:r>
          </w:p>
        </w:tc>
        <w:tc>
          <w:tcPr>
            <w:tcW w:w="2126" w:type="dxa"/>
          </w:tcPr>
          <w:p>
            <w:pPr>
              <w:pStyle w:val="XT表格正文"/>
            </w:pPr>
            <w:r>
              <w:t xml:space="preserve">+8.80</w:t>
            </w:r>
          </w:p>
        </w:tc>
        <w:tc>
          <w:tcPr>
            <w:tcW w:w="2126" w:type="dxa"/>
          </w:tcPr>
          <w:p>
            <w:pPr>
              <w:pStyle w:val="XT表格正文"/>
            </w:pPr>
            <w:r>
              <w:t xml:space="preserve">+3.41</w:t>
            </w:r>
          </w:p>
        </w:tc>
        <w:tc>
          <w:tcPr>
            <w:tcW w:w="2126" w:type="dxa"/>
          </w:tcPr>
          <w:p>
            <w:pPr>
              <w:pStyle w:val="XT表格正文"/>
            </w:pPr>
            <w:r>
              <w:t xml:space="preserve">+5.39</w:t>
            </w:r>
          </w:p>
        </w:tc>
      </w:tr>
      <w:tr>
        <w:tc>
          <w:tcPr>
            <w:tcW w:w="2126" w:type="dxa"/>
          </w:tcPr>
          <w:p>
            <w:pPr>
              <w:pStyle w:val="XT表格正文"/>
            </w:pPr>
            <w:r>
              <w:t xml:space="preserve">诚信</w:t>
            </w:r>
          </w:p>
        </w:tc>
        <w:tc>
          <w:tcPr>
            <w:tcW w:w="2126" w:type="dxa"/>
          </w:tcPr>
          <w:p>
            <w:pPr>
              <w:pStyle w:val="XT表格正文"/>
            </w:pPr>
            <w:r>
              <w:t xml:space="preserve">−0.94</w:t>
            </w:r>
          </w:p>
        </w:tc>
        <w:tc>
          <w:tcPr>
            <w:tcW w:w="2126" w:type="dxa"/>
          </w:tcPr>
          <w:p>
            <w:pPr>
              <w:pStyle w:val="XT表格正文"/>
            </w:pPr>
            <w:r>
              <w:t xml:space="preserve">+1.51</w:t>
            </w:r>
          </w:p>
        </w:tc>
        <w:tc>
          <w:tcPr>
            <w:tcW w:w="2126" w:type="dxa"/>
          </w:tcPr>
          <w:p>
            <w:pPr>
              <w:pStyle w:val="XT表格正文"/>
            </w:pPr>
            <w:r>
              <w:t xml:space="preserve">−2.45</w:t>
            </w:r>
          </w:p>
        </w:tc>
      </w:tr>
      <w:tr>
        <w:tc>
          <w:tcPr>
            <w:tcW w:w="2126" w:type="dxa"/>
          </w:tcPr>
          <w:p>
            <w:pPr>
              <w:pStyle w:val="XT表格正文"/>
            </w:pPr>
            <w:r>
              <w:t xml:space="preserve">友善</w:t>
            </w:r>
          </w:p>
        </w:tc>
        <w:tc>
          <w:tcPr>
            <w:tcW w:w="2126" w:type="dxa"/>
          </w:tcPr>
          <w:p>
            <w:pPr>
              <w:pStyle w:val="XT表格正文"/>
            </w:pPr>
            <w:r>
              <w:t xml:space="preserve">−3.99</w:t>
            </w:r>
          </w:p>
        </w:tc>
        <w:tc>
          <w:tcPr>
            <w:tcW w:w="2126" w:type="dxa"/>
          </w:tcPr>
          <w:p>
            <w:pPr>
              <w:pStyle w:val="XT表格正文"/>
            </w:pPr>
            <w:r>
              <w:t xml:space="preserve">−7.33</w:t>
            </w:r>
          </w:p>
        </w:tc>
        <w:tc>
          <w:tcPr>
            <w:tcW w:w="2126" w:type="dxa"/>
          </w:tcPr>
          <w:p>
            <w:pPr>
              <w:pStyle w:val="XT表格正文"/>
            </w:pPr>
            <w:r>
              <w:t xml:space="preserve">+3.34</w:t>
            </w:r>
          </w:p>
        </w:tc>
      </w:tr>
    </w:tbl>
    <w:p>
      <w:pPr>
        <w:pStyle w:val="XT图表注"/>
      </w:pPr>
      <w:r>
        <w:t xml:space="preserve">注：中文官方媒体包括人民日报、新华网、中新网、央广网；西方媒体包括 Independent、Fox、Telegraph、WaPo、NYT、CNN、Reuters、AP、BBC、USAToday、Guardian、NPR 共 12 家。</w:t>
      </w:r>
    </w:p>
    <w:p>
      <w:pPr>
        <w:pStyle w:val="XT图内容"/>
      </w:pPr>
      <w:r xmlns:a="http://schemas.openxmlformats.org/drawingml/2006/main" xmlns:pic="http://schemas.openxmlformats.org/drawingml/2006/picture">
        <w:drawing>
          <wp:inline distT="0" distB="0" distL="0" distR="0">
            <wp:extent cx="4500000" cy="1826130"/>
            <wp:effectExtent l="0" t="0" r="0" b="0"/>
            <wp:docPr id="1006" name="图片6"/>
            <wp:cNvGraphicFramePr/>
            <a:graphic>
              <a:graphicData uri="http://schemas.openxmlformats.org/drawingml/2006/picture">
                <pic:pic>
                  <pic:nvPicPr>
                    <pic:cNvPr id="1006" name="image6.png"/>
                    <pic:cNvPicPr/>
                  </pic:nvPicPr>
                  <pic:blipFill>
                    <a:blip r:embed="rIdFig6"/>
                    <a:stretch>
                      <a:fillRect/>
                    </a:stretch>
                  </pic:blipFill>
                  <pic:spPr>
                    <a:xfrm>
                      <a:off x="0" y="0"/>
                      <a:ext cx="4500000" cy="1826130"/>
                    </a:xfrm>
                    <a:prstGeom prst="rect">
                      <a:avLst/>
                    </a:prstGeom>
                  </pic:spPr>
                </pic:pic>
              </a:graphicData>
            </a:graphic>
          </wp:inline>
        </w:drawing>
      </w:r>
    </w:p>
    <w:p>
      <w:pPr>
        <w:pStyle w:val="XT图标题"/>
      </w:pPr>
      <w:r>
        <w:t xml:space="preserve">图6：中西媒体话语的社会主义核心价值观画像对照</w:t>
      </w:r>
    </w:p>
    <w:p>
      <w:pPr>
        <w:pStyle w:val="XT图表注"/>
      </w:pPr>
      <w:r>
        <w:t xml:space="preserve">资料来源：作者绘制。</w:t>
      </w:r>
    </w:p>
    <w:p>
      <w:pPr>
        <w:pStyle w:val="21"/>
      </w:pPr>
      <w:r>
        <w:t xml:space="preserve">本土内容的价值观凸显：华语片的内容归属效应</w:t>
      </w:r>
    </w:p>
    <w:p>
      <w:r>
        <w:t xml:space="preserve">前述分析以好莱坞片为主。一个值得追问的问题是：中国观众的价值表达是否随所评内容的文化归属而变化？本文另建华语片同片配对集（618 部中国大陆/港台影片，豆瓣中文观众对 Letterboxd 英文观众，同片同年），结果与好莱坞片方向完全一致，且</w:t>
      </w:r>
      <w:r>
        <w:rPr>
          <w:b/>
        </w:rPr>
        <w:t xml:space="preserve">个体主义、权力距离、男性气质三个维度的效应在中文内容上明显更大</w:t>
      </w:r>
      <w:r>
        <w:t xml:space="preserve">（IDV +1.39 对 +0.73、PDI +2.51 对 +2.04、MAS +2.41 对 +0.77）。由于两部影片集共享同一批豆瓣观众，这一差异刻画的是</w:t>
      </w:r>
      <w:r>
        <w:rPr>
          <w:b/>
        </w:rPr>
        <w:t xml:space="preserve">内容文化归属对价值表达强度的调节效应</w:t>
      </w:r>
      <w:r>
        <w:t xml:space="preserve">：中国观众在评论本国影片时，"中式"价值表达更为凸显。这是文化自信在本土内容层面的一种话语表征。</w:t>
      </w:r>
    </w:p>
    <w:p>
      <w:pPr>
        <w:pStyle w:val="XT图内容"/>
      </w:pPr>
      <w:r xmlns:a="http://schemas.openxmlformats.org/drawingml/2006/main" xmlns:pic="http://schemas.openxmlformats.org/drawingml/2006/picture">
        <w:drawing>
          <wp:inline distT="0" distB="0" distL="0" distR="0">
            <wp:extent cx="4500000" cy="4504418"/>
            <wp:effectExtent l="0" t="0" r="0" b="0"/>
            <wp:docPr id="1007" name="图片7"/>
            <wp:cNvGraphicFramePr/>
            <a:graphic>
              <a:graphicData uri="http://schemas.openxmlformats.org/drawingml/2006/picture">
                <pic:pic>
                  <pic:nvPicPr>
                    <pic:cNvPr id="1007" name="image7.png"/>
                    <pic:cNvPicPr/>
                  </pic:nvPicPr>
                  <pic:blipFill>
                    <a:blip r:embed="rIdFig7"/>
                    <a:stretch>
                      <a:fillRect/>
                    </a:stretch>
                  </pic:blipFill>
                  <pic:spPr>
                    <a:xfrm>
                      <a:off x="0" y="0"/>
                      <a:ext cx="4500000" cy="4504418"/>
                    </a:xfrm>
                    <a:prstGeom prst="rect">
                      <a:avLst/>
                    </a:prstGeom>
                  </pic:spPr>
                </pic:pic>
              </a:graphicData>
            </a:graphic>
          </wp:inline>
        </w:drawing>
      </w:r>
    </w:p>
    <w:p>
      <w:pPr>
        <w:pStyle w:val="XT图标题"/>
      </w:pPr>
      <w:r>
        <w:t xml:space="preserve">图7：典型华语片的中西观众价值观画像雷达图</w:t>
      </w:r>
    </w:p>
    <w:p>
      <w:pPr>
        <w:pStyle w:val="XT图表注"/>
      </w:pPr>
      <w:r>
        <w:t xml:space="preserve">资料来源：作者绘制（数据驱动的 L1 距离选片：差异最大的《门》《搭错车》与几乎完全同构的《小猪佩奇过大年》）。</w:t>
      </w:r>
    </w:p>
    <w:p>
      <w:pPr>
        <w:pStyle w:val="21"/>
      </w:pPr>
      <w:r>
        <w:t xml:space="preserve">测量稳健性：四重检验</w:t>
      </w:r>
    </w:p>
    <w:p>
      <w:r>
        <w:t xml:space="preserve">为使上述结论可信，本文对所有方向性结论做了四重稳健性检验（表 6）。</w:t>
      </w:r>
      <w:r>
        <w:rPr>
          <w:b/>
        </w:rPr>
        <w:t xml:space="preserve">词库版本敏感性</w:t>
      </w:r>
      <w:r>
        <w:t xml:space="preserve">：三版词库下文本级相关 0.97—1.00。</w:t>
      </w:r>
      <w:r>
        <w:rPr>
          <w:b/>
        </w:rPr>
        <w:t xml:space="preserve">文化内安慰剂检验</w:t>
      </w:r>
      <w:r>
        <w:t xml:space="preserve">：把中文媒体两两对照与西方媒体两两对照建立方法噪声基线，结果显示只有放纵/约束（真实差异为媒体内噪声的 5.75 倍）与长/短期导向（3.97 倍）能在噪声之上被特异性测量。</w:t>
      </w:r>
      <w:r>
        <w:rPr>
          <w:b/>
        </w:rPr>
        <w:t xml:space="preserve">三模型三角互证</w:t>
      </w:r>
      <w:r>
        <w:t xml:space="preserve">：以三个架构独立的多语嵌入模型（multilingual-e5-large、LaBSE、BGE-M3）全量重跑，放纵/约束在同片影评与月份新闻两语料三模型下方向恒定，男性气质在三层语料三模型下方向恒定。</w:t>
      </w:r>
      <w:r>
        <w:rPr>
          <w:b/>
        </w:rPr>
        <w:t xml:space="preserve">题项锚定对照</w:t>
      </w:r>
      <w:r>
        <w:t xml:space="preserve">：以 Hofstede VSM2013 官方问卷题项原文作嵌入锚，权力距离、放纵/约束、男性气质在全部三语料上方向一致（文本级相关 0.82—0.90）。据此，本文把放纵/约束作为核心稳健结论，权力距离与男性气质作为次级稳健结论，其余维度仅作参考。</w:t>
      </w:r>
    </w:p>
    <w:p>
      <w:pPr>
        <w:pStyle w:val="XT表标题"/>
      </w:pPr>
      <w:r>
        <w:t xml:space="preserve">表6：四重稳健性检验通过情况汇总</w:t>
      </w:r>
    </w:p>
    <w:tbl>
      <w:tblPr>
        <w:tblStyle w:val="XT三线表"/>
        <w:tblW w:w="8504" w:type="dxa"/>
        <w:tblInd w:w="0" w:type="dxa"/>
        <w:tblLayout w:type="fixed"/>
        <w:tblLook w:val="04A0" w:firstRow="1" w:lastRow="0" w:firstColumn="1" w:lastColumn="0" w:noHBand="0" w:noVBand="1"/>
      </w:tblPr>
      <w:tblGrid>
        <w:gridCol w:w="1214"/>
        <w:gridCol w:w="1214"/>
        <w:gridCol w:w="1214"/>
        <w:gridCol w:w="1214"/>
        <w:gridCol w:w="1214"/>
        <w:gridCol w:w="1214"/>
        <w:gridCol w:w="1214"/>
      </w:tblGrid>
      <w:tr>
        <w:trPr>
          <w:cnfStyle w:val="100000000000" w:firstRow="1" w:lastRow="0" w:firstColumn="0" w:lastColumn="0" w:oddVBand="0" w:evenVBand="0" w:oddHBand="0" w:evenHBand="0" w:firstRowFirstColumn="0" w:firstRowLastColumn="0" w:lastRowFirstColumn="0" w:lastRowLastColumn="0"/>
        </w:trPr>
        <w:tc>
          <w:tcPr>
            <w:tcW w:w="1214" w:type="dxa"/>
          </w:tcPr>
          <w:p>
            <w:pPr>
              <w:pStyle w:val="XT表格正文"/>
            </w:pPr>
            <w:r>
              <w:t xml:space="preserve">维度</w:t>
            </w:r>
          </w:p>
        </w:tc>
        <w:tc>
          <w:tcPr>
            <w:tcW w:w="1214" w:type="dxa"/>
          </w:tcPr>
          <w:p>
            <w:pPr>
              <w:pStyle w:val="XT表格正文"/>
            </w:pPr>
            <w:r>
              <w:t xml:space="preserve">词库版本</w:t>
            </w:r>
          </w:p>
        </w:tc>
        <w:tc>
          <w:tcPr>
            <w:tcW w:w="1214" w:type="dxa"/>
          </w:tcPr>
          <w:p>
            <w:pPr>
              <w:pStyle w:val="XT表格正文"/>
            </w:pPr>
            <w:r>
              <w:t xml:space="preserve">十一层</w:t>
            </w:r>
          </w:p>
        </w:tc>
        <w:tc>
          <w:tcPr>
            <w:tcW w:w="1214" w:type="dxa"/>
          </w:tcPr>
          <w:p>
            <w:pPr>
              <w:pStyle w:val="XT表格正文"/>
            </w:pPr>
            <w:r>
              <w:t xml:space="preserve">安慰剂</w:t>
            </w:r>
          </w:p>
        </w:tc>
        <w:tc>
          <w:tcPr>
            <w:tcW w:w="1214" w:type="dxa"/>
          </w:tcPr>
          <w:p>
            <w:pPr>
              <w:pStyle w:val="XT表格正文"/>
            </w:pPr>
            <w:r>
              <w:t xml:space="preserve">跨模型（3 模型）</w:t>
            </w:r>
          </w:p>
        </w:tc>
        <w:tc>
          <w:tcPr>
            <w:tcW w:w="1214" w:type="dxa"/>
          </w:tcPr>
          <w:p>
            <w:pPr>
              <w:pStyle w:val="XT表格正文"/>
            </w:pPr>
            <w:r>
              <w:t xml:space="preserve">题项锚定</w:t>
            </w:r>
          </w:p>
        </w:tc>
        <w:tc>
          <w:tcPr>
            <w:tcW w:w="1214" w:type="dxa"/>
          </w:tcPr>
          <w:p>
            <w:pPr>
              <w:pStyle w:val="XT表格正文"/>
            </w:pPr>
            <w:r>
              <w:t xml:space="preserve">结论</w:t>
            </w:r>
          </w:p>
        </w:tc>
      </w:tr>
      <w:tr>
        <w:tc>
          <w:tcPr>
            <w:tcW w:w="1214" w:type="dxa"/>
          </w:tcPr>
          <w:p>
            <w:pPr>
              <w:pStyle w:val="XT表格正文"/>
            </w:pPr>
            <w:r>
              <w:t xml:space="preserve">放纵/约束</w:t>
            </w:r>
          </w:p>
        </w:tc>
        <w:tc>
          <w:tcPr>
            <w:tcW w:w="1214" w:type="dxa"/>
          </w:tcPr>
          <w:p>
            <w:pPr>
              <w:pStyle w:val="XT表格正文"/>
            </w:pPr>
            <w:r>
              <w:t xml:space="preserve">通过</w:t>
            </w:r>
          </w:p>
        </w:tc>
        <w:tc>
          <w:tcPr>
            <w:tcW w:w="1214" w:type="dxa"/>
          </w:tcPr>
          <w:p>
            <w:pPr>
              <w:pStyle w:val="XT表格正文"/>
            </w:pPr>
            <w:r>
              <w:t xml:space="preserve">通过</w:t>
            </w:r>
          </w:p>
        </w:tc>
        <w:tc>
          <w:tcPr>
            <w:tcW w:w="1214" w:type="dxa"/>
          </w:tcPr>
          <w:p>
            <w:pPr>
              <w:pStyle w:val="XT表格正文"/>
            </w:pPr>
            <w:r>
              <w:t xml:space="preserve">通过</w:t>
            </w:r>
          </w:p>
        </w:tc>
        <w:tc>
          <w:tcPr>
            <w:tcW w:w="1214" w:type="dxa"/>
          </w:tcPr>
          <w:p>
            <w:pPr>
              <w:pStyle w:val="XT表格正文"/>
            </w:pPr>
            <w:r>
              <w:t xml:space="preserve">通过</w:t>
            </w:r>
          </w:p>
        </w:tc>
        <w:tc>
          <w:tcPr>
            <w:tcW w:w="1214" w:type="dxa"/>
          </w:tcPr>
          <w:p>
            <w:pPr>
              <w:pStyle w:val="XT表格正文"/>
            </w:pPr>
            <w:r>
              <w:t xml:space="preserve">通过</w:t>
            </w:r>
          </w:p>
        </w:tc>
        <w:tc>
          <w:tcPr>
            <w:tcW w:w="1214" w:type="dxa"/>
          </w:tcPr>
          <w:p>
            <w:pPr>
              <w:pStyle w:val="XT表格正文"/>
            </w:pPr>
            <w:r>
              <w:t xml:space="preserve">核心稳健</w:t>
            </w:r>
          </w:p>
        </w:tc>
      </w:tr>
      <w:tr>
        <w:tc>
          <w:tcPr>
            <w:tcW w:w="1214" w:type="dxa"/>
          </w:tcPr>
          <w:p>
            <w:pPr>
              <w:pStyle w:val="XT表格正文"/>
            </w:pPr>
            <w:r>
              <w:t xml:space="preserve">权力距离</w:t>
            </w:r>
          </w:p>
        </w:tc>
        <w:tc>
          <w:tcPr>
            <w:tcW w:w="1214" w:type="dxa"/>
          </w:tcPr>
          <w:p>
            <w:pPr>
              <w:pStyle w:val="XT表格正文"/>
            </w:pPr>
            <w:r>
              <w:t xml:space="preserve">通过</w:t>
            </w:r>
          </w:p>
        </w:tc>
        <w:tc>
          <w:tcPr>
            <w:tcW w:w="1214" w:type="dxa"/>
          </w:tcPr>
          <w:p>
            <w:pPr>
              <w:pStyle w:val="XT表格正文"/>
            </w:pPr>
            <w:r>
              <w:t xml:space="preserve">部分</w:t>
            </w:r>
          </w:p>
        </w:tc>
        <w:tc>
          <w:tcPr>
            <w:tcW w:w="1214" w:type="dxa"/>
          </w:tcPr>
          <w:p>
            <w:pPr>
              <w:pStyle w:val="XT表格正文"/>
            </w:pPr>
            <w:r>
              <w:t xml:space="preserve">未通过</w:t>
            </w:r>
          </w:p>
        </w:tc>
        <w:tc>
          <w:tcPr>
            <w:tcW w:w="1214" w:type="dxa"/>
          </w:tcPr>
          <w:p>
            <w:pPr>
              <w:pStyle w:val="XT表格正文"/>
            </w:pPr>
            <w:r>
              <w:t xml:space="preserve">部分</w:t>
            </w:r>
          </w:p>
        </w:tc>
        <w:tc>
          <w:tcPr>
            <w:tcW w:w="1214" w:type="dxa"/>
          </w:tcPr>
          <w:p>
            <w:pPr>
              <w:pStyle w:val="XT表格正文"/>
            </w:pPr>
            <w:r>
              <w:t xml:space="preserve">通过</w:t>
            </w:r>
          </w:p>
        </w:tc>
        <w:tc>
          <w:tcPr>
            <w:tcW w:w="1214" w:type="dxa"/>
          </w:tcPr>
          <w:p>
            <w:pPr>
              <w:pStyle w:val="XT表格正文"/>
            </w:pPr>
            <w:r>
              <w:t xml:space="preserve">次级稳健</w:t>
            </w:r>
          </w:p>
        </w:tc>
      </w:tr>
      <w:tr>
        <w:tc>
          <w:tcPr>
            <w:tcW w:w="1214" w:type="dxa"/>
          </w:tcPr>
          <w:p>
            <w:pPr>
              <w:pStyle w:val="XT表格正文"/>
            </w:pPr>
            <w:r>
              <w:t xml:space="preserve">男性气质</w:t>
            </w:r>
          </w:p>
        </w:tc>
        <w:tc>
          <w:tcPr>
            <w:tcW w:w="1214" w:type="dxa"/>
          </w:tcPr>
          <w:p>
            <w:pPr>
              <w:pStyle w:val="XT表格正文"/>
            </w:pPr>
            <w:r>
              <w:t xml:space="preserve">未通过</w:t>
            </w:r>
          </w:p>
        </w:tc>
        <w:tc>
          <w:tcPr>
            <w:tcW w:w="1214" w:type="dxa"/>
          </w:tcPr>
          <w:p>
            <w:pPr>
              <w:pStyle w:val="XT表格正文"/>
            </w:pPr>
            <w:r>
              <w:t xml:space="preserve">通过</w:t>
            </w:r>
          </w:p>
        </w:tc>
        <w:tc>
          <w:tcPr>
            <w:tcW w:w="1214" w:type="dxa"/>
          </w:tcPr>
          <w:p>
            <w:pPr>
              <w:pStyle w:val="XT表格正文"/>
            </w:pPr>
            <w:r>
              <w:t xml:space="preserve">未通过</w:t>
            </w:r>
          </w:p>
        </w:tc>
        <w:tc>
          <w:tcPr>
            <w:tcW w:w="1214" w:type="dxa"/>
          </w:tcPr>
          <w:p>
            <w:pPr>
              <w:pStyle w:val="XT表格正文"/>
            </w:pPr>
            <w:r>
              <w:t xml:space="preserve">通过</w:t>
            </w:r>
          </w:p>
        </w:tc>
        <w:tc>
          <w:tcPr>
            <w:tcW w:w="1214" w:type="dxa"/>
          </w:tcPr>
          <w:p>
            <w:pPr>
              <w:pStyle w:val="XT表格正文"/>
            </w:pPr>
            <w:r>
              <w:t xml:space="preserve">通过</w:t>
            </w:r>
          </w:p>
        </w:tc>
        <w:tc>
          <w:tcPr>
            <w:tcW w:w="1214" w:type="dxa"/>
          </w:tcPr>
          <w:p>
            <w:pPr>
              <w:pStyle w:val="XT表格正文"/>
            </w:pPr>
            <w:r>
              <w:t xml:space="preserve">次级稳健</w:t>
            </w:r>
          </w:p>
        </w:tc>
      </w:tr>
      <w:tr>
        <w:tc>
          <w:tcPr>
            <w:tcW w:w="1214" w:type="dxa"/>
          </w:tcPr>
          <w:p>
            <w:pPr>
              <w:pStyle w:val="XT表格正文"/>
            </w:pPr>
            <w:r>
              <w:t xml:space="preserve">长/短期导向</w:t>
            </w:r>
          </w:p>
        </w:tc>
        <w:tc>
          <w:tcPr>
            <w:tcW w:w="1214" w:type="dxa"/>
          </w:tcPr>
          <w:p>
            <w:pPr>
              <w:pStyle w:val="XT表格正文"/>
            </w:pPr>
            <w:r>
              <w:t xml:space="preserve">未通过</w:t>
            </w:r>
          </w:p>
        </w:tc>
        <w:tc>
          <w:tcPr>
            <w:tcW w:w="1214" w:type="dxa"/>
          </w:tcPr>
          <w:p>
            <w:pPr>
              <w:pStyle w:val="XT表格正文"/>
            </w:pPr>
            <w:r>
              <w:t xml:space="preserve">通过</w:t>
            </w:r>
          </w:p>
        </w:tc>
        <w:tc>
          <w:tcPr>
            <w:tcW w:w="1214" w:type="dxa"/>
          </w:tcPr>
          <w:p>
            <w:pPr>
              <w:pStyle w:val="XT表格正文"/>
            </w:pPr>
            <w:r>
              <w:t xml:space="preserve">通过</w:t>
            </w:r>
          </w:p>
        </w:tc>
        <w:tc>
          <w:tcPr>
            <w:tcW w:w="1214" w:type="dxa"/>
          </w:tcPr>
          <w:p>
            <w:pPr>
              <w:pStyle w:val="XT表格正文"/>
            </w:pPr>
            <w:r>
              <w:t xml:space="preserve">部分</w:t>
            </w:r>
          </w:p>
        </w:tc>
        <w:tc>
          <w:tcPr>
            <w:tcW w:w="1214" w:type="dxa"/>
          </w:tcPr>
          <w:p>
            <w:pPr>
              <w:pStyle w:val="XT表格正文"/>
            </w:pPr>
            <w:r>
              <w:t xml:space="preserve">未通过</w:t>
            </w:r>
          </w:p>
        </w:tc>
        <w:tc>
          <w:tcPr>
            <w:tcW w:w="1214" w:type="dxa"/>
          </w:tcPr>
          <w:p>
            <w:pPr>
              <w:pStyle w:val="XT表格正文"/>
            </w:pPr>
            <w:r>
              <w:t xml:space="preserve">不作结论</w:t>
            </w:r>
          </w:p>
        </w:tc>
      </w:tr>
      <w:tr>
        <w:tc>
          <w:tcPr>
            <w:tcW w:w="1214" w:type="dxa"/>
          </w:tcPr>
          <w:p>
            <w:pPr>
              <w:pStyle w:val="XT表格正文"/>
            </w:pPr>
            <w:r>
              <w:t xml:space="preserve">个体主义</w:t>
            </w:r>
          </w:p>
        </w:tc>
        <w:tc>
          <w:tcPr>
            <w:tcW w:w="1214" w:type="dxa"/>
          </w:tcPr>
          <w:p>
            <w:pPr>
              <w:pStyle w:val="XT表格正文"/>
            </w:pPr>
            <w:r>
              <w:t xml:space="preserve">未通过</w:t>
            </w:r>
          </w:p>
        </w:tc>
        <w:tc>
          <w:tcPr>
            <w:tcW w:w="1214" w:type="dxa"/>
          </w:tcPr>
          <w:p>
            <w:pPr>
              <w:pStyle w:val="XT表格正文"/>
            </w:pPr>
            <w:r>
              <w:t xml:space="preserve">未通过</w:t>
            </w:r>
          </w:p>
        </w:tc>
        <w:tc>
          <w:tcPr>
            <w:tcW w:w="1214" w:type="dxa"/>
          </w:tcPr>
          <w:p>
            <w:pPr>
              <w:pStyle w:val="XT表格正文"/>
            </w:pPr>
            <w:r>
              <w:t xml:space="preserve">未通过</w:t>
            </w:r>
          </w:p>
        </w:tc>
        <w:tc>
          <w:tcPr>
            <w:tcW w:w="1214" w:type="dxa"/>
          </w:tcPr>
          <w:p>
            <w:pPr>
              <w:pStyle w:val="XT表格正文"/>
            </w:pPr>
            <w:r>
              <w:t xml:space="preserve">未通过</w:t>
            </w:r>
          </w:p>
        </w:tc>
        <w:tc>
          <w:tcPr>
            <w:tcW w:w="1214" w:type="dxa"/>
          </w:tcPr>
          <w:p>
            <w:pPr>
              <w:pStyle w:val="XT表格正文"/>
            </w:pPr>
            <w:r>
              <w:t xml:space="preserve">部分</w:t>
            </w:r>
          </w:p>
        </w:tc>
        <w:tc>
          <w:tcPr>
            <w:tcW w:w="1214" w:type="dxa"/>
          </w:tcPr>
          <w:p>
            <w:pPr>
              <w:pStyle w:val="XT表格正文"/>
            </w:pPr>
            <w:r>
              <w:t xml:space="preserve">不作结论</w:t>
            </w:r>
          </w:p>
        </w:tc>
      </w:tr>
      <w:tr>
        <w:tc>
          <w:tcPr>
            <w:tcW w:w="1214" w:type="dxa"/>
          </w:tcPr>
          <w:p>
            <w:pPr>
              <w:pStyle w:val="XT表格正文"/>
            </w:pPr>
            <w:r>
              <w:t xml:space="preserve">不确定性规避</w:t>
            </w:r>
          </w:p>
        </w:tc>
        <w:tc>
          <w:tcPr>
            <w:tcW w:w="1214" w:type="dxa"/>
          </w:tcPr>
          <w:p>
            <w:pPr>
              <w:pStyle w:val="XT表格正文"/>
            </w:pPr>
            <w:r>
              <w:t xml:space="preserve">未通过</w:t>
            </w:r>
          </w:p>
        </w:tc>
        <w:tc>
          <w:tcPr>
            <w:tcW w:w="1214" w:type="dxa"/>
          </w:tcPr>
          <w:p>
            <w:pPr>
              <w:pStyle w:val="XT表格正文"/>
            </w:pPr>
            <w:r>
              <w:t xml:space="preserve">通过</w:t>
            </w:r>
          </w:p>
        </w:tc>
        <w:tc>
          <w:tcPr>
            <w:tcW w:w="1214" w:type="dxa"/>
          </w:tcPr>
          <w:p>
            <w:pPr>
              <w:pStyle w:val="XT表格正文"/>
            </w:pPr>
            <w:r>
              <w:t xml:space="preserve">未通过</w:t>
            </w:r>
          </w:p>
        </w:tc>
        <w:tc>
          <w:tcPr>
            <w:tcW w:w="1214" w:type="dxa"/>
          </w:tcPr>
          <w:p>
            <w:pPr>
              <w:pStyle w:val="XT表格正文"/>
            </w:pPr>
            <w:r>
              <w:t xml:space="preserve">未通过</w:t>
            </w:r>
          </w:p>
        </w:tc>
        <w:tc>
          <w:tcPr>
            <w:tcW w:w="1214" w:type="dxa"/>
          </w:tcPr>
          <w:p>
            <w:pPr>
              <w:pStyle w:val="XT表格正文"/>
            </w:pPr>
            <w:r>
              <w:t xml:space="preserve">未通过</w:t>
            </w:r>
          </w:p>
        </w:tc>
        <w:tc>
          <w:tcPr>
            <w:tcW w:w="1214" w:type="dxa"/>
          </w:tcPr>
          <w:p>
            <w:pPr>
              <w:pStyle w:val="XT表格正文"/>
            </w:pPr>
            <w:r>
              <w:t xml:space="preserve">不作结论</w:t>
            </w:r>
          </w:p>
        </w:tc>
      </w:tr>
    </w:tbl>
    <w:p>
      <w:pPr>
        <w:pStyle w:val="XT图表注"/>
      </w:pPr>
      <w:r>
        <w:t xml:space="preserve">注："通过"指该检验下方向保持；"部分"指随体裁或模型而变；"未通过"指未保持。跨模型为三架构独立编码器（multilingual-e5-large、LaBSE、BGE-M3）；题项锚定以 VSM2013 官方问卷题项原文为锚。</w:t>
      </w:r>
    </w:p>
    <w:p>
      <w:pPr>
        <w:pStyle w:val="1"/>
      </w:pPr>
      <w:r>
        <w:t xml:space="preserve">结论与讨论</w:t>
      </w:r>
    </w:p>
    <w:p>
      <w:pPr>
        <w:pStyle w:val="21"/>
      </w:pPr>
      <w:r>
        <w:t xml:space="preserve">主要发现</w:t>
      </w:r>
    </w:p>
    <w:p>
      <w:r>
        <w:t xml:space="preserve">本文以大规模文本测量回答了中国价值观的结构、共识与稳定性问题，主要发现有四：</w:t>
      </w:r>
    </w:p>
    <w:p>
      <w:r>
        <w:t xml:space="preserve">（1）</w:t>
      </w:r>
      <w:r>
        <w:rPr>
          <w:b/>
        </w:rPr>
        <w:t xml:space="preserve">三层高度共识</w:t>
      </w:r>
      <w:r>
        <w:t xml:space="preserve">。政府工作报告、官方媒体与大众影评在价值观画像上的相关达 0.658~0.966（均值 0.811），呈现"官方—媒体近乎完全传导、大众共享内核并保有侧重"的共识梯度；四家官方媒体口径高度一致。</w:t>
      </w:r>
    </w:p>
    <w:p>
      <w:r>
        <w:t xml:space="preserve">（2）</w:t>
      </w:r>
      <w:r>
        <w:rPr>
          <w:b/>
        </w:rPr>
        <w:t xml:space="preserve">共识核心是发展与职业伦理</w:t>
      </w:r>
      <w:r>
        <w:t xml:space="preserve">。富强在三层均为第一重心，敬业在三层几乎完全一致（差异不足 0.8 个千分点）。"发展叙事＋职业伦理"是中国价值观话语的最大公约数。</w:t>
      </w:r>
    </w:p>
    <w:p>
      <w:r>
        <w:t xml:space="preserve">（3）</w:t>
      </w:r>
      <w:r>
        <w:rPr>
          <w:b/>
        </w:rPr>
        <w:t xml:space="preserve">十年高度稳定</w:t>
      </w:r>
      <w:r>
        <w:t xml:space="preserve">。豆瓣影评十年轨迹与人民日报逐月轨迹的波动幅度均不足 1.5 个千分点。中国价值观话语是一种具有深层结构的长期稳定形态。</w:t>
      </w:r>
    </w:p>
    <w:p>
      <w:r>
        <w:t xml:space="preserve">（4）</w:t>
      </w:r>
      <w:r>
        <w:rPr>
          <w:b/>
        </w:rPr>
        <w:t xml:space="preserve">中西语域分工清晰且本土内容更凸显</w:t>
      </w:r>
      <w:r>
        <w:t xml:space="preserve">。中文官方话语以发展实绩与和谐秩序为核心（富强 +16.7），呈现"发展—愿景—积极体验"语域；西方媒体话语以权利与平等为核心，呈现"问题—规范—约束—关怀"语域。中国观众在评论本国影片时，"中式"价值表达更为凸显。</w:t>
      </w:r>
    </w:p>
    <w:p>
      <w:pPr>
        <w:pStyle w:val="21"/>
      </w:pPr>
      <w:r>
        <w:t xml:space="preserve">理论与实践意义</w:t>
      </w:r>
    </w:p>
    <w:p>
      <w:r>
        <w:t xml:space="preserve">理论上，本文把"价值观共识"从定性判断推进为可量化、可追踪的测量对象，并提出"共识梯度"这一描述性概念：价值传播并非简单的线性灌输，而是官方倡导经由媒体近乎完全传导后，在大众层面形成"共享内核＋各自侧重"的结构。这一结构既保证了核心价值的广泛认同，又为大众的价值表达保留了空间——这正是价值传播有效性的理想形态。同时，体裁×维度的交互结构提示：中国价值观话语的表达强度随体裁而变，越是正式的官方话语，发展叙事与秩序价值的凸显度越高。</w:t>
      </w:r>
    </w:p>
    <w:p>
      <w:r>
        <w:t xml:space="preserve">实践上，本文的测量工具可直接用于</w:t>
      </w:r>
      <w:r>
        <w:rPr>
          <w:b/>
        </w:rPr>
        <w:t xml:space="preserve">价值传播效果评估</w:t>
      </w:r>
      <w:r>
        <w:t xml:space="preserve">与</w:t>
      </w:r>
      <w:r>
        <w:rPr>
          <w:b/>
        </w:rPr>
        <w:t xml:space="preserve">国际传播诊断</w:t>
      </w:r>
      <w:r>
        <w:t xml:space="preserve">：以三层画像相关监测传导效率，以价值观重心识别传播强项与盲区，以时间轨迹检验传播的持续性，以中西语域对照定位国际传播的议题设置。</w:t>
      </w:r>
    </w:p>
    <w:p>
      <w:pPr>
        <w:pStyle w:val="21"/>
      </w:pPr>
      <w:r>
        <w:t xml:space="preserve">政策启示</w:t>
      </w:r>
    </w:p>
    <w:p>
      <w:r>
        <w:t xml:space="preserve">本文的实证发现对价值传播工作有三点直接启示。</w:t>
      </w:r>
      <w:r>
        <w:rPr>
          <w:b/>
        </w:rPr>
        <w:t xml:space="preserve">其一，以"发展＋敬业"的共识核心为传播锚点。</w:t>
      </w:r>
      <w:r>
        <w:t xml:space="preserve">三层画像显示，富强在三层均为第一重心、敬业在三层几乎完全一致——"发展实绩＋职业伦理"是贯通官方、媒体与大众的天然连接点。传播工作宜以此共识核心为抓手，把抽象的价值主张落到具体的发展叙事与职业群像上，而非依赖口号式表达。</w:t>
      </w:r>
      <w:r>
        <w:rPr>
          <w:b/>
        </w:rPr>
        <w:t xml:space="preserve">其二，尊重并善用"共识梯度"。</w:t>
      </w:r>
      <w:r>
        <w:t xml:space="preserve">官方倡导经由媒体近乎完全传导（</w:t>
      </w:r>
      <m:oMath>
        <m:r>
          <w:rPr>
            <w:rFonts w:ascii="Cambria Math" w:hAnsi="Cambria Math"/>
          </w:rPr>
          <m:t xml:space="preserve">r=0.966</m:t>
        </m:r>
      </m:oMath>
      <w:r>
        <w:t xml:space="preserve">），而大众层在共享内核的同时对文明、和谐有自身侧重——这一梯度既是传导效率的检验，也是大众价值表达空间的体现。传播策略宜在巩固共识内核的同时，回应大众在文明、和谐等价值上的自发关切，形成"自上而下倡导"与"自下而上表达"的良性互动。</w:t>
      </w:r>
      <w:r>
        <w:rPr>
          <w:b/>
        </w:rPr>
        <w:t xml:space="preserve">其三，以数据驱动国际传播的精准定位。</w:t>
      </w:r>
      <w:r>
        <w:t xml:space="preserve">中西语域分工清晰——中文官媒凸显富强与和谐，西方媒体凸显平等与自由。国际传播宜据此差异化定位：在发展、和谐、文明等中国强项上主动设置议题，同时理解西方受众对权利与平等的关切，以可对接的话语讲述中国发展故事，避免以"爱国宣示"代替"发展叙事"。本文的测量管线可定期监测上述策略的实际效果，为传播工作的迭代优化提供数据反馈。</w:t>
      </w:r>
    </w:p>
    <w:p>
      <w:pPr>
        <w:pStyle w:val="21"/>
      </w:pPr>
      <w:r>
        <w:t xml:space="preserve">局限与展望</w:t>
      </w:r>
    </w:p>
    <w:p>
      <w:r>
        <w:t xml:space="preserve">本文的局限有三：其一，大众层语料为影评，虽样本量大、时间跨度长，但其价值表达受观影议题影响，未来可扩展至社交媒体等更广泛的大众话语；其二，国家层语料为年度施政文本，粒度较粗，未来可纳入政策文件、领导人讲话等更细粒度的官方话语；其三，本文的测量基于嵌入模型，虽已通过四重稳健性检验，但多模型与多方法（词典/LLM 标注）的进一步互证仍有价值。未来研究可沿三个方向推进：大众话语的多平台扩展、国际传播的效果追踪、以及价值结构与政策产出之间关系的因果识别。</w:t>
      </w:r>
    </w:p>
    <w:p>
      <w:pPr>
        <w:pStyle w:val="1"/>
      </w:pPr>
      <w:r>
        <w:t xml:space="preserve">参考文献</w:t>
      </w:r>
    </w:p>
    <w:p>
      <w:pPr>
        <w:pStyle w:val="XT参考文献"/>
      </w:pPr>
      <w:r>
        <w:t xml:space="preserve">[1] Inglehart, R. (1997). </w:t>
      </w:r>
      <w:r>
        <w:rPr>
          <w:rStyle w:val="XT外文斜体"/>
        </w:rPr>
        <w:t xml:space="preserve">Modernization and postmodernization: Cultural, economic, and political change in 43 societies</w:t>
      </w:r>
      <w:r>
        <w:t xml:space="preserve">. Princeton, NJ: Princeton University Press.</w:t>
      </w:r>
    </w:p>
    <w:p>
      <w:pPr>
        <w:pStyle w:val="XT参考文献"/>
      </w:pPr>
      <w:r>
        <w:t xml:space="preserve">[2] Sagiv, L., &amp; Schwartz, S. H. (2022). Personal values across cultures. </w:t>
      </w:r>
      <w:r>
        <w:rPr>
          <w:rStyle w:val="XT外文斜体"/>
        </w:rPr>
        <w:t xml:space="preserve">Annual Review of Psychology</w:t>
      </w:r>
      <w:r>
        <w:t xml:space="preserve">, </w:t>
      </w:r>
      <w:r>
        <w:rPr>
          <w:rStyle w:val="XT外文斜体"/>
        </w:rPr>
        <w:t xml:space="preserve">73</w:t>
      </w:r>
      <w:r>
        <w:t xml:space="preserve">, 517–546. https://doi.org/10.1146/annurev-psych-020821-125100</w:t>
      </w:r>
    </w:p>
    <w:p>
      <w:pPr>
        <w:pStyle w:val="XT参考文献"/>
      </w:pPr>
      <w:r>
        <w:t xml:space="preserve">[3] Gentzkow, M., Kelly, B., &amp; Taddy, M. (2019). Text as data. </w:t>
      </w:r>
      <w:r>
        <w:rPr>
          <w:rStyle w:val="XT外文斜体"/>
        </w:rPr>
        <w:t xml:space="preserve">Journal of Economic Literature</w:t>
      </w:r>
      <w:r>
        <w:t xml:space="preserve">, </w:t>
      </w:r>
      <w:r>
        <w:rPr>
          <w:rStyle w:val="XT外文斜体"/>
        </w:rPr>
        <w:t xml:space="preserve">57</w:t>
      </w:r>
      <w:r>
        <w:t xml:space="preserve">(3), 535–574. https://doi.org/10.1257/jel.20181020</w:t>
      </w:r>
    </w:p>
    <w:p>
      <w:pPr>
        <w:pStyle w:val="XT参考文献"/>
      </w:pPr>
      <w:r>
        <w:t xml:space="preserve">[4] Grimmer, J., Roberts, M. E., &amp; Stewart, B. M. (2022). </w:t>
      </w:r>
      <w:r>
        <w:rPr>
          <w:rStyle w:val="XT外文斜体"/>
        </w:rPr>
        <w:t xml:space="preserve">Text as data: A new framework for machine learning and the social sciences</w:t>
      </w:r>
      <w:r>
        <w:t xml:space="preserve">. Princeton, NJ: Princeton University Press.</w:t>
      </w:r>
    </w:p>
    <w:p>
      <w:pPr>
        <w:pStyle w:val="XT参考文献"/>
      </w:pPr>
      <w:r>
        <w:t xml:space="preserve">[5] Lazer, D., Kennedy, R., King, G., &amp; Vespignani, A. (2014). The parable of Google Flu: Traps in big data analysis. </w:t>
      </w:r>
      <w:r>
        <w:rPr>
          <w:rStyle w:val="XT外文斜体"/>
        </w:rPr>
        <w:t xml:space="preserve">Science</w:t>
      </w:r>
      <w:r>
        <w:t xml:space="preserve">, </w:t>
      </w:r>
      <w:r>
        <w:rPr>
          <w:rStyle w:val="XT外文斜体"/>
        </w:rPr>
        <w:t xml:space="preserve">343</w:t>
      </w:r>
      <w:r>
        <w:t xml:space="preserve">(6176), 1203–1205. https://doi.org/10.1126/science.1248506</w:t>
      </w:r>
    </w:p>
    <w:p>
      <w:pPr>
        <w:pStyle w:val="XT参考文献"/>
      </w:pPr>
      <w:r>
        <w:t xml:space="preserve">[6] TeBlunthuis, N., Hase, V., &amp; Chan, C.-H. (2024). Misclassification in automated content analysis causes bias in regression. Can we fix it? Yes we can! </w:t>
      </w:r>
      <w:r>
        <w:rPr>
          <w:rStyle w:val="XT外文斜体"/>
        </w:rPr>
        <w:t xml:space="preserve">Communication Methods and Measures</w:t>
      </w:r>
      <w:r>
        <w:t xml:space="preserve">, </w:t>
      </w:r>
      <w:r>
        <w:rPr>
          <w:rStyle w:val="XT外文斜体"/>
        </w:rPr>
        <w:t xml:space="preserve">18</w:t>
      </w:r>
      <w:r>
        <w:t xml:space="preserve">(3), 278–299. https://doi.org/10.1080/19312458.2023.2293713</w:t>
      </w:r>
    </w:p>
    <w:p>
      <w:pPr>
        <w:pStyle w:val="XT参考文献"/>
      </w:pPr>
      <w:r>
        <w:t xml:space="preserve">[7] Glavaš, G., Litschko, R., Ruder, S., &amp; Vulić, I. (2019). How to (properly) evaluate cross-lingual word embeddings: On robustness and language specificity. In </w:t>
      </w:r>
      <w:r>
        <w:rPr>
          <w:rStyle w:val="XT外文斜体"/>
        </w:rPr>
        <w:t xml:space="preserve">Proceedings of NAACL-HLT 2019</w:t>
      </w:r>
      <w:r>
        <w:t xml:space="preserve"> (pp. 1920–1930). https://doi.org/10.18653/v1/N19-1204</w:t>
      </w:r>
    </w:p>
    <w:p>
      <w:pPr>
        <w:pStyle w:val="XT参考文献"/>
      </w:pPr>
      <w:r>
        <w:t xml:space="preserve">[8] Hofstede, G. (1980). </w:t>
      </w:r>
      <w:r>
        <w:rPr>
          <w:rStyle w:val="XT外文斜体"/>
        </w:rPr>
        <w:t xml:space="preserve">Culture’s consequences: International differences in work-related values</w:t>
      </w:r>
      <w:r>
        <w:t xml:space="preserve">. Beverly Hills, CA: Sage.</w:t>
      </w:r>
    </w:p>
    <w:p>
      <w:pPr>
        <w:pStyle w:val="XT参考文献"/>
      </w:pPr>
      <w:r>
        <w:t xml:space="preserve">[9] Hofstede, G. (2001). </w:t>
      </w:r>
      <w:r>
        <w:rPr>
          <w:rStyle w:val="XT外文斜体"/>
        </w:rPr>
        <w:t xml:space="preserve">Culture’s consequences: Comparing values, behaviors, institutions and organizations across nations</w:t>
      </w:r>
      <w:r>
        <w:t xml:space="preserve"> (2nd ed.). Thousand Oaks, CA: Sage.</w:t>
      </w:r>
    </w:p>
    <w:p>
      <w:pPr>
        <w:pStyle w:val="XT参考文献"/>
      </w:pPr>
      <w:r>
        <w:t xml:space="preserve">[10] Schwartz, S. H. (1992). Universals in the content and structure of values: Theoretical advances and empirical tests in 20 countries. </w:t>
      </w:r>
      <w:r>
        <w:rPr>
          <w:rStyle w:val="XT外文斜体"/>
        </w:rPr>
        <w:t xml:space="preserve">Advances in Experimental Social Psychology</w:t>
      </w:r>
      <w:r>
        <w:t xml:space="preserve">, </w:t>
      </w:r>
      <w:r>
        <w:rPr>
          <w:rStyle w:val="XT外文斜体"/>
        </w:rPr>
        <w:t xml:space="preserve">25</w:t>
      </w:r>
      <w:r>
        <w:t xml:space="preserve">, 1–65.</w:t>
      </w:r>
    </w:p>
    <w:p>
      <w:pPr>
        <w:pStyle w:val="XT参考文献"/>
      </w:pPr>
      <w:r>
        <w:t xml:space="preserve">[11] Schwartz, S. H., &amp; Cieciuch, J. (2012). Refining the theory of basic individual values. </w:t>
      </w:r>
      <w:r>
        <w:rPr>
          <w:rStyle w:val="XT外文斜体"/>
        </w:rPr>
        <w:t xml:space="preserve">Journal of Personality and Social Psychology</w:t>
      </w:r>
      <w:r>
        <w:t xml:space="preserve">, </w:t>
      </w:r>
      <w:r>
        <w:rPr>
          <w:rStyle w:val="XT外文斜体"/>
        </w:rPr>
        <w:t xml:space="preserve">103</w:t>
      </w:r>
      <w:r>
        <w:t xml:space="preserve">(4), 663–688. https://doi.org/10.1037/a0029393</w:t>
      </w:r>
    </w:p>
    <w:p>
      <w:pPr>
        <w:pStyle w:val="XT参考文献"/>
      </w:pPr>
      <w:r>
        <w:t xml:space="preserve">[12] Hanitzsch, T., Hanusch, F., Mellado, C., Anikina, M., Berganza, R., Cangoz, I., Coman, M., Hamada, B., Hernández, M. E., Karadjov, C. D., Moreira, S. V., Mwesige, P. G., Plaisance, P. L., Reich, Z., Seethaler, J., Skewes, E. A., Noor, D. V., &amp; Yuen, E. K. W. (2011). Mapping journalism cultures across nations: A comparative study of 18 countries. </w:t>
      </w:r>
      <w:r>
        <w:rPr>
          <w:rStyle w:val="XT外文斜体"/>
        </w:rPr>
        <w:t xml:space="preserve">Journalism Studies</w:t>
      </w:r>
      <w:r>
        <w:t xml:space="preserve">, </w:t>
      </w:r>
      <w:r>
        <w:rPr>
          <w:rStyle w:val="XT外文斜体"/>
        </w:rPr>
        <w:t xml:space="preserve">12</w:t>
      </w:r>
      <w:r>
        <w:t xml:space="preserve">(3), 273–293. https://doi.org/10.1080/1461670X.2010.512502</w:t>
      </w:r>
    </w:p>
    <w:p>
      <w:pPr>
        <w:pStyle w:val="XT参考文献"/>
      </w:pPr>
      <w:r>
        <w:t xml:space="preserve">[13] Brady, A.-M. (2008). </w:t>
      </w:r>
      <w:r>
        <w:rPr>
          <w:rStyle w:val="XT外文斜体"/>
        </w:rPr>
        <w:t xml:space="preserve">Marketing dictatorship: Propaganda and thought work in contemporary China</w:t>
      </w:r>
      <w:r>
        <w:t xml:space="preserve">. Lanham, MD: Rowman &amp; Littlefield.</w:t>
      </w:r>
    </w:p>
    <w:p>
      <w:pPr>
        <w:pStyle w:val="XT参考文献"/>
      </w:pPr>
      <w:r>
        <w:t xml:space="preserve">[14] Stockmann, D. (2013). </w:t>
      </w:r>
      <w:r>
        <w:rPr>
          <w:rStyle w:val="XT外文斜体"/>
        </w:rPr>
        <w:t xml:space="preserve">Media commercialization and authoritarian rule in China</w:t>
      </w:r>
      <w:r>
        <w:t xml:space="preserve">. New York, NY: Cambridge University Press.</w:t>
      </w:r>
    </w:p>
    <w:p>
      <w:pPr>
        <w:pStyle w:val="XT参考文献"/>
      </w:pPr>
      <w:r>
        <w:t xml:space="preserve">[15] Repnikova, M. (2017). </w:t>
      </w:r>
      <w:r>
        <w:rPr>
          <w:rStyle w:val="XT外文斜体"/>
        </w:rPr>
        <w:t xml:space="preserve">Media politics in China: Improvising power under authoritarianism</w:t>
      </w:r>
      <w:r>
        <w:t xml:space="preserve">. New York, NY: Cambridge University Press.</w:t>
      </w:r>
    </w:p>
    <w:p>
      <w:pPr>
        <w:pStyle w:val="XT参考文献"/>
      </w:pPr>
      <w:r>
        <w:t xml:space="preserve">[16] Shoemaker, P. J., &amp; Reese, S. D. (2014). </w:t>
      </w:r>
      <w:r>
        <w:rPr>
          <w:rStyle w:val="XT外文斜体"/>
        </w:rPr>
        <w:t xml:space="preserve">Mediating the message in the twenty-first century: A media sociology perspective</w:t>
      </w:r>
      <w:r>
        <w:t xml:space="preserve"> (3rd ed.). New York, NY: Routledge.</w:t>
      </w:r>
    </w:p>
    <w:p>
      <w:pPr>
        <w:pStyle w:val="XT参考文献"/>
      </w:pPr>
      <w:r>
        <w:t xml:space="preserve">[17] Pennebaker, J. W., Boyd, R. L., Jordan, K., &amp; Blackburn, K. (2015). </w:t>
      </w:r>
      <w:r>
        <w:rPr>
          <w:rStyle w:val="XT外文斜体"/>
        </w:rPr>
        <w:t xml:space="preserve">The development and psychometric properties of LIWC2015</w:t>
      </w:r>
      <w:r>
        <w:t xml:space="preserve">. Austin, TX: University of Texas at Austin.</w:t>
      </w:r>
    </w:p>
    <w:p>
      <w:pPr>
        <w:pStyle w:val="XT参考文献"/>
      </w:pPr>
      <w:r>
        <w:t xml:space="preserve">[18] Ponizovskiy, V., Ardag, M., Grigoryan, L., Boyd, R., Dobewall, H., &amp; Holtz, P. (2020). Development and validation of the Personal Values Dictionary: A theory-driven tool for investigating references to basic human values in text. </w:t>
      </w:r>
      <w:r>
        <w:rPr>
          <w:rStyle w:val="XT外文斜体"/>
        </w:rPr>
        <w:t xml:space="preserve">European Journal of Personality</w:t>
      </w:r>
      <w:r>
        <w:t xml:space="preserve">, </w:t>
      </w:r>
      <w:r>
        <w:rPr>
          <w:rStyle w:val="XT外文斜体"/>
        </w:rPr>
        <w:t xml:space="preserve">34</w:t>
      </w:r>
      <w:r>
        <w:t xml:space="preserve">(5), 885–902. https://doi.org/10.1002/per.2294</w:t>
      </w:r>
    </w:p>
    <w:p>
      <w:pPr>
        <w:pStyle w:val="XT参考文献"/>
      </w:pPr>
      <w:r>
        <w:t xml:space="preserve">[19] Caliskan, A., Bryson, J. J., &amp; Narayanan, A. (2017). Semantics derived automatically from language corpora contain human-like biases. </w:t>
      </w:r>
      <w:r>
        <w:rPr>
          <w:rStyle w:val="XT外文斜体"/>
        </w:rPr>
        <w:t xml:space="preserve">Science</w:t>
      </w:r>
      <w:r>
        <w:t xml:space="preserve">, </w:t>
      </w:r>
      <w:r>
        <w:rPr>
          <w:rStyle w:val="XT外文斜体"/>
        </w:rPr>
        <w:t xml:space="preserve">356</w:t>
      </w:r>
      <w:r>
        <w:t xml:space="preserve">(6334), 183–186. https://doi.org/10.1126/science.aal4230</w:t>
      </w:r>
    </w:p>
    <w:p>
      <w:pPr>
        <w:pStyle w:val="XT参考文献"/>
      </w:pPr>
      <w:r>
        <w:t xml:space="preserve">[20] Bolukbasi, T., Chang, K.-W., Zou, J. Y., Saligrama, V., &amp; Kalai, A. T. (2016). Man is to computer programmer as woman is to homemaker? Debiasing word embeddings. </w:t>
      </w:r>
      <w:r>
        <w:rPr>
          <w:rStyle w:val="XT外文斜体"/>
        </w:rPr>
        <w:t xml:space="preserve">Advances in Neural Information Processing Systems 29</w:t>
      </w:r>
      <w:r>
        <w:t xml:space="preserve"> (NeurIPS 2016).</w:t>
      </w:r>
    </w:p>
    <w:p>
      <w:pPr>
        <w:pStyle w:val="XT参考文献"/>
      </w:pPr>
      <w:r>
        <w:t xml:space="preserve">[21] Garg, N., Schiebinger, L., Jurafsky, D., &amp; Zou, J. (2018). Word embeddings quantify 100 years of gender and ethnic stereotypes. </w:t>
      </w:r>
      <w:r>
        <w:rPr>
          <w:rStyle w:val="XT外文斜体"/>
        </w:rPr>
        <w:t xml:space="preserve">Proceedings of the National Academy of Sciences</w:t>
      </w:r>
      <w:r>
        <w:t xml:space="preserve">, </w:t>
      </w:r>
      <w:r>
        <w:rPr>
          <w:rStyle w:val="XT外文斜体"/>
        </w:rPr>
        <w:t xml:space="preserve">115</w:t>
      </w:r>
      <w:r>
        <w:t xml:space="preserve">(16), E3635–E3644. https://doi.org/10.1073/pnas.1720347115</w:t>
      </w:r>
    </w:p>
    <w:p>
      <w:pPr>
        <w:pStyle w:val="XT参考文献"/>
      </w:pPr>
      <w:r>
        <w:t xml:space="preserve">[22] Kozlowski, A. C., Taddy, M., &amp; Evans, J. A. (2019). The geometry of culture: Analyzing the meanings of class through word embeddings. </w:t>
      </w:r>
      <w:r>
        <w:rPr>
          <w:rStyle w:val="XT外文斜体"/>
        </w:rPr>
        <w:t xml:space="preserve">American Sociological Review</w:t>
      </w:r>
      <w:r>
        <w:t xml:space="preserve">, </w:t>
      </w:r>
      <w:r>
        <w:rPr>
          <w:rStyle w:val="XT外文斜体"/>
        </w:rPr>
        <w:t xml:space="preserve">84</w:t>
      </w:r>
      <w:r>
        <w:t xml:space="preserve">(5), 905–949. https://doi.org/10.1177/0003122419877135</w:t>
      </w:r>
    </w:p>
    <w:p>
      <w:pPr>
        <w:pStyle w:val="XT参考文献"/>
      </w:pPr>
      <w:r>
        <w:t xml:space="preserve">[23] Hamilton, W. L., Leskovec, J., &amp; Jurafsky, D. (2016). Diachronic word embeddings reveal statistical laws of semantic change. In </w:t>
      </w:r>
      <w:r>
        <w:rPr>
          <w:rStyle w:val="XT外文斜体"/>
        </w:rPr>
        <w:t xml:space="preserve">Proceedings of the 54th Annual Meeting of the Association for Computational Linguistics</w:t>
      </w:r>
      <w:r>
        <w:t xml:space="preserve"> (pp. 1489–1501). https://doi.org/10.18653/v1/P16-1141</w:t>
      </w:r>
    </w:p>
    <w:p>
      <w:pPr>
        <w:pStyle w:val="XT参考文献"/>
      </w:pPr>
      <w:r>
        <w:t xml:space="preserve">[24] Devlin, J., Chang, M.-W., Lee, K., &amp; Toutanova, K. (2019). BERT: Pre-training of deep bidirectional transformers for language understanding. In </w:t>
      </w:r>
      <w:r>
        <w:rPr>
          <w:rStyle w:val="XT外文斜体"/>
        </w:rPr>
        <w:t xml:space="preserve">Proceedings of NAACL-HLT 2019</w:t>
      </w:r>
      <w:r>
        <w:t xml:space="preserve"> (pp. 4171–4186). https://doi.org/10.18653/v1/N19-1423</w:t>
      </w:r>
    </w:p>
    <w:p>
      <w:pPr>
        <w:pStyle w:val="XT参考文献"/>
      </w:pPr>
      <w:r>
        <w:t xml:space="preserve">[25] Conneau, A., Lample, G., Ranzato, M., Denoyer, L., &amp; Jégou, H. (2018). Word translation without parallel data. In </w:t>
      </w:r>
      <w:r>
        <w:rPr>
          <w:rStyle w:val="XT外文斜体"/>
        </w:rPr>
        <w:t xml:space="preserve">Proceedings of the 6th International Conference on Learning Representations (ICLR 2018)</w:t>
      </w:r>
      <w:r>
        <w:t xml:space="preserve">. https://arxiv.org/abs/1710.04087</w:t>
      </w:r>
    </w:p>
    <w:p>
      <w:pPr>
        <w:pStyle w:val="XT参考文献"/>
      </w:pPr>
      <w:r>
        <w:t xml:space="preserve">[26] Conneau, A., Khandelwal, K., Goyal, N., Chaudhary, V., Wenzek, G., Guzmán, F., Grave, E., Ott, M., Zettlemoyer, L., &amp; Stoyanov, V. (2020). Unsupervised cross-lingual representation learning at scale. In </w:t>
      </w:r>
      <w:r>
        <w:rPr>
          <w:rStyle w:val="XT外文斜体"/>
        </w:rPr>
        <w:t xml:space="preserve">Proceedings of the 58th Annual Meeting of the Association for Computational Linguistics</w:t>
      </w:r>
      <w:r>
        <w:t xml:space="preserve"> (pp. 8440–8451). https://doi.org/10.18653/v1/2020.acl-main.747</w:t>
      </w:r>
    </w:p>
    <w:p>
      <w:pPr>
        <w:pStyle w:val="XT参考文献"/>
      </w:pPr>
      <w:r>
        <w:t xml:space="preserve">[27] Ruder, S., Vulić, I., &amp; Søgaard, A. (2019). A survey of cross-lingual word embedding models. </w:t>
      </w:r>
      <w:r>
        <w:rPr>
          <w:rStyle w:val="XT外文斜体"/>
        </w:rPr>
        <w:t xml:space="preserve">Journal of Artificial Intelligence Research</w:t>
      </w:r>
      <w:r>
        <w:t xml:space="preserve">, </w:t>
      </w:r>
      <w:r>
        <w:rPr>
          <w:rStyle w:val="XT外文斜体"/>
        </w:rPr>
        <w:t xml:space="preserve">65</w:t>
      </w:r>
      <w:r>
        <w:t xml:space="preserve">, 569–631. https://doi.org/10.1613/jair.1.11640</w:t>
      </w:r>
    </w:p>
    <w:p>
      <w:pPr>
        <w:pStyle w:val="XT参考文献"/>
      </w:pPr>
      <w:r>
        <w:t xml:space="preserve">[28] Ramezani, A., &amp; Xu, Y. (2023). Knowledge of cultural moral norms in large language models. In </w:t>
      </w:r>
      <w:r>
        <w:rPr>
          <w:rStyle w:val="XT外文斜体"/>
        </w:rPr>
        <w:t xml:space="preserve">Proceedings of the 61st Annual Meeting of the Association for Computational Linguistics</w:t>
      </w:r>
      <w:r>
        <w:t xml:space="preserve">. https://aclanthology.org/2023.acl-long.26/</w:t>
      </w:r>
    </w:p>
    <w:p>
      <w:pPr>
        <w:pStyle w:val="XT参考文献"/>
      </w:pPr>
      <w:r>
        <w:t xml:space="preserve">[29] Tao, Y., Viberg, O., Baker, R. S., &amp; Kizilcec, R. F. (2024). Cultural bias and cultural alignment of large language models. </w:t>
      </w:r>
      <w:r>
        <w:rPr>
          <w:rStyle w:val="XT外文斜体"/>
        </w:rPr>
        <w:t xml:space="preserve">PNAS Nexus</w:t>
      </w:r>
      <w:r>
        <w:t xml:space="preserve">, </w:t>
      </w:r>
      <w:r>
        <w:rPr>
          <w:rStyle w:val="XT外文斜体"/>
        </w:rPr>
        <w:t xml:space="preserve">3</w:t>
      </w:r>
      <w:r>
        <w:t xml:space="preserve">(9), pgae346. https://doi.org/10.1093/pnasnexus/pgae346</w:t>
      </w:r>
    </w:p>
    <w:p>
      <w:pPr>
        <w:pStyle w:val="XT参考文献"/>
      </w:pPr>
      <w:r>
        <w:t xml:space="preserve">[30] Kabir, M., Abrar, A., &amp; Ananiadou, S. (2025). Break the checkbox: Challenging closed-style evaluations of cultural alignment in LLMs. In </w:t>
      </w:r>
      <w:r>
        <w:rPr>
          <w:rStyle w:val="XT外文斜体"/>
        </w:rPr>
        <w:t xml:space="preserve">Proceedings of the 2025 Conference on Empirical Methods in Natural Language Processing</w:t>
      </w:r>
      <w:r>
        <w:t xml:space="preserve"> (pp. 24–51). https://doi.org/10.18653/v1/2025.emnlp-main.2</w:t>
      </w:r>
    </w:p>
    <w:p>
      <w:pPr>
        <w:pStyle w:val="XT参考文献"/>
      </w:pPr>
      <w:r>
        <w:t xml:space="preserve">[31] Adilazuarda, M. F., Mukherjee, S., Lavania, P., Singh, S. S., Aji, A. F., O’Neill, J., Modi, A., &amp; Choudhury, M. (2024). Towards measuring and modeling “culture” in LLMs: A survey. In </w:t>
      </w:r>
      <w:r>
        <w:rPr>
          <w:rStyle w:val="XT外文斜体"/>
        </w:rPr>
        <w:t xml:space="preserve">Proceedings of the 2024 Conference on Empirical Methods in Natural Language Processing</w:t>
      </w:r>
      <w:r>
        <w:t xml:space="preserve"> (pp. 15763–15784). https://doi.org/10.18653/v1/2024.emnlp-main.882</w:t>
      </w:r>
    </w:p>
    <w:p>
      <w:pPr>
        <w:pStyle w:val="XT参考文献"/>
      </w:pPr>
      <w:r>
        <w:t xml:space="preserve">[32] Adilazuarda, M. F., Liu, C. C., Gurevych, I., &amp; Aji, A. F. (2025). From surveys to narratives: Rethinking cultural value adaptation in LLMs. In </w:t>
      </w:r>
      <w:r>
        <w:rPr>
          <w:rStyle w:val="XT外文斜体"/>
        </w:rPr>
        <w:t xml:space="preserve">Proceedings of the 2025 Conference on Empirical Methods in Natural Language Processing</w:t>
      </w:r>
      <w:r>
        <w:t xml:space="preserve"> (pp. 18052–18079). https://doi.org/10.18653/v1/2025.emnlp-main.912</w:t>
      </w:r>
    </w:p>
    <w:sectPr w:rsidR="00A302F4" w:rsidSect="00034616">
      <w:headerReference w:type="default" r:id="rId8"/>
      <w:footerReference w:type="default" r:id="rId9"/>
      <w:pgSz w:w="11906" w:h="16838"/>
      <w:pgMar w:top="1440" w:right="1701" w:bottom="1440"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DF515" w14:textId="77777777" w:rsidR="0015716E" w:rsidRDefault="0015716E">
      <w:pPr>
        <w:spacing w:line="240" w:lineRule="auto"/>
      </w:pPr>
      <w:r>
        <w:separator/>
      </w:r>
    </w:p>
  </w:endnote>
  <w:endnote w:type="continuationSeparator" w:id="0">
    <w:p w14:paraId="0F4C085B" w14:textId="77777777" w:rsidR="0015716E" w:rsidRDefault="001571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D381C" w14:textId="77777777" w:rsidR="00A302F4" w:rsidRDefault="00000000">
    <w:pPr>
      <w:pStyle w:val="a7"/>
      <w:jc w:val="center"/>
    </w:pPr>
    <w:r>
      <w:fldChar w:fldCharType="begin"/>
    </w:r>
    <w:r>
      <w:instrText xml:space="preserve"> PAGE   \* MERGEFORMAT </w:instrText>
    </w:r>
    <w:r>
      <w:fldChar w:fldCharType="separate"/>
    </w:r>
    <w:r>
      <w:rPr>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4CC9F" w14:textId="77777777" w:rsidR="0015716E" w:rsidRDefault="0015716E" w:rsidP="008E600B">
      <w:pPr>
        <w:spacing w:line="240" w:lineRule="auto"/>
        <w:ind w:firstLineChars="0" w:firstLine="0"/>
      </w:pPr>
      <w:r>
        <w:separator/>
      </w:r>
    </w:p>
  </w:footnote>
  <w:footnote w:type="continuationSeparator" w:id="0">
    <w:p w14:paraId="03E2C331" w14:textId="77777777" w:rsidR="0015716E" w:rsidRDefault="001571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7D6EA" w14:textId="77777777" w:rsidR="00A302F4" w:rsidRDefault="00000000">
    <w:pPr>
      <w:pStyle w:val="a5"/>
      <w:ind w:firstLine="360"/>
      <w:jc w:val="left"/>
    </w:pPr>
    <w:r>
      <w:rPr>
        <w:sz w:val="18"/>
        <w:szCs w:val="18"/>
      </w:rPr>
      <w:t>中国价值观的三层共识</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1827D91"/>
    <w:multiLevelType w:val="multilevel"/>
    <w:tmpl w:val="F35A4772"/>
    <w:lvl w:ilvl="0">
      <w:start w:val="1"/>
      <w:numFmt w:val="decimal"/>
      <w:pStyle w:val="1"/>
      <w:suff w:val="space"/>
      <w:lvlText w:val="%1."/>
      <w:lvlJc w:val="left"/>
      <w:pPr>
        <w:ind w:left="0" w:firstLine="0"/>
      </w:pPr>
    </w:lvl>
    <w:lvl w:ilvl="1">
      <w:start w:val="1"/>
      <w:numFmt w:val="decimal"/>
      <w:pStyle w:val="21"/>
      <w:suff w:val="space"/>
      <w:lvlText w:val="%1.%2"/>
      <w:lvlJc w:val="left"/>
      <w:pPr>
        <w:ind w:left="0" w:firstLine="0"/>
      </w:pPr>
    </w:lvl>
    <w:lvl w:ilvl="2">
      <w:start w:val="1"/>
      <w:numFmt w:val="decimal"/>
      <w:pStyle w:val="31"/>
      <w:suff w:val="space"/>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36609554">
    <w:abstractNumId w:val="8"/>
  </w:num>
  <w:num w:numId="2" w16cid:durableId="526531630">
    <w:abstractNumId w:val="6"/>
  </w:num>
  <w:num w:numId="3" w16cid:durableId="165289481">
    <w:abstractNumId w:val="5"/>
  </w:num>
  <w:num w:numId="4" w16cid:durableId="64760861">
    <w:abstractNumId w:val="4"/>
  </w:num>
  <w:num w:numId="5" w16cid:durableId="1837841642">
    <w:abstractNumId w:val="7"/>
  </w:num>
  <w:num w:numId="6" w16cid:durableId="1178693529">
    <w:abstractNumId w:val="3"/>
  </w:num>
  <w:num w:numId="7" w16cid:durableId="943267791">
    <w:abstractNumId w:val="2"/>
  </w:num>
  <w:num w:numId="8" w16cid:durableId="1975939464">
    <w:abstractNumId w:val="1"/>
  </w:num>
  <w:num w:numId="9" w16cid:durableId="1848516713">
    <w:abstractNumId w:val="0"/>
  </w:num>
  <w:num w:numId="10" w16cid:durableId="13482907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428"/>
    <w:rsid w:val="00034616"/>
    <w:rsid w:val="0006063C"/>
    <w:rsid w:val="000E399F"/>
    <w:rsid w:val="0015074B"/>
    <w:rsid w:val="0015716E"/>
    <w:rsid w:val="001A56EF"/>
    <w:rsid w:val="0029639D"/>
    <w:rsid w:val="00326F90"/>
    <w:rsid w:val="004D6428"/>
    <w:rsid w:val="0058205D"/>
    <w:rsid w:val="005E2D23"/>
    <w:rsid w:val="00764D65"/>
    <w:rsid w:val="007B7AC0"/>
    <w:rsid w:val="0084156B"/>
    <w:rsid w:val="008E600B"/>
    <w:rsid w:val="00A302F4"/>
    <w:rsid w:val="00AA1D8D"/>
    <w:rsid w:val="00AF3732"/>
    <w:rsid w:val="00B47730"/>
    <w:rsid w:val="00C1392A"/>
    <w:rsid w:val="00C91C9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2F511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00" w:lineRule="auto"/>
      <w:ind w:firstLineChars="200" w:firstLine="480"/>
      <w:jc w:val="both"/>
    </w:pPr>
    <w:rPr>
      <w:rFonts w:ascii="Times New Roman" w:eastAsia="宋体" w:hAnsi="Times New Roman" w:cs="Times New Roman"/>
      <w:sz w:val="24"/>
      <w:szCs w:val="24"/>
      <w:lang w:eastAsia="zh-CN"/>
    </w:rPr>
  </w:style>
  <w:style w:type="paragraph" w:styleId="1">
    <w:name w:val="heading 1"/>
    <w:basedOn w:val="a1"/>
    <w:next w:val="a1"/>
    <w:link w:val="10"/>
    <w:uiPriority w:val="9"/>
    <w:qFormat/>
    <w:rsid w:val="00FC693F"/>
    <w:pPr>
      <w:keepNext/>
      <w:keepLines/>
      <w:numPr>
        <w:numId w:val="10"/>
      </w:numPr>
      <w:spacing w:before="320" w:after="320"/>
      <w:ind w:firstLineChars="0"/>
      <w:jc w:val="left"/>
      <w:outlineLvl w:val="0"/>
    </w:pPr>
    <w:rPr>
      <w:b/>
      <w:bCs/>
      <w:sz w:val="32"/>
      <w:szCs w:val="32"/>
    </w:rPr>
  </w:style>
  <w:style w:type="paragraph" w:styleId="21">
    <w:name w:val="heading 2"/>
    <w:basedOn w:val="a1"/>
    <w:next w:val="a1"/>
    <w:link w:val="22"/>
    <w:uiPriority w:val="9"/>
    <w:unhideWhenUsed/>
    <w:qFormat/>
    <w:rsid w:val="00FC693F"/>
    <w:pPr>
      <w:keepNext/>
      <w:keepLines/>
      <w:numPr>
        <w:ilvl w:val="1"/>
        <w:numId w:val="10"/>
      </w:numPr>
      <w:spacing w:before="200" w:after="200"/>
      <w:ind w:firstLineChars="0"/>
      <w:jc w:val="left"/>
      <w:outlineLvl w:val="1"/>
    </w:pPr>
    <w:rPr>
      <w:b/>
      <w:bCs/>
      <w:sz w:val="30"/>
      <w:szCs w:val="30"/>
    </w:rPr>
  </w:style>
  <w:style w:type="paragraph" w:styleId="31">
    <w:name w:val="heading 3"/>
    <w:basedOn w:val="a1"/>
    <w:next w:val="a1"/>
    <w:link w:val="32"/>
    <w:uiPriority w:val="9"/>
    <w:unhideWhenUsed/>
    <w:qFormat/>
    <w:rsid w:val="00FC693F"/>
    <w:pPr>
      <w:keepNext/>
      <w:keepLines/>
      <w:numPr>
        <w:ilvl w:val="2"/>
        <w:numId w:val="10"/>
      </w:numPr>
      <w:spacing w:before="120" w:after="120"/>
      <w:ind w:firstLineChars="0"/>
      <w:jc w:val="left"/>
      <w:outlineLvl w:val="2"/>
    </w:pPr>
    <w:rPr>
      <w:b/>
      <w:bCs/>
      <w:sz w:val="28"/>
      <w:szCs w:val="28"/>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Chars="200" w:firstLine="480"/>
    </w:pPr>
    <w:rPr>
      <w:rFonts w:asciiTheme="majorHAnsi" w:eastAsiaTheme="majorEastAsia" w:hAnsiTheme="majorHAnsi" w:cstheme="majorBidi"/>
      <w:i/>
      <w:iCs/>
      <w:color w:val="4F81BD" w:themeColor="accent1"/>
      <w:spacing w:val="15"/>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XT无编号一级标题">
    <w:name w:val="无编号一级标题"/>
    <w:basedOn w:val="a1"/>
    <w:next w:val="a1"/>
    <w:qFormat/>
    <w:pPr>
      <w:keepNext/>
      <w:keepLines/>
      <w:spacing w:before="320" w:after="320"/>
      <w:ind w:firstLineChars="0" w:firstLine="0"/>
      <w:jc w:val="left"/>
      <w:outlineLvl w:val="0"/>
    </w:pPr>
    <w:rPr>
      <w:b/>
      <w:bCs/>
      <w:sz w:val="32"/>
      <w:szCs w:val="32"/>
    </w:rPr>
  </w:style>
  <w:style w:type="paragraph" w:customStyle="1" w:styleId="XT论文标题">
    <w:name w:val="论文标题"/>
    <w:basedOn w:val="a1"/>
    <w:next w:val="a1"/>
    <w:qFormat/>
    <w:pPr>
      <w:spacing w:after="120"/>
      <w:ind w:firstLineChars="0" w:firstLine="0"/>
      <w:jc w:val="center"/>
    </w:pPr>
    <w:rPr>
      <w:b/>
      <w:bCs/>
      <w:sz w:val="44"/>
      <w:szCs w:val="44"/>
    </w:rPr>
  </w:style>
  <w:style w:type="paragraph" w:customStyle="1" w:styleId="XT论文副标题">
    <w:name w:val="论文副标题"/>
    <w:basedOn w:val="a1"/>
    <w:next w:val="a1"/>
    <w:qFormat/>
    <w:pPr>
      <w:spacing w:after="120"/>
      <w:ind w:firstLineChars="0" w:firstLine="0"/>
      <w:jc w:val="center"/>
    </w:pPr>
    <w:rPr>
      <w:b/>
      <w:bCs/>
      <w:sz w:val="36"/>
      <w:szCs w:val="36"/>
    </w:rPr>
  </w:style>
  <w:style w:type="paragraph" w:customStyle="1" w:styleId="XT英文标题">
    <w:name w:val="英文标题"/>
    <w:basedOn w:val="a1"/>
    <w:next w:val="a1"/>
    <w:qFormat/>
    <w:pPr>
      <w:spacing w:before="360" w:after="360"/>
      <w:ind w:firstLineChars="0" w:firstLine="0"/>
      <w:jc w:val="center"/>
    </w:pPr>
    <w:rPr>
      <w:b/>
      <w:bCs/>
      <w:sz w:val="30"/>
      <w:szCs w:val="30"/>
    </w:rPr>
  </w:style>
  <w:style w:type="paragraph" w:customStyle="1" w:styleId="XT摘要">
    <w:name w:val="摘要"/>
    <w:basedOn w:val="a1"/>
    <w:next w:val="a1"/>
    <w:qFormat/>
    <w:pPr>
      <w:ind w:firstLineChars="0" w:firstLine="0"/>
    </w:pPr>
  </w:style>
  <w:style w:type="paragraph" w:customStyle="1" w:styleId="XTAbstract">
    <w:name w:val="Abstract"/>
    <w:basedOn w:val="a1"/>
    <w:next w:val="a1"/>
    <w:qFormat/>
    <w:pPr>
      <w:ind w:firstLineChars="0" w:firstLine="0"/>
    </w:pPr>
  </w:style>
  <w:style w:type="paragraph" w:customStyle="1" w:styleId="XT表标题">
    <w:name w:val="表标题"/>
    <w:basedOn w:val="a1"/>
    <w:next w:val="a1"/>
    <w:qFormat/>
    <w:pPr>
      <w:spacing w:beforeLines="50"/>
      <w:ind w:firstLineChars="0" w:firstLine="0"/>
      <w:jc w:val="center"/>
    </w:pPr>
    <w:rPr>
      <w:b/>
      <w:bCs/>
    </w:rPr>
  </w:style>
  <w:style w:type="paragraph" w:customStyle="1" w:styleId="XT图标题">
    <w:name w:val="图标题"/>
    <w:basedOn w:val="a1"/>
    <w:next w:val="a1"/>
    <w:qFormat/>
    <w:pPr>
      <w:spacing w:after="120"/>
      <w:ind w:firstLineChars="0" w:firstLine="0"/>
      <w:jc w:val="center"/>
    </w:pPr>
    <w:rPr>
      <w:b/>
      <w:bCs/>
    </w:rPr>
  </w:style>
  <w:style w:type="paragraph" w:customStyle="1" w:styleId="XT图内容">
    <w:name w:val="图内容"/>
    <w:basedOn w:val="a1"/>
    <w:next w:val="a1"/>
    <w:qFormat/>
    <w:pPr>
      <w:spacing w:beforeLines="50"/>
      <w:ind w:firstLineChars="0" w:firstLine="0"/>
      <w:jc w:val="center"/>
    </w:pPr>
  </w:style>
  <w:style w:type="paragraph" w:customStyle="1" w:styleId="XT图表注">
    <w:name w:val="图表注"/>
    <w:basedOn w:val="a1"/>
    <w:next w:val="a1"/>
    <w:qFormat/>
    <w:pPr>
      <w:spacing w:after="120" w:line="240" w:lineRule="auto"/>
      <w:ind w:firstLineChars="0" w:firstLine="0"/>
      <w:jc w:val="left"/>
    </w:pPr>
    <w:rPr>
      <w:sz w:val="18"/>
      <w:szCs w:val="18"/>
    </w:rPr>
  </w:style>
  <w:style w:type="paragraph" w:customStyle="1" w:styleId="XT表格正文">
    <w:name w:val="表格正文"/>
    <w:basedOn w:val="a1"/>
    <w:next w:val="a1"/>
    <w:qFormat/>
    <w:rsid w:val="007B7AC0"/>
    <w:pPr>
      <w:ind w:firstLineChars="0" w:firstLine="0"/>
      <w:jc w:val="center"/>
    </w:pPr>
    <w:rPr>
      <w:sz w:val="21"/>
      <w:szCs w:val="21"/>
    </w:rPr>
  </w:style>
  <w:style w:type="paragraph" w:customStyle="1" w:styleId="XT公式">
    <w:name w:val="公式"/>
    <w:basedOn w:val="a1"/>
    <w:next w:val="a1"/>
    <w:qFormat/>
    <w:pPr>
      <w:spacing w:before="60" w:after="60"/>
      <w:ind w:firstLineChars="0" w:firstLine="0"/>
      <w:jc w:val="center"/>
    </w:pPr>
  </w:style>
  <w:style w:type="paragraph" w:customStyle="1" w:styleId="XT公式编号">
    <w:name w:val="公式编号"/>
    <w:basedOn w:val="a1"/>
    <w:next w:val="a1"/>
    <w:qFormat/>
    <w:pPr>
      <w:ind w:firstLineChars="0" w:firstLine="0"/>
      <w:jc w:val="center"/>
    </w:pPr>
  </w:style>
  <w:style w:type="paragraph" w:customStyle="1" w:styleId="XT文中标题">
    <w:name w:val="文中标题"/>
    <w:basedOn w:val="a1"/>
    <w:next w:val="a1"/>
    <w:qFormat/>
    <w:pPr>
      <w:spacing w:before="100" w:after="100"/>
      <w:ind w:firstLineChars="200" w:firstLine="480"/>
    </w:pPr>
    <w:rPr>
      <w:b/>
      <w:bCs/>
    </w:rPr>
  </w:style>
  <w:style w:type="paragraph" w:customStyle="1" w:styleId="XT参考文献">
    <w:name w:val="参考文献"/>
    <w:basedOn w:val="a1"/>
    <w:next w:val="a1"/>
    <w:qFormat/>
    <w:pPr>
      <w:ind w:left="420" w:firstLineChars="0" w:hanging="420"/>
      <w:jc w:val="left"/>
    </w:pPr>
    <w:rPr>
      <w:sz w:val="21"/>
      <w:szCs w:val="21"/>
    </w:rPr>
  </w:style>
  <w:style w:type="paragraph" w:styleId="XTFootnoteText">
    <w:name w:val="footnote text"/>
    <w:basedOn w:val="a1"/>
    <w:pPr>
      <w:spacing w:line="240" w:lineRule="auto"/>
      <w:ind w:firstLineChars="0" w:firstLine="0"/>
    </w:pPr>
    <w:rPr>
      <w:sz w:val="18"/>
      <w:szCs w:val="18"/>
    </w:rPr>
  </w:style>
  <w:style w:type="character" w:styleId="XTFootnoteReference">
    <w:name w:val="footnote reference"/>
    <w:rPr>
      <w:vertAlign w:val="superscript"/>
    </w:rPr>
  </w:style>
  <w:style w:type="character" w:customStyle="1" w:styleId="XT引文编号">
    <w:name w:val="引文编号"/>
    <w:qFormat/>
    <w:rPr>
      <w:vertAlign w:val="superscript"/>
    </w:rPr>
  </w:style>
  <w:style w:type="character" w:customStyle="1" w:styleId="XT外文斜体">
    <w:name w:val="外文斜体"/>
    <w:qFormat/>
    <w:rPr>
      <w:i/>
      <w:iCs/>
    </w:rPr>
  </w:style>
  <w:style w:type="table" w:customStyle="1" w:styleId="XT三线表">
    <w:name w:val="三线表"/>
    <w:qFormat/>
    <w:tblPr>
      <w:tblBorders>
        <w:top w:val="single" w:sz="8" w:space="0" w:color="auto"/>
        <w:bottom w:val="single" w:sz="8" w:space="0" w:color="auto"/>
      </w:tblBorders>
      <w:tblCellMar>
        <w:top w:w="0" w:type="dxa"/>
        <w:left w:w="108" w:type="dxa"/>
        <w:bottom w:w="0" w:type="dxa"/>
        <w:right w:w="108" w:type="dxa"/>
      </w:tblCellMar>
    </w:tblPr>
    <w:tblStylePr w:type="firstRow">
      <w:tblPr/>
      <w:tcPr>
        <w:tcBorders>
          <w:bottom w:val="single" w:sz="4" w:space="0" w:color="auto"/>
        </w:tcBorders>
      </w:tcPr>
    </w:tblStylePr>
    <w:tblStylePr w:type="wholeTable">
      <w:rPr>
        <w:rFonts w:ascii="Times New Roman" w:hAnsi="Times New Roman" w:eastAsia="宋体" w:cs="Times New Roman"/>
        <w:sz w:val="21"/>
        <w:szCs w:val="21"/>
      </w:rPr>
      <w:tcPr>
        <w:vAlign w:val="top"/>
      </w:tcPr>
    </w:tblStylePr>
  </w:style>
  <w:style w:type="character" w:styleId="afffc">
    <w:name w:val="Placeholder Text"/>
    <w:basedOn w:val="a2"/>
    <w:uiPriority w:val="99"/>
    <w:semiHidden/>
    <w:rsid w:val="007B7AC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Fig1" Type="http://schemas.openxmlformats.org/officeDocument/2006/relationships/image" Target="media/image1.png"/><Relationship Id="rIdFig2" Type="http://schemas.openxmlformats.org/officeDocument/2006/relationships/image" Target="media/image2.png"/><Relationship Id="rIdFig3" Type="http://schemas.openxmlformats.org/officeDocument/2006/relationships/image" Target="media/image3.png"/><Relationship Id="rIdFig4" Type="http://schemas.openxmlformats.org/officeDocument/2006/relationships/image" Target="media/image4.png"/><Relationship Id="rIdFig5" Type="http://schemas.openxmlformats.org/officeDocument/2006/relationships/image" Target="media/image5.png"/><Relationship Id="rIdFig6" Type="http://schemas.openxmlformats.org/officeDocument/2006/relationships/image" Target="media/image6.png"/><Relationship Id="rIdFig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0</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国家、媒体与大众的三层共识：基于大规模文本测量的中国价值观结构与十年稳定性</dc:title>
  <dc:subject/>
  <dc:creator>dell</dc:creator>
  <cp:keywords>学术论文；工作论文；模板；样式</cp:keywords>
  <dc:description>以命名样式固化格式规则：标题自动编号、三线表、公式编号表、参考文献悬挂缩进、页眉页脚齐备。</dc:description>
  <cp:lastModifiedBy>Yonghua Cen</cp:lastModifiedBy>
  <cp:revision>2</cp:revision>
  <dcterms:created xsi:type="dcterms:W3CDTF">2026-10-05T09:31:45Z</dcterms:created>
  <dcterms:modified xsi:type="dcterms:W3CDTF">2026-10-05T09:31:45Z</dcterms:modified>
  <cp:category/>
</cp:coreProperties>
</file>