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Suzanne Fawaz</w:t>
      </w:r>
    </w:p>
    <w:p>
      <w:pPr>
        <w:pStyle w:val="Question"/>
      </w:pPr>
      <w:r>
        <w:t xml:space="preserve">Behind the Headwrap: How becoming a mom influenced my decision to go public with my faith. 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Suzanne Fawaz</w:t>
      </w:r>
    </w:p>
    <w:p>
      <w:pPr>
        <w:pStyle w:val="Question"/>
      </w:pPr>
      <w:r>
        <w:t xml:space="preserve">Behind the Headwrap: How becoming a mom influenced my decision to go public with my faith. 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Do you have hair on your head under there?</w:t>
      </w:r>
    </w:p>
    <w:p>
      <w:pPr>
        <w:pStyle w:val="Question"/>
      </w:pPr>
      <w:r>
        <w:t>Why are there so many different kinds of hijab styles?</w:t>
      </w:r>
    </w:p>
    <w:p>
      <w:pPr>
        <w:pStyle w:val="Question"/>
      </w:pPr>
      <w:r>
        <w:t>Do you experience discrimination because of your Hijab?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