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Behind the Headwrap: How becoming a mom influenced my decision to go public with my faith. </w:t>
      </w:r>
    </w:p>
    <w:p>
      <w:pPr>
        <w:pStyle w:val="Name"/>
      </w:pPr>
      <w:r>
        <w:t>By: Suzanne Fawaz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are some adjectives that come to mind when you think of the Islamic Headwrap?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