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Good Fortune and Great Sorrow: My life thus far.</w:t>
      </w:r>
    </w:p>
    <w:p>
      <w:pPr>
        <w:pStyle w:val="Name"/>
      </w:pPr>
      <w:r>
        <w:t>By: Zoe Farmasonis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are some ways you focus on the positive amidst the negatives?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