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EEAA" w14:textId="61E3C916" w:rsidR="001B2A88" w:rsidRPr="005019A5" w:rsidRDefault="00B52EB3" w:rsidP="00210B59">
      <w:pPr>
        <w:pStyle w:val="RRCoverSubtitle"/>
      </w:pPr>
      <w:r>
        <w:rPr>
          <w:b/>
          <w:color w:val="0081E3" w:themeColor="accent4"/>
          <w:sz w:val="48"/>
          <w:szCs w:val="48"/>
        </w:rPr>
        <w:t xml:space="preserve">State Fiscal Year </w:t>
      </w:r>
      <w:r w:rsidR="00A02FF2">
        <w:rPr>
          <w:b/>
          <w:color w:val="0081E3" w:themeColor="accent4"/>
          <w:sz w:val="48"/>
          <w:szCs w:val="48"/>
        </w:rPr>
        <w:t>2023</w:t>
      </w:r>
      <w:r w:rsidR="00A02FF2" w:rsidRPr="00111694">
        <w:rPr>
          <w:b/>
          <w:color w:val="0081E3" w:themeColor="accent4"/>
          <w:sz w:val="48"/>
          <w:szCs w:val="48"/>
        </w:rPr>
        <w:t xml:space="preserve"> </w:t>
      </w:r>
      <w:r w:rsidR="0081321B" w:rsidRPr="00111694">
        <w:rPr>
          <w:b/>
          <w:color w:val="0081E3" w:themeColor="accent4"/>
          <w:sz w:val="48"/>
          <w:szCs w:val="48"/>
        </w:rPr>
        <w:t xml:space="preserve">Medicaid Managed Care Capitation Rate </w:t>
      </w:r>
      <w:r w:rsidR="0081321B">
        <w:rPr>
          <w:b/>
          <w:color w:val="0081E3" w:themeColor="accent4"/>
          <w:sz w:val="48"/>
          <w:szCs w:val="48"/>
        </w:rPr>
        <w:t>Certification</w:t>
      </w:r>
    </w:p>
    <w:p w14:paraId="4A19E1CD" w14:textId="71407C92" w:rsidR="001B2A88" w:rsidRDefault="00B52EB3" w:rsidP="0081321B">
      <w:pPr>
        <w:pStyle w:val="RRCoverDate"/>
        <w:spacing w:before="0" w:after="0" w:line="300" w:lineRule="auto"/>
        <w:rPr>
          <w:rFonts w:asciiTheme="majorHAnsi" w:hAnsiTheme="majorHAnsi"/>
          <w:b/>
          <w:sz w:val="20"/>
          <w:szCs w:val="20"/>
        </w:rPr>
      </w:pPr>
      <w:r>
        <w:rPr>
          <w:rFonts w:asciiTheme="majorHAnsi" w:hAnsiTheme="majorHAnsi"/>
          <w:b/>
          <w:sz w:val="20"/>
          <w:szCs w:val="20"/>
        </w:rPr>
        <w:t xml:space="preserve">July 1, </w:t>
      </w:r>
      <w:proofErr w:type="gramStart"/>
      <w:r w:rsidR="00C14780">
        <w:rPr>
          <w:rFonts w:asciiTheme="majorHAnsi" w:hAnsiTheme="majorHAnsi"/>
          <w:b/>
          <w:sz w:val="20"/>
          <w:szCs w:val="20"/>
        </w:rPr>
        <w:t>2022</w:t>
      </w:r>
      <w:proofErr w:type="gramEnd"/>
      <w:r w:rsidR="00C14780">
        <w:rPr>
          <w:rFonts w:asciiTheme="majorHAnsi" w:hAnsiTheme="majorHAnsi"/>
          <w:b/>
          <w:sz w:val="20"/>
          <w:szCs w:val="20"/>
        </w:rPr>
        <w:t xml:space="preserve"> </w:t>
      </w:r>
      <w:r>
        <w:rPr>
          <w:rFonts w:asciiTheme="majorHAnsi" w:hAnsiTheme="majorHAnsi"/>
          <w:b/>
          <w:sz w:val="20"/>
          <w:szCs w:val="20"/>
        </w:rPr>
        <w:t xml:space="preserve">through June 30, </w:t>
      </w:r>
      <w:r w:rsidR="00C14780">
        <w:rPr>
          <w:rFonts w:asciiTheme="majorHAnsi" w:hAnsiTheme="majorHAnsi"/>
          <w:b/>
          <w:sz w:val="20"/>
          <w:szCs w:val="20"/>
        </w:rPr>
        <w:t>2023</w:t>
      </w:r>
    </w:p>
    <w:p w14:paraId="6DA91147" w14:textId="77777777" w:rsidR="0081321B" w:rsidRPr="0095687F" w:rsidRDefault="0081321B" w:rsidP="0095687F">
      <w:pPr>
        <w:pStyle w:val="RRCoverDate"/>
        <w:spacing w:before="0" w:after="0" w:line="300" w:lineRule="auto"/>
        <w:rPr>
          <w:rFonts w:asciiTheme="majorHAnsi" w:hAnsiTheme="majorHAnsi"/>
          <w:b/>
          <w:sz w:val="20"/>
          <w:szCs w:val="20"/>
        </w:rPr>
      </w:pPr>
    </w:p>
    <w:p w14:paraId="7B81157E" w14:textId="3A4B84E9" w:rsidR="003E3BCD" w:rsidRPr="007A0748" w:rsidRDefault="0081321B" w:rsidP="00210B59">
      <w:pPr>
        <w:pStyle w:val="RRCoverSubtitle"/>
        <w:rPr>
          <w:sz w:val="28"/>
        </w:rPr>
      </w:pPr>
      <w:r w:rsidRPr="00F363ED">
        <w:rPr>
          <w:b/>
          <w:bCs/>
        </w:rPr>
        <w:t>Rhode Island</w:t>
      </w:r>
      <w:r>
        <w:rPr>
          <w:b/>
          <w:bCs/>
        </w:rPr>
        <w:t xml:space="preserve">, </w:t>
      </w:r>
      <w:r w:rsidRPr="00F363ED">
        <w:rPr>
          <w:b/>
          <w:bCs/>
        </w:rPr>
        <w:t xml:space="preserve">Executive Office of Health </w:t>
      </w:r>
      <w:r>
        <w:rPr>
          <w:b/>
          <w:bCs/>
        </w:rPr>
        <w:t>and</w:t>
      </w:r>
      <w:r w:rsidRPr="00F363ED">
        <w:rPr>
          <w:b/>
          <w:bCs/>
        </w:rPr>
        <w:t xml:space="preserve"> Human Services</w:t>
      </w:r>
    </w:p>
    <w:p w14:paraId="5F38FB4B" w14:textId="5C9046A3" w:rsidR="004D5199" w:rsidRDefault="0031143D" w:rsidP="004D5199">
      <w:pPr>
        <w:pStyle w:val="RRCoverAuthor"/>
      </w:pPr>
      <w:r>
        <w:fldChar w:fldCharType="begin"/>
      </w:r>
      <w:r>
        <w:instrText xml:space="preserve"> DATE \@ "MMMM d, yyyy" </w:instrText>
      </w:r>
      <w:r>
        <w:fldChar w:fldCharType="separate"/>
      </w:r>
      <w:r w:rsidR="00344F7A">
        <w:rPr>
          <w:noProof/>
        </w:rPr>
        <w:t>June 22, 2022</w:t>
      </w:r>
      <w:r>
        <w:fldChar w:fldCharType="end"/>
      </w:r>
    </w:p>
    <w:p w14:paraId="2B02E184" w14:textId="6E41C417" w:rsidR="007556C7" w:rsidRDefault="007556C7" w:rsidP="00210B59">
      <w:pPr>
        <w:pStyle w:val="RRCoverAuthor"/>
      </w:pPr>
    </w:p>
    <w:p w14:paraId="78CA1B3A" w14:textId="5052FDB3" w:rsidR="0081321B" w:rsidRDefault="0081321B" w:rsidP="0081321B">
      <w:pPr>
        <w:pStyle w:val="RRCoverAuthor"/>
      </w:pPr>
      <w:r>
        <w:rPr>
          <w:color w:val="0081E3" w:themeColor="accent4"/>
        </w:rPr>
        <w:t>Jason Clarkson</w:t>
      </w:r>
      <w:r>
        <w:t>, FSA, MAAA</w:t>
      </w:r>
    </w:p>
    <w:p w14:paraId="7C838584" w14:textId="5B3E4A35" w:rsidR="0081321B" w:rsidRDefault="0081321B" w:rsidP="0081321B">
      <w:pPr>
        <w:pStyle w:val="RRCoverAuthor"/>
      </w:pPr>
      <w:r>
        <w:t>Principal and Consulting Actuary</w:t>
      </w:r>
    </w:p>
    <w:p w14:paraId="7FB1A9B8" w14:textId="4231AC03" w:rsidR="00E54F84" w:rsidRDefault="00E14052" w:rsidP="00E14052">
      <w:pPr>
        <w:pStyle w:val="RRCoverAuthor"/>
        <w:tabs>
          <w:tab w:val="clear" w:pos="5040"/>
          <w:tab w:val="left" w:pos="6281"/>
        </w:tabs>
      </w:pPr>
      <w:r>
        <w:tab/>
      </w:r>
    </w:p>
    <w:p w14:paraId="6845C620" w14:textId="1ADBA587" w:rsidR="0081321B" w:rsidRDefault="0081321B" w:rsidP="0081321B">
      <w:pPr>
        <w:pStyle w:val="RRCoverAuthor"/>
      </w:pPr>
      <w:r>
        <w:rPr>
          <w:color w:val="0081E3" w:themeColor="accent4"/>
        </w:rPr>
        <w:t>Ian McCulla</w:t>
      </w:r>
      <w:r>
        <w:t>, FSA, MAAA</w:t>
      </w:r>
    </w:p>
    <w:p w14:paraId="3309C676" w14:textId="77777777" w:rsidR="00D37360" w:rsidRDefault="00E54F84" w:rsidP="00210B59">
      <w:pPr>
        <w:pStyle w:val="RRCoverAuthor"/>
      </w:pPr>
      <w:r>
        <w:t xml:space="preserve">Principal and </w:t>
      </w:r>
      <w:r w:rsidR="0081321B">
        <w:t>C</w:t>
      </w:r>
      <w:r w:rsidR="005019A5">
        <w:t>onsulting Actuary</w:t>
      </w:r>
    </w:p>
    <w:p w14:paraId="3864CA11" w14:textId="77777777" w:rsidR="00D37360" w:rsidRDefault="00D37360" w:rsidP="00210B59">
      <w:pPr>
        <w:pStyle w:val="RRCoverAuthor"/>
        <w:rPr>
          <w:color w:val="0081E3" w:themeColor="accent4"/>
        </w:rPr>
      </w:pPr>
    </w:p>
    <w:p w14:paraId="0DA8B8BC" w14:textId="02D1B6D7" w:rsidR="00D37360" w:rsidRDefault="00D37360" w:rsidP="00D37360">
      <w:pPr>
        <w:pStyle w:val="RRCoverAuthor"/>
      </w:pPr>
      <w:r>
        <w:rPr>
          <w:color w:val="0081E3" w:themeColor="accent4"/>
        </w:rPr>
        <w:t>Justin Chow</w:t>
      </w:r>
      <w:r>
        <w:t>, FSA, MAAA</w:t>
      </w:r>
    </w:p>
    <w:p w14:paraId="1CC3AD83" w14:textId="464538DC" w:rsidR="00D37360" w:rsidRDefault="00D37360" w:rsidP="00D37360">
      <w:pPr>
        <w:pStyle w:val="RRCoverAuthor"/>
      </w:pPr>
      <w:r>
        <w:t>Actuary</w:t>
      </w:r>
      <w:r w:rsidRPr="003C07FB">
        <w:rPr>
          <w:color w:val="0081E3" w:themeColor="accent4"/>
        </w:rPr>
        <w:t xml:space="preserve"> </w:t>
      </w:r>
    </w:p>
    <w:p w14:paraId="0B520052" w14:textId="63F490D3" w:rsidR="001B2A88" w:rsidRDefault="001B2A88" w:rsidP="00210B59">
      <w:pPr>
        <w:pStyle w:val="RRCoverAuthor"/>
      </w:pPr>
      <w:r w:rsidRPr="003C07FB">
        <w:rPr>
          <w:color w:val="0081E3" w:themeColor="accent4"/>
        </w:rPr>
        <w:t xml:space="preserve"> </w:t>
      </w:r>
    </w:p>
    <w:p w14:paraId="63E30069" w14:textId="77777777" w:rsidR="00B00F42" w:rsidRDefault="00610E90" w:rsidP="00210B59">
      <w:pPr>
        <w:pStyle w:val="RRObject"/>
        <w:sectPr w:rsidR="00B00F42" w:rsidSect="001B2A88">
          <w:headerReference w:type="default" r:id="rId11"/>
          <w:headerReference w:type="first" r:id="rId12"/>
          <w:footerReference w:type="first" r:id="rId13"/>
          <w:pgSz w:w="12240" w:h="15840" w:code="1"/>
          <w:pgMar w:top="1440" w:right="720" w:bottom="1037" w:left="720" w:header="432" w:footer="144" w:gutter="0"/>
          <w:cols w:space="720"/>
          <w:titlePg/>
          <w:docGrid w:linePitch="360"/>
        </w:sectPr>
      </w:pPr>
      <w:r>
        <w:rPr>
          <w:noProof/>
        </w:rPr>
        <w:drawing>
          <wp:anchor distT="0" distB="0" distL="114300" distR="114300" simplePos="0" relativeHeight="251658240" behindDoc="0" locked="1" layoutInCell="1" allowOverlap="1" wp14:anchorId="6F700621" wp14:editId="37A807C4">
            <wp:simplePos x="0" y="0"/>
            <wp:positionH relativeFrom="margin">
              <wp:posOffset>5195570</wp:posOffset>
            </wp:positionH>
            <wp:positionV relativeFrom="margin">
              <wp:posOffset>8154035</wp:posOffset>
            </wp:positionV>
            <wp:extent cx="1663700" cy="3562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liman Logo.jp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63700" cy="356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2A88">
        <w:rPr>
          <w:noProof/>
        </w:rPr>
        <w:drawing>
          <wp:anchor distT="0" distB="0" distL="114300" distR="114300" simplePos="0" relativeHeight="251658243" behindDoc="0" locked="1" layoutInCell="1" allowOverlap="1" wp14:anchorId="443EB3B5" wp14:editId="348107DD">
            <wp:simplePos x="0" y="0"/>
            <wp:positionH relativeFrom="page">
              <wp:posOffset>16510</wp:posOffset>
            </wp:positionH>
            <wp:positionV relativeFrom="page">
              <wp:posOffset>4379595</wp:posOffset>
            </wp:positionV>
            <wp:extent cx="7778115" cy="4415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Image.jp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7778115" cy="4415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3A5F2" w14:textId="77777777" w:rsidR="001B2A88" w:rsidRDefault="001B2A88" w:rsidP="00210B59">
      <w:pPr>
        <w:rPr>
          <w:color w:val="0A4977" w:themeColor="text2"/>
          <w:sz w:val="28"/>
        </w:rPr>
      </w:pPr>
      <w:r>
        <w:lastRenderedPageBreak/>
        <w:br w:type="page"/>
      </w:r>
      <w:r>
        <w:rPr>
          <w:noProof/>
        </w:rPr>
        <w:drawing>
          <wp:anchor distT="0" distB="0" distL="114300" distR="114300" simplePos="0" relativeHeight="251658245" behindDoc="0" locked="0" layoutInCell="1" allowOverlap="1" wp14:anchorId="55176C58" wp14:editId="7EA45B9C">
            <wp:simplePos x="0" y="0"/>
            <wp:positionH relativeFrom="column">
              <wp:posOffset>-900853</wp:posOffset>
            </wp:positionH>
            <wp:positionV relativeFrom="paragraph">
              <wp:posOffset>-900853</wp:posOffset>
            </wp:positionV>
            <wp:extent cx="7764817" cy="100485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ash page 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64817" cy="1004858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1" locked="1" layoutInCell="1" allowOverlap="1" wp14:anchorId="025B623E" wp14:editId="06D48DAA">
                <wp:simplePos x="0" y="0"/>
                <wp:positionH relativeFrom="page">
                  <wp:posOffset>13335</wp:posOffset>
                </wp:positionH>
                <wp:positionV relativeFrom="page">
                  <wp:posOffset>13335</wp:posOffset>
                </wp:positionV>
                <wp:extent cx="7764780" cy="10789920"/>
                <wp:effectExtent l="0" t="0" r="7620" b="0"/>
                <wp:wrapNone/>
                <wp:docPr id="4" name="Rectangle 4"/>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F6F4A" id="Rectangle 4" o:spid="_x0000_s1026" style="position:absolute;margin-left:1.05pt;margin-top:1.05pt;width:611.4pt;height:849.6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" fillcolor="#727a7d [3206]" stroked="f" strokeweight="1pt">
                <w10:wrap anchorx="page" anchory="page"/>
                <w10:anchorlock/>
              </v:rect>
            </w:pict>
          </mc:Fallback>
        </mc:AlternateContent>
      </w:r>
    </w:p>
    <w:sdt>
      <w:sdtPr>
        <w:rPr>
          <w:rFonts w:asciiTheme="minorHAnsi" w:hAnsiTheme="minorHAnsi" w:cstheme="minorBidi"/>
          <w:b/>
          <w:caps/>
          <w:color w:val="auto"/>
          <w:sz w:val="18"/>
        </w:rPr>
        <w:id w:val="1920750743"/>
        <w:docPartObj>
          <w:docPartGallery w:val="Table of Contents"/>
          <w:docPartUnique/>
        </w:docPartObj>
      </w:sdtPr>
      <w:sdtEndPr>
        <w:rPr>
          <w:bCs/>
          <w:noProof/>
        </w:rPr>
      </w:sdtEndPr>
      <w:sdtContent>
        <w:p w14:paraId="77447C54" w14:textId="4E235527" w:rsidR="00593603" w:rsidRDefault="00593603">
          <w:pPr>
            <w:pStyle w:val="TOCHeading"/>
          </w:pPr>
          <w:r w:rsidRPr="00593603">
            <w:t>Table of Contents</w:t>
          </w:r>
        </w:p>
        <w:p w14:paraId="70C0F39C" w14:textId="58F00ED9" w:rsidR="002B26A1" w:rsidRDefault="00375E5B" w:rsidP="00E95A52">
          <w:pPr>
            <w:pStyle w:val="TOC1"/>
            <w:spacing w:before="0" w:after="60"/>
            <w:rPr>
              <w:b w:val="0"/>
              <w:caps w:val="0"/>
              <w:noProof/>
              <w:sz w:val="22"/>
              <w:szCs w:val="22"/>
            </w:rPr>
          </w:pPr>
          <w:r>
            <w:rPr>
              <w:bCs/>
              <w:noProof/>
            </w:rPr>
            <w:fldChar w:fldCharType="begin"/>
          </w:r>
          <w:r>
            <w:rPr>
              <w:bCs/>
              <w:noProof/>
            </w:rPr>
            <w:instrText xml:space="preserve"> TOC \o "1-4" \h \z \u </w:instrText>
          </w:r>
          <w:r>
            <w:rPr>
              <w:bCs/>
              <w:noProof/>
            </w:rPr>
            <w:fldChar w:fldCharType="separate"/>
          </w:r>
          <w:hyperlink w:anchor="_Toc100260669" w:history="1">
            <w:r w:rsidR="002B26A1" w:rsidRPr="008C60BC">
              <w:rPr>
                <w:rStyle w:val="Hyperlink"/>
                <w:noProof/>
              </w:rPr>
              <w:t>Introduction &amp; Executive Summary</w:t>
            </w:r>
            <w:r w:rsidR="002B26A1">
              <w:rPr>
                <w:noProof/>
                <w:webHidden/>
              </w:rPr>
              <w:tab/>
            </w:r>
            <w:r w:rsidR="002B26A1">
              <w:rPr>
                <w:noProof/>
                <w:webHidden/>
              </w:rPr>
              <w:fldChar w:fldCharType="begin"/>
            </w:r>
            <w:r w:rsidR="002B26A1">
              <w:rPr>
                <w:noProof/>
                <w:webHidden/>
              </w:rPr>
              <w:instrText xml:space="preserve"> PAGEREF _Toc100260669 \h </w:instrText>
            </w:r>
            <w:r w:rsidR="002B26A1">
              <w:rPr>
                <w:noProof/>
                <w:webHidden/>
              </w:rPr>
            </w:r>
            <w:r w:rsidR="002B26A1">
              <w:rPr>
                <w:noProof/>
                <w:webHidden/>
              </w:rPr>
              <w:fldChar w:fldCharType="separate"/>
            </w:r>
            <w:r w:rsidR="00344F7A">
              <w:rPr>
                <w:noProof/>
                <w:webHidden/>
              </w:rPr>
              <w:t>1</w:t>
            </w:r>
            <w:r w:rsidR="002B26A1">
              <w:rPr>
                <w:noProof/>
                <w:webHidden/>
              </w:rPr>
              <w:fldChar w:fldCharType="end"/>
            </w:r>
          </w:hyperlink>
        </w:p>
        <w:p w14:paraId="354E9F55" w14:textId="3AFE92C6" w:rsidR="002B26A1" w:rsidRDefault="00344F7A" w:rsidP="00E95A52">
          <w:pPr>
            <w:pStyle w:val="TOC1"/>
            <w:spacing w:before="0" w:after="60"/>
            <w:rPr>
              <w:b w:val="0"/>
              <w:caps w:val="0"/>
              <w:noProof/>
              <w:sz w:val="22"/>
              <w:szCs w:val="22"/>
            </w:rPr>
          </w:pPr>
          <w:hyperlink w:anchor="_Toc100260670" w:history="1">
            <w:r w:rsidR="002B26A1" w:rsidRPr="008C60BC">
              <w:rPr>
                <w:rStyle w:val="Hyperlink"/>
                <w:noProof/>
              </w:rPr>
              <w:t>Section I. Medicaid managed care rates</w:t>
            </w:r>
            <w:r w:rsidR="002B26A1">
              <w:rPr>
                <w:noProof/>
                <w:webHidden/>
              </w:rPr>
              <w:tab/>
            </w:r>
            <w:r w:rsidR="002B26A1">
              <w:rPr>
                <w:noProof/>
                <w:webHidden/>
              </w:rPr>
              <w:fldChar w:fldCharType="begin"/>
            </w:r>
            <w:r w:rsidR="002B26A1">
              <w:rPr>
                <w:noProof/>
                <w:webHidden/>
              </w:rPr>
              <w:instrText xml:space="preserve"> PAGEREF _Toc100260670 \h </w:instrText>
            </w:r>
            <w:r w:rsidR="002B26A1">
              <w:rPr>
                <w:noProof/>
                <w:webHidden/>
              </w:rPr>
            </w:r>
            <w:r w:rsidR="002B26A1">
              <w:rPr>
                <w:noProof/>
                <w:webHidden/>
              </w:rPr>
              <w:fldChar w:fldCharType="separate"/>
            </w:r>
            <w:r>
              <w:rPr>
                <w:noProof/>
                <w:webHidden/>
              </w:rPr>
              <w:t>3</w:t>
            </w:r>
            <w:r w:rsidR="002B26A1">
              <w:rPr>
                <w:noProof/>
                <w:webHidden/>
              </w:rPr>
              <w:fldChar w:fldCharType="end"/>
            </w:r>
          </w:hyperlink>
        </w:p>
        <w:p w14:paraId="24435CDE" w14:textId="78CC23D7" w:rsidR="002B26A1" w:rsidRDefault="00344F7A" w:rsidP="00E95A52">
          <w:pPr>
            <w:pStyle w:val="TOC2"/>
            <w:spacing w:before="0" w:after="60"/>
            <w:rPr>
              <w:caps w:val="0"/>
              <w:noProof/>
              <w:color w:val="auto"/>
              <w:sz w:val="22"/>
              <w:szCs w:val="22"/>
            </w:rPr>
          </w:pPr>
          <w:hyperlink w:anchor="_Toc100260671" w:history="1">
            <w:r w:rsidR="002B26A1" w:rsidRPr="008C60BC">
              <w:rPr>
                <w:rStyle w:val="Hyperlink"/>
                <w:noProof/>
              </w:rPr>
              <w:t>1.</w:t>
            </w:r>
            <w:r w:rsidR="002B26A1">
              <w:rPr>
                <w:caps w:val="0"/>
                <w:noProof/>
                <w:color w:val="auto"/>
                <w:sz w:val="22"/>
                <w:szCs w:val="22"/>
              </w:rPr>
              <w:tab/>
            </w:r>
            <w:r w:rsidR="002B26A1" w:rsidRPr="008C60BC">
              <w:rPr>
                <w:rStyle w:val="Hyperlink"/>
                <w:noProof/>
              </w:rPr>
              <w:t>General information</w:t>
            </w:r>
            <w:r w:rsidR="002B26A1">
              <w:rPr>
                <w:noProof/>
                <w:webHidden/>
              </w:rPr>
              <w:tab/>
            </w:r>
            <w:r w:rsidR="002B26A1">
              <w:rPr>
                <w:noProof/>
                <w:webHidden/>
              </w:rPr>
              <w:fldChar w:fldCharType="begin"/>
            </w:r>
            <w:r w:rsidR="002B26A1">
              <w:rPr>
                <w:noProof/>
                <w:webHidden/>
              </w:rPr>
              <w:instrText xml:space="preserve"> PAGEREF _Toc100260671 \h </w:instrText>
            </w:r>
            <w:r w:rsidR="002B26A1">
              <w:rPr>
                <w:noProof/>
                <w:webHidden/>
              </w:rPr>
            </w:r>
            <w:r w:rsidR="002B26A1">
              <w:rPr>
                <w:noProof/>
                <w:webHidden/>
              </w:rPr>
              <w:fldChar w:fldCharType="separate"/>
            </w:r>
            <w:r>
              <w:rPr>
                <w:noProof/>
                <w:webHidden/>
              </w:rPr>
              <w:t>3</w:t>
            </w:r>
            <w:r w:rsidR="002B26A1">
              <w:rPr>
                <w:noProof/>
                <w:webHidden/>
              </w:rPr>
              <w:fldChar w:fldCharType="end"/>
            </w:r>
          </w:hyperlink>
        </w:p>
        <w:p w14:paraId="474E7415" w14:textId="5D6FEA60" w:rsidR="002B26A1" w:rsidRDefault="00344F7A" w:rsidP="00E95A52">
          <w:pPr>
            <w:pStyle w:val="TOC3"/>
            <w:spacing w:before="0" w:after="60"/>
            <w:rPr>
              <w:noProof/>
              <w:color w:val="auto"/>
              <w:sz w:val="22"/>
              <w:szCs w:val="22"/>
            </w:rPr>
          </w:pPr>
          <w:hyperlink w:anchor="_Toc100260672" w:history="1">
            <w:r w:rsidR="002B26A1" w:rsidRPr="008C60BC">
              <w:rPr>
                <w:rStyle w:val="Hyperlink"/>
                <w:noProof/>
              </w:rPr>
              <w:t>A.</w:t>
            </w:r>
            <w:r w:rsidR="002B26A1">
              <w:rPr>
                <w:noProof/>
                <w:color w:val="auto"/>
                <w:sz w:val="22"/>
                <w:szCs w:val="22"/>
              </w:rPr>
              <w:tab/>
            </w:r>
            <w:r w:rsidR="002B26A1" w:rsidRPr="008C60BC">
              <w:rPr>
                <w:rStyle w:val="Hyperlink"/>
                <w:noProof/>
              </w:rPr>
              <w:t>Rate Development Standards</w:t>
            </w:r>
            <w:r w:rsidR="002B26A1">
              <w:rPr>
                <w:noProof/>
                <w:webHidden/>
              </w:rPr>
              <w:tab/>
            </w:r>
            <w:r w:rsidR="002B26A1">
              <w:rPr>
                <w:noProof/>
                <w:webHidden/>
              </w:rPr>
              <w:fldChar w:fldCharType="begin"/>
            </w:r>
            <w:r w:rsidR="002B26A1">
              <w:rPr>
                <w:noProof/>
                <w:webHidden/>
              </w:rPr>
              <w:instrText xml:space="preserve"> PAGEREF _Toc100260672 \h </w:instrText>
            </w:r>
            <w:r w:rsidR="002B26A1">
              <w:rPr>
                <w:noProof/>
                <w:webHidden/>
              </w:rPr>
            </w:r>
            <w:r w:rsidR="002B26A1">
              <w:rPr>
                <w:noProof/>
                <w:webHidden/>
              </w:rPr>
              <w:fldChar w:fldCharType="separate"/>
            </w:r>
            <w:r>
              <w:rPr>
                <w:noProof/>
                <w:webHidden/>
              </w:rPr>
              <w:t>3</w:t>
            </w:r>
            <w:r w:rsidR="002B26A1">
              <w:rPr>
                <w:noProof/>
                <w:webHidden/>
              </w:rPr>
              <w:fldChar w:fldCharType="end"/>
            </w:r>
          </w:hyperlink>
        </w:p>
        <w:p w14:paraId="27C835C1" w14:textId="118764CD" w:rsidR="002B26A1" w:rsidRDefault="00344F7A" w:rsidP="00E95A52">
          <w:pPr>
            <w:pStyle w:val="TOC4"/>
            <w:spacing w:after="60"/>
            <w:rPr>
              <w:noProof/>
              <w:sz w:val="22"/>
              <w:szCs w:val="22"/>
            </w:rPr>
          </w:pPr>
          <w:hyperlink w:anchor="_Toc100260673" w:history="1">
            <w:r w:rsidR="002B26A1" w:rsidRPr="008C60BC">
              <w:rPr>
                <w:rStyle w:val="Hyperlink"/>
                <w:noProof/>
              </w:rPr>
              <w:t>i.</w:t>
            </w:r>
            <w:r w:rsidR="002B26A1">
              <w:rPr>
                <w:noProof/>
                <w:sz w:val="22"/>
                <w:szCs w:val="22"/>
              </w:rPr>
              <w:tab/>
            </w:r>
            <w:r w:rsidR="002B26A1" w:rsidRPr="008C60BC">
              <w:rPr>
                <w:rStyle w:val="Hyperlink"/>
                <w:noProof/>
              </w:rPr>
              <w:t>Rate ranges</w:t>
            </w:r>
            <w:r w:rsidR="002B26A1">
              <w:rPr>
                <w:noProof/>
                <w:webHidden/>
              </w:rPr>
              <w:tab/>
            </w:r>
            <w:r w:rsidR="002B26A1">
              <w:rPr>
                <w:noProof/>
                <w:webHidden/>
              </w:rPr>
              <w:fldChar w:fldCharType="begin"/>
            </w:r>
            <w:r w:rsidR="002B26A1">
              <w:rPr>
                <w:noProof/>
                <w:webHidden/>
              </w:rPr>
              <w:instrText xml:space="preserve"> PAGEREF _Toc100260673 \h </w:instrText>
            </w:r>
            <w:r w:rsidR="002B26A1">
              <w:rPr>
                <w:noProof/>
                <w:webHidden/>
              </w:rPr>
            </w:r>
            <w:r w:rsidR="002B26A1">
              <w:rPr>
                <w:noProof/>
                <w:webHidden/>
              </w:rPr>
              <w:fldChar w:fldCharType="separate"/>
            </w:r>
            <w:r>
              <w:rPr>
                <w:noProof/>
                <w:webHidden/>
              </w:rPr>
              <w:t>3</w:t>
            </w:r>
            <w:r w:rsidR="002B26A1">
              <w:rPr>
                <w:noProof/>
                <w:webHidden/>
              </w:rPr>
              <w:fldChar w:fldCharType="end"/>
            </w:r>
          </w:hyperlink>
        </w:p>
        <w:p w14:paraId="46C2E4B6" w14:textId="42FFDC29" w:rsidR="002B26A1" w:rsidRDefault="00344F7A" w:rsidP="00E95A52">
          <w:pPr>
            <w:pStyle w:val="TOC4"/>
            <w:spacing w:after="60"/>
            <w:rPr>
              <w:noProof/>
              <w:sz w:val="22"/>
              <w:szCs w:val="22"/>
            </w:rPr>
          </w:pPr>
          <w:hyperlink w:anchor="_Toc100260674" w:history="1">
            <w:r w:rsidR="002B26A1" w:rsidRPr="008C60BC">
              <w:rPr>
                <w:rStyle w:val="Hyperlink"/>
                <w:noProof/>
              </w:rPr>
              <w:t>ii.</w:t>
            </w:r>
            <w:r w:rsidR="002B26A1">
              <w:rPr>
                <w:noProof/>
                <w:sz w:val="22"/>
                <w:szCs w:val="22"/>
              </w:rPr>
              <w:tab/>
            </w:r>
            <w:r w:rsidR="002B26A1" w:rsidRPr="008C60BC">
              <w:rPr>
                <w:rStyle w:val="Hyperlink"/>
                <w:noProof/>
              </w:rPr>
              <w:t>Annual basis</w:t>
            </w:r>
            <w:r w:rsidR="002B26A1">
              <w:rPr>
                <w:noProof/>
                <w:webHidden/>
              </w:rPr>
              <w:tab/>
            </w:r>
            <w:r w:rsidR="002B26A1">
              <w:rPr>
                <w:noProof/>
                <w:webHidden/>
              </w:rPr>
              <w:fldChar w:fldCharType="begin"/>
            </w:r>
            <w:r w:rsidR="002B26A1">
              <w:rPr>
                <w:noProof/>
                <w:webHidden/>
              </w:rPr>
              <w:instrText xml:space="preserve"> PAGEREF _Toc100260674 \h </w:instrText>
            </w:r>
            <w:r w:rsidR="002B26A1">
              <w:rPr>
                <w:noProof/>
                <w:webHidden/>
              </w:rPr>
            </w:r>
            <w:r w:rsidR="002B26A1">
              <w:rPr>
                <w:noProof/>
                <w:webHidden/>
              </w:rPr>
              <w:fldChar w:fldCharType="separate"/>
            </w:r>
            <w:r>
              <w:rPr>
                <w:noProof/>
                <w:webHidden/>
              </w:rPr>
              <w:t>3</w:t>
            </w:r>
            <w:r w:rsidR="002B26A1">
              <w:rPr>
                <w:noProof/>
                <w:webHidden/>
              </w:rPr>
              <w:fldChar w:fldCharType="end"/>
            </w:r>
          </w:hyperlink>
        </w:p>
        <w:p w14:paraId="3DCCEB6A" w14:textId="679A19E3" w:rsidR="002B26A1" w:rsidRDefault="00344F7A" w:rsidP="00E95A52">
          <w:pPr>
            <w:pStyle w:val="TOC4"/>
            <w:spacing w:after="60"/>
            <w:rPr>
              <w:noProof/>
              <w:sz w:val="22"/>
              <w:szCs w:val="22"/>
            </w:rPr>
          </w:pPr>
          <w:hyperlink w:anchor="_Toc100260675" w:history="1">
            <w:r w:rsidR="002B26A1" w:rsidRPr="008C60BC">
              <w:rPr>
                <w:rStyle w:val="Hyperlink"/>
                <w:noProof/>
              </w:rPr>
              <w:t>iii.</w:t>
            </w:r>
            <w:r w:rsidR="002B26A1">
              <w:rPr>
                <w:noProof/>
                <w:sz w:val="22"/>
                <w:szCs w:val="22"/>
              </w:rPr>
              <w:tab/>
            </w:r>
            <w:r w:rsidR="002B26A1" w:rsidRPr="008C60BC">
              <w:rPr>
                <w:rStyle w:val="Hyperlink"/>
                <w:noProof/>
              </w:rPr>
              <w:t>Required elements</w:t>
            </w:r>
            <w:r w:rsidR="002B26A1">
              <w:rPr>
                <w:noProof/>
                <w:webHidden/>
              </w:rPr>
              <w:tab/>
            </w:r>
            <w:r w:rsidR="002B26A1">
              <w:rPr>
                <w:noProof/>
                <w:webHidden/>
              </w:rPr>
              <w:fldChar w:fldCharType="begin"/>
            </w:r>
            <w:r w:rsidR="002B26A1">
              <w:rPr>
                <w:noProof/>
                <w:webHidden/>
              </w:rPr>
              <w:instrText xml:space="preserve"> PAGEREF _Toc100260675 \h </w:instrText>
            </w:r>
            <w:r w:rsidR="002B26A1">
              <w:rPr>
                <w:noProof/>
                <w:webHidden/>
              </w:rPr>
            </w:r>
            <w:r w:rsidR="002B26A1">
              <w:rPr>
                <w:noProof/>
                <w:webHidden/>
              </w:rPr>
              <w:fldChar w:fldCharType="separate"/>
            </w:r>
            <w:r>
              <w:rPr>
                <w:noProof/>
                <w:webHidden/>
              </w:rPr>
              <w:t>3</w:t>
            </w:r>
            <w:r w:rsidR="002B26A1">
              <w:rPr>
                <w:noProof/>
                <w:webHidden/>
              </w:rPr>
              <w:fldChar w:fldCharType="end"/>
            </w:r>
          </w:hyperlink>
        </w:p>
        <w:p w14:paraId="79701E6A" w14:textId="38EF4AAC" w:rsidR="002B26A1" w:rsidRDefault="00344F7A" w:rsidP="00E95A52">
          <w:pPr>
            <w:pStyle w:val="TOC4"/>
            <w:spacing w:after="60"/>
            <w:rPr>
              <w:noProof/>
              <w:sz w:val="22"/>
              <w:szCs w:val="22"/>
            </w:rPr>
          </w:pPr>
          <w:hyperlink w:anchor="_Toc100260676" w:history="1">
            <w:r w:rsidR="002B26A1" w:rsidRPr="008C60BC">
              <w:rPr>
                <w:rStyle w:val="Hyperlink"/>
                <w:noProof/>
              </w:rPr>
              <w:t>iv.</w:t>
            </w:r>
            <w:r w:rsidR="002B26A1">
              <w:rPr>
                <w:noProof/>
                <w:sz w:val="22"/>
                <w:szCs w:val="22"/>
              </w:rPr>
              <w:tab/>
            </w:r>
            <w:r w:rsidR="002B26A1" w:rsidRPr="008C60BC">
              <w:rPr>
                <w:rStyle w:val="Hyperlink"/>
                <w:noProof/>
              </w:rPr>
              <w:t>Differences among capitation rates</w:t>
            </w:r>
            <w:r w:rsidR="002B26A1">
              <w:rPr>
                <w:noProof/>
                <w:webHidden/>
              </w:rPr>
              <w:tab/>
            </w:r>
            <w:r w:rsidR="002B26A1">
              <w:rPr>
                <w:noProof/>
                <w:webHidden/>
              </w:rPr>
              <w:fldChar w:fldCharType="begin"/>
            </w:r>
            <w:r w:rsidR="002B26A1">
              <w:rPr>
                <w:noProof/>
                <w:webHidden/>
              </w:rPr>
              <w:instrText xml:space="preserve"> PAGEREF _Toc100260676 \h </w:instrText>
            </w:r>
            <w:r w:rsidR="002B26A1">
              <w:rPr>
                <w:noProof/>
                <w:webHidden/>
              </w:rPr>
            </w:r>
            <w:r w:rsidR="002B26A1">
              <w:rPr>
                <w:noProof/>
                <w:webHidden/>
              </w:rPr>
              <w:fldChar w:fldCharType="separate"/>
            </w:r>
            <w:r>
              <w:rPr>
                <w:noProof/>
                <w:webHidden/>
              </w:rPr>
              <w:t>6</w:t>
            </w:r>
            <w:r w:rsidR="002B26A1">
              <w:rPr>
                <w:noProof/>
                <w:webHidden/>
              </w:rPr>
              <w:fldChar w:fldCharType="end"/>
            </w:r>
          </w:hyperlink>
        </w:p>
        <w:p w14:paraId="5D4BD1B3" w14:textId="489AEDDB" w:rsidR="002B26A1" w:rsidRDefault="00344F7A" w:rsidP="00E95A52">
          <w:pPr>
            <w:pStyle w:val="TOC4"/>
            <w:spacing w:after="60"/>
            <w:rPr>
              <w:noProof/>
              <w:sz w:val="22"/>
              <w:szCs w:val="22"/>
            </w:rPr>
          </w:pPr>
          <w:hyperlink w:anchor="_Toc100260677" w:history="1">
            <w:r w:rsidR="002B26A1" w:rsidRPr="008C60BC">
              <w:rPr>
                <w:rStyle w:val="Hyperlink"/>
                <w:noProof/>
              </w:rPr>
              <w:t>v.</w:t>
            </w:r>
            <w:r w:rsidR="002B26A1">
              <w:rPr>
                <w:noProof/>
                <w:sz w:val="22"/>
                <w:szCs w:val="22"/>
              </w:rPr>
              <w:tab/>
            </w:r>
            <w:r w:rsidR="002B26A1" w:rsidRPr="008C60BC">
              <w:rPr>
                <w:rStyle w:val="Hyperlink"/>
                <w:noProof/>
              </w:rPr>
              <w:t>Cross-subsidization of rate cell payment</w:t>
            </w:r>
            <w:r w:rsidR="002B26A1">
              <w:rPr>
                <w:noProof/>
                <w:webHidden/>
              </w:rPr>
              <w:tab/>
            </w:r>
            <w:r w:rsidR="002B26A1">
              <w:rPr>
                <w:noProof/>
                <w:webHidden/>
              </w:rPr>
              <w:fldChar w:fldCharType="begin"/>
            </w:r>
            <w:r w:rsidR="002B26A1">
              <w:rPr>
                <w:noProof/>
                <w:webHidden/>
              </w:rPr>
              <w:instrText xml:space="preserve"> PAGEREF _Toc100260677 \h </w:instrText>
            </w:r>
            <w:r w:rsidR="002B26A1">
              <w:rPr>
                <w:noProof/>
                <w:webHidden/>
              </w:rPr>
            </w:r>
            <w:r w:rsidR="002B26A1">
              <w:rPr>
                <w:noProof/>
                <w:webHidden/>
              </w:rPr>
              <w:fldChar w:fldCharType="separate"/>
            </w:r>
            <w:r>
              <w:rPr>
                <w:noProof/>
                <w:webHidden/>
              </w:rPr>
              <w:t>6</w:t>
            </w:r>
            <w:r w:rsidR="002B26A1">
              <w:rPr>
                <w:noProof/>
                <w:webHidden/>
              </w:rPr>
              <w:fldChar w:fldCharType="end"/>
            </w:r>
          </w:hyperlink>
        </w:p>
        <w:p w14:paraId="40B8B058" w14:textId="79EB751E" w:rsidR="002B26A1" w:rsidRDefault="00344F7A" w:rsidP="00E95A52">
          <w:pPr>
            <w:pStyle w:val="TOC4"/>
            <w:spacing w:after="60"/>
            <w:rPr>
              <w:noProof/>
              <w:sz w:val="22"/>
              <w:szCs w:val="22"/>
            </w:rPr>
          </w:pPr>
          <w:hyperlink w:anchor="_Toc100260678" w:history="1">
            <w:r w:rsidR="002B26A1" w:rsidRPr="008C60BC">
              <w:rPr>
                <w:rStyle w:val="Hyperlink"/>
                <w:noProof/>
              </w:rPr>
              <w:t>vi.</w:t>
            </w:r>
            <w:r w:rsidR="002B26A1">
              <w:rPr>
                <w:noProof/>
                <w:sz w:val="22"/>
                <w:szCs w:val="22"/>
              </w:rPr>
              <w:tab/>
            </w:r>
            <w:r w:rsidR="002B26A1" w:rsidRPr="008C60BC">
              <w:rPr>
                <w:rStyle w:val="Hyperlink"/>
                <w:noProof/>
              </w:rPr>
              <w:t>Effective dates</w:t>
            </w:r>
            <w:r w:rsidR="002B26A1">
              <w:rPr>
                <w:noProof/>
                <w:webHidden/>
              </w:rPr>
              <w:tab/>
            </w:r>
            <w:r w:rsidR="002B26A1">
              <w:rPr>
                <w:noProof/>
                <w:webHidden/>
              </w:rPr>
              <w:fldChar w:fldCharType="begin"/>
            </w:r>
            <w:r w:rsidR="002B26A1">
              <w:rPr>
                <w:noProof/>
                <w:webHidden/>
              </w:rPr>
              <w:instrText xml:space="preserve"> PAGEREF _Toc100260678 \h </w:instrText>
            </w:r>
            <w:r w:rsidR="002B26A1">
              <w:rPr>
                <w:noProof/>
                <w:webHidden/>
              </w:rPr>
            </w:r>
            <w:r w:rsidR="002B26A1">
              <w:rPr>
                <w:noProof/>
                <w:webHidden/>
              </w:rPr>
              <w:fldChar w:fldCharType="separate"/>
            </w:r>
            <w:r>
              <w:rPr>
                <w:noProof/>
                <w:webHidden/>
              </w:rPr>
              <w:t>6</w:t>
            </w:r>
            <w:r w:rsidR="002B26A1">
              <w:rPr>
                <w:noProof/>
                <w:webHidden/>
              </w:rPr>
              <w:fldChar w:fldCharType="end"/>
            </w:r>
          </w:hyperlink>
        </w:p>
        <w:p w14:paraId="08520487" w14:textId="61E7C9D0" w:rsidR="002B26A1" w:rsidRDefault="00344F7A" w:rsidP="00E95A52">
          <w:pPr>
            <w:pStyle w:val="TOC4"/>
            <w:spacing w:after="60"/>
            <w:rPr>
              <w:noProof/>
              <w:sz w:val="22"/>
              <w:szCs w:val="22"/>
            </w:rPr>
          </w:pPr>
          <w:hyperlink w:anchor="_Toc100260679" w:history="1">
            <w:r w:rsidR="002B26A1" w:rsidRPr="008C60BC">
              <w:rPr>
                <w:rStyle w:val="Hyperlink"/>
                <w:noProof/>
              </w:rPr>
              <w:t>vii.</w:t>
            </w:r>
            <w:r w:rsidR="002B26A1">
              <w:rPr>
                <w:noProof/>
                <w:sz w:val="22"/>
                <w:szCs w:val="22"/>
              </w:rPr>
              <w:tab/>
            </w:r>
            <w:r w:rsidR="002B26A1" w:rsidRPr="008C60BC">
              <w:rPr>
                <w:rStyle w:val="Hyperlink"/>
                <w:noProof/>
              </w:rPr>
              <w:t>Medical loss ratio</w:t>
            </w:r>
            <w:r w:rsidR="002B26A1">
              <w:rPr>
                <w:noProof/>
                <w:webHidden/>
              </w:rPr>
              <w:tab/>
            </w:r>
            <w:r w:rsidR="002B26A1">
              <w:rPr>
                <w:noProof/>
                <w:webHidden/>
              </w:rPr>
              <w:fldChar w:fldCharType="begin"/>
            </w:r>
            <w:r w:rsidR="002B26A1">
              <w:rPr>
                <w:noProof/>
                <w:webHidden/>
              </w:rPr>
              <w:instrText xml:space="preserve"> PAGEREF _Toc100260679 \h </w:instrText>
            </w:r>
            <w:r w:rsidR="002B26A1">
              <w:rPr>
                <w:noProof/>
                <w:webHidden/>
              </w:rPr>
            </w:r>
            <w:r w:rsidR="002B26A1">
              <w:rPr>
                <w:noProof/>
                <w:webHidden/>
              </w:rPr>
              <w:fldChar w:fldCharType="separate"/>
            </w:r>
            <w:r>
              <w:rPr>
                <w:noProof/>
                <w:webHidden/>
              </w:rPr>
              <w:t>6</w:t>
            </w:r>
            <w:r w:rsidR="002B26A1">
              <w:rPr>
                <w:noProof/>
                <w:webHidden/>
              </w:rPr>
              <w:fldChar w:fldCharType="end"/>
            </w:r>
          </w:hyperlink>
        </w:p>
        <w:p w14:paraId="4D845961" w14:textId="7BE5D8CC" w:rsidR="002B26A1" w:rsidRDefault="00344F7A" w:rsidP="00E95A52">
          <w:pPr>
            <w:pStyle w:val="TOC4"/>
            <w:spacing w:after="60"/>
            <w:rPr>
              <w:noProof/>
              <w:sz w:val="22"/>
              <w:szCs w:val="22"/>
            </w:rPr>
          </w:pPr>
          <w:hyperlink w:anchor="_Toc100260680" w:history="1">
            <w:r w:rsidR="002B26A1" w:rsidRPr="008C60BC">
              <w:rPr>
                <w:rStyle w:val="Hyperlink"/>
                <w:noProof/>
              </w:rPr>
              <w:t>viii.</w:t>
            </w:r>
            <w:r w:rsidR="002B26A1">
              <w:rPr>
                <w:noProof/>
                <w:sz w:val="22"/>
                <w:szCs w:val="22"/>
              </w:rPr>
              <w:tab/>
            </w:r>
            <w:r w:rsidR="002B26A1" w:rsidRPr="008C60BC">
              <w:rPr>
                <w:rStyle w:val="Hyperlink"/>
                <w:noProof/>
              </w:rPr>
              <w:t>Rate ranges</w:t>
            </w:r>
            <w:r w:rsidR="002B26A1">
              <w:rPr>
                <w:noProof/>
                <w:webHidden/>
              </w:rPr>
              <w:tab/>
            </w:r>
            <w:r w:rsidR="002B26A1">
              <w:rPr>
                <w:noProof/>
                <w:webHidden/>
              </w:rPr>
              <w:fldChar w:fldCharType="begin"/>
            </w:r>
            <w:r w:rsidR="002B26A1">
              <w:rPr>
                <w:noProof/>
                <w:webHidden/>
              </w:rPr>
              <w:instrText xml:space="preserve"> PAGEREF _Toc100260680 \h </w:instrText>
            </w:r>
            <w:r w:rsidR="002B26A1">
              <w:rPr>
                <w:noProof/>
                <w:webHidden/>
              </w:rPr>
            </w:r>
            <w:r w:rsidR="002B26A1">
              <w:rPr>
                <w:noProof/>
                <w:webHidden/>
              </w:rPr>
              <w:fldChar w:fldCharType="separate"/>
            </w:r>
            <w:r>
              <w:rPr>
                <w:noProof/>
                <w:webHidden/>
              </w:rPr>
              <w:t>6</w:t>
            </w:r>
            <w:r w:rsidR="002B26A1">
              <w:rPr>
                <w:noProof/>
                <w:webHidden/>
              </w:rPr>
              <w:fldChar w:fldCharType="end"/>
            </w:r>
          </w:hyperlink>
        </w:p>
        <w:p w14:paraId="6965A9C4" w14:textId="10BB59EB" w:rsidR="002B26A1" w:rsidRDefault="00344F7A" w:rsidP="00E95A52">
          <w:pPr>
            <w:pStyle w:val="TOC4"/>
            <w:spacing w:after="60"/>
            <w:rPr>
              <w:noProof/>
              <w:sz w:val="22"/>
              <w:szCs w:val="22"/>
            </w:rPr>
          </w:pPr>
          <w:hyperlink w:anchor="_Toc100260681" w:history="1">
            <w:r w:rsidR="002B26A1" w:rsidRPr="008C60BC">
              <w:rPr>
                <w:rStyle w:val="Hyperlink"/>
                <w:noProof/>
              </w:rPr>
              <w:t>ix.</w:t>
            </w:r>
            <w:r w:rsidR="002B26A1">
              <w:rPr>
                <w:noProof/>
                <w:sz w:val="22"/>
                <w:szCs w:val="22"/>
              </w:rPr>
              <w:tab/>
            </w:r>
            <w:r w:rsidR="002B26A1" w:rsidRPr="008C60BC">
              <w:rPr>
                <w:rStyle w:val="Hyperlink"/>
                <w:noProof/>
              </w:rPr>
              <w:t>Actuarial soundness of rate ranges</w:t>
            </w:r>
            <w:r w:rsidR="002B26A1">
              <w:rPr>
                <w:noProof/>
                <w:webHidden/>
              </w:rPr>
              <w:tab/>
            </w:r>
            <w:r w:rsidR="002B26A1">
              <w:rPr>
                <w:noProof/>
                <w:webHidden/>
              </w:rPr>
              <w:fldChar w:fldCharType="begin"/>
            </w:r>
            <w:r w:rsidR="002B26A1">
              <w:rPr>
                <w:noProof/>
                <w:webHidden/>
              </w:rPr>
              <w:instrText xml:space="preserve"> PAGEREF _Toc100260681 \h </w:instrText>
            </w:r>
            <w:r w:rsidR="002B26A1">
              <w:rPr>
                <w:noProof/>
                <w:webHidden/>
              </w:rPr>
            </w:r>
            <w:r w:rsidR="002B26A1">
              <w:rPr>
                <w:noProof/>
                <w:webHidden/>
              </w:rPr>
              <w:fldChar w:fldCharType="separate"/>
            </w:r>
            <w:r>
              <w:rPr>
                <w:noProof/>
                <w:webHidden/>
              </w:rPr>
              <w:t>6</w:t>
            </w:r>
            <w:r w:rsidR="002B26A1">
              <w:rPr>
                <w:noProof/>
                <w:webHidden/>
              </w:rPr>
              <w:fldChar w:fldCharType="end"/>
            </w:r>
          </w:hyperlink>
        </w:p>
        <w:p w14:paraId="7C2EA1A3" w14:textId="76A8B0C3" w:rsidR="002B26A1" w:rsidRDefault="00344F7A" w:rsidP="00E95A52">
          <w:pPr>
            <w:pStyle w:val="TOC4"/>
            <w:spacing w:after="60"/>
            <w:rPr>
              <w:noProof/>
              <w:sz w:val="22"/>
              <w:szCs w:val="22"/>
            </w:rPr>
          </w:pPr>
          <w:hyperlink w:anchor="_Toc100260682" w:history="1">
            <w:r w:rsidR="002B26A1" w:rsidRPr="008C60BC">
              <w:rPr>
                <w:rStyle w:val="Hyperlink"/>
                <w:noProof/>
              </w:rPr>
              <w:t>x.</w:t>
            </w:r>
            <w:r w:rsidR="002B26A1">
              <w:rPr>
                <w:noProof/>
                <w:sz w:val="22"/>
                <w:szCs w:val="22"/>
              </w:rPr>
              <w:tab/>
            </w:r>
            <w:r w:rsidR="002B26A1" w:rsidRPr="008C60BC">
              <w:rPr>
                <w:rStyle w:val="Hyperlink"/>
                <w:noProof/>
              </w:rPr>
              <w:t>Generally accepted actuarial practices and principles</w:t>
            </w:r>
            <w:r w:rsidR="002B26A1">
              <w:rPr>
                <w:noProof/>
                <w:webHidden/>
              </w:rPr>
              <w:tab/>
            </w:r>
            <w:r w:rsidR="002B26A1">
              <w:rPr>
                <w:noProof/>
                <w:webHidden/>
              </w:rPr>
              <w:fldChar w:fldCharType="begin"/>
            </w:r>
            <w:r w:rsidR="002B26A1">
              <w:rPr>
                <w:noProof/>
                <w:webHidden/>
              </w:rPr>
              <w:instrText xml:space="preserve"> PAGEREF _Toc100260682 \h </w:instrText>
            </w:r>
            <w:r w:rsidR="002B26A1">
              <w:rPr>
                <w:noProof/>
                <w:webHidden/>
              </w:rPr>
            </w:r>
            <w:r w:rsidR="002B26A1">
              <w:rPr>
                <w:noProof/>
                <w:webHidden/>
              </w:rPr>
              <w:fldChar w:fldCharType="separate"/>
            </w:r>
            <w:r>
              <w:rPr>
                <w:noProof/>
                <w:webHidden/>
              </w:rPr>
              <w:t>6</w:t>
            </w:r>
            <w:r w:rsidR="002B26A1">
              <w:rPr>
                <w:noProof/>
                <w:webHidden/>
              </w:rPr>
              <w:fldChar w:fldCharType="end"/>
            </w:r>
          </w:hyperlink>
        </w:p>
        <w:p w14:paraId="23FBD776" w14:textId="431D92A8" w:rsidR="002B26A1" w:rsidRDefault="00344F7A" w:rsidP="00E95A52">
          <w:pPr>
            <w:pStyle w:val="TOC4"/>
            <w:spacing w:after="60"/>
            <w:rPr>
              <w:noProof/>
              <w:sz w:val="22"/>
              <w:szCs w:val="22"/>
            </w:rPr>
          </w:pPr>
          <w:hyperlink w:anchor="_Toc100260683" w:history="1">
            <w:r w:rsidR="002B26A1" w:rsidRPr="008C60BC">
              <w:rPr>
                <w:rStyle w:val="Hyperlink"/>
                <w:noProof/>
              </w:rPr>
              <w:t>xi.</w:t>
            </w:r>
            <w:r w:rsidR="002B26A1">
              <w:rPr>
                <w:noProof/>
                <w:sz w:val="22"/>
                <w:szCs w:val="22"/>
              </w:rPr>
              <w:tab/>
            </w:r>
            <w:r w:rsidR="002B26A1" w:rsidRPr="008C60BC">
              <w:rPr>
                <w:rStyle w:val="Hyperlink"/>
                <w:noProof/>
              </w:rPr>
              <w:t>Rate certification for effective time periods</w:t>
            </w:r>
            <w:r w:rsidR="002B26A1">
              <w:rPr>
                <w:noProof/>
                <w:webHidden/>
              </w:rPr>
              <w:tab/>
            </w:r>
            <w:r w:rsidR="002B26A1">
              <w:rPr>
                <w:noProof/>
                <w:webHidden/>
              </w:rPr>
              <w:fldChar w:fldCharType="begin"/>
            </w:r>
            <w:r w:rsidR="002B26A1">
              <w:rPr>
                <w:noProof/>
                <w:webHidden/>
              </w:rPr>
              <w:instrText xml:space="preserve"> PAGEREF _Toc100260683 \h </w:instrText>
            </w:r>
            <w:r w:rsidR="002B26A1">
              <w:rPr>
                <w:noProof/>
                <w:webHidden/>
              </w:rPr>
            </w:r>
            <w:r w:rsidR="002B26A1">
              <w:rPr>
                <w:noProof/>
                <w:webHidden/>
              </w:rPr>
              <w:fldChar w:fldCharType="separate"/>
            </w:r>
            <w:r>
              <w:rPr>
                <w:noProof/>
                <w:webHidden/>
              </w:rPr>
              <w:t>7</w:t>
            </w:r>
            <w:r w:rsidR="002B26A1">
              <w:rPr>
                <w:noProof/>
                <w:webHidden/>
              </w:rPr>
              <w:fldChar w:fldCharType="end"/>
            </w:r>
          </w:hyperlink>
        </w:p>
        <w:p w14:paraId="0F859D6A" w14:textId="10B07A86" w:rsidR="002B26A1" w:rsidRDefault="00344F7A" w:rsidP="00E95A52">
          <w:pPr>
            <w:pStyle w:val="TOC4"/>
            <w:spacing w:after="60"/>
            <w:rPr>
              <w:noProof/>
              <w:sz w:val="22"/>
              <w:szCs w:val="22"/>
            </w:rPr>
          </w:pPr>
          <w:hyperlink w:anchor="_Toc100260684" w:history="1">
            <w:r w:rsidR="002B26A1" w:rsidRPr="008C60BC">
              <w:rPr>
                <w:rStyle w:val="Hyperlink"/>
                <w:noProof/>
              </w:rPr>
              <w:t>xii.</w:t>
            </w:r>
            <w:r w:rsidR="002B26A1">
              <w:rPr>
                <w:noProof/>
                <w:sz w:val="22"/>
                <w:szCs w:val="22"/>
              </w:rPr>
              <w:tab/>
            </w:r>
            <w:r w:rsidR="002B26A1" w:rsidRPr="008C60BC">
              <w:rPr>
                <w:rStyle w:val="Hyperlink"/>
                <w:noProof/>
              </w:rPr>
              <w:t>COVID-19 public health emergency</w:t>
            </w:r>
            <w:r w:rsidR="002B26A1">
              <w:rPr>
                <w:noProof/>
                <w:webHidden/>
              </w:rPr>
              <w:tab/>
            </w:r>
            <w:r w:rsidR="002B26A1">
              <w:rPr>
                <w:noProof/>
                <w:webHidden/>
              </w:rPr>
              <w:fldChar w:fldCharType="begin"/>
            </w:r>
            <w:r w:rsidR="002B26A1">
              <w:rPr>
                <w:noProof/>
                <w:webHidden/>
              </w:rPr>
              <w:instrText xml:space="preserve"> PAGEREF _Toc100260684 \h </w:instrText>
            </w:r>
            <w:r w:rsidR="002B26A1">
              <w:rPr>
                <w:noProof/>
                <w:webHidden/>
              </w:rPr>
            </w:r>
            <w:r w:rsidR="002B26A1">
              <w:rPr>
                <w:noProof/>
                <w:webHidden/>
              </w:rPr>
              <w:fldChar w:fldCharType="separate"/>
            </w:r>
            <w:r>
              <w:rPr>
                <w:noProof/>
                <w:webHidden/>
              </w:rPr>
              <w:t>7</w:t>
            </w:r>
            <w:r w:rsidR="002B26A1">
              <w:rPr>
                <w:noProof/>
                <w:webHidden/>
              </w:rPr>
              <w:fldChar w:fldCharType="end"/>
            </w:r>
          </w:hyperlink>
        </w:p>
        <w:p w14:paraId="13F4B34B" w14:textId="41134243" w:rsidR="002B26A1" w:rsidRDefault="00344F7A" w:rsidP="00E95A52">
          <w:pPr>
            <w:pStyle w:val="TOC4"/>
            <w:spacing w:after="60"/>
            <w:rPr>
              <w:noProof/>
              <w:sz w:val="22"/>
              <w:szCs w:val="22"/>
            </w:rPr>
          </w:pPr>
          <w:hyperlink w:anchor="_Toc100260685" w:history="1">
            <w:r w:rsidR="002B26A1" w:rsidRPr="008C60BC">
              <w:rPr>
                <w:rStyle w:val="Hyperlink"/>
                <w:noProof/>
              </w:rPr>
              <w:t>xiii.</w:t>
            </w:r>
            <w:r w:rsidR="002B26A1">
              <w:rPr>
                <w:noProof/>
                <w:sz w:val="22"/>
                <w:szCs w:val="22"/>
              </w:rPr>
              <w:tab/>
            </w:r>
            <w:r w:rsidR="002B26A1" w:rsidRPr="008C60BC">
              <w:rPr>
                <w:rStyle w:val="Hyperlink"/>
                <w:noProof/>
              </w:rPr>
              <w:t>Procedures for rate certification and amendment</w:t>
            </w:r>
            <w:r w:rsidR="002B26A1">
              <w:rPr>
                <w:noProof/>
                <w:webHidden/>
              </w:rPr>
              <w:tab/>
            </w:r>
            <w:r w:rsidR="002B26A1">
              <w:rPr>
                <w:noProof/>
                <w:webHidden/>
              </w:rPr>
              <w:fldChar w:fldCharType="begin"/>
            </w:r>
            <w:r w:rsidR="002B26A1">
              <w:rPr>
                <w:noProof/>
                <w:webHidden/>
              </w:rPr>
              <w:instrText xml:space="preserve"> PAGEREF _Toc100260685 \h </w:instrText>
            </w:r>
            <w:r w:rsidR="002B26A1">
              <w:rPr>
                <w:noProof/>
                <w:webHidden/>
              </w:rPr>
            </w:r>
            <w:r w:rsidR="002B26A1">
              <w:rPr>
                <w:noProof/>
                <w:webHidden/>
              </w:rPr>
              <w:fldChar w:fldCharType="separate"/>
            </w:r>
            <w:r>
              <w:rPr>
                <w:noProof/>
                <w:webHidden/>
              </w:rPr>
              <w:t>7</w:t>
            </w:r>
            <w:r w:rsidR="002B26A1">
              <w:rPr>
                <w:noProof/>
                <w:webHidden/>
              </w:rPr>
              <w:fldChar w:fldCharType="end"/>
            </w:r>
          </w:hyperlink>
        </w:p>
        <w:p w14:paraId="2D8EF82C" w14:textId="62F36076" w:rsidR="002B26A1" w:rsidRDefault="00344F7A" w:rsidP="00E95A52">
          <w:pPr>
            <w:pStyle w:val="TOC3"/>
            <w:spacing w:before="0" w:after="60"/>
            <w:rPr>
              <w:noProof/>
              <w:color w:val="auto"/>
              <w:sz w:val="22"/>
              <w:szCs w:val="22"/>
            </w:rPr>
          </w:pPr>
          <w:hyperlink w:anchor="_Toc100260686" w:history="1">
            <w:r w:rsidR="002B26A1" w:rsidRPr="008C60BC">
              <w:rPr>
                <w:rStyle w:val="Hyperlink"/>
                <w:noProof/>
              </w:rPr>
              <w:t>B.</w:t>
            </w:r>
            <w:r w:rsidR="002B26A1">
              <w:rPr>
                <w:noProof/>
                <w:color w:val="auto"/>
                <w:sz w:val="22"/>
                <w:szCs w:val="22"/>
              </w:rPr>
              <w:tab/>
            </w:r>
            <w:r w:rsidR="002B26A1" w:rsidRPr="008C60BC">
              <w:rPr>
                <w:rStyle w:val="Hyperlink"/>
                <w:noProof/>
              </w:rPr>
              <w:t>Appropriate Documentation</w:t>
            </w:r>
            <w:r w:rsidR="002B26A1">
              <w:rPr>
                <w:noProof/>
                <w:webHidden/>
              </w:rPr>
              <w:tab/>
            </w:r>
            <w:r w:rsidR="002B26A1">
              <w:rPr>
                <w:noProof/>
                <w:webHidden/>
              </w:rPr>
              <w:fldChar w:fldCharType="begin"/>
            </w:r>
            <w:r w:rsidR="002B26A1">
              <w:rPr>
                <w:noProof/>
                <w:webHidden/>
              </w:rPr>
              <w:instrText xml:space="preserve"> PAGEREF _Toc100260686 \h </w:instrText>
            </w:r>
            <w:r w:rsidR="002B26A1">
              <w:rPr>
                <w:noProof/>
                <w:webHidden/>
              </w:rPr>
            </w:r>
            <w:r w:rsidR="002B26A1">
              <w:rPr>
                <w:noProof/>
                <w:webHidden/>
              </w:rPr>
              <w:fldChar w:fldCharType="separate"/>
            </w:r>
            <w:r>
              <w:rPr>
                <w:noProof/>
                <w:webHidden/>
              </w:rPr>
              <w:t>7</w:t>
            </w:r>
            <w:r w:rsidR="002B26A1">
              <w:rPr>
                <w:noProof/>
                <w:webHidden/>
              </w:rPr>
              <w:fldChar w:fldCharType="end"/>
            </w:r>
          </w:hyperlink>
        </w:p>
        <w:p w14:paraId="60D3851A" w14:textId="01E919EE" w:rsidR="002B26A1" w:rsidRDefault="00344F7A" w:rsidP="00E95A52">
          <w:pPr>
            <w:pStyle w:val="TOC4"/>
            <w:spacing w:after="60"/>
            <w:rPr>
              <w:noProof/>
              <w:sz w:val="22"/>
              <w:szCs w:val="22"/>
            </w:rPr>
          </w:pPr>
          <w:hyperlink w:anchor="_Toc100260687" w:history="1">
            <w:r w:rsidR="002B26A1" w:rsidRPr="008C60BC">
              <w:rPr>
                <w:rStyle w:val="Hyperlink"/>
                <w:noProof/>
              </w:rPr>
              <w:t>i.</w:t>
            </w:r>
            <w:r w:rsidR="002B26A1">
              <w:rPr>
                <w:noProof/>
                <w:sz w:val="22"/>
                <w:szCs w:val="22"/>
              </w:rPr>
              <w:tab/>
            </w:r>
            <w:r w:rsidR="002B26A1" w:rsidRPr="008C60BC">
              <w:rPr>
                <w:rStyle w:val="Hyperlink"/>
                <w:noProof/>
              </w:rPr>
              <w:t>Capitation rate certification</w:t>
            </w:r>
            <w:r w:rsidR="002B26A1">
              <w:rPr>
                <w:noProof/>
                <w:webHidden/>
              </w:rPr>
              <w:tab/>
            </w:r>
            <w:r w:rsidR="002B26A1">
              <w:rPr>
                <w:noProof/>
                <w:webHidden/>
              </w:rPr>
              <w:fldChar w:fldCharType="begin"/>
            </w:r>
            <w:r w:rsidR="002B26A1">
              <w:rPr>
                <w:noProof/>
                <w:webHidden/>
              </w:rPr>
              <w:instrText xml:space="preserve"> PAGEREF _Toc100260687 \h </w:instrText>
            </w:r>
            <w:r w:rsidR="002B26A1">
              <w:rPr>
                <w:noProof/>
                <w:webHidden/>
              </w:rPr>
            </w:r>
            <w:r w:rsidR="002B26A1">
              <w:rPr>
                <w:noProof/>
                <w:webHidden/>
              </w:rPr>
              <w:fldChar w:fldCharType="separate"/>
            </w:r>
            <w:r>
              <w:rPr>
                <w:noProof/>
                <w:webHidden/>
              </w:rPr>
              <w:t>7</w:t>
            </w:r>
            <w:r w:rsidR="002B26A1">
              <w:rPr>
                <w:noProof/>
                <w:webHidden/>
              </w:rPr>
              <w:fldChar w:fldCharType="end"/>
            </w:r>
          </w:hyperlink>
        </w:p>
        <w:p w14:paraId="2DA61D79" w14:textId="697182B2" w:rsidR="002B26A1" w:rsidRDefault="00344F7A" w:rsidP="00E95A52">
          <w:pPr>
            <w:pStyle w:val="TOC4"/>
            <w:spacing w:after="60"/>
            <w:rPr>
              <w:noProof/>
              <w:sz w:val="22"/>
              <w:szCs w:val="22"/>
            </w:rPr>
          </w:pPr>
          <w:hyperlink w:anchor="_Toc100260688" w:history="1">
            <w:r w:rsidR="002B26A1" w:rsidRPr="008C60BC">
              <w:rPr>
                <w:rStyle w:val="Hyperlink"/>
                <w:noProof/>
              </w:rPr>
              <w:t>ii.</w:t>
            </w:r>
            <w:r w:rsidR="002B26A1">
              <w:rPr>
                <w:noProof/>
                <w:sz w:val="22"/>
                <w:szCs w:val="22"/>
              </w:rPr>
              <w:tab/>
            </w:r>
            <w:r w:rsidR="002B26A1" w:rsidRPr="008C60BC">
              <w:rPr>
                <w:rStyle w:val="Hyperlink"/>
                <w:noProof/>
              </w:rPr>
              <w:t>Documentation of required elements</w:t>
            </w:r>
            <w:r w:rsidR="002B26A1">
              <w:rPr>
                <w:noProof/>
                <w:webHidden/>
              </w:rPr>
              <w:tab/>
            </w:r>
            <w:r w:rsidR="002B26A1">
              <w:rPr>
                <w:noProof/>
                <w:webHidden/>
              </w:rPr>
              <w:fldChar w:fldCharType="begin"/>
            </w:r>
            <w:r w:rsidR="002B26A1">
              <w:rPr>
                <w:noProof/>
                <w:webHidden/>
              </w:rPr>
              <w:instrText xml:space="preserve"> PAGEREF _Toc100260688 \h </w:instrText>
            </w:r>
            <w:r w:rsidR="002B26A1">
              <w:rPr>
                <w:noProof/>
                <w:webHidden/>
              </w:rPr>
            </w:r>
            <w:r w:rsidR="002B26A1">
              <w:rPr>
                <w:noProof/>
                <w:webHidden/>
              </w:rPr>
              <w:fldChar w:fldCharType="separate"/>
            </w:r>
            <w:r>
              <w:rPr>
                <w:noProof/>
                <w:webHidden/>
              </w:rPr>
              <w:t>7</w:t>
            </w:r>
            <w:r w:rsidR="002B26A1">
              <w:rPr>
                <w:noProof/>
                <w:webHidden/>
              </w:rPr>
              <w:fldChar w:fldCharType="end"/>
            </w:r>
          </w:hyperlink>
        </w:p>
        <w:p w14:paraId="58C57B6E" w14:textId="6C649BEE" w:rsidR="002B26A1" w:rsidRDefault="00344F7A" w:rsidP="00E95A52">
          <w:pPr>
            <w:pStyle w:val="TOC4"/>
            <w:spacing w:after="60"/>
            <w:rPr>
              <w:noProof/>
              <w:sz w:val="22"/>
              <w:szCs w:val="22"/>
            </w:rPr>
          </w:pPr>
          <w:hyperlink w:anchor="_Toc100260689" w:history="1">
            <w:r w:rsidR="002B26A1" w:rsidRPr="008C60BC">
              <w:rPr>
                <w:rStyle w:val="Hyperlink"/>
                <w:noProof/>
              </w:rPr>
              <w:t>iii.</w:t>
            </w:r>
            <w:r w:rsidR="002B26A1">
              <w:rPr>
                <w:noProof/>
                <w:sz w:val="22"/>
                <w:szCs w:val="22"/>
              </w:rPr>
              <w:tab/>
            </w:r>
            <w:r w:rsidR="002B26A1" w:rsidRPr="008C60BC">
              <w:rPr>
                <w:rStyle w:val="Hyperlink"/>
                <w:noProof/>
              </w:rPr>
              <w:t>Rate ranges</w:t>
            </w:r>
            <w:r w:rsidR="002B26A1">
              <w:rPr>
                <w:noProof/>
                <w:webHidden/>
              </w:rPr>
              <w:tab/>
            </w:r>
            <w:r w:rsidR="002B26A1">
              <w:rPr>
                <w:noProof/>
                <w:webHidden/>
              </w:rPr>
              <w:fldChar w:fldCharType="begin"/>
            </w:r>
            <w:r w:rsidR="002B26A1">
              <w:rPr>
                <w:noProof/>
                <w:webHidden/>
              </w:rPr>
              <w:instrText xml:space="preserve"> PAGEREF _Toc100260689 \h </w:instrText>
            </w:r>
            <w:r w:rsidR="002B26A1">
              <w:rPr>
                <w:noProof/>
                <w:webHidden/>
              </w:rPr>
            </w:r>
            <w:r w:rsidR="002B26A1">
              <w:rPr>
                <w:noProof/>
                <w:webHidden/>
              </w:rPr>
              <w:fldChar w:fldCharType="separate"/>
            </w:r>
            <w:r>
              <w:rPr>
                <w:noProof/>
                <w:webHidden/>
              </w:rPr>
              <w:t>7</w:t>
            </w:r>
            <w:r w:rsidR="002B26A1">
              <w:rPr>
                <w:noProof/>
                <w:webHidden/>
              </w:rPr>
              <w:fldChar w:fldCharType="end"/>
            </w:r>
          </w:hyperlink>
        </w:p>
        <w:p w14:paraId="2B1D07F3" w14:textId="36C576D3" w:rsidR="002B26A1" w:rsidRDefault="00344F7A" w:rsidP="00E95A52">
          <w:pPr>
            <w:pStyle w:val="TOC4"/>
            <w:spacing w:after="60"/>
            <w:rPr>
              <w:noProof/>
              <w:sz w:val="22"/>
              <w:szCs w:val="22"/>
            </w:rPr>
          </w:pPr>
          <w:hyperlink w:anchor="_Toc100260690" w:history="1">
            <w:r w:rsidR="002B26A1" w:rsidRPr="008C60BC">
              <w:rPr>
                <w:rStyle w:val="Hyperlink"/>
                <w:noProof/>
              </w:rPr>
              <w:t>iv.</w:t>
            </w:r>
            <w:r w:rsidR="002B26A1">
              <w:rPr>
                <w:noProof/>
                <w:sz w:val="22"/>
                <w:szCs w:val="22"/>
              </w:rPr>
              <w:tab/>
            </w:r>
            <w:r w:rsidR="002B26A1" w:rsidRPr="008C60BC">
              <w:rPr>
                <w:rStyle w:val="Hyperlink"/>
                <w:noProof/>
              </w:rPr>
              <w:t>Rate range boundaries</w:t>
            </w:r>
            <w:r w:rsidR="002B26A1">
              <w:rPr>
                <w:noProof/>
                <w:webHidden/>
              </w:rPr>
              <w:tab/>
            </w:r>
            <w:r w:rsidR="002B26A1">
              <w:rPr>
                <w:noProof/>
                <w:webHidden/>
              </w:rPr>
              <w:fldChar w:fldCharType="begin"/>
            </w:r>
            <w:r w:rsidR="002B26A1">
              <w:rPr>
                <w:noProof/>
                <w:webHidden/>
              </w:rPr>
              <w:instrText xml:space="preserve"> PAGEREF _Toc100260690 \h </w:instrText>
            </w:r>
            <w:r w:rsidR="002B26A1">
              <w:rPr>
                <w:noProof/>
                <w:webHidden/>
              </w:rPr>
            </w:r>
            <w:r w:rsidR="002B26A1">
              <w:rPr>
                <w:noProof/>
                <w:webHidden/>
              </w:rPr>
              <w:fldChar w:fldCharType="separate"/>
            </w:r>
            <w:r>
              <w:rPr>
                <w:noProof/>
                <w:webHidden/>
              </w:rPr>
              <w:t>7</w:t>
            </w:r>
            <w:r w:rsidR="002B26A1">
              <w:rPr>
                <w:noProof/>
                <w:webHidden/>
              </w:rPr>
              <w:fldChar w:fldCharType="end"/>
            </w:r>
          </w:hyperlink>
        </w:p>
        <w:p w14:paraId="13C6B8B7" w14:textId="6325C0A6" w:rsidR="002B26A1" w:rsidRDefault="00344F7A" w:rsidP="00E95A52">
          <w:pPr>
            <w:pStyle w:val="TOC4"/>
            <w:spacing w:after="60"/>
            <w:rPr>
              <w:noProof/>
              <w:sz w:val="22"/>
              <w:szCs w:val="22"/>
            </w:rPr>
          </w:pPr>
          <w:hyperlink w:anchor="_Toc100260691" w:history="1">
            <w:r w:rsidR="002B26A1" w:rsidRPr="008C60BC">
              <w:rPr>
                <w:rStyle w:val="Hyperlink"/>
                <w:noProof/>
              </w:rPr>
              <w:t>v.</w:t>
            </w:r>
            <w:r w:rsidR="002B26A1">
              <w:rPr>
                <w:noProof/>
                <w:sz w:val="22"/>
                <w:szCs w:val="22"/>
              </w:rPr>
              <w:tab/>
            </w:r>
            <w:r w:rsidR="002B26A1" w:rsidRPr="008C60BC">
              <w:rPr>
                <w:rStyle w:val="Hyperlink"/>
                <w:noProof/>
              </w:rPr>
              <w:t>Index</w:t>
            </w:r>
            <w:r w:rsidR="002B26A1">
              <w:rPr>
                <w:noProof/>
                <w:webHidden/>
              </w:rPr>
              <w:tab/>
            </w:r>
            <w:r w:rsidR="002B26A1">
              <w:rPr>
                <w:noProof/>
                <w:webHidden/>
              </w:rPr>
              <w:fldChar w:fldCharType="begin"/>
            </w:r>
            <w:r w:rsidR="002B26A1">
              <w:rPr>
                <w:noProof/>
                <w:webHidden/>
              </w:rPr>
              <w:instrText xml:space="preserve"> PAGEREF _Toc100260691 \h </w:instrText>
            </w:r>
            <w:r w:rsidR="002B26A1">
              <w:rPr>
                <w:noProof/>
                <w:webHidden/>
              </w:rPr>
            </w:r>
            <w:r w:rsidR="002B26A1">
              <w:rPr>
                <w:noProof/>
                <w:webHidden/>
              </w:rPr>
              <w:fldChar w:fldCharType="separate"/>
            </w:r>
            <w:r>
              <w:rPr>
                <w:noProof/>
                <w:webHidden/>
              </w:rPr>
              <w:t>7</w:t>
            </w:r>
            <w:r w:rsidR="002B26A1">
              <w:rPr>
                <w:noProof/>
                <w:webHidden/>
              </w:rPr>
              <w:fldChar w:fldCharType="end"/>
            </w:r>
          </w:hyperlink>
        </w:p>
        <w:p w14:paraId="49A90A3D" w14:textId="09E9020E" w:rsidR="002B26A1" w:rsidRDefault="00344F7A" w:rsidP="00E95A52">
          <w:pPr>
            <w:pStyle w:val="TOC4"/>
            <w:spacing w:after="60"/>
            <w:rPr>
              <w:noProof/>
              <w:sz w:val="22"/>
              <w:szCs w:val="22"/>
            </w:rPr>
          </w:pPr>
          <w:hyperlink w:anchor="_Toc100260692" w:history="1">
            <w:r w:rsidR="002B26A1" w:rsidRPr="008C60BC">
              <w:rPr>
                <w:rStyle w:val="Hyperlink"/>
                <w:noProof/>
              </w:rPr>
              <w:t>vi.</w:t>
            </w:r>
            <w:r w:rsidR="002B26A1">
              <w:rPr>
                <w:noProof/>
                <w:sz w:val="22"/>
                <w:szCs w:val="22"/>
              </w:rPr>
              <w:tab/>
            </w:r>
            <w:r w:rsidR="002B26A1" w:rsidRPr="008C60BC">
              <w:rPr>
                <w:rStyle w:val="Hyperlink"/>
                <w:noProof/>
              </w:rPr>
              <w:t>Compliance with 42 CFR §438.4(b)(1)</w:t>
            </w:r>
            <w:r w:rsidR="002B26A1">
              <w:rPr>
                <w:noProof/>
                <w:webHidden/>
              </w:rPr>
              <w:tab/>
            </w:r>
            <w:r w:rsidR="002B26A1">
              <w:rPr>
                <w:noProof/>
                <w:webHidden/>
              </w:rPr>
              <w:fldChar w:fldCharType="begin"/>
            </w:r>
            <w:r w:rsidR="002B26A1">
              <w:rPr>
                <w:noProof/>
                <w:webHidden/>
              </w:rPr>
              <w:instrText xml:space="preserve"> PAGEREF _Toc100260692 \h </w:instrText>
            </w:r>
            <w:r w:rsidR="002B26A1">
              <w:rPr>
                <w:noProof/>
                <w:webHidden/>
              </w:rPr>
            </w:r>
            <w:r w:rsidR="002B26A1">
              <w:rPr>
                <w:noProof/>
                <w:webHidden/>
              </w:rPr>
              <w:fldChar w:fldCharType="separate"/>
            </w:r>
            <w:r>
              <w:rPr>
                <w:noProof/>
                <w:webHidden/>
              </w:rPr>
              <w:t>7</w:t>
            </w:r>
            <w:r w:rsidR="002B26A1">
              <w:rPr>
                <w:noProof/>
                <w:webHidden/>
              </w:rPr>
              <w:fldChar w:fldCharType="end"/>
            </w:r>
          </w:hyperlink>
        </w:p>
        <w:p w14:paraId="74FAA41E" w14:textId="6F032ACD" w:rsidR="002B26A1" w:rsidRDefault="00344F7A" w:rsidP="00E95A52">
          <w:pPr>
            <w:pStyle w:val="TOC4"/>
            <w:spacing w:after="60"/>
            <w:rPr>
              <w:noProof/>
              <w:sz w:val="22"/>
              <w:szCs w:val="22"/>
            </w:rPr>
          </w:pPr>
          <w:hyperlink w:anchor="_Toc100260693" w:history="1">
            <w:r w:rsidR="002B26A1" w:rsidRPr="008C60BC">
              <w:rPr>
                <w:rStyle w:val="Hyperlink"/>
                <w:noProof/>
              </w:rPr>
              <w:t>vii.</w:t>
            </w:r>
            <w:r w:rsidR="002B26A1">
              <w:rPr>
                <w:noProof/>
                <w:sz w:val="22"/>
                <w:szCs w:val="22"/>
              </w:rPr>
              <w:tab/>
            </w:r>
            <w:r w:rsidR="002B26A1" w:rsidRPr="008C60BC">
              <w:rPr>
                <w:rStyle w:val="Hyperlink"/>
                <w:noProof/>
              </w:rPr>
              <w:t>Different FMAP</w:t>
            </w:r>
            <w:r w:rsidR="002B26A1">
              <w:rPr>
                <w:noProof/>
                <w:webHidden/>
              </w:rPr>
              <w:tab/>
            </w:r>
            <w:r w:rsidR="002B26A1">
              <w:rPr>
                <w:noProof/>
                <w:webHidden/>
              </w:rPr>
              <w:fldChar w:fldCharType="begin"/>
            </w:r>
            <w:r w:rsidR="002B26A1">
              <w:rPr>
                <w:noProof/>
                <w:webHidden/>
              </w:rPr>
              <w:instrText xml:space="preserve"> PAGEREF _Toc100260693 \h </w:instrText>
            </w:r>
            <w:r w:rsidR="002B26A1">
              <w:rPr>
                <w:noProof/>
                <w:webHidden/>
              </w:rPr>
            </w:r>
            <w:r w:rsidR="002B26A1">
              <w:rPr>
                <w:noProof/>
                <w:webHidden/>
              </w:rPr>
              <w:fldChar w:fldCharType="separate"/>
            </w:r>
            <w:r>
              <w:rPr>
                <w:noProof/>
                <w:webHidden/>
              </w:rPr>
              <w:t>8</w:t>
            </w:r>
            <w:r w:rsidR="002B26A1">
              <w:rPr>
                <w:noProof/>
                <w:webHidden/>
              </w:rPr>
              <w:fldChar w:fldCharType="end"/>
            </w:r>
          </w:hyperlink>
        </w:p>
        <w:p w14:paraId="4E770A8F" w14:textId="492A9ACF" w:rsidR="002B26A1" w:rsidRDefault="00344F7A" w:rsidP="00E95A52">
          <w:pPr>
            <w:pStyle w:val="TOC4"/>
            <w:spacing w:after="60"/>
            <w:rPr>
              <w:noProof/>
              <w:sz w:val="22"/>
              <w:szCs w:val="22"/>
            </w:rPr>
          </w:pPr>
          <w:hyperlink w:anchor="_Toc100260694" w:history="1">
            <w:r w:rsidR="002B26A1" w:rsidRPr="008C60BC">
              <w:rPr>
                <w:rStyle w:val="Hyperlink"/>
                <w:noProof/>
              </w:rPr>
              <w:t>viii.</w:t>
            </w:r>
            <w:r w:rsidR="002B26A1">
              <w:rPr>
                <w:noProof/>
                <w:sz w:val="22"/>
                <w:szCs w:val="22"/>
              </w:rPr>
              <w:tab/>
            </w:r>
            <w:r w:rsidR="002B26A1" w:rsidRPr="008C60BC">
              <w:rPr>
                <w:rStyle w:val="Hyperlink"/>
                <w:noProof/>
              </w:rPr>
              <w:t>Comparison to final certified rates in the previous rate certification</w:t>
            </w:r>
            <w:r w:rsidR="002B26A1">
              <w:rPr>
                <w:noProof/>
                <w:webHidden/>
              </w:rPr>
              <w:tab/>
            </w:r>
            <w:r w:rsidR="002B26A1">
              <w:rPr>
                <w:noProof/>
                <w:webHidden/>
              </w:rPr>
              <w:fldChar w:fldCharType="begin"/>
            </w:r>
            <w:r w:rsidR="002B26A1">
              <w:rPr>
                <w:noProof/>
                <w:webHidden/>
              </w:rPr>
              <w:instrText xml:space="preserve"> PAGEREF _Toc100260694 \h </w:instrText>
            </w:r>
            <w:r w:rsidR="002B26A1">
              <w:rPr>
                <w:noProof/>
                <w:webHidden/>
              </w:rPr>
            </w:r>
            <w:r w:rsidR="002B26A1">
              <w:rPr>
                <w:noProof/>
                <w:webHidden/>
              </w:rPr>
              <w:fldChar w:fldCharType="separate"/>
            </w:r>
            <w:r>
              <w:rPr>
                <w:noProof/>
                <w:webHidden/>
              </w:rPr>
              <w:t>8</w:t>
            </w:r>
            <w:r w:rsidR="002B26A1">
              <w:rPr>
                <w:noProof/>
                <w:webHidden/>
              </w:rPr>
              <w:fldChar w:fldCharType="end"/>
            </w:r>
          </w:hyperlink>
        </w:p>
        <w:p w14:paraId="47DCECEF" w14:textId="49E6D6AD" w:rsidR="002B26A1" w:rsidRDefault="00344F7A" w:rsidP="00E95A52">
          <w:pPr>
            <w:pStyle w:val="TOC4"/>
            <w:spacing w:after="60"/>
            <w:rPr>
              <w:noProof/>
              <w:sz w:val="22"/>
              <w:szCs w:val="22"/>
            </w:rPr>
          </w:pPr>
          <w:hyperlink w:anchor="_Toc100260695" w:history="1">
            <w:r w:rsidR="002B26A1" w:rsidRPr="008C60BC">
              <w:rPr>
                <w:rStyle w:val="Hyperlink"/>
                <w:noProof/>
              </w:rPr>
              <w:t>ix.</w:t>
            </w:r>
            <w:r w:rsidR="002B26A1">
              <w:rPr>
                <w:noProof/>
                <w:sz w:val="22"/>
                <w:szCs w:val="22"/>
              </w:rPr>
              <w:tab/>
            </w:r>
            <w:r w:rsidR="002B26A1" w:rsidRPr="008C60BC">
              <w:rPr>
                <w:rStyle w:val="Hyperlink"/>
                <w:noProof/>
              </w:rPr>
              <w:t>Future Amendments</w:t>
            </w:r>
            <w:r w:rsidR="002B26A1">
              <w:rPr>
                <w:noProof/>
                <w:webHidden/>
              </w:rPr>
              <w:tab/>
            </w:r>
            <w:r w:rsidR="002B26A1">
              <w:rPr>
                <w:noProof/>
                <w:webHidden/>
              </w:rPr>
              <w:fldChar w:fldCharType="begin"/>
            </w:r>
            <w:r w:rsidR="002B26A1">
              <w:rPr>
                <w:noProof/>
                <w:webHidden/>
              </w:rPr>
              <w:instrText xml:space="preserve"> PAGEREF _Toc100260695 \h </w:instrText>
            </w:r>
            <w:r w:rsidR="002B26A1">
              <w:rPr>
                <w:noProof/>
                <w:webHidden/>
              </w:rPr>
            </w:r>
            <w:r w:rsidR="002B26A1">
              <w:rPr>
                <w:noProof/>
                <w:webHidden/>
              </w:rPr>
              <w:fldChar w:fldCharType="separate"/>
            </w:r>
            <w:r>
              <w:rPr>
                <w:noProof/>
                <w:webHidden/>
              </w:rPr>
              <w:t>8</w:t>
            </w:r>
            <w:r w:rsidR="002B26A1">
              <w:rPr>
                <w:noProof/>
                <w:webHidden/>
              </w:rPr>
              <w:fldChar w:fldCharType="end"/>
            </w:r>
          </w:hyperlink>
        </w:p>
        <w:p w14:paraId="017A76A1" w14:textId="53DAB3C3" w:rsidR="002B26A1" w:rsidRDefault="00344F7A" w:rsidP="00E95A52">
          <w:pPr>
            <w:pStyle w:val="TOC4"/>
            <w:spacing w:after="60"/>
            <w:rPr>
              <w:noProof/>
              <w:sz w:val="22"/>
              <w:szCs w:val="22"/>
            </w:rPr>
          </w:pPr>
          <w:hyperlink w:anchor="_Toc100260696" w:history="1">
            <w:r w:rsidR="002B26A1" w:rsidRPr="008C60BC">
              <w:rPr>
                <w:rStyle w:val="Hyperlink"/>
                <w:noProof/>
              </w:rPr>
              <w:t>x.</w:t>
            </w:r>
            <w:r w:rsidR="002B26A1">
              <w:rPr>
                <w:noProof/>
                <w:sz w:val="22"/>
                <w:szCs w:val="22"/>
              </w:rPr>
              <w:tab/>
            </w:r>
            <w:r w:rsidR="002B26A1" w:rsidRPr="008C60BC">
              <w:rPr>
                <w:rStyle w:val="Hyperlink"/>
                <w:noProof/>
              </w:rPr>
              <w:t>COVID-19 public health emergency</w:t>
            </w:r>
            <w:r w:rsidR="002B26A1">
              <w:rPr>
                <w:noProof/>
                <w:webHidden/>
              </w:rPr>
              <w:tab/>
            </w:r>
            <w:r w:rsidR="002B26A1">
              <w:rPr>
                <w:noProof/>
                <w:webHidden/>
              </w:rPr>
              <w:fldChar w:fldCharType="begin"/>
            </w:r>
            <w:r w:rsidR="002B26A1">
              <w:rPr>
                <w:noProof/>
                <w:webHidden/>
              </w:rPr>
              <w:instrText xml:space="preserve"> PAGEREF _Toc100260696 \h </w:instrText>
            </w:r>
            <w:r w:rsidR="002B26A1">
              <w:rPr>
                <w:noProof/>
                <w:webHidden/>
              </w:rPr>
            </w:r>
            <w:r w:rsidR="002B26A1">
              <w:rPr>
                <w:noProof/>
                <w:webHidden/>
              </w:rPr>
              <w:fldChar w:fldCharType="separate"/>
            </w:r>
            <w:r>
              <w:rPr>
                <w:noProof/>
                <w:webHidden/>
              </w:rPr>
              <w:t>8</w:t>
            </w:r>
            <w:r w:rsidR="002B26A1">
              <w:rPr>
                <w:noProof/>
                <w:webHidden/>
              </w:rPr>
              <w:fldChar w:fldCharType="end"/>
            </w:r>
          </w:hyperlink>
        </w:p>
        <w:p w14:paraId="52259DE2" w14:textId="11DC3B2E" w:rsidR="002B26A1" w:rsidRDefault="00344F7A" w:rsidP="00E95A52">
          <w:pPr>
            <w:pStyle w:val="TOC2"/>
            <w:spacing w:before="0" w:after="60"/>
            <w:rPr>
              <w:caps w:val="0"/>
              <w:noProof/>
              <w:color w:val="auto"/>
              <w:sz w:val="22"/>
              <w:szCs w:val="22"/>
            </w:rPr>
          </w:pPr>
          <w:hyperlink w:anchor="_Toc100260697" w:history="1">
            <w:r w:rsidR="002B26A1" w:rsidRPr="008C60BC">
              <w:rPr>
                <w:rStyle w:val="Hyperlink"/>
                <w:noProof/>
              </w:rPr>
              <w:t>2.</w:t>
            </w:r>
            <w:r w:rsidR="002B26A1">
              <w:rPr>
                <w:caps w:val="0"/>
                <w:noProof/>
                <w:color w:val="auto"/>
                <w:sz w:val="22"/>
                <w:szCs w:val="22"/>
              </w:rPr>
              <w:tab/>
            </w:r>
            <w:r w:rsidR="002B26A1" w:rsidRPr="008C60BC">
              <w:rPr>
                <w:rStyle w:val="Hyperlink"/>
                <w:noProof/>
              </w:rPr>
              <w:t>Data</w:t>
            </w:r>
            <w:r w:rsidR="002B26A1">
              <w:rPr>
                <w:noProof/>
                <w:webHidden/>
              </w:rPr>
              <w:tab/>
            </w:r>
            <w:r w:rsidR="002B26A1">
              <w:rPr>
                <w:noProof/>
                <w:webHidden/>
              </w:rPr>
              <w:fldChar w:fldCharType="begin"/>
            </w:r>
            <w:r w:rsidR="002B26A1">
              <w:rPr>
                <w:noProof/>
                <w:webHidden/>
              </w:rPr>
              <w:instrText xml:space="preserve"> PAGEREF _Toc100260697 \h </w:instrText>
            </w:r>
            <w:r w:rsidR="002B26A1">
              <w:rPr>
                <w:noProof/>
                <w:webHidden/>
              </w:rPr>
            </w:r>
            <w:r w:rsidR="002B26A1">
              <w:rPr>
                <w:noProof/>
                <w:webHidden/>
              </w:rPr>
              <w:fldChar w:fldCharType="separate"/>
            </w:r>
            <w:r>
              <w:rPr>
                <w:noProof/>
                <w:webHidden/>
              </w:rPr>
              <w:t>9</w:t>
            </w:r>
            <w:r w:rsidR="002B26A1">
              <w:rPr>
                <w:noProof/>
                <w:webHidden/>
              </w:rPr>
              <w:fldChar w:fldCharType="end"/>
            </w:r>
          </w:hyperlink>
        </w:p>
        <w:p w14:paraId="0826C511" w14:textId="7C9789F8" w:rsidR="002B26A1" w:rsidRDefault="00344F7A" w:rsidP="00E95A52">
          <w:pPr>
            <w:pStyle w:val="TOC3"/>
            <w:spacing w:before="0" w:after="60"/>
            <w:rPr>
              <w:noProof/>
              <w:color w:val="auto"/>
              <w:sz w:val="22"/>
              <w:szCs w:val="22"/>
            </w:rPr>
          </w:pPr>
          <w:hyperlink w:anchor="_Toc100260698" w:history="1">
            <w:r w:rsidR="002B26A1" w:rsidRPr="008C60BC">
              <w:rPr>
                <w:rStyle w:val="Hyperlink"/>
                <w:noProof/>
              </w:rPr>
              <w:t>A.</w:t>
            </w:r>
            <w:r w:rsidR="002B26A1">
              <w:rPr>
                <w:noProof/>
                <w:color w:val="auto"/>
                <w:sz w:val="22"/>
                <w:szCs w:val="22"/>
              </w:rPr>
              <w:tab/>
            </w:r>
            <w:r w:rsidR="002B26A1" w:rsidRPr="008C60BC">
              <w:rPr>
                <w:rStyle w:val="Hyperlink"/>
                <w:noProof/>
              </w:rPr>
              <w:t>Rate Development Standards</w:t>
            </w:r>
            <w:r w:rsidR="002B26A1">
              <w:rPr>
                <w:noProof/>
                <w:webHidden/>
              </w:rPr>
              <w:tab/>
            </w:r>
            <w:r w:rsidR="002B26A1">
              <w:rPr>
                <w:noProof/>
                <w:webHidden/>
              </w:rPr>
              <w:fldChar w:fldCharType="begin"/>
            </w:r>
            <w:r w:rsidR="002B26A1">
              <w:rPr>
                <w:noProof/>
                <w:webHidden/>
              </w:rPr>
              <w:instrText xml:space="preserve"> PAGEREF _Toc100260698 \h </w:instrText>
            </w:r>
            <w:r w:rsidR="002B26A1">
              <w:rPr>
                <w:noProof/>
                <w:webHidden/>
              </w:rPr>
            </w:r>
            <w:r w:rsidR="002B26A1">
              <w:rPr>
                <w:noProof/>
                <w:webHidden/>
              </w:rPr>
              <w:fldChar w:fldCharType="separate"/>
            </w:r>
            <w:r>
              <w:rPr>
                <w:noProof/>
                <w:webHidden/>
              </w:rPr>
              <w:t>9</w:t>
            </w:r>
            <w:r w:rsidR="002B26A1">
              <w:rPr>
                <w:noProof/>
                <w:webHidden/>
              </w:rPr>
              <w:fldChar w:fldCharType="end"/>
            </w:r>
          </w:hyperlink>
        </w:p>
        <w:p w14:paraId="5262D393" w14:textId="5617E61A" w:rsidR="002B26A1" w:rsidRDefault="00344F7A" w:rsidP="00E95A52">
          <w:pPr>
            <w:pStyle w:val="TOC3"/>
            <w:spacing w:before="0" w:after="60"/>
            <w:rPr>
              <w:noProof/>
              <w:color w:val="auto"/>
              <w:sz w:val="22"/>
              <w:szCs w:val="22"/>
            </w:rPr>
          </w:pPr>
          <w:hyperlink w:anchor="_Toc100260699" w:history="1">
            <w:r w:rsidR="002B26A1" w:rsidRPr="008C60BC">
              <w:rPr>
                <w:rStyle w:val="Hyperlink"/>
                <w:noProof/>
              </w:rPr>
              <w:t>B.</w:t>
            </w:r>
            <w:r w:rsidR="002B26A1">
              <w:rPr>
                <w:noProof/>
                <w:color w:val="auto"/>
                <w:sz w:val="22"/>
                <w:szCs w:val="22"/>
              </w:rPr>
              <w:tab/>
            </w:r>
            <w:r w:rsidR="002B26A1" w:rsidRPr="008C60BC">
              <w:rPr>
                <w:rStyle w:val="Hyperlink"/>
                <w:noProof/>
              </w:rPr>
              <w:t>Appropriate Documentation</w:t>
            </w:r>
            <w:r w:rsidR="002B26A1">
              <w:rPr>
                <w:noProof/>
                <w:webHidden/>
              </w:rPr>
              <w:tab/>
            </w:r>
            <w:r w:rsidR="002B26A1">
              <w:rPr>
                <w:noProof/>
                <w:webHidden/>
              </w:rPr>
              <w:fldChar w:fldCharType="begin"/>
            </w:r>
            <w:r w:rsidR="002B26A1">
              <w:rPr>
                <w:noProof/>
                <w:webHidden/>
              </w:rPr>
              <w:instrText xml:space="preserve"> PAGEREF _Toc100260699 \h </w:instrText>
            </w:r>
            <w:r w:rsidR="002B26A1">
              <w:rPr>
                <w:noProof/>
                <w:webHidden/>
              </w:rPr>
            </w:r>
            <w:r w:rsidR="002B26A1">
              <w:rPr>
                <w:noProof/>
                <w:webHidden/>
              </w:rPr>
              <w:fldChar w:fldCharType="separate"/>
            </w:r>
            <w:r>
              <w:rPr>
                <w:noProof/>
                <w:webHidden/>
              </w:rPr>
              <w:t>9</w:t>
            </w:r>
            <w:r w:rsidR="002B26A1">
              <w:rPr>
                <w:noProof/>
                <w:webHidden/>
              </w:rPr>
              <w:fldChar w:fldCharType="end"/>
            </w:r>
          </w:hyperlink>
        </w:p>
        <w:p w14:paraId="345B834C" w14:textId="4363A357" w:rsidR="002B26A1" w:rsidRDefault="00344F7A" w:rsidP="00E95A52">
          <w:pPr>
            <w:pStyle w:val="TOC4"/>
            <w:spacing w:after="60"/>
            <w:rPr>
              <w:noProof/>
              <w:sz w:val="22"/>
              <w:szCs w:val="22"/>
            </w:rPr>
          </w:pPr>
          <w:hyperlink w:anchor="_Toc100260700" w:history="1">
            <w:r w:rsidR="002B26A1" w:rsidRPr="008C60BC">
              <w:rPr>
                <w:rStyle w:val="Hyperlink"/>
                <w:noProof/>
              </w:rPr>
              <w:t>i.</w:t>
            </w:r>
            <w:r w:rsidR="002B26A1">
              <w:rPr>
                <w:noProof/>
                <w:sz w:val="22"/>
                <w:szCs w:val="22"/>
              </w:rPr>
              <w:tab/>
            </w:r>
            <w:r w:rsidR="002B26A1" w:rsidRPr="008C60BC">
              <w:rPr>
                <w:rStyle w:val="Hyperlink"/>
                <w:noProof/>
              </w:rPr>
              <w:t>Requested data</w:t>
            </w:r>
            <w:r w:rsidR="002B26A1">
              <w:rPr>
                <w:noProof/>
                <w:webHidden/>
              </w:rPr>
              <w:tab/>
            </w:r>
            <w:r w:rsidR="002B26A1">
              <w:rPr>
                <w:noProof/>
                <w:webHidden/>
              </w:rPr>
              <w:fldChar w:fldCharType="begin"/>
            </w:r>
            <w:r w:rsidR="002B26A1">
              <w:rPr>
                <w:noProof/>
                <w:webHidden/>
              </w:rPr>
              <w:instrText xml:space="preserve"> PAGEREF _Toc100260700 \h </w:instrText>
            </w:r>
            <w:r w:rsidR="002B26A1">
              <w:rPr>
                <w:noProof/>
                <w:webHidden/>
              </w:rPr>
            </w:r>
            <w:r w:rsidR="002B26A1">
              <w:rPr>
                <w:noProof/>
                <w:webHidden/>
              </w:rPr>
              <w:fldChar w:fldCharType="separate"/>
            </w:r>
            <w:r>
              <w:rPr>
                <w:noProof/>
                <w:webHidden/>
              </w:rPr>
              <w:t>9</w:t>
            </w:r>
            <w:r w:rsidR="002B26A1">
              <w:rPr>
                <w:noProof/>
                <w:webHidden/>
              </w:rPr>
              <w:fldChar w:fldCharType="end"/>
            </w:r>
          </w:hyperlink>
        </w:p>
        <w:p w14:paraId="35C8CCBB" w14:textId="5F64E91F" w:rsidR="002B26A1" w:rsidRDefault="00344F7A" w:rsidP="00E95A52">
          <w:pPr>
            <w:pStyle w:val="TOC4"/>
            <w:spacing w:after="60"/>
            <w:rPr>
              <w:noProof/>
              <w:sz w:val="22"/>
              <w:szCs w:val="22"/>
            </w:rPr>
          </w:pPr>
          <w:hyperlink w:anchor="_Toc100260701" w:history="1">
            <w:r w:rsidR="002B26A1" w:rsidRPr="008C60BC">
              <w:rPr>
                <w:rStyle w:val="Hyperlink"/>
                <w:noProof/>
              </w:rPr>
              <w:t>ii.</w:t>
            </w:r>
            <w:r w:rsidR="002B26A1">
              <w:rPr>
                <w:noProof/>
                <w:sz w:val="22"/>
                <w:szCs w:val="22"/>
              </w:rPr>
              <w:tab/>
            </w:r>
            <w:r w:rsidR="002B26A1" w:rsidRPr="008C60BC">
              <w:rPr>
                <w:rStyle w:val="Hyperlink"/>
                <w:noProof/>
              </w:rPr>
              <w:t>Data used to develop the capitation rates</w:t>
            </w:r>
            <w:r w:rsidR="002B26A1">
              <w:rPr>
                <w:noProof/>
                <w:webHidden/>
              </w:rPr>
              <w:tab/>
            </w:r>
            <w:r w:rsidR="002B26A1">
              <w:rPr>
                <w:noProof/>
                <w:webHidden/>
              </w:rPr>
              <w:fldChar w:fldCharType="begin"/>
            </w:r>
            <w:r w:rsidR="002B26A1">
              <w:rPr>
                <w:noProof/>
                <w:webHidden/>
              </w:rPr>
              <w:instrText xml:space="preserve"> PAGEREF _Toc100260701 \h </w:instrText>
            </w:r>
            <w:r w:rsidR="002B26A1">
              <w:rPr>
                <w:noProof/>
                <w:webHidden/>
              </w:rPr>
            </w:r>
            <w:r w:rsidR="002B26A1">
              <w:rPr>
                <w:noProof/>
                <w:webHidden/>
              </w:rPr>
              <w:fldChar w:fldCharType="separate"/>
            </w:r>
            <w:r>
              <w:rPr>
                <w:noProof/>
                <w:webHidden/>
              </w:rPr>
              <w:t>9</w:t>
            </w:r>
            <w:r w:rsidR="002B26A1">
              <w:rPr>
                <w:noProof/>
                <w:webHidden/>
              </w:rPr>
              <w:fldChar w:fldCharType="end"/>
            </w:r>
          </w:hyperlink>
        </w:p>
        <w:p w14:paraId="7362FEC4" w14:textId="484BF6AF" w:rsidR="002B26A1" w:rsidRDefault="00344F7A" w:rsidP="00E95A52">
          <w:pPr>
            <w:pStyle w:val="TOC4"/>
            <w:spacing w:after="60"/>
            <w:rPr>
              <w:noProof/>
              <w:sz w:val="22"/>
              <w:szCs w:val="22"/>
            </w:rPr>
          </w:pPr>
          <w:hyperlink w:anchor="_Toc100260702" w:history="1">
            <w:r w:rsidR="002B26A1" w:rsidRPr="008C60BC">
              <w:rPr>
                <w:rStyle w:val="Hyperlink"/>
                <w:noProof/>
              </w:rPr>
              <w:t>iii.</w:t>
            </w:r>
            <w:r w:rsidR="002B26A1">
              <w:rPr>
                <w:noProof/>
                <w:sz w:val="22"/>
                <w:szCs w:val="22"/>
              </w:rPr>
              <w:tab/>
            </w:r>
            <w:r w:rsidR="002B26A1" w:rsidRPr="008C60BC">
              <w:rPr>
                <w:rStyle w:val="Hyperlink"/>
                <w:noProof/>
              </w:rPr>
              <w:t>Data adjustments</w:t>
            </w:r>
            <w:r w:rsidR="002B26A1">
              <w:rPr>
                <w:noProof/>
                <w:webHidden/>
              </w:rPr>
              <w:tab/>
            </w:r>
            <w:r w:rsidR="002B26A1">
              <w:rPr>
                <w:noProof/>
                <w:webHidden/>
              </w:rPr>
              <w:fldChar w:fldCharType="begin"/>
            </w:r>
            <w:r w:rsidR="002B26A1">
              <w:rPr>
                <w:noProof/>
                <w:webHidden/>
              </w:rPr>
              <w:instrText xml:space="preserve"> PAGEREF _Toc100260702 \h </w:instrText>
            </w:r>
            <w:r w:rsidR="002B26A1">
              <w:rPr>
                <w:noProof/>
                <w:webHidden/>
              </w:rPr>
            </w:r>
            <w:r w:rsidR="002B26A1">
              <w:rPr>
                <w:noProof/>
                <w:webHidden/>
              </w:rPr>
              <w:fldChar w:fldCharType="separate"/>
            </w:r>
            <w:r>
              <w:rPr>
                <w:noProof/>
                <w:webHidden/>
              </w:rPr>
              <w:t>11</w:t>
            </w:r>
            <w:r w:rsidR="002B26A1">
              <w:rPr>
                <w:noProof/>
                <w:webHidden/>
              </w:rPr>
              <w:fldChar w:fldCharType="end"/>
            </w:r>
          </w:hyperlink>
        </w:p>
        <w:p w14:paraId="37D4A76E" w14:textId="2779C026" w:rsidR="002B26A1" w:rsidRDefault="00344F7A" w:rsidP="00E95A52">
          <w:pPr>
            <w:pStyle w:val="TOC2"/>
            <w:spacing w:before="0" w:after="60"/>
            <w:rPr>
              <w:caps w:val="0"/>
              <w:noProof/>
              <w:color w:val="auto"/>
              <w:sz w:val="22"/>
              <w:szCs w:val="22"/>
            </w:rPr>
          </w:pPr>
          <w:hyperlink w:anchor="_Toc100260703" w:history="1">
            <w:r w:rsidR="002B26A1" w:rsidRPr="008C60BC">
              <w:rPr>
                <w:rStyle w:val="Hyperlink"/>
                <w:noProof/>
              </w:rPr>
              <w:t>3.</w:t>
            </w:r>
            <w:r w:rsidR="002B26A1">
              <w:rPr>
                <w:caps w:val="0"/>
                <w:noProof/>
                <w:color w:val="auto"/>
                <w:sz w:val="22"/>
                <w:szCs w:val="22"/>
              </w:rPr>
              <w:tab/>
            </w:r>
            <w:r w:rsidR="002B26A1" w:rsidRPr="008C60BC">
              <w:rPr>
                <w:rStyle w:val="Hyperlink"/>
                <w:noProof/>
              </w:rPr>
              <w:t>Projected benefit cost and trends</w:t>
            </w:r>
            <w:r w:rsidR="002B26A1">
              <w:rPr>
                <w:noProof/>
                <w:webHidden/>
              </w:rPr>
              <w:tab/>
            </w:r>
            <w:r w:rsidR="002B26A1">
              <w:rPr>
                <w:noProof/>
                <w:webHidden/>
              </w:rPr>
              <w:fldChar w:fldCharType="begin"/>
            </w:r>
            <w:r w:rsidR="002B26A1">
              <w:rPr>
                <w:noProof/>
                <w:webHidden/>
              </w:rPr>
              <w:instrText xml:space="preserve"> PAGEREF _Toc100260703 \h </w:instrText>
            </w:r>
            <w:r w:rsidR="002B26A1">
              <w:rPr>
                <w:noProof/>
                <w:webHidden/>
              </w:rPr>
            </w:r>
            <w:r w:rsidR="002B26A1">
              <w:rPr>
                <w:noProof/>
                <w:webHidden/>
              </w:rPr>
              <w:fldChar w:fldCharType="separate"/>
            </w:r>
            <w:r>
              <w:rPr>
                <w:noProof/>
                <w:webHidden/>
              </w:rPr>
              <w:t>15</w:t>
            </w:r>
            <w:r w:rsidR="002B26A1">
              <w:rPr>
                <w:noProof/>
                <w:webHidden/>
              </w:rPr>
              <w:fldChar w:fldCharType="end"/>
            </w:r>
          </w:hyperlink>
        </w:p>
        <w:p w14:paraId="7427F51C" w14:textId="4DD9C44B" w:rsidR="002B26A1" w:rsidRDefault="00344F7A" w:rsidP="00E95A52">
          <w:pPr>
            <w:pStyle w:val="TOC3"/>
            <w:spacing w:before="0" w:after="60"/>
            <w:rPr>
              <w:noProof/>
              <w:color w:val="auto"/>
              <w:sz w:val="22"/>
              <w:szCs w:val="22"/>
            </w:rPr>
          </w:pPr>
          <w:hyperlink w:anchor="_Toc100260704" w:history="1">
            <w:r w:rsidR="002B26A1" w:rsidRPr="008C60BC">
              <w:rPr>
                <w:rStyle w:val="Hyperlink"/>
                <w:noProof/>
              </w:rPr>
              <w:t>A.</w:t>
            </w:r>
            <w:r w:rsidR="002B26A1">
              <w:rPr>
                <w:noProof/>
                <w:color w:val="auto"/>
                <w:sz w:val="22"/>
                <w:szCs w:val="22"/>
              </w:rPr>
              <w:tab/>
            </w:r>
            <w:r w:rsidR="002B26A1" w:rsidRPr="008C60BC">
              <w:rPr>
                <w:rStyle w:val="Hyperlink"/>
                <w:noProof/>
              </w:rPr>
              <w:t>Rate Development Standards</w:t>
            </w:r>
            <w:r w:rsidR="002B26A1">
              <w:rPr>
                <w:noProof/>
                <w:webHidden/>
              </w:rPr>
              <w:tab/>
            </w:r>
            <w:r w:rsidR="002B26A1">
              <w:rPr>
                <w:noProof/>
                <w:webHidden/>
              </w:rPr>
              <w:fldChar w:fldCharType="begin"/>
            </w:r>
            <w:r w:rsidR="002B26A1">
              <w:rPr>
                <w:noProof/>
                <w:webHidden/>
              </w:rPr>
              <w:instrText xml:space="preserve"> PAGEREF _Toc100260704 \h </w:instrText>
            </w:r>
            <w:r w:rsidR="002B26A1">
              <w:rPr>
                <w:noProof/>
                <w:webHidden/>
              </w:rPr>
            </w:r>
            <w:r w:rsidR="002B26A1">
              <w:rPr>
                <w:noProof/>
                <w:webHidden/>
              </w:rPr>
              <w:fldChar w:fldCharType="separate"/>
            </w:r>
            <w:r>
              <w:rPr>
                <w:noProof/>
                <w:webHidden/>
              </w:rPr>
              <w:t>15</w:t>
            </w:r>
            <w:r w:rsidR="002B26A1">
              <w:rPr>
                <w:noProof/>
                <w:webHidden/>
              </w:rPr>
              <w:fldChar w:fldCharType="end"/>
            </w:r>
          </w:hyperlink>
        </w:p>
        <w:p w14:paraId="3BF31E52" w14:textId="2753E364" w:rsidR="002B26A1" w:rsidRDefault="00344F7A" w:rsidP="00E95A52">
          <w:pPr>
            <w:pStyle w:val="TOC4"/>
            <w:spacing w:after="60"/>
            <w:rPr>
              <w:noProof/>
              <w:sz w:val="22"/>
              <w:szCs w:val="22"/>
            </w:rPr>
          </w:pPr>
          <w:hyperlink w:anchor="_Toc100260705" w:history="1">
            <w:r w:rsidR="002B26A1" w:rsidRPr="008C60BC">
              <w:rPr>
                <w:rStyle w:val="Hyperlink"/>
                <w:noProof/>
              </w:rPr>
              <w:t>i.</w:t>
            </w:r>
            <w:r w:rsidR="002B26A1">
              <w:rPr>
                <w:noProof/>
                <w:sz w:val="22"/>
                <w:szCs w:val="22"/>
              </w:rPr>
              <w:tab/>
            </w:r>
            <w:r w:rsidR="002B26A1" w:rsidRPr="008C60BC">
              <w:rPr>
                <w:rStyle w:val="Hyperlink"/>
                <w:noProof/>
              </w:rPr>
              <w:t>Final Capitation Rate Compliance</w:t>
            </w:r>
            <w:r w:rsidR="002B26A1">
              <w:rPr>
                <w:noProof/>
                <w:webHidden/>
              </w:rPr>
              <w:tab/>
            </w:r>
            <w:r w:rsidR="002B26A1">
              <w:rPr>
                <w:noProof/>
                <w:webHidden/>
              </w:rPr>
              <w:fldChar w:fldCharType="begin"/>
            </w:r>
            <w:r w:rsidR="002B26A1">
              <w:rPr>
                <w:noProof/>
                <w:webHidden/>
              </w:rPr>
              <w:instrText xml:space="preserve"> PAGEREF _Toc100260705 \h </w:instrText>
            </w:r>
            <w:r w:rsidR="002B26A1">
              <w:rPr>
                <w:noProof/>
                <w:webHidden/>
              </w:rPr>
            </w:r>
            <w:r w:rsidR="002B26A1">
              <w:rPr>
                <w:noProof/>
                <w:webHidden/>
              </w:rPr>
              <w:fldChar w:fldCharType="separate"/>
            </w:r>
            <w:r>
              <w:rPr>
                <w:noProof/>
                <w:webHidden/>
              </w:rPr>
              <w:t>15</w:t>
            </w:r>
            <w:r w:rsidR="002B26A1">
              <w:rPr>
                <w:noProof/>
                <w:webHidden/>
              </w:rPr>
              <w:fldChar w:fldCharType="end"/>
            </w:r>
          </w:hyperlink>
        </w:p>
        <w:p w14:paraId="78DF0009" w14:textId="3FF5987C" w:rsidR="002B26A1" w:rsidRDefault="00344F7A" w:rsidP="00E95A52">
          <w:pPr>
            <w:pStyle w:val="TOC4"/>
            <w:spacing w:after="60"/>
            <w:rPr>
              <w:noProof/>
              <w:sz w:val="22"/>
              <w:szCs w:val="22"/>
            </w:rPr>
          </w:pPr>
          <w:hyperlink w:anchor="_Toc100260706" w:history="1">
            <w:r w:rsidR="002B26A1" w:rsidRPr="008C60BC">
              <w:rPr>
                <w:rStyle w:val="Hyperlink"/>
                <w:noProof/>
              </w:rPr>
              <w:t>ii.</w:t>
            </w:r>
            <w:r w:rsidR="002B26A1">
              <w:rPr>
                <w:noProof/>
                <w:sz w:val="22"/>
                <w:szCs w:val="22"/>
              </w:rPr>
              <w:tab/>
            </w:r>
            <w:r w:rsidR="002B26A1" w:rsidRPr="008C60BC">
              <w:rPr>
                <w:rStyle w:val="Hyperlink"/>
                <w:noProof/>
              </w:rPr>
              <w:t>Benefit Cost Trend Assumptions</w:t>
            </w:r>
            <w:r w:rsidR="002B26A1">
              <w:rPr>
                <w:noProof/>
                <w:webHidden/>
              </w:rPr>
              <w:tab/>
            </w:r>
            <w:r w:rsidR="002B26A1">
              <w:rPr>
                <w:noProof/>
                <w:webHidden/>
              </w:rPr>
              <w:fldChar w:fldCharType="begin"/>
            </w:r>
            <w:r w:rsidR="002B26A1">
              <w:rPr>
                <w:noProof/>
                <w:webHidden/>
              </w:rPr>
              <w:instrText xml:space="preserve"> PAGEREF _Toc100260706 \h </w:instrText>
            </w:r>
            <w:r w:rsidR="002B26A1">
              <w:rPr>
                <w:noProof/>
                <w:webHidden/>
              </w:rPr>
            </w:r>
            <w:r w:rsidR="002B26A1">
              <w:rPr>
                <w:noProof/>
                <w:webHidden/>
              </w:rPr>
              <w:fldChar w:fldCharType="separate"/>
            </w:r>
            <w:r>
              <w:rPr>
                <w:noProof/>
                <w:webHidden/>
              </w:rPr>
              <w:t>15</w:t>
            </w:r>
            <w:r w:rsidR="002B26A1">
              <w:rPr>
                <w:noProof/>
                <w:webHidden/>
              </w:rPr>
              <w:fldChar w:fldCharType="end"/>
            </w:r>
          </w:hyperlink>
        </w:p>
        <w:p w14:paraId="1E1147B7" w14:textId="1350093D" w:rsidR="002B26A1" w:rsidRDefault="00344F7A" w:rsidP="00E95A52">
          <w:pPr>
            <w:pStyle w:val="TOC4"/>
            <w:spacing w:after="60"/>
            <w:rPr>
              <w:noProof/>
              <w:sz w:val="22"/>
              <w:szCs w:val="22"/>
            </w:rPr>
          </w:pPr>
          <w:hyperlink w:anchor="_Toc100260707" w:history="1">
            <w:r w:rsidR="002B26A1" w:rsidRPr="008C60BC">
              <w:rPr>
                <w:rStyle w:val="Hyperlink"/>
                <w:noProof/>
              </w:rPr>
              <w:t>iii.</w:t>
            </w:r>
            <w:r w:rsidR="002B26A1">
              <w:rPr>
                <w:noProof/>
                <w:sz w:val="22"/>
                <w:szCs w:val="22"/>
              </w:rPr>
              <w:tab/>
            </w:r>
            <w:r w:rsidR="002B26A1" w:rsidRPr="008C60BC">
              <w:rPr>
                <w:rStyle w:val="Hyperlink"/>
                <w:noProof/>
              </w:rPr>
              <w:t>In Lieu Of Services</w:t>
            </w:r>
            <w:r w:rsidR="002B26A1">
              <w:rPr>
                <w:noProof/>
                <w:webHidden/>
              </w:rPr>
              <w:tab/>
            </w:r>
            <w:r w:rsidR="002B26A1">
              <w:rPr>
                <w:noProof/>
                <w:webHidden/>
              </w:rPr>
              <w:fldChar w:fldCharType="begin"/>
            </w:r>
            <w:r w:rsidR="002B26A1">
              <w:rPr>
                <w:noProof/>
                <w:webHidden/>
              </w:rPr>
              <w:instrText xml:space="preserve"> PAGEREF _Toc100260707 \h </w:instrText>
            </w:r>
            <w:r w:rsidR="002B26A1">
              <w:rPr>
                <w:noProof/>
                <w:webHidden/>
              </w:rPr>
            </w:r>
            <w:r w:rsidR="002B26A1">
              <w:rPr>
                <w:noProof/>
                <w:webHidden/>
              </w:rPr>
              <w:fldChar w:fldCharType="separate"/>
            </w:r>
            <w:r>
              <w:rPr>
                <w:noProof/>
                <w:webHidden/>
              </w:rPr>
              <w:t>15</w:t>
            </w:r>
            <w:r w:rsidR="002B26A1">
              <w:rPr>
                <w:noProof/>
                <w:webHidden/>
              </w:rPr>
              <w:fldChar w:fldCharType="end"/>
            </w:r>
          </w:hyperlink>
        </w:p>
        <w:p w14:paraId="17F9076F" w14:textId="2B2F0036" w:rsidR="002B26A1" w:rsidRDefault="00344F7A" w:rsidP="00E95A52">
          <w:pPr>
            <w:pStyle w:val="TOC4"/>
            <w:spacing w:after="60"/>
            <w:rPr>
              <w:noProof/>
              <w:sz w:val="22"/>
              <w:szCs w:val="22"/>
            </w:rPr>
          </w:pPr>
          <w:hyperlink w:anchor="_Toc100260708" w:history="1">
            <w:r w:rsidR="002B26A1" w:rsidRPr="008C60BC">
              <w:rPr>
                <w:rStyle w:val="Hyperlink"/>
                <w:noProof/>
              </w:rPr>
              <w:t>iv.</w:t>
            </w:r>
            <w:r w:rsidR="002B26A1">
              <w:rPr>
                <w:noProof/>
                <w:sz w:val="22"/>
                <w:szCs w:val="22"/>
              </w:rPr>
              <w:tab/>
            </w:r>
            <w:r w:rsidR="002B26A1" w:rsidRPr="008C60BC">
              <w:rPr>
                <w:rStyle w:val="Hyperlink"/>
                <w:noProof/>
              </w:rPr>
              <w:t>IMDs as an in-lieu-of service provider</w:t>
            </w:r>
            <w:r w:rsidR="002B26A1">
              <w:rPr>
                <w:noProof/>
                <w:webHidden/>
              </w:rPr>
              <w:tab/>
            </w:r>
            <w:r w:rsidR="002B26A1">
              <w:rPr>
                <w:noProof/>
                <w:webHidden/>
              </w:rPr>
              <w:fldChar w:fldCharType="begin"/>
            </w:r>
            <w:r w:rsidR="002B26A1">
              <w:rPr>
                <w:noProof/>
                <w:webHidden/>
              </w:rPr>
              <w:instrText xml:space="preserve"> PAGEREF _Toc100260708 \h </w:instrText>
            </w:r>
            <w:r w:rsidR="002B26A1">
              <w:rPr>
                <w:noProof/>
                <w:webHidden/>
              </w:rPr>
            </w:r>
            <w:r w:rsidR="002B26A1">
              <w:rPr>
                <w:noProof/>
                <w:webHidden/>
              </w:rPr>
              <w:fldChar w:fldCharType="separate"/>
            </w:r>
            <w:r>
              <w:rPr>
                <w:noProof/>
                <w:webHidden/>
              </w:rPr>
              <w:t>15</w:t>
            </w:r>
            <w:r w:rsidR="002B26A1">
              <w:rPr>
                <w:noProof/>
                <w:webHidden/>
              </w:rPr>
              <w:fldChar w:fldCharType="end"/>
            </w:r>
          </w:hyperlink>
        </w:p>
        <w:p w14:paraId="479ED988" w14:textId="25C09133" w:rsidR="002B26A1" w:rsidRDefault="00344F7A" w:rsidP="00E95A52">
          <w:pPr>
            <w:pStyle w:val="TOC3"/>
            <w:spacing w:before="0" w:after="60"/>
            <w:rPr>
              <w:noProof/>
              <w:color w:val="auto"/>
              <w:sz w:val="22"/>
              <w:szCs w:val="22"/>
            </w:rPr>
          </w:pPr>
          <w:hyperlink w:anchor="_Toc100260709" w:history="1">
            <w:r w:rsidR="002B26A1" w:rsidRPr="008C60BC">
              <w:rPr>
                <w:rStyle w:val="Hyperlink"/>
                <w:noProof/>
              </w:rPr>
              <w:t>B.</w:t>
            </w:r>
            <w:r w:rsidR="002B26A1">
              <w:rPr>
                <w:noProof/>
                <w:color w:val="auto"/>
                <w:sz w:val="22"/>
                <w:szCs w:val="22"/>
              </w:rPr>
              <w:tab/>
            </w:r>
            <w:r w:rsidR="002B26A1" w:rsidRPr="008C60BC">
              <w:rPr>
                <w:rStyle w:val="Hyperlink"/>
                <w:noProof/>
              </w:rPr>
              <w:t>Appropriate Documentation</w:t>
            </w:r>
            <w:r w:rsidR="002B26A1">
              <w:rPr>
                <w:noProof/>
                <w:webHidden/>
              </w:rPr>
              <w:tab/>
            </w:r>
            <w:r w:rsidR="002B26A1">
              <w:rPr>
                <w:noProof/>
                <w:webHidden/>
              </w:rPr>
              <w:fldChar w:fldCharType="begin"/>
            </w:r>
            <w:r w:rsidR="002B26A1">
              <w:rPr>
                <w:noProof/>
                <w:webHidden/>
              </w:rPr>
              <w:instrText xml:space="preserve"> PAGEREF _Toc100260709 \h </w:instrText>
            </w:r>
            <w:r w:rsidR="002B26A1">
              <w:rPr>
                <w:noProof/>
                <w:webHidden/>
              </w:rPr>
            </w:r>
            <w:r w:rsidR="002B26A1">
              <w:rPr>
                <w:noProof/>
                <w:webHidden/>
              </w:rPr>
              <w:fldChar w:fldCharType="separate"/>
            </w:r>
            <w:r>
              <w:rPr>
                <w:noProof/>
                <w:webHidden/>
              </w:rPr>
              <w:t>15</w:t>
            </w:r>
            <w:r w:rsidR="002B26A1">
              <w:rPr>
                <w:noProof/>
                <w:webHidden/>
              </w:rPr>
              <w:fldChar w:fldCharType="end"/>
            </w:r>
          </w:hyperlink>
        </w:p>
        <w:p w14:paraId="340C16B1" w14:textId="78E47950" w:rsidR="002B26A1" w:rsidRDefault="00344F7A" w:rsidP="00E95A52">
          <w:pPr>
            <w:pStyle w:val="TOC4"/>
            <w:spacing w:after="60"/>
            <w:rPr>
              <w:noProof/>
              <w:sz w:val="22"/>
              <w:szCs w:val="22"/>
            </w:rPr>
          </w:pPr>
          <w:hyperlink w:anchor="_Toc100260710" w:history="1">
            <w:r w:rsidR="002B26A1" w:rsidRPr="008C60BC">
              <w:rPr>
                <w:rStyle w:val="Hyperlink"/>
                <w:noProof/>
              </w:rPr>
              <w:t>i.</w:t>
            </w:r>
            <w:r w:rsidR="002B26A1">
              <w:rPr>
                <w:noProof/>
                <w:sz w:val="22"/>
                <w:szCs w:val="22"/>
              </w:rPr>
              <w:tab/>
            </w:r>
            <w:r w:rsidR="002B26A1" w:rsidRPr="008C60BC">
              <w:rPr>
                <w:rStyle w:val="Hyperlink"/>
                <w:noProof/>
              </w:rPr>
              <w:t>Projected Benefit Costs</w:t>
            </w:r>
            <w:r w:rsidR="002B26A1">
              <w:rPr>
                <w:noProof/>
                <w:webHidden/>
              </w:rPr>
              <w:tab/>
            </w:r>
            <w:r w:rsidR="002B26A1">
              <w:rPr>
                <w:noProof/>
                <w:webHidden/>
              </w:rPr>
              <w:fldChar w:fldCharType="begin"/>
            </w:r>
            <w:r w:rsidR="002B26A1">
              <w:rPr>
                <w:noProof/>
                <w:webHidden/>
              </w:rPr>
              <w:instrText xml:space="preserve"> PAGEREF _Toc100260710 \h </w:instrText>
            </w:r>
            <w:r w:rsidR="002B26A1">
              <w:rPr>
                <w:noProof/>
                <w:webHidden/>
              </w:rPr>
            </w:r>
            <w:r w:rsidR="002B26A1">
              <w:rPr>
                <w:noProof/>
                <w:webHidden/>
              </w:rPr>
              <w:fldChar w:fldCharType="separate"/>
            </w:r>
            <w:r>
              <w:rPr>
                <w:noProof/>
                <w:webHidden/>
              </w:rPr>
              <w:t>15</w:t>
            </w:r>
            <w:r w:rsidR="002B26A1">
              <w:rPr>
                <w:noProof/>
                <w:webHidden/>
              </w:rPr>
              <w:fldChar w:fldCharType="end"/>
            </w:r>
          </w:hyperlink>
        </w:p>
        <w:p w14:paraId="4ECF4770" w14:textId="04B3B798" w:rsidR="002B26A1" w:rsidRDefault="00344F7A" w:rsidP="00E95A52">
          <w:pPr>
            <w:pStyle w:val="TOC4"/>
            <w:spacing w:after="60"/>
            <w:rPr>
              <w:noProof/>
              <w:sz w:val="22"/>
              <w:szCs w:val="22"/>
            </w:rPr>
          </w:pPr>
          <w:hyperlink w:anchor="_Toc100260711" w:history="1">
            <w:r w:rsidR="002B26A1" w:rsidRPr="008C60BC">
              <w:rPr>
                <w:rStyle w:val="Hyperlink"/>
                <w:noProof/>
              </w:rPr>
              <w:t>ii.</w:t>
            </w:r>
            <w:r w:rsidR="002B26A1">
              <w:rPr>
                <w:noProof/>
                <w:sz w:val="22"/>
                <w:szCs w:val="22"/>
              </w:rPr>
              <w:tab/>
            </w:r>
            <w:r w:rsidR="002B26A1" w:rsidRPr="008C60BC">
              <w:rPr>
                <w:rStyle w:val="Hyperlink"/>
                <w:noProof/>
              </w:rPr>
              <w:t>Development of Projected Benefit Costs</w:t>
            </w:r>
            <w:r w:rsidR="002B26A1">
              <w:rPr>
                <w:noProof/>
                <w:webHidden/>
              </w:rPr>
              <w:tab/>
            </w:r>
            <w:r w:rsidR="002B26A1">
              <w:rPr>
                <w:noProof/>
                <w:webHidden/>
              </w:rPr>
              <w:fldChar w:fldCharType="begin"/>
            </w:r>
            <w:r w:rsidR="002B26A1">
              <w:rPr>
                <w:noProof/>
                <w:webHidden/>
              </w:rPr>
              <w:instrText xml:space="preserve"> PAGEREF _Toc100260711 \h </w:instrText>
            </w:r>
            <w:r w:rsidR="002B26A1">
              <w:rPr>
                <w:noProof/>
                <w:webHidden/>
              </w:rPr>
            </w:r>
            <w:r w:rsidR="002B26A1">
              <w:rPr>
                <w:noProof/>
                <w:webHidden/>
              </w:rPr>
              <w:fldChar w:fldCharType="separate"/>
            </w:r>
            <w:r>
              <w:rPr>
                <w:noProof/>
                <w:webHidden/>
              </w:rPr>
              <w:t>15</w:t>
            </w:r>
            <w:r w:rsidR="002B26A1">
              <w:rPr>
                <w:noProof/>
                <w:webHidden/>
              </w:rPr>
              <w:fldChar w:fldCharType="end"/>
            </w:r>
          </w:hyperlink>
        </w:p>
        <w:p w14:paraId="00F463F1" w14:textId="24147710" w:rsidR="002B26A1" w:rsidRDefault="00344F7A" w:rsidP="00E95A52">
          <w:pPr>
            <w:pStyle w:val="TOC4"/>
            <w:spacing w:after="60"/>
            <w:rPr>
              <w:noProof/>
              <w:sz w:val="22"/>
              <w:szCs w:val="22"/>
            </w:rPr>
          </w:pPr>
          <w:hyperlink w:anchor="_Toc100260712" w:history="1">
            <w:r w:rsidR="002B26A1" w:rsidRPr="008C60BC">
              <w:rPr>
                <w:rStyle w:val="Hyperlink"/>
                <w:noProof/>
              </w:rPr>
              <w:t>iii.</w:t>
            </w:r>
            <w:r w:rsidR="002B26A1">
              <w:rPr>
                <w:noProof/>
                <w:sz w:val="22"/>
                <w:szCs w:val="22"/>
              </w:rPr>
              <w:tab/>
            </w:r>
            <w:r w:rsidR="002B26A1" w:rsidRPr="008C60BC">
              <w:rPr>
                <w:rStyle w:val="Hyperlink"/>
                <w:noProof/>
              </w:rPr>
              <w:t>Projected Benefit Cost Trends</w:t>
            </w:r>
            <w:r w:rsidR="002B26A1">
              <w:rPr>
                <w:noProof/>
                <w:webHidden/>
              </w:rPr>
              <w:tab/>
            </w:r>
            <w:r w:rsidR="002B26A1">
              <w:rPr>
                <w:noProof/>
                <w:webHidden/>
              </w:rPr>
              <w:fldChar w:fldCharType="begin"/>
            </w:r>
            <w:r w:rsidR="002B26A1">
              <w:rPr>
                <w:noProof/>
                <w:webHidden/>
              </w:rPr>
              <w:instrText xml:space="preserve"> PAGEREF _Toc100260712 \h </w:instrText>
            </w:r>
            <w:r w:rsidR="002B26A1">
              <w:rPr>
                <w:noProof/>
                <w:webHidden/>
              </w:rPr>
            </w:r>
            <w:r w:rsidR="002B26A1">
              <w:rPr>
                <w:noProof/>
                <w:webHidden/>
              </w:rPr>
              <w:fldChar w:fldCharType="separate"/>
            </w:r>
            <w:r>
              <w:rPr>
                <w:noProof/>
                <w:webHidden/>
              </w:rPr>
              <w:t>22</w:t>
            </w:r>
            <w:r w:rsidR="002B26A1">
              <w:rPr>
                <w:noProof/>
                <w:webHidden/>
              </w:rPr>
              <w:fldChar w:fldCharType="end"/>
            </w:r>
          </w:hyperlink>
        </w:p>
        <w:p w14:paraId="3AAAB645" w14:textId="66E2E4CB" w:rsidR="002B26A1" w:rsidRDefault="00344F7A" w:rsidP="00E95A52">
          <w:pPr>
            <w:pStyle w:val="TOC4"/>
            <w:spacing w:after="60"/>
            <w:rPr>
              <w:noProof/>
              <w:sz w:val="22"/>
              <w:szCs w:val="22"/>
            </w:rPr>
          </w:pPr>
          <w:hyperlink w:anchor="_Toc100260713" w:history="1">
            <w:r w:rsidR="002B26A1" w:rsidRPr="008C60BC">
              <w:rPr>
                <w:rStyle w:val="Hyperlink"/>
                <w:noProof/>
              </w:rPr>
              <w:t>iv.</w:t>
            </w:r>
            <w:r w:rsidR="002B26A1">
              <w:rPr>
                <w:noProof/>
                <w:sz w:val="22"/>
                <w:szCs w:val="22"/>
              </w:rPr>
              <w:tab/>
            </w:r>
            <w:r w:rsidR="002B26A1" w:rsidRPr="008C60BC">
              <w:rPr>
                <w:rStyle w:val="Hyperlink"/>
                <w:noProof/>
              </w:rPr>
              <w:t>Mental Health Parity and Addiction Equity Act Service Adjustment</w:t>
            </w:r>
            <w:r w:rsidR="002B26A1">
              <w:rPr>
                <w:noProof/>
                <w:webHidden/>
              </w:rPr>
              <w:tab/>
            </w:r>
            <w:r w:rsidR="002B26A1">
              <w:rPr>
                <w:noProof/>
                <w:webHidden/>
              </w:rPr>
              <w:fldChar w:fldCharType="begin"/>
            </w:r>
            <w:r w:rsidR="002B26A1">
              <w:rPr>
                <w:noProof/>
                <w:webHidden/>
              </w:rPr>
              <w:instrText xml:space="preserve"> PAGEREF _Toc100260713 \h </w:instrText>
            </w:r>
            <w:r w:rsidR="002B26A1">
              <w:rPr>
                <w:noProof/>
                <w:webHidden/>
              </w:rPr>
            </w:r>
            <w:r w:rsidR="002B26A1">
              <w:rPr>
                <w:noProof/>
                <w:webHidden/>
              </w:rPr>
              <w:fldChar w:fldCharType="separate"/>
            </w:r>
            <w:r>
              <w:rPr>
                <w:noProof/>
                <w:webHidden/>
              </w:rPr>
              <w:t>24</w:t>
            </w:r>
            <w:r w:rsidR="002B26A1">
              <w:rPr>
                <w:noProof/>
                <w:webHidden/>
              </w:rPr>
              <w:fldChar w:fldCharType="end"/>
            </w:r>
          </w:hyperlink>
        </w:p>
        <w:p w14:paraId="421F44DE" w14:textId="4FB17D36" w:rsidR="002B26A1" w:rsidRDefault="00344F7A" w:rsidP="00E95A52">
          <w:pPr>
            <w:pStyle w:val="TOC4"/>
            <w:spacing w:after="60"/>
            <w:rPr>
              <w:noProof/>
              <w:sz w:val="22"/>
              <w:szCs w:val="22"/>
            </w:rPr>
          </w:pPr>
          <w:hyperlink w:anchor="_Toc100260714" w:history="1">
            <w:r w:rsidR="002B26A1" w:rsidRPr="008C60BC">
              <w:rPr>
                <w:rStyle w:val="Hyperlink"/>
                <w:noProof/>
              </w:rPr>
              <w:t>v.</w:t>
            </w:r>
            <w:r w:rsidR="002B26A1">
              <w:rPr>
                <w:noProof/>
                <w:sz w:val="22"/>
                <w:szCs w:val="22"/>
              </w:rPr>
              <w:tab/>
            </w:r>
            <w:r w:rsidR="002B26A1" w:rsidRPr="008C60BC">
              <w:rPr>
                <w:rStyle w:val="Hyperlink"/>
                <w:noProof/>
              </w:rPr>
              <w:t>In Lieu of Services</w:t>
            </w:r>
            <w:r w:rsidR="002B26A1">
              <w:rPr>
                <w:noProof/>
                <w:webHidden/>
              </w:rPr>
              <w:tab/>
            </w:r>
            <w:r w:rsidR="002B26A1">
              <w:rPr>
                <w:noProof/>
                <w:webHidden/>
              </w:rPr>
              <w:fldChar w:fldCharType="begin"/>
            </w:r>
            <w:r w:rsidR="002B26A1">
              <w:rPr>
                <w:noProof/>
                <w:webHidden/>
              </w:rPr>
              <w:instrText xml:space="preserve"> PAGEREF _Toc100260714 \h </w:instrText>
            </w:r>
            <w:r w:rsidR="002B26A1">
              <w:rPr>
                <w:noProof/>
                <w:webHidden/>
              </w:rPr>
            </w:r>
            <w:r w:rsidR="002B26A1">
              <w:rPr>
                <w:noProof/>
                <w:webHidden/>
              </w:rPr>
              <w:fldChar w:fldCharType="separate"/>
            </w:r>
            <w:r>
              <w:rPr>
                <w:noProof/>
                <w:webHidden/>
              </w:rPr>
              <w:t>25</w:t>
            </w:r>
            <w:r w:rsidR="002B26A1">
              <w:rPr>
                <w:noProof/>
                <w:webHidden/>
              </w:rPr>
              <w:fldChar w:fldCharType="end"/>
            </w:r>
          </w:hyperlink>
        </w:p>
        <w:p w14:paraId="44A1C8BF" w14:textId="6CDC03E5" w:rsidR="002B26A1" w:rsidRDefault="00344F7A" w:rsidP="00E95A52">
          <w:pPr>
            <w:pStyle w:val="TOC4"/>
            <w:spacing w:after="60"/>
            <w:rPr>
              <w:noProof/>
              <w:sz w:val="22"/>
              <w:szCs w:val="22"/>
            </w:rPr>
          </w:pPr>
          <w:hyperlink w:anchor="_Toc100260716" w:history="1">
            <w:r w:rsidR="002B26A1" w:rsidRPr="008C60BC">
              <w:rPr>
                <w:rStyle w:val="Hyperlink"/>
                <w:noProof/>
              </w:rPr>
              <w:t>vi.</w:t>
            </w:r>
            <w:r w:rsidR="002B26A1">
              <w:rPr>
                <w:noProof/>
                <w:sz w:val="22"/>
                <w:szCs w:val="22"/>
              </w:rPr>
              <w:tab/>
            </w:r>
            <w:r w:rsidR="002B26A1" w:rsidRPr="008C60BC">
              <w:rPr>
                <w:rStyle w:val="Hyperlink"/>
                <w:noProof/>
              </w:rPr>
              <w:t>Retrospective Eligibility Periods</w:t>
            </w:r>
            <w:r w:rsidR="002B26A1">
              <w:rPr>
                <w:noProof/>
                <w:webHidden/>
              </w:rPr>
              <w:tab/>
            </w:r>
            <w:r w:rsidR="002B26A1">
              <w:rPr>
                <w:noProof/>
                <w:webHidden/>
              </w:rPr>
              <w:fldChar w:fldCharType="begin"/>
            </w:r>
            <w:r w:rsidR="002B26A1">
              <w:rPr>
                <w:noProof/>
                <w:webHidden/>
              </w:rPr>
              <w:instrText xml:space="preserve"> PAGEREF _Toc100260716 \h </w:instrText>
            </w:r>
            <w:r w:rsidR="002B26A1">
              <w:rPr>
                <w:noProof/>
                <w:webHidden/>
              </w:rPr>
            </w:r>
            <w:r w:rsidR="002B26A1">
              <w:rPr>
                <w:noProof/>
                <w:webHidden/>
              </w:rPr>
              <w:fldChar w:fldCharType="separate"/>
            </w:r>
            <w:r>
              <w:rPr>
                <w:noProof/>
                <w:webHidden/>
              </w:rPr>
              <w:t>25</w:t>
            </w:r>
            <w:r w:rsidR="002B26A1">
              <w:rPr>
                <w:noProof/>
                <w:webHidden/>
              </w:rPr>
              <w:fldChar w:fldCharType="end"/>
            </w:r>
          </w:hyperlink>
        </w:p>
        <w:p w14:paraId="0D9F27E6" w14:textId="25EE74F0" w:rsidR="002B26A1" w:rsidRDefault="00344F7A" w:rsidP="00E95A52">
          <w:pPr>
            <w:pStyle w:val="TOC4"/>
            <w:spacing w:after="60"/>
            <w:rPr>
              <w:noProof/>
              <w:sz w:val="22"/>
              <w:szCs w:val="22"/>
            </w:rPr>
          </w:pPr>
          <w:hyperlink w:anchor="_Toc100260717" w:history="1">
            <w:r w:rsidR="002B26A1" w:rsidRPr="008C60BC">
              <w:rPr>
                <w:rStyle w:val="Hyperlink"/>
                <w:noProof/>
              </w:rPr>
              <w:t>vii.</w:t>
            </w:r>
            <w:r w:rsidR="002B26A1">
              <w:rPr>
                <w:noProof/>
                <w:sz w:val="22"/>
                <w:szCs w:val="22"/>
              </w:rPr>
              <w:tab/>
            </w:r>
            <w:r w:rsidR="002B26A1" w:rsidRPr="008C60BC">
              <w:rPr>
                <w:rStyle w:val="Hyperlink"/>
                <w:noProof/>
              </w:rPr>
              <w:t>Impact of Material Changes</w:t>
            </w:r>
            <w:r w:rsidR="002B26A1">
              <w:rPr>
                <w:noProof/>
                <w:webHidden/>
              </w:rPr>
              <w:tab/>
            </w:r>
            <w:r w:rsidR="002B26A1">
              <w:rPr>
                <w:noProof/>
                <w:webHidden/>
              </w:rPr>
              <w:fldChar w:fldCharType="begin"/>
            </w:r>
            <w:r w:rsidR="002B26A1">
              <w:rPr>
                <w:noProof/>
                <w:webHidden/>
              </w:rPr>
              <w:instrText xml:space="preserve"> PAGEREF _Toc100260717 \h </w:instrText>
            </w:r>
            <w:r w:rsidR="002B26A1">
              <w:rPr>
                <w:noProof/>
                <w:webHidden/>
              </w:rPr>
            </w:r>
            <w:r w:rsidR="002B26A1">
              <w:rPr>
                <w:noProof/>
                <w:webHidden/>
              </w:rPr>
              <w:fldChar w:fldCharType="separate"/>
            </w:r>
            <w:r>
              <w:rPr>
                <w:noProof/>
                <w:webHidden/>
              </w:rPr>
              <w:t>25</w:t>
            </w:r>
            <w:r w:rsidR="002B26A1">
              <w:rPr>
                <w:noProof/>
                <w:webHidden/>
              </w:rPr>
              <w:fldChar w:fldCharType="end"/>
            </w:r>
          </w:hyperlink>
        </w:p>
        <w:p w14:paraId="2DCA543C" w14:textId="1A53C33A" w:rsidR="002B26A1" w:rsidRDefault="00344F7A" w:rsidP="00E95A52">
          <w:pPr>
            <w:pStyle w:val="TOC4"/>
            <w:spacing w:after="60"/>
            <w:rPr>
              <w:noProof/>
              <w:sz w:val="22"/>
              <w:szCs w:val="22"/>
            </w:rPr>
          </w:pPr>
          <w:hyperlink w:anchor="_Toc100260718" w:history="1">
            <w:r w:rsidR="002B26A1" w:rsidRPr="008C60BC">
              <w:rPr>
                <w:rStyle w:val="Hyperlink"/>
                <w:noProof/>
              </w:rPr>
              <w:t>viii.</w:t>
            </w:r>
            <w:r w:rsidR="002B26A1">
              <w:rPr>
                <w:noProof/>
                <w:sz w:val="22"/>
                <w:szCs w:val="22"/>
              </w:rPr>
              <w:tab/>
            </w:r>
            <w:r w:rsidR="002B26A1" w:rsidRPr="008C60BC">
              <w:rPr>
                <w:rStyle w:val="Hyperlink"/>
                <w:noProof/>
              </w:rPr>
              <w:t>Documentation of Material Changes</w:t>
            </w:r>
            <w:r w:rsidR="002B26A1">
              <w:rPr>
                <w:noProof/>
                <w:webHidden/>
              </w:rPr>
              <w:tab/>
            </w:r>
            <w:r w:rsidR="002B26A1">
              <w:rPr>
                <w:noProof/>
                <w:webHidden/>
              </w:rPr>
              <w:fldChar w:fldCharType="begin"/>
            </w:r>
            <w:r w:rsidR="002B26A1">
              <w:rPr>
                <w:noProof/>
                <w:webHidden/>
              </w:rPr>
              <w:instrText xml:space="preserve"> PAGEREF _Toc100260718 \h </w:instrText>
            </w:r>
            <w:r w:rsidR="002B26A1">
              <w:rPr>
                <w:noProof/>
                <w:webHidden/>
              </w:rPr>
            </w:r>
            <w:r w:rsidR="002B26A1">
              <w:rPr>
                <w:noProof/>
                <w:webHidden/>
              </w:rPr>
              <w:fldChar w:fldCharType="separate"/>
            </w:r>
            <w:r>
              <w:rPr>
                <w:noProof/>
                <w:webHidden/>
              </w:rPr>
              <w:t>26</w:t>
            </w:r>
            <w:r w:rsidR="002B26A1">
              <w:rPr>
                <w:noProof/>
                <w:webHidden/>
              </w:rPr>
              <w:fldChar w:fldCharType="end"/>
            </w:r>
          </w:hyperlink>
        </w:p>
        <w:p w14:paraId="460E45AF" w14:textId="204EC674" w:rsidR="002B26A1" w:rsidRDefault="00344F7A" w:rsidP="00E95A52">
          <w:pPr>
            <w:pStyle w:val="TOC2"/>
            <w:spacing w:before="0" w:after="60"/>
            <w:rPr>
              <w:caps w:val="0"/>
              <w:noProof/>
              <w:color w:val="auto"/>
              <w:sz w:val="22"/>
              <w:szCs w:val="22"/>
            </w:rPr>
          </w:pPr>
          <w:hyperlink w:anchor="_Toc100260719" w:history="1">
            <w:r w:rsidR="002B26A1" w:rsidRPr="008C60BC">
              <w:rPr>
                <w:rStyle w:val="Hyperlink"/>
                <w:noProof/>
              </w:rPr>
              <w:t>4.</w:t>
            </w:r>
            <w:r w:rsidR="002B26A1">
              <w:rPr>
                <w:caps w:val="0"/>
                <w:noProof/>
                <w:color w:val="auto"/>
                <w:sz w:val="22"/>
                <w:szCs w:val="22"/>
              </w:rPr>
              <w:tab/>
            </w:r>
            <w:r w:rsidR="002B26A1" w:rsidRPr="008C60BC">
              <w:rPr>
                <w:rStyle w:val="Hyperlink"/>
                <w:noProof/>
              </w:rPr>
              <w:t>Special Contract Provisions Related to Payment</w:t>
            </w:r>
            <w:r w:rsidR="002B26A1">
              <w:rPr>
                <w:noProof/>
                <w:webHidden/>
              </w:rPr>
              <w:tab/>
            </w:r>
            <w:r w:rsidR="002B26A1">
              <w:rPr>
                <w:noProof/>
                <w:webHidden/>
              </w:rPr>
              <w:fldChar w:fldCharType="begin"/>
            </w:r>
            <w:r w:rsidR="002B26A1">
              <w:rPr>
                <w:noProof/>
                <w:webHidden/>
              </w:rPr>
              <w:instrText xml:space="preserve"> PAGEREF _Toc100260719 \h </w:instrText>
            </w:r>
            <w:r w:rsidR="002B26A1">
              <w:rPr>
                <w:noProof/>
                <w:webHidden/>
              </w:rPr>
            </w:r>
            <w:r w:rsidR="002B26A1">
              <w:rPr>
                <w:noProof/>
                <w:webHidden/>
              </w:rPr>
              <w:fldChar w:fldCharType="separate"/>
            </w:r>
            <w:r>
              <w:rPr>
                <w:noProof/>
                <w:webHidden/>
              </w:rPr>
              <w:t>27</w:t>
            </w:r>
            <w:r w:rsidR="002B26A1">
              <w:rPr>
                <w:noProof/>
                <w:webHidden/>
              </w:rPr>
              <w:fldChar w:fldCharType="end"/>
            </w:r>
          </w:hyperlink>
        </w:p>
        <w:p w14:paraId="2C9413C8" w14:textId="2EF7D663" w:rsidR="002B26A1" w:rsidRDefault="00344F7A" w:rsidP="00E95A52">
          <w:pPr>
            <w:pStyle w:val="TOC3"/>
            <w:spacing w:before="0" w:after="60"/>
            <w:rPr>
              <w:noProof/>
              <w:color w:val="auto"/>
              <w:sz w:val="22"/>
              <w:szCs w:val="22"/>
            </w:rPr>
          </w:pPr>
          <w:hyperlink w:anchor="_Toc100260720" w:history="1">
            <w:r w:rsidR="002B26A1" w:rsidRPr="008C60BC">
              <w:rPr>
                <w:rStyle w:val="Hyperlink"/>
                <w:noProof/>
              </w:rPr>
              <w:t>A.</w:t>
            </w:r>
            <w:r w:rsidR="002B26A1">
              <w:rPr>
                <w:noProof/>
                <w:color w:val="auto"/>
                <w:sz w:val="22"/>
                <w:szCs w:val="22"/>
              </w:rPr>
              <w:tab/>
            </w:r>
            <w:r w:rsidR="002B26A1" w:rsidRPr="008C60BC">
              <w:rPr>
                <w:rStyle w:val="Hyperlink"/>
                <w:noProof/>
              </w:rPr>
              <w:t>Incentive Arrangements</w:t>
            </w:r>
            <w:r w:rsidR="002B26A1">
              <w:rPr>
                <w:noProof/>
                <w:webHidden/>
              </w:rPr>
              <w:tab/>
            </w:r>
            <w:r w:rsidR="002B26A1">
              <w:rPr>
                <w:noProof/>
                <w:webHidden/>
              </w:rPr>
              <w:fldChar w:fldCharType="begin"/>
            </w:r>
            <w:r w:rsidR="002B26A1">
              <w:rPr>
                <w:noProof/>
                <w:webHidden/>
              </w:rPr>
              <w:instrText xml:space="preserve"> PAGEREF _Toc100260720 \h </w:instrText>
            </w:r>
            <w:r w:rsidR="002B26A1">
              <w:rPr>
                <w:noProof/>
                <w:webHidden/>
              </w:rPr>
            </w:r>
            <w:r w:rsidR="002B26A1">
              <w:rPr>
                <w:noProof/>
                <w:webHidden/>
              </w:rPr>
              <w:fldChar w:fldCharType="separate"/>
            </w:r>
            <w:r>
              <w:rPr>
                <w:noProof/>
                <w:webHidden/>
              </w:rPr>
              <w:t>27</w:t>
            </w:r>
            <w:r w:rsidR="002B26A1">
              <w:rPr>
                <w:noProof/>
                <w:webHidden/>
              </w:rPr>
              <w:fldChar w:fldCharType="end"/>
            </w:r>
          </w:hyperlink>
        </w:p>
        <w:p w14:paraId="47C7A4E4" w14:textId="11E37F5E" w:rsidR="002B26A1" w:rsidRDefault="00344F7A" w:rsidP="00E95A52">
          <w:pPr>
            <w:pStyle w:val="TOC4"/>
            <w:spacing w:after="60"/>
            <w:rPr>
              <w:noProof/>
              <w:sz w:val="22"/>
              <w:szCs w:val="22"/>
            </w:rPr>
          </w:pPr>
          <w:hyperlink w:anchor="_Toc100260721" w:history="1">
            <w:r w:rsidR="002B26A1" w:rsidRPr="008C60BC">
              <w:rPr>
                <w:rStyle w:val="Hyperlink"/>
                <w:noProof/>
              </w:rPr>
              <w:t>i.</w:t>
            </w:r>
            <w:r w:rsidR="002B26A1">
              <w:rPr>
                <w:noProof/>
                <w:sz w:val="22"/>
                <w:szCs w:val="22"/>
              </w:rPr>
              <w:tab/>
            </w:r>
            <w:r w:rsidR="002B26A1" w:rsidRPr="008C60BC">
              <w:rPr>
                <w:rStyle w:val="Hyperlink"/>
                <w:noProof/>
              </w:rPr>
              <w:t>Rate Development Standards</w:t>
            </w:r>
            <w:r w:rsidR="002B26A1">
              <w:rPr>
                <w:noProof/>
                <w:webHidden/>
              </w:rPr>
              <w:tab/>
            </w:r>
            <w:r w:rsidR="002B26A1">
              <w:rPr>
                <w:noProof/>
                <w:webHidden/>
              </w:rPr>
              <w:fldChar w:fldCharType="begin"/>
            </w:r>
            <w:r w:rsidR="002B26A1">
              <w:rPr>
                <w:noProof/>
                <w:webHidden/>
              </w:rPr>
              <w:instrText xml:space="preserve"> PAGEREF _Toc100260721 \h </w:instrText>
            </w:r>
            <w:r w:rsidR="002B26A1">
              <w:rPr>
                <w:noProof/>
                <w:webHidden/>
              </w:rPr>
            </w:r>
            <w:r w:rsidR="002B26A1">
              <w:rPr>
                <w:noProof/>
                <w:webHidden/>
              </w:rPr>
              <w:fldChar w:fldCharType="separate"/>
            </w:r>
            <w:r>
              <w:rPr>
                <w:noProof/>
                <w:webHidden/>
              </w:rPr>
              <w:t>27</w:t>
            </w:r>
            <w:r w:rsidR="002B26A1">
              <w:rPr>
                <w:noProof/>
                <w:webHidden/>
              </w:rPr>
              <w:fldChar w:fldCharType="end"/>
            </w:r>
          </w:hyperlink>
        </w:p>
        <w:p w14:paraId="510D925F" w14:textId="2FEC3E3A" w:rsidR="002B26A1" w:rsidRDefault="00344F7A" w:rsidP="00E95A52">
          <w:pPr>
            <w:pStyle w:val="TOC4"/>
            <w:spacing w:after="60"/>
            <w:rPr>
              <w:noProof/>
              <w:sz w:val="22"/>
              <w:szCs w:val="22"/>
            </w:rPr>
          </w:pPr>
          <w:hyperlink w:anchor="_Toc100260722" w:history="1">
            <w:r w:rsidR="002B26A1" w:rsidRPr="008C60BC">
              <w:rPr>
                <w:rStyle w:val="Hyperlink"/>
                <w:noProof/>
              </w:rPr>
              <w:t>ii.</w:t>
            </w:r>
            <w:r w:rsidR="002B26A1">
              <w:rPr>
                <w:noProof/>
                <w:sz w:val="22"/>
                <w:szCs w:val="22"/>
              </w:rPr>
              <w:tab/>
            </w:r>
            <w:r w:rsidR="002B26A1" w:rsidRPr="008C60BC">
              <w:rPr>
                <w:rStyle w:val="Hyperlink"/>
                <w:noProof/>
              </w:rPr>
              <w:t>Appropriate Documentation</w:t>
            </w:r>
            <w:r w:rsidR="002B26A1">
              <w:rPr>
                <w:noProof/>
                <w:webHidden/>
              </w:rPr>
              <w:tab/>
            </w:r>
            <w:r w:rsidR="002B26A1">
              <w:rPr>
                <w:noProof/>
                <w:webHidden/>
              </w:rPr>
              <w:fldChar w:fldCharType="begin"/>
            </w:r>
            <w:r w:rsidR="002B26A1">
              <w:rPr>
                <w:noProof/>
                <w:webHidden/>
              </w:rPr>
              <w:instrText xml:space="preserve"> PAGEREF _Toc100260722 \h </w:instrText>
            </w:r>
            <w:r w:rsidR="002B26A1">
              <w:rPr>
                <w:noProof/>
                <w:webHidden/>
              </w:rPr>
            </w:r>
            <w:r w:rsidR="002B26A1">
              <w:rPr>
                <w:noProof/>
                <w:webHidden/>
              </w:rPr>
              <w:fldChar w:fldCharType="separate"/>
            </w:r>
            <w:r>
              <w:rPr>
                <w:noProof/>
                <w:webHidden/>
              </w:rPr>
              <w:t>27</w:t>
            </w:r>
            <w:r w:rsidR="002B26A1">
              <w:rPr>
                <w:noProof/>
                <w:webHidden/>
              </w:rPr>
              <w:fldChar w:fldCharType="end"/>
            </w:r>
          </w:hyperlink>
        </w:p>
        <w:p w14:paraId="10B534A9" w14:textId="70FB09BA" w:rsidR="002B26A1" w:rsidRDefault="00344F7A" w:rsidP="00E95A52">
          <w:pPr>
            <w:pStyle w:val="TOC3"/>
            <w:spacing w:before="0" w:after="60"/>
            <w:rPr>
              <w:noProof/>
              <w:color w:val="auto"/>
              <w:sz w:val="22"/>
              <w:szCs w:val="22"/>
            </w:rPr>
          </w:pPr>
          <w:hyperlink w:anchor="_Toc100260723" w:history="1">
            <w:r w:rsidR="002B26A1" w:rsidRPr="008C60BC">
              <w:rPr>
                <w:rStyle w:val="Hyperlink"/>
                <w:noProof/>
              </w:rPr>
              <w:t>B.</w:t>
            </w:r>
            <w:r w:rsidR="002B26A1">
              <w:rPr>
                <w:noProof/>
                <w:color w:val="auto"/>
                <w:sz w:val="22"/>
                <w:szCs w:val="22"/>
              </w:rPr>
              <w:tab/>
            </w:r>
            <w:r w:rsidR="002B26A1" w:rsidRPr="008C60BC">
              <w:rPr>
                <w:rStyle w:val="Hyperlink"/>
                <w:noProof/>
              </w:rPr>
              <w:t>Withhold Arrangements</w:t>
            </w:r>
            <w:r w:rsidR="002B26A1">
              <w:rPr>
                <w:noProof/>
                <w:webHidden/>
              </w:rPr>
              <w:tab/>
            </w:r>
            <w:r w:rsidR="002B26A1">
              <w:rPr>
                <w:noProof/>
                <w:webHidden/>
              </w:rPr>
              <w:fldChar w:fldCharType="begin"/>
            </w:r>
            <w:r w:rsidR="002B26A1">
              <w:rPr>
                <w:noProof/>
                <w:webHidden/>
              </w:rPr>
              <w:instrText xml:space="preserve"> PAGEREF _Toc100260723 \h </w:instrText>
            </w:r>
            <w:r w:rsidR="002B26A1">
              <w:rPr>
                <w:noProof/>
                <w:webHidden/>
              </w:rPr>
            </w:r>
            <w:r w:rsidR="002B26A1">
              <w:rPr>
                <w:noProof/>
                <w:webHidden/>
              </w:rPr>
              <w:fldChar w:fldCharType="separate"/>
            </w:r>
            <w:r>
              <w:rPr>
                <w:noProof/>
                <w:webHidden/>
              </w:rPr>
              <w:t>27</w:t>
            </w:r>
            <w:r w:rsidR="002B26A1">
              <w:rPr>
                <w:noProof/>
                <w:webHidden/>
              </w:rPr>
              <w:fldChar w:fldCharType="end"/>
            </w:r>
          </w:hyperlink>
        </w:p>
        <w:p w14:paraId="12B1EB53" w14:textId="4AF0DC48" w:rsidR="002B26A1" w:rsidRDefault="00344F7A" w:rsidP="00E95A52">
          <w:pPr>
            <w:pStyle w:val="TOC4"/>
            <w:spacing w:after="60"/>
            <w:rPr>
              <w:noProof/>
              <w:sz w:val="22"/>
              <w:szCs w:val="22"/>
            </w:rPr>
          </w:pPr>
          <w:hyperlink w:anchor="_Toc100260724" w:history="1">
            <w:r w:rsidR="002B26A1" w:rsidRPr="008C60BC">
              <w:rPr>
                <w:rStyle w:val="Hyperlink"/>
                <w:noProof/>
              </w:rPr>
              <w:t>i.</w:t>
            </w:r>
            <w:r w:rsidR="002B26A1">
              <w:rPr>
                <w:noProof/>
                <w:sz w:val="22"/>
                <w:szCs w:val="22"/>
              </w:rPr>
              <w:tab/>
            </w:r>
            <w:r w:rsidR="002B26A1" w:rsidRPr="008C60BC">
              <w:rPr>
                <w:rStyle w:val="Hyperlink"/>
                <w:noProof/>
              </w:rPr>
              <w:t>Rate Development Standards</w:t>
            </w:r>
            <w:r w:rsidR="002B26A1">
              <w:rPr>
                <w:noProof/>
                <w:webHidden/>
              </w:rPr>
              <w:tab/>
            </w:r>
            <w:r w:rsidR="002B26A1">
              <w:rPr>
                <w:noProof/>
                <w:webHidden/>
              </w:rPr>
              <w:fldChar w:fldCharType="begin"/>
            </w:r>
            <w:r w:rsidR="002B26A1">
              <w:rPr>
                <w:noProof/>
                <w:webHidden/>
              </w:rPr>
              <w:instrText xml:space="preserve"> PAGEREF _Toc100260724 \h </w:instrText>
            </w:r>
            <w:r w:rsidR="002B26A1">
              <w:rPr>
                <w:noProof/>
                <w:webHidden/>
              </w:rPr>
            </w:r>
            <w:r w:rsidR="002B26A1">
              <w:rPr>
                <w:noProof/>
                <w:webHidden/>
              </w:rPr>
              <w:fldChar w:fldCharType="separate"/>
            </w:r>
            <w:r>
              <w:rPr>
                <w:noProof/>
                <w:webHidden/>
              </w:rPr>
              <w:t>27</w:t>
            </w:r>
            <w:r w:rsidR="002B26A1">
              <w:rPr>
                <w:noProof/>
                <w:webHidden/>
              </w:rPr>
              <w:fldChar w:fldCharType="end"/>
            </w:r>
          </w:hyperlink>
        </w:p>
        <w:p w14:paraId="4E9D7DE8" w14:textId="42645CBB" w:rsidR="002B26A1" w:rsidRDefault="00344F7A" w:rsidP="00E95A52">
          <w:pPr>
            <w:pStyle w:val="TOC4"/>
            <w:spacing w:after="60"/>
            <w:rPr>
              <w:noProof/>
              <w:sz w:val="22"/>
              <w:szCs w:val="22"/>
            </w:rPr>
          </w:pPr>
          <w:hyperlink w:anchor="_Toc100260725" w:history="1">
            <w:r w:rsidR="002B26A1" w:rsidRPr="008C60BC">
              <w:rPr>
                <w:rStyle w:val="Hyperlink"/>
                <w:noProof/>
              </w:rPr>
              <w:t>ii.</w:t>
            </w:r>
            <w:r w:rsidR="002B26A1">
              <w:rPr>
                <w:noProof/>
                <w:sz w:val="22"/>
                <w:szCs w:val="22"/>
              </w:rPr>
              <w:tab/>
            </w:r>
            <w:r w:rsidR="002B26A1" w:rsidRPr="008C60BC">
              <w:rPr>
                <w:rStyle w:val="Hyperlink"/>
                <w:noProof/>
              </w:rPr>
              <w:t>Appropriate Documentation</w:t>
            </w:r>
            <w:r w:rsidR="002B26A1">
              <w:rPr>
                <w:noProof/>
                <w:webHidden/>
              </w:rPr>
              <w:tab/>
            </w:r>
            <w:r w:rsidR="002B26A1">
              <w:rPr>
                <w:noProof/>
                <w:webHidden/>
              </w:rPr>
              <w:fldChar w:fldCharType="begin"/>
            </w:r>
            <w:r w:rsidR="002B26A1">
              <w:rPr>
                <w:noProof/>
                <w:webHidden/>
              </w:rPr>
              <w:instrText xml:space="preserve"> PAGEREF _Toc100260725 \h </w:instrText>
            </w:r>
            <w:r w:rsidR="002B26A1">
              <w:rPr>
                <w:noProof/>
                <w:webHidden/>
              </w:rPr>
            </w:r>
            <w:r w:rsidR="002B26A1">
              <w:rPr>
                <w:noProof/>
                <w:webHidden/>
              </w:rPr>
              <w:fldChar w:fldCharType="separate"/>
            </w:r>
            <w:r>
              <w:rPr>
                <w:noProof/>
                <w:webHidden/>
              </w:rPr>
              <w:t>27</w:t>
            </w:r>
            <w:r w:rsidR="002B26A1">
              <w:rPr>
                <w:noProof/>
                <w:webHidden/>
              </w:rPr>
              <w:fldChar w:fldCharType="end"/>
            </w:r>
          </w:hyperlink>
        </w:p>
        <w:p w14:paraId="0AF41450" w14:textId="67CFD159" w:rsidR="002B26A1" w:rsidRDefault="00344F7A" w:rsidP="00E95A52">
          <w:pPr>
            <w:pStyle w:val="TOC3"/>
            <w:spacing w:before="0" w:after="60"/>
            <w:rPr>
              <w:noProof/>
              <w:color w:val="auto"/>
              <w:sz w:val="22"/>
              <w:szCs w:val="22"/>
            </w:rPr>
          </w:pPr>
          <w:hyperlink w:anchor="_Toc100260726" w:history="1">
            <w:r w:rsidR="002B26A1" w:rsidRPr="008C60BC">
              <w:rPr>
                <w:rStyle w:val="Hyperlink"/>
                <w:noProof/>
              </w:rPr>
              <w:t>C.</w:t>
            </w:r>
            <w:r w:rsidR="002B26A1">
              <w:rPr>
                <w:noProof/>
                <w:color w:val="auto"/>
                <w:sz w:val="22"/>
                <w:szCs w:val="22"/>
              </w:rPr>
              <w:tab/>
            </w:r>
            <w:r w:rsidR="002B26A1" w:rsidRPr="008C60BC">
              <w:rPr>
                <w:rStyle w:val="Hyperlink"/>
                <w:noProof/>
              </w:rPr>
              <w:t>Risk Sharing Mechanisms</w:t>
            </w:r>
            <w:r w:rsidR="002B26A1">
              <w:rPr>
                <w:noProof/>
                <w:webHidden/>
              </w:rPr>
              <w:tab/>
            </w:r>
            <w:r w:rsidR="002B26A1">
              <w:rPr>
                <w:noProof/>
                <w:webHidden/>
              </w:rPr>
              <w:fldChar w:fldCharType="begin"/>
            </w:r>
            <w:r w:rsidR="002B26A1">
              <w:rPr>
                <w:noProof/>
                <w:webHidden/>
              </w:rPr>
              <w:instrText xml:space="preserve"> PAGEREF _Toc100260726 \h </w:instrText>
            </w:r>
            <w:r w:rsidR="002B26A1">
              <w:rPr>
                <w:noProof/>
                <w:webHidden/>
              </w:rPr>
            </w:r>
            <w:r w:rsidR="002B26A1">
              <w:rPr>
                <w:noProof/>
                <w:webHidden/>
              </w:rPr>
              <w:fldChar w:fldCharType="separate"/>
            </w:r>
            <w:r>
              <w:rPr>
                <w:noProof/>
                <w:webHidden/>
              </w:rPr>
              <w:t>28</w:t>
            </w:r>
            <w:r w:rsidR="002B26A1">
              <w:rPr>
                <w:noProof/>
                <w:webHidden/>
              </w:rPr>
              <w:fldChar w:fldCharType="end"/>
            </w:r>
          </w:hyperlink>
        </w:p>
        <w:p w14:paraId="50BBEB2C" w14:textId="38E0A81C" w:rsidR="002B26A1" w:rsidRDefault="00344F7A" w:rsidP="00E95A52">
          <w:pPr>
            <w:pStyle w:val="TOC4"/>
            <w:spacing w:after="60"/>
            <w:rPr>
              <w:noProof/>
              <w:sz w:val="22"/>
              <w:szCs w:val="22"/>
            </w:rPr>
          </w:pPr>
          <w:hyperlink w:anchor="_Toc100260727" w:history="1">
            <w:r w:rsidR="002B26A1" w:rsidRPr="008C60BC">
              <w:rPr>
                <w:rStyle w:val="Hyperlink"/>
                <w:noProof/>
              </w:rPr>
              <w:t>i.</w:t>
            </w:r>
            <w:r w:rsidR="002B26A1">
              <w:rPr>
                <w:noProof/>
                <w:sz w:val="22"/>
                <w:szCs w:val="22"/>
              </w:rPr>
              <w:tab/>
            </w:r>
            <w:r w:rsidR="002B26A1" w:rsidRPr="008C60BC">
              <w:rPr>
                <w:rStyle w:val="Hyperlink"/>
                <w:noProof/>
              </w:rPr>
              <w:t>Rate Development Standards</w:t>
            </w:r>
            <w:r w:rsidR="002B26A1">
              <w:rPr>
                <w:noProof/>
                <w:webHidden/>
              </w:rPr>
              <w:tab/>
            </w:r>
            <w:r w:rsidR="002B26A1">
              <w:rPr>
                <w:noProof/>
                <w:webHidden/>
              </w:rPr>
              <w:fldChar w:fldCharType="begin"/>
            </w:r>
            <w:r w:rsidR="002B26A1">
              <w:rPr>
                <w:noProof/>
                <w:webHidden/>
              </w:rPr>
              <w:instrText xml:space="preserve"> PAGEREF _Toc100260727 \h </w:instrText>
            </w:r>
            <w:r w:rsidR="002B26A1">
              <w:rPr>
                <w:noProof/>
                <w:webHidden/>
              </w:rPr>
            </w:r>
            <w:r w:rsidR="002B26A1">
              <w:rPr>
                <w:noProof/>
                <w:webHidden/>
              </w:rPr>
              <w:fldChar w:fldCharType="separate"/>
            </w:r>
            <w:r>
              <w:rPr>
                <w:noProof/>
                <w:webHidden/>
              </w:rPr>
              <w:t>28</w:t>
            </w:r>
            <w:r w:rsidR="002B26A1">
              <w:rPr>
                <w:noProof/>
                <w:webHidden/>
              </w:rPr>
              <w:fldChar w:fldCharType="end"/>
            </w:r>
          </w:hyperlink>
        </w:p>
        <w:p w14:paraId="5439D3F8" w14:textId="526A402B" w:rsidR="002B26A1" w:rsidRDefault="00344F7A" w:rsidP="00E95A52">
          <w:pPr>
            <w:pStyle w:val="TOC4"/>
            <w:spacing w:after="60"/>
            <w:rPr>
              <w:noProof/>
              <w:sz w:val="22"/>
              <w:szCs w:val="22"/>
            </w:rPr>
          </w:pPr>
          <w:hyperlink w:anchor="_Toc100260728" w:history="1">
            <w:r w:rsidR="002B26A1" w:rsidRPr="008C60BC">
              <w:rPr>
                <w:rStyle w:val="Hyperlink"/>
                <w:noProof/>
              </w:rPr>
              <w:t>ii.</w:t>
            </w:r>
            <w:r w:rsidR="002B26A1">
              <w:rPr>
                <w:noProof/>
                <w:sz w:val="22"/>
                <w:szCs w:val="22"/>
              </w:rPr>
              <w:tab/>
            </w:r>
            <w:r w:rsidR="002B26A1" w:rsidRPr="008C60BC">
              <w:rPr>
                <w:rStyle w:val="Hyperlink"/>
                <w:noProof/>
              </w:rPr>
              <w:t>Appropriate Documentation</w:t>
            </w:r>
            <w:r w:rsidR="002B26A1">
              <w:rPr>
                <w:noProof/>
                <w:webHidden/>
              </w:rPr>
              <w:tab/>
            </w:r>
            <w:r w:rsidR="002B26A1">
              <w:rPr>
                <w:noProof/>
                <w:webHidden/>
              </w:rPr>
              <w:fldChar w:fldCharType="begin"/>
            </w:r>
            <w:r w:rsidR="002B26A1">
              <w:rPr>
                <w:noProof/>
                <w:webHidden/>
              </w:rPr>
              <w:instrText xml:space="preserve"> PAGEREF _Toc100260728 \h </w:instrText>
            </w:r>
            <w:r w:rsidR="002B26A1">
              <w:rPr>
                <w:noProof/>
                <w:webHidden/>
              </w:rPr>
            </w:r>
            <w:r w:rsidR="002B26A1">
              <w:rPr>
                <w:noProof/>
                <w:webHidden/>
              </w:rPr>
              <w:fldChar w:fldCharType="separate"/>
            </w:r>
            <w:r>
              <w:rPr>
                <w:noProof/>
                <w:webHidden/>
              </w:rPr>
              <w:t>28</w:t>
            </w:r>
            <w:r w:rsidR="002B26A1">
              <w:rPr>
                <w:noProof/>
                <w:webHidden/>
              </w:rPr>
              <w:fldChar w:fldCharType="end"/>
            </w:r>
          </w:hyperlink>
        </w:p>
        <w:p w14:paraId="4985BAE4" w14:textId="376A42F5" w:rsidR="002B26A1" w:rsidRDefault="00344F7A" w:rsidP="00E95A52">
          <w:pPr>
            <w:pStyle w:val="TOC3"/>
            <w:spacing w:before="0" w:after="60"/>
            <w:rPr>
              <w:noProof/>
              <w:color w:val="auto"/>
              <w:sz w:val="22"/>
              <w:szCs w:val="22"/>
            </w:rPr>
          </w:pPr>
          <w:hyperlink w:anchor="_Toc100260729" w:history="1">
            <w:r w:rsidR="002B26A1" w:rsidRPr="008C60BC">
              <w:rPr>
                <w:rStyle w:val="Hyperlink"/>
                <w:noProof/>
              </w:rPr>
              <w:t>D.</w:t>
            </w:r>
            <w:r w:rsidR="002B26A1">
              <w:rPr>
                <w:noProof/>
                <w:color w:val="auto"/>
                <w:sz w:val="22"/>
                <w:szCs w:val="22"/>
              </w:rPr>
              <w:tab/>
            </w:r>
            <w:r w:rsidR="002B26A1" w:rsidRPr="008C60BC">
              <w:rPr>
                <w:rStyle w:val="Hyperlink"/>
                <w:noProof/>
              </w:rPr>
              <w:t>Delivery system and provider payment initiatives</w:t>
            </w:r>
            <w:r w:rsidR="002B26A1">
              <w:rPr>
                <w:noProof/>
                <w:webHidden/>
              </w:rPr>
              <w:tab/>
            </w:r>
            <w:r w:rsidR="002B26A1">
              <w:rPr>
                <w:noProof/>
                <w:webHidden/>
              </w:rPr>
              <w:fldChar w:fldCharType="begin"/>
            </w:r>
            <w:r w:rsidR="002B26A1">
              <w:rPr>
                <w:noProof/>
                <w:webHidden/>
              </w:rPr>
              <w:instrText xml:space="preserve"> PAGEREF _Toc100260729 \h </w:instrText>
            </w:r>
            <w:r w:rsidR="002B26A1">
              <w:rPr>
                <w:noProof/>
                <w:webHidden/>
              </w:rPr>
            </w:r>
            <w:r w:rsidR="002B26A1">
              <w:rPr>
                <w:noProof/>
                <w:webHidden/>
              </w:rPr>
              <w:fldChar w:fldCharType="separate"/>
            </w:r>
            <w:r>
              <w:rPr>
                <w:noProof/>
                <w:webHidden/>
              </w:rPr>
              <w:t>30</w:t>
            </w:r>
            <w:r w:rsidR="002B26A1">
              <w:rPr>
                <w:noProof/>
                <w:webHidden/>
              </w:rPr>
              <w:fldChar w:fldCharType="end"/>
            </w:r>
          </w:hyperlink>
        </w:p>
        <w:p w14:paraId="2A5FA8F4" w14:textId="0C2361B8" w:rsidR="002B26A1" w:rsidRDefault="00344F7A" w:rsidP="00E95A52">
          <w:pPr>
            <w:pStyle w:val="TOC4"/>
            <w:spacing w:after="60"/>
            <w:rPr>
              <w:noProof/>
              <w:sz w:val="22"/>
              <w:szCs w:val="22"/>
            </w:rPr>
          </w:pPr>
          <w:hyperlink w:anchor="_Toc100260730" w:history="1">
            <w:r w:rsidR="002B26A1" w:rsidRPr="008C60BC">
              <w:rPr>
                <w:rStyle w:val="Hyperlink"/>
                <w:noProof/>
              </w:rPr>
              <w:t>i.</w:t>
            </w:r>
            <w:r w:rsidR="002B26A1">
              <w:rPr>
                <w:noProof/>
                <w:sz w:val="22"/>
                <w:szCs w:val="22"/>
              </w:rPr>
              <w:tab/>
            </w:r>
            <w:r w:rsidR="002B26A1" w:rsidRPr="008C60BC">
              <w:rPr>
                <w:rStyle w:val="Hyperlink"/>
                <w:noProof/>
              </w:rPr>
              <w:t>Rate Development Standards</w:t>
            </w:r>
            <w:r w:rsidR="002B26A1">
              <w:rPr>
                <w:noProof/>
                <w:webHidden/>
              </w:rPr>
              <w:tab/>
            </w:r>
            <w:r w:rsidR="002B26A1">
              <w:rPr>
                <w:noProof/>
                <w:webHidden/>
              </w:rPr>
              <w:fldChar w:fldCharType="begin"/>
            </w:r>
            <w:r w:rsidR="002B26A1">
              <w:rPr>
                <w:noProof/>
                <w:webHidden/>
              </w:rPr>
              <w:instrText xml:space="preserve"> PAGEREF _Toc100260730 \h </w:instrText>
            </w:r>
            <w:r w:rsidR="002B26A1">
              <w:rPr>
                <w:noProof/>
                <w:webHidden/>
              </w:rPr>
            </w:r>
            <w:r w:rsidR="002B26A1">
              <w:rPr>
                <w:noProof/>
                <w:webHidden/>
              </w:rPr>
              <w:fldChar w:fldCharType="separate"/>
            </w:r>
            <w:r>
              <w:rPr>
                <w:noProof/>
                <w:webHidden/>
              </w:rPr>
              <w:t>30</w:t>
            </w:r>
            <w:r w:rsidR="002B26A1">
              <w:rPr>
                <w:noProof/>
                <w:webHidden/>
              </w:rPr>
              <w:fldChar w:fldCharType="end"/>
            </w:r>
          </w:hyperlink>
        </w:p>
        <w:p w14:paraId="32E1503D" w14:textId="7A7F9290" w:rsidR="002B26A1" w:rsidRDefault="00344F7A" w:rsidP="00E95A52">
          <w:pPr>
            <w:pStyle w:val="TOC4"/>
            <w:spacing w:after="60"/>
            <w:rPr>
              <w:noProof/>
              <w:sz w:val="22"/>
              <w:szCs w:val="22"/>
            </w:rPr>
          </w:pPr>
          <w:hyperlink w:anchor="_Toc100260731" w:history="1">
            <w:r w:rsidR="002B26A1" w:rsidRPr="008C60BC">
              <w:rPr>
                <w:rStyle w:val="Hyperlink"/>
                <w:noProof/>
              </w:rPr>
              <w:t>ii.</w:t>
            </w:r>
            <w:r w:rsidR="002B26A1">
              <w:rPr>
                <w:noProof/>
                <w:sz w:val="22"/>
                <w:szCs w:val="22"/>
              </w:rPr>
              <w:tab/>
            </w:r>
            <w:r w:rsidR="002B26A1" w:rsidRPr="008C60BC">
              <w:rPr>
                <w:rStyle w:val="Hyperlink"/>
                <w:noProof/>
              </w:rPr>
              <w:t>Appropriate Documentation</w:t>
            </w:r>
            <w:r w:rsidR="002B26A1">
              <w:rPr>
                <w:noProof/>
                <w:webHidden/>
              </w:rPr>
              <w:tab/>
            </w:r>
            <w:r w:rsidR="002B26A1">
              <w:rPr>
                <w:noProof/>
                <w:webHidden/>
              </w:rPr>
              <w:fldChar w:fldCharType="begin"/>
            </w:r>
            <w:r w:rsidR="002B26A1">
              <w:rPr>
                <w:noProof/>
                <w:webHidden/>
              </w:rPr>
              <w:instrText xml:space="preserve"> PAGEREF _Toc100260731 \h </w:instrText>
            </w:r>
            <w:r w:rsidR="002B26A1">
              <w:rPr>
                <w:noProof/>
                <w:webHidden/>
              </w:rPr>
            </w:r>
            <w:r w:rsidR="002B26A1">
              <w:rPr>
                <w:noProof/>
                <w:webHidden/>
              </w:rPr>
              <w:fldChar w:fldCharType="separate"/>
            </w:r>
            <w:r>
              <w:rPr>
                <w:noProof/>
                <w:webHidden/>
              </w:rPr>
              <w:t>30</w:t>
            </w:r>
            <w:r w:rsidR="002B26A1">
              <w:rPr>
                <w:noProof/>
                <w:webHidden/>
              </w:rPr>
              <w:fldChar w:fldCharType="end"/>
            </w:r>
          </w:hyperlink>
        </w:p>
        <w:p w14:paraId="08D00576" w14:textId="5FD06B69" w:rsidR="002B26A1" w:rsidRDefault="00344F7A" w:rsidP="00E95A52">
          <w:pPr>
            <w:pStyle w:val="TOC3"/>
            <w:spacing w:before="0" w:after="60"/>
            <w:rPr>
              <w:noProof/>
              <w:color w:val="auto"/>
              <w:sz w:val="22"/>
              <w:szCs w:val="22"/>
            </w:rPr>
          </w:pPr>
          <w:hyperlink w:anchor="_Toc100260732" w:history="1">
            <w:r w:rsidR="002B26A1" w:rsidRPr="008C60BC">
              <w:rPr>
                <w:rStyle w:val="Hyperlink"/>
                <w:noProof/>
              </w:rPr>
              <w:t>E.</w:t>
            </w:r>
            <w:r w:rsidR="002B26A1">
              <w:rPr>
                <w:noProof/>
                <w:color w:val="auto"/>
                <w:sz w:val="22"/>
                <w:szCs w:val="22"/>
              </w:rPr>
              <w:tab/>
            </w:r>
            <w:r w:rsidR="002B26A1" w:rsidRPr="008C60BC">
              <w:rPr>
                <w:rStyle w:val="Hyperlink"/>
                <w:noProof/>
              </w:rPr>
              <w:t>Pass-Through Payments</w:t>
            </w:r>
            <w:r w:rsidR="002B26A1">
              <w:rPr>
                <w:noProof/>
                <w:webHidden/>
              </w:rPr>
              <w:tab/>
            </w:r>
            <w:r w:rsidR="002B26A1">
              <w:rPr>
                <w:noProof/>
                <w:webHidden/>
              </w:rPr>
              <w:fldChar w:fldCharType="begin"/>
            </w:r>
            <w:r w:rsidR="002B26A1">
              <w:rPr>
                <w:noProof/>
                <w:webHidden/>
              </w:rPr>
              <w:instrText xml:space="preserve"> PAGEREF _Toc100260732 \h </w:instrText>
            </w:r>
            <w:r w:rsidR="002B26A1">
              <w:rPr>
                <w:noProof/>
                <w:webHidden/>
              </w:rPr>
            </w:r>
            <w:r w:rsidR="002B26A1">
              <w:rPr>
                <w:noProof/>
                <w:webHidden/>
              </w:rPr>
              <w:fldChar w:fldCharType="separate"/>
            </w:r>
            <w:r>
              <w:rPr>
                <w:noProof/>
                <w:webHidden/>
              </w:rPr>
              <w:t>33</w:t>
            </w:r>
            <w:r w:rsidR="002B26A1">
              <w:rPr>
                <w:noProof/>
                <w:webHidden/>
              </w:rPr>
              <w:fldChar w:fldCharType="end"/>
            </w:r>
          </w:hyperlink>
        </w:p>
        <w:p w14:paraId="2F6E366B" w14:textId="2415F989" w:rsidR="002B26A1" w:rsidRDefault="00344F7A" w:rsidP="00E95A52">
          <w:pPr>
            <w:pStyle w:val="TOC4"/>
            <w:spacing w:after="60"/>
            <w:rPr>
              <w:noProof/>
              <w:sz w:val="22"/>
              <w:szCs w:val="22"/>
            </w:rPr>
          </w:pPr>
          <w:hyperlink w:anchor="_Toc100260733" w:history="1">
            <w:r w:rsidR="002B26A1" w:rsidRPr="008C60BC">
              <w:rPr>
                <w:rStyle w:val="Hyperlink"/>
                <w:noProof/>
              </w:rPr>
              <w:t>i.</w:t>
            </w:r>
            <w:r w:rsidR="002B26A1">
              <w:rPr>
                <w:noProof/>
                <w:sz w:val="22"/>
                <w:szCs w:val="22"/>
              </w:rPr>
              <w:tab/>
            </w:r>
            <w:r w:rsidR="002B26A1" w:rsidRPr="008C60BC">
              <w:rPr>
                <w:rStyle w:val="Hyperlink"/>
                <w:noProof/>
              </w:rPr>
              <w:t>Rate Development Standards</w:t>
            </w:r>
            <w:r w:rsidR="002B26A1">
              <w:rPr>
                <w:noProof/>
                <w:webHidden/>
              </w:rPr>
              <w:tab/>
            </w:r>
            <w:r w:rsidR="002B26A1">
              <w:rPr>
                <w:noProof/>
                <w:webHidden/>
              </w:rPr>
              <w:fldChar w:fldCharType="begin"/>
            </w:r>
            <w:r w:rsidR="002B26A1">
              <w:rPr>
                <w:noProof/>
                <w:webHidden/>
              </w:rPr>
              <w:instrText xml:space="preserve"> PAGEREF _Toc100260733 \h </w:instrText>
            </w:r>
            <w:r w:rsidR="002B26A1">
              <w:rPr>
                <w:noProof/>
                <w:webHidden/>
              </w:rPr>
            </w:r>
            <w:r w:rsidR="002B26A1">
              <w:rPr>
                <w:noProof/>
                <w:webHidden/>
              </w:rPr>
              <w:fldChar w:fldCharType="separate"/>
            </w:r>
            <w:r>
              <w:rPr>
                <w:noProof/>
                <w:webHidden/>
              </w:rPr>
              <w:t>33</w:t>
            </w:r>
            <w:r w:rsidR="002B26A1">
              <w:rPr>
                <w:noProof/>
                <w:webHidden/>
              </w:rPr>
              <w:fldChar w:fldCharType="end"/>
            </w:r>
          </w:hyperlink>
        </w:p>
        <w:p w14:paraId="322A6357" w14:textId="3DDA2633" w:rsidR="002B26A1" w:rsidRDefault="00344F7A" w:rsidP="00E95A52">
          <w:pPr>
            <w:pStyle w:val="TOC4"/>
            <w:spacing w:after="60"/>
            <w:rPr>
              <w:noProof/>
              <w:sz w:val="22"/>
              <w:szCs w:val="22"/>
            </w:rPr>
          </w:pPr>
          <w:hyperlink w:anchor="_Toc100260734" w:history="1">
            <w:r w:rsidR="002B26A1" w:rsidRPr="008C60BC">
              <w:rPr>
                <w:rStyle w:val="Hyperlink"/>
                <w:noProof/>
              </w:rPr>
              <w:t>ii.</w:t>
            </w:r>
            <w:r w:rsidR="002B26A1">
              <w:rPr>
                <w:noProof/>
                <w:sz w:val="22"/>
                <w:szCs w:val="22"/>
              </w:rPr>
              <w:tab/>
            </w:r>
            <w:r w:rsidR="002B26A1" w:rsidRPr="008C60BC">
              <w:rPr>
                <w:rStyle w:val="Hyperlink"/>
                <w:noProof/>
              </w:rPr>
              <w:t>Appropriate Documentation</w:t>
            </w:r>
            <w:r w:rsidR="002B26A1">
              <w:rPr>
                <w:noProof/>
                <w:webHidden/>
              </w:rPr>
              <w:tab/>
            </w:r>
            <w:r w:rsidR="002B26A1">
              <w:rPr>
                <w:noProof/>
                <w:webHidden/>
              </w:rPr>
              <w:fldChar w:fldCharType="begin"/>
            </w:r>
            <w:r w:rsidR="002B26A1">
              <w:rPr>
                <w:noProof/>
                <w:webHidden/>
              </w:rPr>
              <w:instrText xml:space="preserve"> PAGEREF _Toc100260734 \h </w:instrText>
            </w:r>
            <w:r w:rsidR="002B26A1">
              <w:rPr>
                <w:noProof/>
                <w:webHidden/>
              </w:rPr>
            </w:r>
            <w:r w:rsidR="002B26A1">
              <w:rPr>
                <w:noProof/>
                <w:webHidden/>
              </w:rPr>
              <w:fldChar w:fldCharType="separate"/>
            </w:r>
            <w:r>
              <w:rPr>
                <w:noProof/>
                <w:webHidden/>
              </w:rPr>
              <w:t>33</w:t>
            </w:r>
            <w:r w:rsidR="002B26A1">
              <w:rPr>
                <w:noProof/>
                <w:webHidden/>
              </w:rPr>
              <w:fldChar w:fldCharType="end"/>
            </w:r>
          </w:hyperlink>
        </w:p>
        <w:p w14:paraId="1F31CA7D" w14:textId="756B3A3F" w:rsidR="002B26A1" w:rsidRDefault="00344F7A" w:rsidP="00E95A52">
          <w:pPr>
            <w:pStyle w:val="TOC2"/>
            <w:spacing w:before="0" w:after="60"/>
            <w:rPr>
              <w:caps w:val="0"/>
              <w:noProof/>
              <w:color w:val="auto"/>
              <w:sz w:val="22"/>
              <w:szCs w:val="22"/>
            </w:rPr>
          </w:pPr>
          <w:hyperlink w:anchor="_Toc100260735" w:history="1">
            <w:r w:rsidR="002B26A1" w:rsidRPr="008C60BC">
              <w:rPr>
                <w:rStyle w:val="Hyperlink"/>
                <w:noProof/>
              </w:rPr>
              <w:t>5.</w:t>
            </w:r>
            <w:r w:rsidR="002B26A1">
              <w:rPr>
                <w:caps w:val="0"/>
                <w:noProof/>
                <w:color w:val="auto"/>
                <w:sz w:val="22"/>
                <w:szCs w:val="22"/>
              </w:rPr>
              <w:tab/>
            </w:r>
            <w:r w:rsidR="002B26A1" w:rsidRPr="008C60BC">
              <w:rPr>
                <w:rStyle w:val="Hyperlink"/>
                <w:noProof/>
              </w:rPr>
              <w:t>Projected non-benefit costs</w:t>
            </w:r>
            <w:r w:rsidR="002B26A1">
              <w:rPr>
                <w:noProof/>
                <w:webHidden/>
              </w:rPr>
              <w:tab/>
            </w:r>
            <w:r w:rsidR="002B26A1">
              <w:rPr>
                <w:noProof/>
                <w:webHidden/>
              </w:rPr>
              <w:fldChar w:fldCharType="begin"/>
            </w:r>
            <w:r w:rsidR="002B26A1">
              <w:rPr>
                <w:noProof/>
                <w:webHidden/>
              </w:rPr>
              <w:instrText xml:space="preserve"> PAGEREF _Toc100260735 \h </w:instrText>
            </w:r>
            <w:r w:rsidR="002B26A1">
              <w:rPr>
                <w:noProof/>
                <w:webHidden/>
              </w:rPr>
            </w:r>
            <w:r w:rsidR="002B26A1">
              <w:rPr>
                <w:noProof/>
                <w:webHidden/>
              </w:rPr>
              <w:fldChar w:fldCharType="separate"/>
            </w:r>
            <w:r>
              <w:rPr>
                <w:noProof/>
                <w:webHidden/>
              </w:rPr>
              <w:t>34</w:t>
            </w:r>
            <w:r w:rsidR="002B26A1">
              <w:rPr>
                <w:noProof/>
                <w:webHidden/>
              </w:rPr>
              <w:fldChar w:fldCharType="end"/>
            </w:r>
          </w:hyperlink>
        </w:p>
        <w:p w14:paraId="5431D4A2" w14:textId="68395883" w:rsidR="002B26A1" w:rsidRDefault="00344F7A" w:rsidP="00E95A52">
          <w:pPr>
            <w:pStyle w:val="TOC3"/>
            <w:spacing w:before="0" w:after="60"/>
            <w:rPr>
              <w:noProof/>
              <w:color w:val="auto"/>
              <w:sz w:val="22"/>
              <w:szCs w:val="22"/>
            </w:rPr>
          </w:pPr>
          <w:hyperlink w:anchor="_Toc100260736" w:history="1">
            <w:r w:rsidR="002B26A1" w:rsidRPr="008C60BC">
              <w:rPr>
                <w:rStyle w:val="Hyperlink"/>
                <w:noProof/>
              </w:rPr>
              <w:t>A.</w:t>
            </w:r>
            <w:r w:rsidR="002B26A1">
              <w:rPr>
                <w:noProof/>
                <w:color w:val="auto"/>
                <w:sz w:val="22"/>
                <w:szCs w:val="22"/>
              </w:rPr>
              <w:tab/>
            </w:r>
            <w:r w:rsidR="002B26A1" w:rsidRPr="008C60BC">
              <w:rPr>
                <w:rStyle w:val="Hyperlink"/>
                <w:noProof/>
              </w:rPr>
              <w:t>Rate Development Standards</w:t>
            </w:r>
            <w:r w:rsidR="002B26A1">
              <w:rPr>
                <w:noProof/>
                <w:webHidden/>
              </w:rPr>
              <w:tab/>
            </w:r>
            <w:r w:rsidR="002B26A1">
              <w:rPr>
                <w:noProof/>
                <w:webHidden/>
              </w:rPr>
              <w:fldChar w:fldCharType="begin"/>
            </w:r>
            <w:r w:rsidR="002B26A1">
              <w:rPr>
                <w:noProof/>
                <w:webHidden/>
              </w:rPr>
              <w:instrText xml:space="preserve"> PAGEREF _Toc100260736 \h </w:instrText>
            </w:r>
            <w:r w:rsidR="002B26A1">
              <w:rPr>
                <w:noProof/>
                <w:webHidden/>
              </w:rPr>
            </w:r>
            <w:r w:rsidR="002B26A1">
              <w:rPr>
                <w:noProof/>
                <w:webHidden/>
              </w:rPr>
              <w:fldChar w:fldCharType="separate"/>
            </w:r>
            <w:r>
              <w:rPr>
                <w:noProof/>
                <w:webHidden/>
              </w:rPr>
              <w:t>34</w:t>
            </w:r>
            <w:r w:rsidR="002B26A1">
              <w:rPr>
                <w:noProof/>
                <w:webHidden/>
              </w:rPr>
              <w:fldChar w:fldCharType="end"/>
            </w:r>
          </w:hyperlink>
        </w:p>
        <w:p w14:paraId="16B71FAC" w14:textId="210970FF" w:rsidR="002B26A1" w:rsidRDefault="00344F7A" w:rsidP="00E95A52">
          <w:pPr>
            <w:pStyle w:val="TOC4"/>
            <w:spacing w:after="60"/>
            <w:rPr>
              <w:noProof/>
              <w:sz w:val="22"/>
              <w:szCs w:val="22"/>
            </w:rPr>
          </w:pPr>
          <w:hyperlink w:anchor="_Toc100260737" w:history="1">
            <w:r w:rsidR="002B26A1" w:rsidRPr="008C60BC">
              <w:rPr>
                <w:rStyle w:val="Hyperlink"/>
                <w:noProof/>
              </w:rPr>
              <w:t>i.</w:t>
            </w:r>
            <w:r w:rsidR="002B26A1">
              <w:rPr>
                <w:noProof/>
                <w:sz w:val="22"/>
                <w:szCs w:val="22"/>
              </w:rPr>
              <w:tab/>
            </w:r>
            <w:r w:rsidR="002B26A1" w:rsidRPr="008C60BC">
              <w:rPr>
                <w:rStyle w:val="Hyperlink"/>
                <w:noProof/>
              </w:rPr>
              <w:t>Overview</w:t>
            </w:r>
            <w:r w:rsidR="002B26A1">
              <w:rPr>
                <w:noProof/>
                <w:webHidden/>
              </w:rPr>
              <w:tab/>
            </w:r>
            <w:r w:rsidR="002B26A1">
              <w:rPr>
                <w:noProof/>
                <w:webHidden/>
              </w:rPr>
              <w:fldChar w:fldCharType="begin"/>
            </w:r>
            <w:r w:rsidR="002B26A1">
              <w:rPr>
                <w:noProof/>
                <w:webHidden/>
              </w:rPr>
              <w:instrText xml:space="preserve"> PAGEREF _Toc100260737 \h </w:instrText>
            </w:r>
            <w:r w:rsidR="002B26A1">
              <w:rPr>
                <w:noProof/>
                <w:webHidden/>
              </w:rPr>
            </w:r>
            <w:r w:rsidR="002B26A1">
              <w:rPr>
                <w:noProof/>
                <w:webHidden/>
              </w:rPr>
              <w:fldChar w:fldCharType="separate"/>
            </w:r>
            <w:r>
              <w:rPr>
                <w:noProof/>
                <w:webHidden/>
              </w:rPr>
              <w:t>34</w:t>
            </w:r>
            <w:r w:rsidR="002B26A1">
              <w:rPr>
                <w:noProof/>
                <w:webHidden/>
              </w:rPr>
              <w:fldChar w:fldCharType="end"/>
            </w:r>
          </w:hyperlink>
        </w:p>
        <w:p w14:paraId="0A46D4A4" w14:textId="080B26AB" w:rsidR="002B26A1" w:rsidRDefault="00344F7A" w:rsidP="00E95A52">
          <w:pPr>
            <w:pStyle w:val="TOC4"/>
            <w:spacing w:after="60"/>
            <w:rPr>
              <w:noProof/>
              <w:sz w:val="22"/>
              <w:szCs w:val="22"/>
            </w:rPr>
          </w:pPr>
          <w:hyperlink w:anchor="_Toc100260738" w:history="1">
            <w:r w:rsidR="002B26A1" w:rsidRPr="008C60BC">
              <w:rPr>
                <w:rStyle w:val="Hyperlink"/>
                <w:noProof/>
              </w:rPr>
              <w:t>ii.</w:t>
            </w:r>
            <w:r w:rsidR="002B26A1">
              <w:rPr>
                <w:noProof/>
                <w:sz w:val="22"/>
                <w:szCs w:val="22"/>
              </w:rPr>
              <w:tab/>
            </w:r>
            <w:r w:rsidR="002B26A1" w:rsidRPr="008C60BC">
              <w:rPr>
                <w:rStyle w:val="Hyperlink"/>
                <w:noProof/>
              </w:rPr>
              <w:t>PMPM versus percentage</w:t>
            </w:r>
            <w:r w:rsidR="002B26A1">
              <w:rPr>
                <w:noProof/>
                <w:webHidden/>
              </w:rPr>
              <w:tab/>
            </w:r>
            <w:r w:rsidR="002B26A1">
              <w:rPr>
                <w:noProof/>
                <w:webHidden/>
              </w:rPr>
              <w:fldChar w:fldCharType="begin"/>
            </w:r>
            <w:r w:rsidR="002B26A1">
              <w:rPr>
                <w:noProof/>
                <w:webHidden/>
              </w:rPr>
              <w:instrText xml:space="preserve"> PAGEREF _Toc100260738 \h </w:instrText>
            </w:r>
            <w:r w:rsidR="002B26A1">
              <w:rPr>
                <w:noProof/>
                <w:webHidden/>
              </w:rPr>
            </w:r>
            <w:r w:rsidR="002B26A1">
              <w:rPr>
                <w:noProof/>
                <w:webHidden/>
              </w:rPr>
              <w:fldChar w:fldCharType="separate"/>
            </w:r>
            <w:r>
              <w:rPr>
                <w:noProof/>
                <w:webHidden/>
              </w:rPr>
              <w:t>34</w:t>
            </w:r>
            <w:r w:rsidR="002B26A1">
              <w:rPr>
                <w:noProof/>
                <w:webHidden/>
              </w:rPr>
              <w:fldChar w:fldCharType="end"/>
            </w:r>
          </w:hyperlink>
        </w:p>
        <w:p w14:paraId="5A58522C" w14:textId="1127B11C" w:rsidR="002B26A1" w:rsidRDefault="00344F7A" w:rsidP="00E95A52">
          <w:pPr>
            <w:pStyle w:val="TOC3"/>
            <w:spacing w:before="0" w:after="60"/>
            <w:rPr>
              <w:noProof/>
              <w:color w:val="auto"/>
              <w:sz w:val="22"/>
              <w:szCs w:val="22"/>
            </w:rPr>
          </w:pPr>
          <w:hyperlink w:anchor="_Toc100260743" w:history="1">
            <w:r w:rsidR="002B26A1" w:rsidRPr="008C60BC">
              <w:rPr>
                <w:rStyle w:val="Hyperlink"/>
                <w:noProof/>
              </w:rPr>
              <w:t>B.</w:t>
            </w:r>
            <w:r w:rsidR="002B26A1">
              <w:rPr>
                <w:noProof/>
                <w:color w:val="auto"/>
                <w:sz w:val="22"/>
                <w:szCs w:val="22"/>
              </w:rPr>
              <w:tab/>
            </w:r>
            <w:r w:rsidR="002B26A1" w:rsidRPr="008C60BC">
              <w:rPr>
                <w:rStyle w:val="Hyperlink"/>
                <w:noProof/>
              </w:rPr>
              <w:t>Appropriate Documentation</w:t>
            </w:r>
            <w:r w:rsidR="002B26A1">
              <w:rPr>
                <w:noProof/>
                <w:webHidden/>
              </w:rPr>
              <w:tab/>
            </w:r>
            <w:r w:rsidR="002B26A1">
              <w:rPr>
                <w:noProof/>
                <w:webHidden/>
              </w:rPr>
              <w:fldChar w:fldCharType="begin"/>
            </w:r>
            <w:r w:rsidR="002B26A1">
              <w:rPr>
                <w:noProof/>
                <w:webHidden/>
              </w:rPr>
              <w:instrText xml:space="preserve"> PAGEREF _Toc100260743 \h </w:instrText>
            </w:r>
            <w:r w:rsidR="002B26A1">
              <w:rPr>
                <w:noProof/>
                <w:webHidden/>
              </w:rPr>
            </w:r>
            <w:r w:rsidR="002B26A1">
              <w:rPr>
                <w:noProof/>
                <w:webHidden/>
              </w:rPr>
              <w:fldChar w:fldCharType="separate"/>
            </w:r>
            <w:r>
              <w:rPr>
                <w:noProof/>
                <w:webHidden/>
              </w:rPr>
              <w:t>34</w:t>
            </w:r>
            <w:r w:rsidR="002B26A1">
              <w:rPr>
                <w:noProof/>
                <w:webHidden/>
              </w:rPr>
              <w:fldChar w:fldCharType="end"/>
            </w:r>
          </w:hyperlink>
        </w:p>
        <w:p w14:paraId="09553D7A" w14:textId="4716AC4D" w:rsidR="002B26A1" w:rsidRDefault="00344F7A" w:rsidP="00E95A52">
          <w:pPr>
            <w:pStyle w:val="TOC4"/>
            <w:spacing w:after="60"/>
            <w:rPr>
              <w:noProof/>
              <w:sz w:val="22"/>
              <w:szCs w:val="22"/>
            </w:rPr>
          </w:pPr>
          <w:hyperlink w:anchor="_Toc100260744" w:history="1">
            <w:r w:rsidR="002B26A1" w:rsidRPr="008C60BC">
              <w:rPr>
                <w:rStyle w:val="Hyperlink"/>
                <w:noProof/>
              </w:rPr>
              <w:t>i.</w:t>
            </w:r>
            <w:r w:rsidR="002B26A1">
              <w:rPr>
                <w:noProof/>
                <w:sz w:val="22"/>
                <w:szCs w:val="22"/>
              </w:rPr>
              <w:tab/>
            </w:r>
            <w:r w:rsidR="002B26A1" w:rsidRPr="008C60BC">
              <w:rPr>
                <w:rStyle w:val="Hyperlink"/>
                <w:noProof/>
              </w:rPr>
              <w:t>Development of non-benefit costs</w:t>
            </w:r>
            <w:r w:rsidR="002B26A1">
              <w:rPr>
                <w:noProof/>
                <w:webHidden/>
              </w:rPr>
              <w:tab/>
            </w:r>
            <w:r w:rsidR="002B26A1">
              <w:rPr>
                <w:noProof/>
                <w:webHidden/>
              </w:rPr>
              <w:fldChar w:fldCharType="begin"/>
            </w:r>
            <w:r w:rsidR="002B26A1">
              <w:rPr>
                <w:noProof/>
                <w:webHidden/>
              </w:rPr>
              <w:instrText xml:space="preserve"> PAGEREF _Toc100260744 \h </w:instrText>
            </w:r>
            <w:r w:rsidR="002B26A1">
              <w:rPr>
                <w:noProof/>
                <w:webHidden/>
              </w:rPr>
            </w:r>
            <w:r w:rsidR="002B26A1">
              <w:rPr>
                <w:noProof/>
                <w:webHidden/>
              </w:rPr>
              <w:fldChar w:fldCharType="separate"/>
            </w:r>
            <w:r>
              <w:rPr>
                <w:noProof/>
                <w:webHidden/>
              </w:rPr>
              <w:t>34</w:t>
            </w:r>
            <w:r w:rsidR="002B26A1">
              <w:rPr>
                <w:noProof/>
                <w:webHidden/>
              </w:rPr>
              <w:fldChar w:fldCharType="end"/>
            </w:r>
          </w:hyperlink>
        </w:p>
        <w:p w14:paraId="26241C7B" w14:textId="721BB066" w:rsidR="002B26A1" w:rsidRDefault="00344F7A" w:rsidP="00E95A52">
          <w:pPr>
            <w:pStyle w:val="TOC4"/>
            <w:spacing w:after="60"/>
            <w:rPr>
              <w:noProof/>
              <w:sz w:val="22"/>
              <w:szCs w:val="22"/>
            </w:rPr>
          </w:pPr>
          <w:hyperlink w:anchor="_Toc100260745" w:history="1">
            <w:r w:rsidR="002B26A1" w:rsidRPr="008C60BC">
              <w:rPr>
                <w:rStyle w:val="Hyperlink"/>
                <w:noProof/>
              </w:rPr>
              <w:t>ii.</w:t>
            </w:r>
            <w:r w:rsidR="002B26A1">
              <w:rPr>
                <w:noProof/>
                <w:sz w:val="22"/>
                <w:szCs w:val="22"/>
              </w:rPr>
              <w:tab/>
            </w:r>
            <w:r w:rsidR="002B26A1" w:rsidRPr="008C60BC">
              <w:rPr>
                <w:rStyle w:val="Hyperlink"/>
                <w:noProof/>
              </w:rPr>
              <w:t>Non-benefit costs, by cost category</w:t>
            </w:r>
            <w:r w:rsidR="002B26A1">
              <w:rPr>
                <w:noProof/>
                <w:webHidden/>
              </w:rPr>
              <w:tab/>
            </w:r>
            <w:r w:rsidR="002B26A1">
              <w:rPr>
                <w:noProof/>
                <w:webHidden/>
              </w:rPr>
              <w:fldChar w:fldCharType="begin"/>
            </w:r>
            <w:r w:rsidR="002B26A1">
              <w:rPr>
                <w:noProof/>
                <w:webHidden/>
              </w:rPr>
              <w:instrText xml:space="preserve"> PAGEREF _Toc100260745 \h </w:instrText>
            </w:r>
            <w:r w:rsidR="002B26A1">
              <w:rPr>
                <w:noProof/>
                <w:webHidden/>
              </w:rPr>
            </w:r>
            <w:r w:rsidR="002B26A1">
              <w:rPr>
                <w:noProof/>
                <w:webHidden/>
              </w:rPr>
              <w:fldChar w:fldCharType="separate"/>
            </w:r>
            <w:r>
              <w:rPr>
                <w:noProof/>
                <w:webHidden/>
              </w:rPr>
              <w:t>35</w:t>
            </w:r>
            <w:r w:rsidR="002B26A1">
              <w:rPr>
                <w:noProof/>
                <w:webHidden/>
              </w:rPr>
              <w:fldChar w:fldCharType="end"/>
            </w:r>
          </w:hyperlink>
        </w:p>
        <w:p w14:paraId="52656623" w14:textId="7C84F150" w:rsidR="002B26A1" w:rsidRDefault="00344F7A" w:rsidP="00E95A52">
          <w:pPr>
            <w:pStyle w:val="TOC4"/>
            <w:spacing w:after="60"/>
            <w:rPr>
              <w:noProof/>
              <w:sz w:val="22"/>
              <w:szCs w:val="22"/>
            </w:rPr>
          </w:pPr>
          <w:hyperlink w:anchor="_Toc100260746" w:history="1">
            <w:r w:rsidR="002B26A1" w:rsidRPr="008C60BC">
              <w:rPr>
                <w:rStyle w:val="Hyperlink"/>
                <w:noProof/>
              </w:rPr>
              <w:t>iii.</w:t>
            </w:r>
            <w:r w:rsidR="002B26A1">
              <w:rPr>
                <w:noProof/>
                <w:sz w:val="22"/>
                <w:szCs w:val="22"/>
              </w:rPr>
              <w:tab/>
            </w:r>
            <w:r w:rsidR="002B26A1" w:rsidRPr="008C60BC">
              <w:rPr>
                <w:rStyle w:val="Hyperlink"/>
                <w:noProof/>
              </w:rPr>
              <w:t>Historical non-benefit cost</w:t>
            </w:r>
            <w:r w:rsidR="002B26A1">
              <w:rPr>
                <w:noProof/>
                <w:webHidden/>
              </w:rPr>
              <w:tab/>
            </w:r>
            <w:r w:rsidR="002B26A1">
              <w:rPr>
                <w:noProof/>
                <w:webHidden/>
              </w:rPr>
              <w:fldChar w:fldCharType="begin"/>
            </w:r>
            <w:r w:rsidR="002B26A1">
              <w:rPr>
                <w:noProof/>
                <w:webHidden/>
              </w:rPr>
              <w:instrText xml:space="preserve"> PAGEREF _Toc100260746 \h </w:instrText>
            </w:r>
            <w:r w:rsidR="002B26A1">
              <w:rPr>
                <w:noProof/>
                <w:webHidden/>
              </w:rPr>
            </w:r>
            <w:r w:rsidR="002B26A1">
              <w:rPr>
                <w:noProof/>
                <w:webHidden/>
              </w:rPr>
              <w:fldChar w:fldCharType="separate"/>
            </w:r>
            <w:r>
              <w:rPr>
                <w:noProof/>
                <w:webHidden/>
              </w:rPr>
              <w:t>35</w:t>
            </w:r>
            <w:r w:rsidR="002B26A1">
              <w:rPr>
                <w:noProof/>
                <w:webHidden/>
              </w:rPr>
              <w:fldChar w:fldCharType="end"/>
            </w:r>
          </w:hyperlink>
        </w:p>
        <w:p w14:paraId="170C232F" w14:textId="62A53D69" w:rsidR="002B26A1" w:rsidRDefault="00344F7A" w:rsidP="00E95A52">
          <w:pPr>
            <w:pStyle w:val="TOC2"/>
            <w:spacing w:before="0" w:after="60"/>
            <w:rPr>
              <w:caps w:val="0"/>
              <w:noProof/>
              <w:color w:val="auto"/>
              <w:sz w:val="22"/>
              <w:szCs w:val="22"/>
            </w:rPr>
          </w:pPr>
          <w:hyperlink w:anchor="_Toc100260747" w:history="1">
            <w:r w:rsidR="002B26A1" w:rsidRPr="008C60BC">
              <w:rPr>
                <w:rStyle w:val="Hyperlink"/>
                <w:noProof/>
              </w:rPr>
              <w:t>6.</w:t>
            </w:r>
            <w:r w:rsidR="002B26A1">
              <w:rPr>
                <w:caps w:val="0"/>
                <w:noProof/>
                <w:color w:val="auto"/>
                <w:sz w:val="22"/>
                <w:szCs w:val="22"/>
              </w:rPr>
              <w:tab/>
            </w:r>
            <w:r w:rsidR="002B26A1" w:rsidRPr="008C60BC">
              <w:rPr>
                <w:rStyle w:val="Hyperlink"/>
                <w:noProof/>
              </w:rPr>
              <w:t>Risk Adjustment and Acuity Adjustments</w:t>
            </w:r>
            <w:r w:rsidR="002B26A1">
              <w:rPr>
                <w:noProof/>
                <w:webHidden/>
              </w:rPr>
              <w:tab/>
            </w:r>
            <w:r w:rsidR="002B26A1">
              <w:rPr>
                <w:noProof/>
                <w:webHidden/>
              </w:rPr>
              <w:fldChar w:fldCharType="begin"/>
            </w:r>
            <w:r w:rsidR="002B26A1">
              <w:rPr>
                <w:noProof/>
                <w:webHidden/>
              </w:rPr>
              <w:instrText xml:space="preserve"> PAGEREF _Toc100260747 \h </w:instrText>
            </w:r>
            <w:r w:rsidR="002B26A1">
              <w:rPr>
                <w:noProof/>
                <w:webHidden/>
              </w:rPr>
            </w:r>
            <w:r w:rsidR="002B26A1">
              <w:rPr>
                <w:noProof/>
                <w:webHidden/>
              </w:rPr>
              <w:fldChar w:fldCharType="separate"/>
            </w:r>
            <w:r>
              <w:rPr>
                <w:noProof/>
                <w:webHidden/>
              </w:rPr>
              <w:t>36</w:t>
            </w:r>
            <w:r w:rsidR="002B26A1">
              <w:rPr>
                <w:noProof/>
                <w:webHidden/>
              </w:rPr>
              <w:fldChar w:fldCharType="end"/>
            </w:r>
          </w:hyperlink>
        </w:p>
        <w:p w14:paraId="47AE8D14" w14:textId="2A051DDD" w:rsidR="002B26A1" w:rsidRDefault="00344F7A" w:rsidP="00E95A52">
          <w:pPr>
            <w:pStyle w:val="TOC3"/>
            <w:spacing w:before="0" w:after="60"/>
            <w:rPr>
              <w:noProof/>
              <w:color w:val="auto"/>
              <w:sz w:val="22"/>
              <w:szCs w:val="22"/>
            </w:rPr>
          </w:pPr>
          <w:hyperlink w:anchor="_Toc100260748" w:history="1">
            <w:r w:rsidR="002B26A1" w:rsidRPr="008C60BC">
              <w:rPr>
                <w:rStyle w:val="Hyperlink"/>
                <w:rFonts w:cstheme="minorHAnsi"/>
                <w:noProof/>
              </w:rPr>
              <w:t>A.</w:t>
            </w:r>
            <w:r w:rsidR="002B26A1">
              <w:rPr>
                <w:noProof/>
                <w:color w:val="auto"/>
                <w:sz w:val="22"/>
                <w:szCs w:val="22"/>
              </w:rPr>
              <w:tab/>
            </w:r>
            <w:r w:rsidR="002B26A1" w:rsidRPr="008C60BC">
              <w:rPr>
                <w:rStyle w:val="Hyperlink"/>
                <w:noProof/>
              </w:rPr>
              <w:t>Rate Development Standards</w:t>
            </w:r>
            <w:r w:rsidR="002B26A1">
              <w:rPr>
                <w:noProof/>
                <w:webHidden/>
              </w:rPr>
              <w:tab/>
            </w:r>
            <w:r w:rsidR="002B26A1">
              <w:rPr>
                <w:noProof/>
                <w:webHidden/>
              </w:rPr>
              <w:fldChar w:fldCharType="begin"/>
            </w:r>
            <w:r w:rsidR="002B26A1">
              <w:rPr>
                <w:noProof/>
                <w:webHidden/>
              </w:rPr>
              <w:instrText xml:space="preserve"> PAGEREF _Toc100260748 \h </w:instrText>
            </w:r>
            <w:r w:rsidR="002B26A1">
              <w:rPr>
                <w:noProof/>
                <w:webHidden/>
              </w:rPr>
            </w:r>
            <w:r w:rsidR="002B26A1">
              <w:rPr>
                <w:noProof/>
                <w:webHidden/>
              </w:rPr>
              <w:fldChar w:fldCharType="separate"/>
            </w:r>
            <w:r>
              <w:rPr>
                <w:noProof/>
                <w:webHidden/>
              </w:rPr>
              <w:t>36</w:t>
            </w:r>
            <w:r w:rsidR="002B26A1">
              <w:rPr>
                <w:noProof/>
                <w:webHidden/>
              </w:rPr>
              <w:fldChar w:fldCharType="end"/>
            </w:r>
          </w:hyperlink>
        </w:p>
        <w:p w14:paraId="0E670B4A" w14:textId="32BCD46C" w:rsidR="002B26A1" w:rsidRDefault="00344F7A" w:rsidP="00E95A52">
          <w:pPr>
            <w:pStyle w:val="TOC4"/>
            <w:spacing w:after="60"/>
            <w:rPr>
              <w:noProof/>
              <w:sz w:val="22"/>
              <w:szCs w:val="22"/>
            </w:rPr>
          </w:pPr>
          <w:hyperlink w:anchor="_Toc100260749" w:history="1">
            <w:r w:rsidR="002B26A1" w:rsidRPr="008C60BC">
              <w:rPr>
                <w:rStyle w:val="Hyperlink"/>
                <w:noProof/>
              </w:rPr>
              <w:t>i.</w:t>
            </w:r>
            <w:r w:rsidR="002B26A1">
              <w:rPr>
                <w:noProof/>
                <w:sz w:val="22"/>
                <w:szCs w:val="22"/>
              </w:rPr>
              <w:tab/>
            </w:r>
            <w:r w:rsidR="002B26A1" w:rsidRPr="008C60BC">
              <w:rPr>
                <w:rStyle w:val="Hyperlink"/>
                <w:noProof/>
              </w:rPr>
              <w:t>Overview</w:t>
            </w:r>
            <w:r w:rsidR="002B26A1">
              <w:rPr>
                <w:noProof/>
                <w:webHidden/>
              </w:rPr>
              <w:tab/>
            </w:r>
            <w:r w:rsidR="002B26A1">
              <w:rPr>
                <w:noProof/>
                <w:webHidden/>
              </w:rPr>
              <w:fldChar w:fldCharType="begin"/>
            </w:r>
            <w:r w:rsidR="002B26A1">
              <w:rPr>
                <w:noProof/>
                <w:webHidden/>
              </w:rPr>
              <w:instrText xml:space="preserve"> PAGEREF _Toc100260749 \h </w:instrText>
            </w:r>
            <w:r w:rsidR="002B26A1">
              <w:rPr>
                <w:noProof/>
                <w:webHidden/>
              </w:rPr>
            </w:r>
            <w:r w:rsidR="002B26A1">
              <w:rPr>
                <w:noProof/>
                <w:webHidden/>
              </w:rPr>
              <w:fldChar w:fldCharType="separate"/>
            </w:r>
            <w:r>
              <w:rPr>
                <w:noProof/>
                <w:webHidden/>
              </w:rPr>
              <w:t>36</w:t>
            </w:r>
            <w:r w:rsidR="002B26A1">
              <w:rPr>
                <w:noProof/>
                <w:webHidden/>
              </w:rPr>
              <w:fldChar w:fldCharType="end"/>
            </w:r>
          </w:hyperlink>
        </w:p>
        <w:p w14:paraId="2228D340" w14:textId="2CEC7845" w:rsidR="002B26A1" w:rsidRDefault="00344F7A" w:rsidP="00E95A52">
          <w:pPr>
            <w:pStyle w:val="TOC4"/>
            <w:spacing w:after="60"/>
            <w:rPr>
              <w:noProof/>
              <w:sz w:val="22"/>
              <w:szCs w:val="22"/>
            </w:rPr>
          </w:pPr>
          <w:hyperlink w:anchor="_Toc100260750" w:history="1">
            <w:r w:rsidR="002B26A1" w:rsidRPr="008C60BC">
              <w:rPr>
                <w:rStyle w:val="Hyperlink"/>
                <w:noProof/>
              </w:rPr>
              <w:t>ii.</w:t>
            </w:r>
            <w:r w:rsidR="002B26A1">
              <w:rPr>
                <w:noProof/>
                <w:sz w:val="22"/>
                <w:szCs w:val="22"/>
              </w:rPr>
              <w:tab/>
            </w:r>
            <w:r w:rsidR="002B26A1" w:rsidRPr="008C60BC">
              <w:rPr>
                <w:rStyle w:val="Hyperlink"/>
                <w:noProof/>
              </w:rPr>
              <w:t>Risk adjustment model</w:t>
            </w:r>
            <w:r w:rsidR="002B26A1">
              <w:rPr>
                <w:noProof/>
                <w:webHidden/>
              </w:rPr>
              <w:tab/>
            </w:r>
            <w:r w:rsidR="002B26A1">
              <w:rPr>
                <w:noProof/>
                <w:webHidden/>
              </w:rPr>
              <w:fldChar w:fldCharType="begin"/>
            </w:r>
            <w:r w:rsidR="002B26A1">
              <w:rPr>
                <w:noProof/>
                <w:webHidden/>
              </w:rPr>
              <w:instrText xml:space="preserve"> PAGEREF _Toc100260750 \h </w:instrText>
            </w:r>
            <w:r w:rsidR="002B26A1">
              <w:rPr>
                <w:noProof/>
                <w:webHidden/>
              </w:rPr>
            </w:r>
            <w:r w:rsidR="002B26A1">
              <w:rPr>
                <w:noProof/>
                <w:webHidden/>
              </w:rPr>
              <w:fldChar w:fldCharType="separate"/>
            </w:r>
            <w:r>
              <w:rPr>
                <w:noProof/>
                <w:webHidden/>
              </w:rPr>
              <w:t>36</w:t>
            </w:r>
            <w:r w:rsidR="002B26A1">
              <w:rPr>
                <w:noProof/>
                <w:webHidden/>
              </w:rPr>
              <w:fldChar w:fldCharType="end"/>
            </w:r>
          </w:hyperlink>
        </w:p>
        <w:p w14:paraId="133D0F07" w14:textId="41413487" w:rsidR="002B26A1" w:rsidRDefault="00344F7A" w:rsidP="00E95A52">
          <w:pPr>
            <w:pStyle w:val="TOC4"/>
            <w:spacing w:after="60"/>
            <w:rPr>
              <w:noProof/>
              <w:sz w:val="22"/>
              <w:szCs w:val="22"/>
            </w:rPr>
          </w:pPr>
          <w:hyperlink w:anchor="_Toc100260751" w:history="1">
            <w:r w:rsidR="002B26A1" w:rsidRPr="008C60BC">
              <w:rPr>
                <w:rStyle w:val="Hyperlink"/>
                <w:noProof/>
              </w:rPr>
              <w:t>iii.</w:t>
            </w:r>
            <w:r w:rsidR="002B26A1">
              <w:rPr>
                <w:noProof/>
                <w:sz w:val="22"/>
                <w:szCs w:val="22"/>
              </w:rPr>
              <w:tab/>
            </w:r>
            <w:r w:rsidR="002B26A1" w:rsidRPr="008C60BC">
              <w:rPr>
                <w:rStyle w:val="Hyperlink"/>
                <w:noProof/>
              </w:rPr>
              <w:t>Acuity adjustments</w:t>
            </w:r>
            <w:r w:rsidR="002B26A1">
              <w:rPr>
                <w:noProof/>
                <w:webHidden/>
              </w:rPr>
              <w:tab/>
            </w:r>
            <w:r w:rsidR="002B26A1">
              <w:rPr>
                <w:noProof/>
                <w:webHidden/>
              </w:rPr>
              <w:fldChar w:fldCharType="begin"/>
            </w:r>
            <w:r w:rsidR="002B26A1">
              <w:rPr>
                <w:noProof/>
                <w:webHidden/>
              </w:rPr>
              <w:instrText xml:space="preserve"> PAGEREF _Toc100260751 \h </w:instrText>
            </w:r>
            <w:r w:rsidR="002B26A1">
              <w:rPr>
                <w:noProof/>
                <w:webHidden/>
              </w:rPr>
            </w:r>
            <w:r w:rsidR="002B26A1">
              <w:rPr>
                <w:noProof/>
                <w:webHidden/>
              </w:rPr>
              <w:fldChar w:fldCharType="separate"/>
            </w:r>
            <w:r>
              <w:rPr>
                <w:noProof/>
                <w:webHidden/>
              </w:rPr>
              <w:t>36</w:t>
            </w:r>
            <w:r w:rsidR="002B26A1">
              <w:rPr>
                <w:noProof/>
                <w:webHidden/>
              </w:rPr>
              <w:fldChar w:fldCharType="end"/>
            </w:r>
          </w:hyperlink>
        </w:p>
        <w:p w14:paraId="28762BAD" w14:textId="0C983291" w:rsidR="002B26A1" w:rsidRDefault="00344F7A" w:rsidP="00E95A52">
          <w:pPr>
            <w:pStyle w:val="TOC3"/>
            <w:spacing w:before="0" w:after="60"/>
            <w:rPr>
              <w:noProof/>
              <w:color w:val="auto"/>
              <w:sz w:val="22"/>
              <w:szCs w:val="22"/>
            </w:rPr>
          </w:pPr>
          <w:hyperlink w:anchor="_Toc100260752" w:history="1">
            <w:r w:rsidR="002B26A1" w:rsidRPr="008C60BC">
              <w:rPr>
                <w:rStyle w:val="Hyperlink"/>
                <w:noProof/>
              </w:rPr>
              <w:t>B.</w:t>
            </w:r>
            <w:r w:rsidR="002B26A1">
              <w:rPr>
                <w:noProof/>
                <w:color w:val="auto"/>
                <w:sz w:val="22"/>
                <w:szCs w:val="22"/>
              </w:rPr>
              <w:tab/>
            </w:r>
            <w:r w:rsidR="002B26A1" w:rsidRPr="008C60BC">
              <w:rPr>
                <w:rStyle w:val="Hyperlink"/>
                <w:noProof/>
              </w:rPr>
              <w:t>Appropriate Documentation</w:t>
            </w:r>
            <w:r w:rsidR="002B26A1">
              <w:rPr>
                <w:noProof/>
                <w:webHidden/>
              </w:rPr>
              <w:tab/>
            </w:r>
            <w:r w:rsidR="002B26A1">
              <w:rPr>
                <w:noProof/>
                <w:webHidden/>
              </w:rPr>
              <w:fldChar w:fldCharType="begin"/>
            </w:r>
            <w:r w:rsidR="002B26A1">
              <w:rPr>
                <w:noProof/>
                <w:webHidden/>
              </w:rPr>
              <w:instrText xml:space="preserve"> PAGEREF _Toc100260752 \h </w:instrText>
            </w:r>
            <w:r w:rsidR="002B26A1">
              <w:rPr>
                <w:noProof/>
                <w:webHidden/>
              </w:rPr>
            </w:r>
            <w:r w:rsidR="002B26A1">
              <w:rPr>
                <w:noProof/>
                <w:webHidden/>
              </w:rPr>
              <w:fldChar w:fldCharType="separate"/>
            </w:r>
            <w:r>
              <w:rPr>
                <w:noProof/>
                <w:webHidden/>
              </w:rPr>
              <w:t>36</w:t>
            </w:r>
            <w:r w:rsidR="002B26A1">
              <w:rPr>
                <w:noProof/>
                <w:webHidden/>
              </w:rPr>
              <w:fldChar w:fldCharType="end"/>
            </w:r>
          </w:hyperlink>
        </w:p>
        <w:p w14:paraId="58766529" w14:textId="2379C903" w:rsidR="002B26A1" w:rsidRDefault="00344F7A" w:rsidP="00E95A52">
          <w:pPr>
            <w:pStyle w:val="TOC4"/>
            <w:spacing w:after="60"/>
            <w:rPr>
              <w:noProof/>
              <w:sz w:val="22"/>
              <w:szCs w:val="22"/>
            </w:rPr>
          </w:pPr>
          <w:hyperlink w:anchor="_Toc100260753" w:history="1">
            <w:r w:rsidR="002B26A1" w:rsidRPr="008C60BC">
              <w:rPr>
                <w:rStyle w:val="Hyperlink"/>
                <w:noProof/>
              </w:rPr>
              <w:t>i.</w:t>
            </w:r>
            <w:r w:rsidR="002B26A1">
              <w:rPr>
                <w:noProof/>
                <w:sz w:val="22"/>
                <w:szCs w:val="22"/>
              </w:rPr>
              <w:tab/>
            </w:r>
            <w:r w:rsidR="002B26A1" w:rsidRPr="008C60BC">
              <w:rPr>
                <w:rStyle w:val="Hyperlink"/>
                <w:noProof/>
              </w:rPr>
              <w:t>Prospective risk adjustment</w:t>
            </w:r>
            <w:r w:rsidR="002B26A1">
              <w:rPr>
                <w:noProof/>
                <w:webHidden/>
              </w:rPr>
              <w:tab/>
            </w:r>
            <w:r w:rsidR="002B26A1">
              <w:rPr>
                <w:noProof/>
                <w:webHidden/>
              </w:rPr>
              <w:fldChar w:fldCharType="begin"/>
            </w:r>
            <w:r w:rsidR="002B26A1">
              <w:rPr>
                <w:noProof/>
                <w:webHidden/>
              </w:rPr>
              <w:instrText xml:space="preserve"> PAGEREF _Toc100260753 \h </w:instrText>
            </w:r>
            <w:r w:rsidR="002B26A1">
              <w:rPr>
                <w:noProof/>
                <w:webHidden/>
              </w:rPr>
            </w:r>
            <w:r w:rsidR="002B26A1">
              <w:rPr>
                <w:noProof/>
                <w:webHidden/>
              </w:rPr>
              <w:fldChar w:fldCharType="separate"/>
            </w:r>
            <w:r>
              <w:rPr>
                <w:noProof/>
                <w:webHidden/>
              </w:rPr>
              <w:t>36</w:t>
            </w:r>
            <w:r w:rsidR="002B26A1">
              <w:rPr>
                <w:noProof/>
                <w:webHidden/>
              </w:rPr>
              <w:fldChar w:fldCharType="end"/>
            </w:r>
          </w:hyperlink>
        </w:p>
        <w:p w14:paraId="5113C384" w14:textId="1FA7D34C" w:rsidR="002B26A1" w:rsidRDefault="00344F7A" w:rsidP="00E95A52">
          <w:pPr>
            <w:pStyle w:val="TOC4"/>
            <w:spacing w:after="60"/>
            <w:rPr>
              <w:noProof/>
              <w:sz w:val="22"/>
              <w:szCs w:val="22"/>
            </w:rPr>
          </w:pPr>
          <w:hyperlink w:anchor="_Toc100260754" w:history="1">
            <w:r w:rsidR="002B26A1" w:rsidRPr="008C60BC">
              <w:rPr>
                <w:rStyle w:val="Hyperlink"/>
                <w:noProof/>
              </w:rPr>
              <w:t>ii.</w:t>
            </w:r>
            <w:r w:rsidR="002B26A1">
              <w:rPr>
                <w:noProof/>
                <w:sz w:val="22"/>
                <w:szCs w:val="22"/>
              </w:rPr>
              <w:tab/>
            </w:r>
            <w:r w:rsidR="002B26A1" w:rsidRPr="008C60BC">
              <w:rPr>
                <w:rStyle w:val="Hyperlink"/>
                <w:noProof/>
              </w:rPr>
              <w:t>Retrospective risk adjustment</w:t>
            </w:r>
            <w:r w:rsidR="002B26A1">
              <w:rPr>
                <w:noProof/>
                <w:webHidden/>
              </w:rPr>
              <w:tab/>
            </w:r>
            <w:r w:rsidR="002B26A1">
              <w:rPr>
                <w:noProof/>
                <w:webHidden/>
              </w:rPr>
              <w:fldChar w:fldCharType="begin"/>
            </w:r>
            <w:r w:rsidR="002B26A1">
              <w:rPr>
                <w:noProof/>
                <w:webHidden/>
              </w:rPr>
              <w:instrText xml:space="preserve"> PAGEREF _Toc100260754 \h </w:instrText>
            </w:r>
            <w:r w:rsidR="002B26A1">
              <w:rPr>
                <w:noProof/>
                <w:webHidden/>
              </w:rPr>
            </w:r>
            <w:r w:rsidR="002B26A1">
              <w:rPr>
                <w:noProof/>
                <w:webHidden/>
              </w:rPr>
              <w:fldChar w:fldCharType="separate"/>
            </w:r>
            <w:r>
              <w:rPr>
                <w:noProof/>
                <w:webHidden/>
              </w:rPr>
              <w:t>37</w:t>
            </w:r>
            <w:r w:rsidR="002B26A1">
              <w:rPr>
                <w:noProof/>
                <w:webHidden/>
              </w:rPr>
              <w:fldChar w:fldCharType="end"/>
            </w:r>
          </w:hyperlink>
        </w:p>
        <w:p w14:paraId="7E406ED3" w14:textId="34D1A326" w:rsidR="002B26A1" w:rsidRDefault="00344F7A" w:rsidP="00E95A52">
          <w:pPr>
            <w:pStyle w:val="TOC4"/>
            <w:spacing w:after="60"/>
            <w:rPr>
              <w:noProof/>
              <w:sz w:val="22"/>
              <w:szCs w:val="22"/>
            </w:rPr>
          </w:pPr>
          <w:hyperlink w:anchor="_Toc100260755" w:history="1">
            <w:r w:rsidR="002B26A1" w:rsidRPr="008C60BC">
              <w:rPr>
                <w:rStyle w:val="Hyperlink"/>
                <w:noProof/>
              </w:rPr>
              <w:t>iii.</w:t>
            </w:r>
            <w:r w:rsidR="002B26A1">
              <w:rPr>
                <w:noProof/>
                <w:sz w:val="22"/>
                <w:szCs w:val="22"/>
              </w:rPr>
              <w:tab/>
            </w:r>
            <w:r w:rsidR="002B26A1" w:rsidRPr="008C60BC">
              <w:rPr>
                <w:rStyle w:val="Hyperlink"/>
                <w:noProof/>
              </w:rPr>
              <w:t>Changes to risk adjustment model since last rating period</w:t>
            </w:r>
            <w:r w:rsidR="002B26A1">
              <w:rPr>
                <w:noProof/>
                <w:webHidden/>
              </w:rPr>
              <w:tab/>
            </w:r>
            <w:r w:rsidR="002B26A1">
              <w:rPr>
                <w:noProof/>
                <w:webHidden/>
              </w:rPr>
              <w:fldChar w:fldCharType="begin"/>
            </w:r>
            <w:r w:rsidR="002B26A1">
              <w:rPr>
                <w:noProof/>
                <w:webHidden/>
              </w:rPr>
              <w:instrText xml:space="preserve"> PAGEREF _Toc100260755 \h </w:instrText>
            </w:r>
            <w:r w:rsidR="002B26A1">
              <w:rPr>
                <w:noProof/>
                <w:webHidden/>
              </w:rPr>
            </w:r>
            <w:r w:rsidR="002B26A1">
              <w:rPr>
                <w:noProof/>
                <w:webHidden/>
              </w:rPr>
              <w:fldChar w:fldCharType="separate"/>
            </w:r>
            <w:r>
              <w:rPr>
                <w:noProof/>
                <w:webHidden/>
              </w:rPr>
              <w:t>37</w:t>
            </w:r>
            <w:r w:rsidR="002B26A1">
              <w:rPr>
                <w:noProof/>
                <w:webHidden/>
              </w:rPr>
              <w:fldChar w:fldCharType="end"/>
            </w:r>
          </w:hyperlink>
        </w:p>
        <w:p w14:paraId="08E8869F" w14:textId="09EA62D8" w:rsidR="002B26A1" w:rsidRDefault="00344F7A" w:rsidP="00E95A52">
          <w:pPr>
            <w:pStyle w:val="TOC4"/>
            <w:spacing w:after="60"/>
            <w:rPr>
              <w:noProof/>
              <w:sz w:val="22"/>
              <w:szCs w:val="22"/>
            </w:rPr>
          </w:pPr>
          <w:hyperlink w:anchor="_Toc100260756" w:history="1">
            <w:r w:rsidR="002B26A1" w:rsidRPr="008C60BC">
              <w:rPr>
                <w:rStyle w:val="Hyperlink"/>
                <w:noProof/>
              </w:rPr>
              <w:t>iv.</w:t>
            </w:r>
            <w:r w:rsidR="002B26A1">
              <w:rPr>
                <w:noProof/>
                <w:sz w:val="22"/>
                <w:szCs w:val="22"/>
              </w:rPr>
              <w:tab/>
            </w:r>
            <w:r w:rsidR="002B26A1" w:rsidRPr="008C60BC">
              <w:rPr>
                <w:rStyle w:val="Hyperlink"/>
                <w:noProof/>
              </w:rPr>
              <w:t>Acuity adjustments</w:t>
            </w:r>
            <w:r w:rsidR="002B26A1">
              <w:rPr>
                <w:noProof/>
                <w:webHidden/>
              </w:rPr>
              <w:tab/>
            </w:r>
            <w:r w:rsidR="002B26A1">
              <w:rPr>
                <w:noProof/>
                <w:webHidden/>
              </w:rPr>
              <w:fldChar w:fldCharType="begin"/>
            </w:r>
            <w:r w:rsidR="002B26A1">
              <w:rPr>
                <w:noProof/>
                <w:webHidden/>
              </w:rPr>
              <w:instrText xml:space="preserve"> PAGEREF _Toc100260756 \h </w:instrText>
            </w:r>
            <w:r w:rsidR="002B26A1">
              <w:rPr>
                <w:noProof/>
                <w:webHidden/>
              </w:rPr>
            </w:r>
            <w:r w:rsidR="002B26A1">
              <w:rPr>
                <w:noProof/>
                <w:webHidden/>
              </w:rPr>
              <w:fldChar w:fldCharType="separate"/>
            </w:r>
            <w:r>
              <w:rPr>
                <w:noProof/>
                <w:webHidden/>
              </w:rPr>
              <w:t>37</w:t>
            </w:r>
            <w:r w:rsidR="002B26A1">
              <w:rPr>
                <w:noProof/>
                <w:webHidden/>
              </w:rPr>
              <w:fldChar w:fldCharType="end"/>
            </w:r>
          </w:hyperlink>
        </w:p>
        <w:p w14:paraId="5B813FE0" w14:textId="1DFE2300" w:rsidR="002B26A1" w:rsidRDefault="00344F7A" w:rsidP="00E95A52">
          <w:pPr>
            <w:pStyle w:val="TOC1"/>
            <w:spacing w:before="0" w:after="60"/>
            <w:rPr>
              <w:b w:val="0"/>
              <w:caps w:val="0"/>
              <w:noProof/>
              <w:sz w:val="22"/>
              <w:szCs w:val="22"/>
            </w:rPr>
          </w:pPr>
          <w:hyperlink w:anchor="_Toc100260757" w:history="1">
            <w:r w:rsidR="002B26A1" w:rsidRPr="008C60BC">
              <w:rPr>
                <w:rStyle w:val="Hyperlink"/>
                <w:noProof/>
              </w:rPr>
              <w:t>Section II. Medicaid Managed care rates with long-term services and supports</w:t>
            </w:r>
            <w:r w:rsidR="002B26A1">
              <w:rPr>
                <w:noProof/>
                <w:webHidden/>
              </w:rPr>
              <w:tab/>
            </w:r>
            <w:r w:rsidR="002B26A1">
              <w:rPr>
                <w:noProof/>
                <w:webHidden/>
              </w:rPr>
              <w:fldChar w:fldCharType="begin"/>
            </w:r>
            <w:r w:rsidR="002B26A1">
              <w:rPr>
                <w:noProof/>
                <w:webHidden/>
              </w:rPr>
              <w:instrText xml:space="preserve"> PAGEREF _Toc100260757 \h </w:instrText>
            </w:r>
            <w:r w:rsidR="002B26A1">
              <w:rPr>
                <w:noProof/>
                <w:webHidden/>
              </w:rPr>
            </w:r>
            <w:r w:rsidR="002B26A1">
              <w:rPr>
                <w:noProof/>
                <w:webHidden/>
              </w:rPr>
              <w:fldChar w:fldCharType="separate"/>
            </w:r>
            <w:r>
              <w:rPr>
                <w:noProof/>
                <w:webHidden/>
              </w:rPr>
              <w:t>38</w:t>
            </w:r>
            <w:r w:rsidR="002B26A1">
              <w:rPr>
                <w:noProof/>
                <w:webHidden/>
              </w:rPr>
              <w:fldChar w:fldCharType="end"/>
            </w:r>
          </w:hyperlink>
        </w:p>
        <w:p w14:paraId="087C6479" w14:textId="1CE202A6" w:rsidR="002B26A1" w:rsidRDefault="00344F7A" w:rsidP="00E95A52">
          <w:pPr>
            <w:pStyle w:val="TOC1"/>
            <w:spacing w:before="0" w:after="60"/>
            <w:rPr>
              <w:b w:val="0"/>
              <w:caps w:val="0"/>
              <w:noProof/>
              <w:sz w:val="22"/>
              <w:szCs w:val="22"/>
            </w:rPr>
          </w:pPr>
          <w:hyperlink w:anchor="_Toc100260758" w:history="1">
            <w:r w:rsidR="002B26A1" w:rsidRPr="008C60BC">
              <w:rPr>
                <w:rStyle w:val="Hyperlink"/>
                <w:noProof/>
              </w:rPr>
              <w:t>Section III. New adult group capitation rates</w:t>
            </w:r>
            <w:r w:rsidR="002B26A1">
              <w:rPr>
                <w:noProof/>
                <w:webHidden/>
              </w:rPr>
              <w:tab/>
            </w:r>
            <w:r w:rsidR="002B26A1">
              <w:rPr>
                <w:noProof/>
                <w:webHidden/>
              </w:rPr>
              <w:fldChar w:fldCharType="begin"/>
            </w:r>
            <w:r w:rsidR="002B26A1">
              <w:rPr>
                <w:noProof/>
                <w:webHidden/>
              </w:rPr>
              <w:instrText xml:space="preserve"> PAGEREF _Toc100260758 \h </w:instrText>
            </w:r>
            <w:r w:rsidR="002B26A1">
              <w:rPr>
                <w:noProof/>
                <w:webHidden/>
              </w:rPr>
            </w:r>
            <w:r w:rsidR="002B26A1">
              <w:rPr>
                <w:noProof/>
                <w:webHidden/>
              </w:rPr>
              <w:fldChar w:fldCharType="separate"/>
            </w:r>
            <w:r>
              <w:rPr>
                <w:noProof/>
                <w:webHidden/>
              </w:rPr>
              <w:t>39</w:t>
            </w:r>
            <w:r w:rsidR="002B26A1">
              <w:rPr>
                <w:noProof/>
                <w:webHidden/>
              </w:rPr>
              <w:fldChar w:fldCharType="end"/>
            </w:r>
          </w:hyperlink>
        </w:p>
        <w:p w14:paraId="27271F3F" w14:textId="122F07BA" w:rsidR="002B26A1" w:rsidRDefault="00344F7A" w:rsidP="00E95A52">
          <w:pPr>
            <w:pStyle w:val="TOC2"/>
            <w:spacing w:before="0" w:after="60"/>
            <w:rPr>
              <w:caps w:val="0"/>
              <w:noProof/>
              <w:color w:val="auto"/>
              <w:sz w:val="22"/>
              <w:szCs w:val="22"/>
            </w:rPr>
          </w:pPr>
          <w:hyperlink w:anchor="_Toc100260759" w:history="1">
            <w:r w:rsidR="002B26A1" w:rsidRPr="008C60BC">
              <w:rPr>
                <w:rStyle w:val="Hyperlink"/>
                <w:noProof/>
              </w:rPr>
              <w:t>1.</w:t>
            </w:r>
            <w:r w:rsidR="002B26A1">
              <w:rPr>
                <w:caps w:val="0"/>
                <w:noProof/>
                <w:color w:val="auto"/>
                <w:sz w:val="22"/>
                <w:szCs w:val="22"/>
              </w:rPr>
              <w:tab/>
            </w:r>
            <w:r w:rsidR="002B26A1" w:rsidRPr="008C60BC">
              <w:rPr>
                <w:rStyle w:val="Hyperlink"/>
                <w:noProof/>
              </w:rPr>
              <w:t>Data</w:t>
            </w:r>
            <w:r w:rsidR="002B26A1">
              <w:rPr>
                <w:noProof/>
                <w:webHidden/>
              </w:rPr>
              <w:tab/>
            </w:r>
            <w:r w:rsidR="002B26A1">
              <w:rPr>
                <w:noProof/>
                <w:webHidden/>
              </w:rPr>
              <w:fldChar w:fldCharType="begin"/>
            </w:r>
            <w:r w:rsidR="002B26A1">
              <w:rPr>
                <w:noProof/>
                <w:webHidden/>
              </w:rPr>
              <w:instrText xml:space="preserve"> PAGEREF _Toc100260759 \h </w:instrText>
            </w:r>
            <w:r w:rsidR="002B26A1">
              <w:rPr>
                <w:noProof/>
                <w:webHidden/>
              </w:rPr>
            </w:r>
            <w:r w:rsidR="002B26A1">
              <w:rPr>
                <w:noProof/>
                <w:webHidden/>
              </w:rPr>
              <w:fldChar w:fldCharType="separate"/>
            </w:r>
            <w:r>
              <w:rPr>
                <w:noProof/>
                <w:webHidden/>
              </w:rPr>
              <w:t>39</w:t>
            </w:r>
            <w:r w:rsidR="002B26A1">
              <w:rPr>
                <w:noProof/>
                <w:webHidden/>
              </w:rPr>
              <w:fldChar w:fldCharType="end"/>
            </w:r>
          </w:hyperlink>
        </w:p>
        <w:p w14:paraId="22E66A96" w14:textId="3A64599D" w:rsidR="002B26A1" w:rsidRDefault="00344F7A" w:rsidP="00E95A52">
          <w:pPr>
            <w:pStyle w:val="TOC3"/>
            <w:spacing w:before="0" w:after="60"/>
            <w:rPr>
              <w:noProof/>
              <w:color w:val="auto"/>
              <w:sz w:val="22"/>
              <w:szCs w:val="22"/>
            </w:rPr>
          </w:pPr>
          <w:hyperlink w:anchor="_Toc100260760" w:history="1">
            <w:r w:rsidR="002B26A1" w:rsidRPr="008C60BC">
              <w:rPr>
                <w:rStyle w:val="Hyperlink"/>
                <w:noProof/>
              </w:rPr>
              <w:t>A.</w:t>
            </w:r>
            <w:r w:rsidR="002B26A1">
              <w:rPr>
                <w:noProof/>
                <w:color w:val="auto"/>
                <w:sz w:val="22"/>
                <w:szCs w:val="22"/>
              </w:rPr>
              <w:tab/>
            </w:r>
            <w:r w:rsidR="002B26A1" w:rsidRPr="008C60BC">
              <w:rPr>
                <w:rStyle w:val="Hyperlink"/>
                <w:noProof/>
              </w:rPr>
              <w:t>Data Used in Certification</w:t>
            </w:r>
            <w:r w:rsidR="002B26A1">
              <w:rPr>
                <w:noProof/>
                <w:webHidden/>
              </w:rPr>
              <w:tab/>
            </w:r>
            <w:r w:rsidR="002B26A1">
              <w:rPr>
                <w:noProof/>
                <w:webHidden/>
              </w:rPr>
              <w:fldChar w:fldCharType="begin"/>
            </w:r>
            <w:r w:rsidR="002B26A1">
              <w:rPr>
                <w:noProof/>
                <w:webHidden/>
              </w:rPr>
              <w:instrText xml:space="preserve"> PAGEREF _Toc100260760 \h </w:instrText>
            </w:r>
            <w:r w:rsidR="002B26A1">
              <w:rPr>
                <w:noProof/>
                <w:webHidden/>
              </w:rPr>
            </w:r>
            <w:r w:rsidR="002B26A1">
              <w:rPr>
                <w:noProof/>
                <w:webHidden/>
              </w:rPr>
              <w:fldChar w:fldCharType="separate"/>
            </w:r>
            <w:r>
              <w:rPr>
                <w:noProof/>
                <w:webHidden/>
              </w:rPr>
              <w:t>39</w:t>
            </w:r>
            <w:r w:rsidR="002B26A1">
              <w:rPr>
                <w:noProof/>
                <w:webHidden/>
              </w:rPr>
              <w:fldChar w:fldCharType="end"/>
            </w:r>
          </w:hyperlink>
        </w:p>
        <w:p w14:paraId="7C93C6E5" w14:textId="31B9F458" w:rsidR="002B26A1" w:rsidRDefault="00344F7A" w:rsidP="00E95A52">
          <w:pPr>
            <w:pStyle w:val="TOC3"/>
            <w:spacing w:before="0" w:after="60"/>
            <w:rPr>
              <w:noProof/>
              <w:color w:val="auto"/>
              <w:sz w:val="22"/>
              <w:szCs w:val="22"/>
            </w:rPr>
          </w:pPr>
          <w:hyperlink w:anchor="_Toc100260761" w:history="1">
            <w:r w:rsidR="002B26A1" w:rsidRPr="008C60BC">
              <w:rPr>
                <w:rStyle w:val="Hyperlink"/>
                <w:noProof/>
              </w:rPr>
              <w:t>B.</w:t>
            </w:r>
            <w:r w:rsidR="002B26A1">
              <w:rPr>
                <w:noProof/>
                <w:color w:val="auto"/>
                <w:sz w:val="22"/>
                <w:szCs w:val="22"/>
              </w:rPr>
              <w:tab/>
            </w:r>
            <w:r w:rsidR="002B26A1" w:rsidRPr="008C60BC">
              <w:rPr>
                <w:rStyle w:val="Hyperlink"/>
                <w:noProof/>
              </w:rPr>
              <w:t>Description of Emerging Data</w:t>
            </w:r>
            <w:r w:rsidR="002B26A1">
              <w:rPr>
                <w:noProof/>
                <w:webHidden/>
              </w:rPr>
              <w:tab/>
            </w:r>
            <w:r w:rsidR="002B26A1">
              <w:rPr>
                <w:noProof/>
                <w:webHidden/>
              </w:rPr>
              <w:fldChar w:fldCharType="begin"/>
            </w:r>
            <w:r w:rsidR="002B26A1">
              <w:rPr>
                <w:noProof/>
                <w:webHidden/>
              </w:rPr>
              <w:instrText xml:space="preserve"> PAGEREF _Toc100260761 \h </w:instrText>
            </w:r>
            <w:r w:rsidR="002B26A1">
              <w:rPr>
                <w:noProof/>
                <w:webHidden/>
              </w:rPr>
            </w:r>
            <w:r w:rsidR="002B26A1">
              <w:rPr>
                <w:noProof/>
                <w:webHidden/>
              </w:rPr>
              <w:fldChar w:fldCharType="separate"/>
            </w:r>
            <w:r>
              <w:rPr>
                <w:noProof/>
                <w:webHidden/>
              </w:rPr>
              <w:t>39</w:t>
            </w:r>
            <w:r w:rsidR="002B26A1">
              <w:rPr>
                <w:noProof/>
                <w:webHidden/>
              </w:rPr>
              <w:fldChar w:fldCharType="end"/>
            </w:r>
          </w:hyperlink>
        </w:p>
        <w:p w14:paraId="4C422731" w14:textId="2E5E4F6E" w:rsidR="002B26A1" w:rsidRDefault="00344F7A" w:rsidP="00E95A52">
          <w:pPr>
            <w:pStyle w:val="TOC4"/>
            <w:spacing w:after="60"/>
            <w:rPr>
              <w:noProof/>
              <w:sz w:val="22"/>
              <w:szCs w:val="22"/>
            </w:rPr>
          </w:pPr>
          <w:hyperlink w:anchor="_Toc100260762" w:history="1">
            <w:r w:rsidR="002B26A1" w:rsidRPr="008C60BC">
              <w:rPr>
                <w:rStyle w:val="Hyperlink"/>
                <w:noProof/>
              </w:rPr>
              <w:t>i.</w:t>
            </w:r>
            <w:r w:rsidR="002B26A1">
              <w:rPr>
                <w:noProof/>
                <w:sz w:val="22"/>
                <w:szCs w:val="22"/>
              </w:rPr>
              <w:tab/>
            </w:r>
            <w:r w:rsidR="002B26A1" w:rsidRPr="008C60BC">
              <w:rPr>
                <w:rStyle w:val="Hyperlink"/>
                <w:noProof/>
              </w:rPr>
              <w:t>New data available for rate setting</w:t>
            </w:r>
            <w:r w:rsidR="002B26A1">
              <w:rPr>
                <w:noProof/>
                <w:webHidden/>
              </w:rPr>
              <w:tab/>
            </w:r>
            <w:r w:rsidR="002B26A1">
              <w:rPr>
                <w:noProof/>
                <w:webHidden/>
              </w:rPr>
              <w:fldChar w:fldCharType="begin"/>
            </w:r>
            <w:r w:rsidR="002B26A1">
              <w:rPr>
                <w:noProof/>
                <w:webHidden/>
              </w:rPr>
              <w:instrText xml:space="preserve"> PAGEREF _Toc100260762 \h </w:instrText>
            </w:r>
            <w:r w:rsidR="002B26A1">
              <w:rPr>
                <w:noProof/>
                <w:webHidden/>
              </w:rPr>
            </w:r>
            <w:r w:rsidR="002B26A1">
              <w:rPr>
                <w:noProof/>
                <w:webHidden/>
              </w:rPr>
              <w:fldChar w:fldCharType="separate"/>
            </w:r>
            <w:r>
              <w:rPr>
                <w:noProof/>
                <w:webHidden/>
              </w:rPr>
              <w:t>39</w:t>
            </w:r>
            <w:r w:rsidR="002B26A1">
              <w:rPr>
                <w:noProof/>
                <w:webHidden/>
              </w:rPr>
              <w:fldChar w:fldCharType="end"/>
            </w:r>
          </w:hyperlink>
        </w:p>
        <w:p w14:paraId="20E66123" w14:textId="4435E72B" w:rsidR="002B26A1" w:rsidRDefault="00344F7A" w:rsidP="00E95A52">
          <w:pPr>
            <w:pStyle w:val="TOC4"/>
            <w:spacing w:after="60"/>
            <w:rPr>
              <w:noProof/>
              <w:sz w:val="22"/>
              <w:szCs w:val="22"/>
            </w:rPr>
          </w:pPr>
          <w:hyperlink w:anchor="_Toc100260763" w:history="1">
            <w:r w:rsidR="002B26A1" w:rsidRPr="008C60BC">
              <w:rPr>
                <w:rStyle w:val="Hyperlink"/>
                <w:noProof/>
              </w:rPr>
              <w:t>ii.</w:t>
            </w:r>
            <w:r w:rsidR="002B26A1">
              <w:rPr>
                <w:noProof/>
                <w:sz w:val="22"/>
                <w:szCs w:val="22"/>
              </w:rPr>
              <w:tab/>
            </w:r>
            <w:r w:rsidR="002B26A1" w:rsidRPr="008C60BC">
              <w:rPr>
                <w:rStyle w:val="Hyperlink"/>
                <w:noProof/>
              </w:rPr>
              <w:t>Monitoring of experience</w:t>
            </w:r>
            <w:r w:rsidR="002B26A1">
              <w:rPr>
                <w:noProof/>
                <w:webHidden/>
              </w:rPr>
              <w:tab/>
            </w:r>
            <w:r w:rsidR="002B26A1">
              <w:rPr>
                <w:noProof/>
                <w:webHidden/>
              </w:rPr>
              <w:fldChar w:fldCharType="begin"/>
            </w:r>
            <w:r w:rsidR="002B26A1">
              <w:rPr>
                <w:noProof/>
                <w:webHidden/>
              </w:rPr>
              <w:instrText xml:space="preserve"> PAGEREF _Toc100260763 \h </w:instrText>
            </w:r>
            <w:r w:rsidR="002B26A1">
              <w:rPr>
                <w:noProof/>
                <w:webHidden/>
              </w:rPr>
            </w:r>
            <w:r w:rsidR="002B26A1">
              <w:rPr>
                <w:noProof/>
                <w:webHidden/>
              </w:rPr>
              <w:fldChar w:fldCharType="separate"/>
            </w:r>
            <w:r>
              <w:rPr>
                <w:noProof/>
                <w:webHidden/>
              </w:rPr>
              <w:t>39</w:t>
            </w:r>
            <w:r w:rsidR="002B26A1">
              <w:rPr>
                <w:noProof/>
                <w:webHidden/>
              </w:rPr>
              <w:fldChar w:fldCharType="end"/>
            </w:r>
          </w:hyperlink>
        </w:p>
        <w:p w14:paraId="4129497E" w14:textId="014E1C79" w:rsidR="002B26A1" w:rsidRDefault="00344F7A" w:rsidP="00E95A52">
          <w:pPr>
            <w:pStyle w:val="TOC4"/>
            <w:spacing w:after="60"/>
            <w:rPr>
              <w:noProof/>
              <w:sz w:val="22"/>
              <w:szCs w:val="22"/>
            </w:rPr>
          </w:pPr>
          <w:hyperlink w:anchor="_Toc100260764" w:history="1">
            <w:r w:rsidR="002B26A1" w:rsidRPr="008C60BC">
              <w:rPr>
                <w:rStyle w:val="Hyperlink"/>
                <w:noProof/>
              </w:rPr>
              <w:t>iii.</w:t>
            </w:r>
            <w:r w:rsidR="002B26A1">
              <w:rPr>
                <w:noProof/>
                <w:sz w:val="22"/>
                <w:szCs w:val="22"/>
              </w:rPr>
              <w:tab/>
            </w:r>
            <w:r w:rsidR="002B26A1" w:rsidRPr="008C60BC">
              <w:rPr>
                <w:rStyle w:val="Hyperlink"/>
                <w:noProof/>
              </w:rPr>
              <w:t>Comparison to previous rate certifications</w:t>
            </w:r>
            <w:r w:rsidR="002B26A1">
              <w:rPr>
                <w:noProof/>
                <w:webHidden/>
              </w:rPr>
              <w:tab/>
            </w:r>
            <w:r w:rsidR="002B26A1">
              <w:rPr>
                <w:noProof/>
                <w:webHidden/>
              </w:rPr>
              <w:fldChar w:fldCharType="begin"/>
            </w:r>
            <w:r w:rsidR="002B26A1">
              <w:rPr>
                <w:noProof/>
                <w:webHidden/>
              </w:rPr>
              <w:instrText xml:space="preserve"> PAGEREF _Toc100260764 \h </w:instrText>
            </w:r>
            <w:r w:rsidR="002B26A1">
              <w:rPr>
                <w:noProof/>
                <w:webHidden/>
              </w:rPr>
            </w:r>
            <w:r w:rsidR="002B26A1">
              <w:rPr>
                <w:noProof/>
                <w:webHidden/>
              </w:rPr>
              <w:fldChar w:fldCharType="separate"/>
            </w:r>
            <w:r>
              <w:rPr>
                <w:noProof/>
                <w:webHidden/>
              </w:rPr>
              <w:t>39</w:t>
            </w:r>
            <w:r w:rsidR="002B26A1">
              <w:rPr>
                <w:noProof/>
                <w:webHidden/>
              </w:rPr>
              <w:fldChar w:fldCharType="end"/>
            </w:r>
          </w:hyperlink>
        </w:p>
        <w:p w14:paraId="67F52F14" w14:textId="1F7B7F27" w:rsidR="002B26A1" w:rsidRDefault="00344F7A" w:rsidP="00E95A52">
          <w:pPr>
            <w:pStyle w:val="TOC4"/>
            <w:spacing w:after="60"/>
            <w:rPr>
              <w:noProof/>
              <w:sz w:val="22"/>
              <w:szCs w:val="22"/>
            </w:rPr>
          </w:pPr>
          <w:hyperlink w:anchor="_Toc100260765" w:history="1">
            <w:r w:rsidR="002B26A1" w:rsidRPr="008C60BC">
              <w:rPr>
                <w:rStyle w:val="Hyperlink"/>
                <w:noProof/>
              </w:rPr>
              <w:t>iv.</w:t>
            </w:r>
            <w:r w:rsidR="002B26A1">
              <w:rPr>
                <w:noProof/>
                <w:sz w:val="22"/>
                <w:szCs w:val="22"/>
              </w:rPr>
              <w:tab/>
            </w:r>
            <w:r w:rsidR="002B26A1" w:rsidRPr="008C60BC">
              <w:rPr>
                <w:rStyle w:val="Hyperlink"/>
                <w:noProof/>
              </w:rPr>
              <w:t>Adjustment to current rates</w:t>
            </w:r>
            <w:r w:rsidR="002B26A1">
              <w:rPr>
                <w:noProof/>
                <w:webHidden/>
              </w:rPr>
              <w:tab/>
            </w:r>
            <w:r w:rsidR="002B26A1">
              <w:rPr>
                <w:noProof/>
                <w:webHidden/>
              </w:rPr>
              <w:fldChar w:fldCharType="begin"/>
            </w:r>
            <w:r w:rsidR="002B26A1">
              <w:rPr>
                <w:noProof/>
                <w:webHidden/>
              </w:rPr>
              <w:instrText xml:space="preserve"> PAGEREF _Toc100260765 \h </w:instrText>
            </w:r>
            <w:r w:rsidR="002B26A1">
              <w:rPr>
                <w:noProof/>
                <w:webHidden/>
              </w:rPr>
            </w:r>
            <w:r w:rsidR="002B26A1">
              <w:rPr>
                <w:noProof/>
                <w:webHidden/>
              </w:rPr>
              <w:fldChar w:fldCharType="separate"/>
            </w:r>
            <w:r>
              <w:rPr>
                <w:noProof/>
                <w:webHidden/>
              </w:rPr>
              <w:t>39</w:t>
            </w:r>
            <w:r w:rsidR="002B26A1">
              <w:rPr>
                <w:noProof/>
                <w:webHidden/>
              </w:rPr>
              <w:fldChar w:fldCharType="end"/>
            </w:r>
          </w:hyperlink>
        </w:p>
        <w:p w14:paraId="441BF6F8" w14:textId="59E872E6" w:rsidR="002B26A1" w:rsidRDefault="00344F7A" w:rsidP="00E95A52">
          <w:pPr>
            <w:pStyle w:val="TOC2"/>
            <w:spacing w:before="0" w:after="60"/>
            <w:rPr>
              <w:caps w:val="0"/>
              <w:noProof/>
              <w:color w:val="auto"/>
              <w:sz w:val="22"/>
              <w:szCs w:val="22"/>
            </w:rPr>
          </w:pPr>
          <w:hyperlink w:anchor="_Toc100260766" w:history="1">
            <w:r w:rsidR="002B26A1" w:rsidRPr="008C60BC">
              <w:rPr>
                <w:rStyle w:val="Hyperlink"/>
                <w:noProof/>
              </w:rPr>
              <w:t>2.</w:t>
            </w:r>
            <w:r w:rsidR="002B26A1">
              <w:rPr>
                <w:caps w:val="0"/>
                <w:noProof/>
                <w:color w:val="auto"/>
                <w:sz w:val="22"/>
                <w:szCs w:val="22"/>
              </w:rPr>
              <w:tab/>
            </w:r>
            <w:r w:rsidR="002B26A1" w:rsidRPr="008C60BC">
              <w:rPr>
                <w:rStyle w:val="Hyperlink"/>
                <w:noProof/>
              </w:rPr>
              <w:t>Projected Benefit Costs</w:t>
            </w:r>
            <w:r w:rsidR="002B26A1">
              <w:rPr>
                <w:noProof/>
                <w:webHidden/>
              </w:rPr>
              <w:tab/>
            </w:r>
            <w:r w:rsidR="002B26A1">
              <w:rPr>
                <w:noProof/>
                <w:webHidden/>
              </w:rPr>
              <w:fldChar w:fldCharType="begin"/>
            </w:r>
            <w:r w:rsidR="002B26A1">
              <w:rPr>
                <w:noProof/>
                <w:webHidden/>
              </w:rPr>
              <w:instrText xml:space="preserve"> PAGEREF _Toc100260766 \h </w:instrText>
            </w:r>
            <w:r w:rsidR="002B26A1">
              <w:rPr>
                <w:noProof/>
                <w:webHidden/>
              </w:rPr>
            </w:r>
            <w:r w:rsidR="002B26A1">
              <w:rPr>
                <w:noProof/>
                <w:webHidden/>
              </w:rPr>
              <w:fldChar w:fldCharType="separate"/>
            </w:r>
            <w:r>
              <w:rPr>
                <w:noProof/>
                <w:webHidden/>
              </w:rPr>
              <w:t>40</w:t>
            </w:r>
            <w:r w:rsidR="002B26A1">
              <w:rPr>
                <w:noProof/>
                <w:webHidden/>
              </w:rPr>
              <w:fldChar w:fldCharType="end"/>
            </w:r>
          </w:hyperlink>
        </w:p>
        <w:p w14:paraId="7FDE66BA" w14:textId="42D8850B" w:rsidR="002B26A1" w:rsidRDefault="00344F7A" w:rsidP="00E95A52">
          <w:pPr>
            <w:pStyle w:val="TOC3"/>
            <w:spacing w:before="0" w:after="60"/>
            <w:rPr>
              <w:noProof/>
              <w:color w:val="auto"/>
              <w:sz w:val="22"/>
              <w:szCs w:val="22"/>
            </w:rPr>
          </w:pPr>
          <w:hyperlink w:anchor="_Toc100260767" w:history="1">
            <w:r w:rsidR="002B26A1" w:rsidRPr="008C60BC">
              <w:rPr>
                <w:rStyle w:val="Hyperlink"/>
                <w:noProof/>
              </w:rPr>
              <w:t>A.</w:t>
            </w:r>
            <w:r w:rsidR="002B26A1">
              <w:rPr>
                <w:noProof/>
                <w:color w:val="auto"/>
                <w:sz w:val="22"/>
                <w:szCs w:val="22"/>
              </w:rPr>
              <w:tab/>
            </w:r>
            <w:r w:rsidR="002B26A1" w:rsidRPr="008C60BC">
              <w:rPr>
                <w:rStyle w:val="Hyperlink"/>
                <w:noProof/>
              </w:rPr>
              <w:t>Description of Projected Benefit Cost Issues</w:t>
            </w:r>
            <w:r w:rsidR="002B26A1">
              <w:rPr>
                <w:noProof/>
                <w:webHidden/>
              </w:rPr>
              <w:tab/>
            </w:r>
            <w:r w:rsidR="002B26A1">
              <w:rPr>
                <w:noProof/>
                <w:webHidden/>
              </w:rPr>
              <w:fldChar w:fldCharType="begin"/>
            </w:r>
            <w:r w:rsidR="002B26A1">
              <w:rPr>
                <w:noProof/>
                <w:webHidden/>
              </w:rPr>
              <w:instrText xml:space="preserve"> PAGEREF _Toc100260767 \h </w:instrText>
            </w:r>
            <w:r w:rsidR="002B26A1">
              <w:rPr>
                <w:noProof/>
                <w:webHidden/>
              </w:rPr>
            </w:r>
            <w:r w:rsidR="002B26A1">
              <w:rPr>
                <w:noProof/>
                <w:webHidden/>
              </w:rPr>
              <w:fldChar w:fldCharType="separate"/>
            </w:r>
            <w:r>
              <w:rPr>
                <w:noProof/>
                <w:webHidden/>
              </w:rPr>
              <w:t>40</w:t>
            </w:r>
            <w:r w:rsidR="002B26A1">
              <w:rPr>
                <w:noProof/>
                <w:webHidden/>
              </w:rPr>
              <w:fldChar w:fldCharType="end"/>
            </w:r>
          </w:hyperlink>
        </w:p>
        <w:p w14:paraId="1217D739" w14:textId="29B2B9F0" w:rsidR="002B26A1" w:rsidRDefault="00344F7A" w:rsidP="00E95A52">
          <w:pPr>
            <w:pStyle w:val="TOC4"/>
            <w:spacing w:after="60"/>
            <w:rPr>
              <w:noProof/>
              <w:sz w:val="22"/>
              <w:szCs w:val="22"/>
            </w:rPr>
          </w:pPr>
          <w:hyperlink w:anchor="_Toc100260768" w:history="1">
            <w:r w:rsidR="002B26A1" w:rsidRPr="008C60BC">
              <w:rPr>
                <w:rStyle w:val="Hyperlink"/>
                <w:noProof/>
              </w:rPr>
              <w:t>i.</w:t>
            </w:r>
            <w:r w:rsidR="002B26A1">
              <w:rPr>
                <w:noProof/>
                <w:sz w:val="22"/>
                <w:szCs w:val="22"/>
              </w:rPr>
              <w:tab/>
            </w:r>
            <w:r w:rsidR="002B26A1" w:rsidRPr="008C60BC">
              <w:rPr>
                <w:rStyle w:val="Hyperlink"/>
                <w:noProof/>
              </w:rPr>
              <w:t>For states that covered the new adult group in previous rating periods</w:t>
            </w:r>
            <w:r w:rsidR="002B26A1">
              <w:rPr>
                <w:noProof/>
                <w:webHidden/>
              </w:rPr>
              <w:tab/>
            </w:r>
            <w:r w:rsidR="002B26A1">
              <w:rPr>
                <w:noProof/>
                <w:webHidden/>
              </w:rPr>
              <w:fldChar w:fldCharType="begin"/>
            </w:r>
            <w:r w:rsidR="002B26A1">
              <w:rPr>
                <w:noProof/>
                <w:webHidden/>
              </w:rPr>
              <w:instrText xml:space="preserve"> PAGEREF _Toc100260768 \h </w:instrText>
            </w:r>
            <w:r w:rsidR="002B26A1">
              <w:rPr>
                <w:noProof/>
                <w:webHidden/>
              </w:rPr>
            </w:r>
            <w:r w:rsidR="002B26A1">
              <w:rPr>
                <w:noProof/>
                <w:webHidden/>
              </w:rPr>
              <w:fldChar w:fldCharType="separate"/>
            </w:r>
            <w:r>
              <w:rPr>
                <w:noProof/>
                <w:webHidden/>
              </w:rPr>
              <w:t>40</w:t>
            </w:r>
            <w:r w:rsidR="002B26A1">
              <w:rPr>
                <w:noProof/>
                <w:webHidden/>
              </w:rPr>
              <w:fldChar w:fldCharType="end"/>
            </w:r>
          </w:hyperlink>
        </w:p>
        <w:p w14:paraId="37A85DAE" w14:textId="70B837B9" w:rsidR="002B26A1" w:rsidRDefault="00344F7A" w:rsidP="00E95A52">
          <w:pPr>
            <w:pStyle w:val="TOC4"/>
            <w:spacing w:after="60"/>
            <w:rPr>
              <w:noProof/>
              <w:sz w:val="22"/>
              <w:szCs w:val="22"/>
            </w:rPr>
          </w:pPr>
          <w:hyperlink w:anchor="_Toc100260769" w:history="1">
            <w:r w:rsidR="002B26A1" w:rsidRPr="008C60BC">
              <w:rPr>
                <w:rStyle w:val="Hyperlink"/>
                <w:noProof/>
              </w:rPr>
              <w:t>ii.</w:t>
            </w:r>
            <w:r w:rsidR="002B26A1">
              <w:rPr>
                <w:noProof/>
                <w:sz w:val="22"/>
                <w:szCs w:val="22"/>
              </w:rPr>
              <w:tab/>
            </w:r>
            <w:r w:rsidR="002B26A1" w:rsidRPr="008C60BC">
              <w:rPr>
                <w:rStyle w:val="Hyperlink"/>
                <w:noProof/>
              </w:rPr>
              <w:t>For new adult groups not covered in previous rating periods</w:t>
            </w:r>
            <w:r w:rsidR="002B26A1">
              <w:rPr>
                <w:noProof/>
                <w:webHidden/>
              </w:rPr>
              <w:tab/>
            </w:r>
            <w:r w:rsidR="002B26A1">
              <w:rPr>
                <w:noProof/>
                <w:webHidden/>
              </w:rPr>
              <w:fldChar w:fldCharType="begin"/>
            </w:r>
            <w:r w:rsidR="002B26A1">
              <w:rPr>
                <w:noProof/>
                <w:webHidden/>
              </w:rPr>
              <w:instrText xml:space="preserve"> PAGEREF _Toc100260769 \h </w:instrText>
            </w:r>
            <w:r w:rsidR="002B26A1">
              <w:rPr>
                <w:noProof/>
                <w:webHidden/>
              </w:rPr>
            </w:r>
            <w:r w:rsidR="002B26A1">
              <w:rPr>
                <w:noProof/>
                <w:webHidden/>
              </w:rPr>
              <w:fldChar w:fldCharType="separate"/>
            </w:r>
            <w:r>
              <w:rPr>
                <w:noProof/>
                <w:webHidden/>
              </w:rPr>
              <w:t>40</w:t>
            </w:r>
            <w:r w:rsidR="002B26A1">
              <w:rPr>
                <w:noProof/>
                <w:webHidden/>
              </w:rPr>
              <w:fldChar w:fldCharType="end"/>
            </w:r>
          </w:hyperlink>
        </w:p>
        <w:p w14:paraId="511EA9FC" w14:textId="0C03EFB2" w:rsidR="002B26A1" w:rsidRDefault="00344F7A" w:rsidP="00E95A52">
          <w:pPr>
            <w:pStyle w:val="TOC4"/>
            <w:spacing w:after="60"/>
            <w:rPr>
              <w:noProof/>
              <w:sz w:val="22"/>
              <w:szCs w:val="22"/>
            </w:rPr>
          </w:pPr>
          <w:hyperlink w:anchor="_Toc100260770" w:history="1">
            <w:r w:rsidR="002B26A1" w:rsidRPr="008C60BC">
              <w:rPr>
                <w:rStyle w:val="Hyperlink"/>
                <w:noProof/>
              </w:rPr>
              <w:t>iii.</w:t>
            </w:r>
            <w:r w:rsidR="002B26A1">
              <w:rPr>
                <w:noProof/>
                <w:sz w:val="22"/>
                <w:szCs w:val="22"/>
              </w:rPr>
              <w:tab/>
            </w:r>
            <w:r w:rsidR="002B26A1" w:rsidRPr="008C60BC">
              <w:rPr>
                <w:rStyle w:val="Hyperlink"/>
                <w:noProof/>
              </w:rPr>
              <w:t>Key assumptions</w:t>
            </w:r>
            <w:r w:rsidR="002B26A1">
              <w:rPr>
                <w:noProof/>
                <w:webHidden/>
              </w:rPr>
              <w:tab/>
            </w:r>
            <w:r w:rsidR="002B26A1">
              <w:rPr>
                <w:noProof/>
                <w:webHidden/>
              </w:rPr>
              <w:fldChar w:fldCharType="begin"/>
            </w:r>
            <w:r w:rsidR="002B26A1">
              <w:rPr>
                <w:noProof/>
                <w:webHidden/>
              </w:rPr>
              <w:instrText xml:space="preserve"> PAGEREF _Toc100260770 \h </w:instrText>
            </w:r>
            <w:r w:rsidR="002B26A1">
              <w:rPr>
                <w:noProof/>
                <w:webHidden/>
              </w:rPr>
            </w:r>
            <w:r w:rsidR="002B26A1">
              <w:rPr>
                <w:noProof/>
                <w:webHidden/>
              </w:rPr>
              <w:fldChar w:fldCharType="separate"/>
            </w:r>
            <w:r>
              <w:rPr>
                <w:noProof/>
                <w:webHidden/>
              </w:rPr>
              <w:t>40</w:t>
            </w:r>
            <w:r w:rsidR="002B26A1">
              <w:rPr>
                <w:noProof/>
                <w:webHidden/>
              </w:rPr>
              <w:fldChar w:fldCharType="end"/>
            </w:r>
          </w:hyperlink>
        </w:p>
        <w:p w14:paraId="206C1738" w14:textId="77076ACF" w:rsidR="002B26A1" w:rsidRDefault="00344F7A" w:rsidP="00E95A52">
          <w:pPr>
            <w:pStyle w:val="TOC3"/>
            <w:spacing w:before="0" w:after="60"/>
            <w:rPr>
              <w:noProof/>
              <w:color w:val="auto"/>
              <w:sz w:val="22"/>
              <w:szCs w:val="22"/>
            </w:rPr>
          </w:pPr>
          <w:hyperlink w:anchor="_Toc100260771" w:history="1">
            <w:r w:rsidR="002B26A1" w:rsidRPr="008C60BC">
              <w:rPr>
                <w:rStyle w:val="Hyperlink"/>
                <w:rFonts w:cstheme="minorHAnsi"/>
                <w:noProof/>
              </w:rPr>
              <w:t>B.</w:t>
            </w:r>
            <w:r w:rsidR="002B26A1">
              <w:rPr>
                <w:noProof/>
                <w:color w:val="auto"/>
                <w:sz w:val="22"/>
                <w:szCs w:val="22"/>
              </w:rPr>
              <w:tab/>
            </w:r>
            <w:r w:rsidR="002B26A1" w:rsidRPr="008C60BC">
              <w:rPr>
                <w:rStyle w:val="Hyperlink"/>
                <w:noProof/>
              </w:rPr>
              <w:t>Other Material Changes or Adjustments to Benefit Costs</w:t>
            </w:r>
            <w:r w:rsidR="002B26A1">
              <w:rPr>
                <w:noProof/>
                <w:webHidden/>
              </w:rPr>
              <w:tab/>
            </w:r>
            <w:r w:rsidR="002B26A1">
              <w:rPr>
                <w:noProof/>
                <w:webHidden/>
              </w:rPr>
              <w:fldChar w:fldCharType="begin"/>
            </w:r>
            <w:r w:rsidR="002B26A1">
              <w:rPr>
                <w:noProof/>
                <w:webHidden/>
              </w:rPr>
              <w:instrText xml:space="preserve"> PAGEREF _Toc100260771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6DC37DAE" w14:textId="05FDB6D4" w:rsidR="002B26A1" w:rsidRDefault="00344F7A" w:rsidP="00E95A52">
          <w:pPr>
            <w:pStyle w:val="TOC2"/>
            <w:spacing w:before="0" w:after="60"/>
            <w:rPr>
              <w:caps w:val="0"/>
              <w:noProof/>
              <w:color w:val="auto"/>
              <w:sz w:val="22"/>
              <w:szCs w:val="22"/>
            </w:rPr>
          </w:pPr>
          <w:hyperlink w:anchor="_Toc100260772" w:history="1">
            <w:r w:rsidR="002B26A1" w:rsidRPr="008C60BC">
              <w:rPr>
                <w:rStyle w:val="Hyperlink"/>
                <w:noProof/>
              </w:rPr>
              <w:t>3.</w:t>
            </w:r>
            <w:r w:rsidR="002B26A1">
              <w:rPr>
                <w:caps w:val="0"/>
                <w:noProof/>
                <w:color w:val="auto"/>
                <w:sz w:val="22"/>
                <w:szCs w:val="22"/>
              </w:rPr>
              <w:tab/>
            </w:r>
            <w:r w:rsidR="002B26A1" w:rsidRPr="008C60BC">
              <w:rPr>
                <w:rStyle w:val="Hyperlink"/>
                <w:noProof/>
              </w:rPr>
              <w:t>Projected Non-Benefit Costs</w:t>
            </w:r>
            <w:r w:rsidR="002B26A1">
              <w:rPr>
                <w:noProof/>
                <w:webHidden/>
              </w:rPr>
              <w:tab/>
            </w:r>
            <w:r w:rsidR="002B26A1">
              <w:rPr>
                <w:noProof/>
                <w:webHidden/>
              </w:rPr>
              <w:fldChar w:fldCharType="begin"/>
            </w:r>
            <w:r w:rsidR="002B26A1">
              <w:rPr>
                <w:noProof/>
                <w:webHidden/>
              </w:rPr>
              <w:instrText xml:space="preserve"> PAGEREF _Toc100260772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7FB98135" w14:textId="611F37A7" w:rsidR="002B26A1" w:rsidRDefault="00344F7A" w:rsidP="00E95A52">
          <w:pPr>
            <w:pStyle w:val="TOC3"/>
            <w:spacing w:before="0" w:after="60"/>
            <w:rPr>
              <w:noProof/>
              <w:color w:val="auto"/>
              <w:sz w:val="22"/>
              <w:szCs w:val="22"/>
            </w:rPr>
          </w:pPr>
          <w:hyperlink w:anchor="_Toc100260773" w:history="1">
            <w:r w:rsidR="002B26A1" w:rsidRPr="008C60BC">
              <w:rPr>
                <w:rStyle w:val="Hyperlink"/>
                <w:noProof/>
              </w:rPr>
              <w:t>A.</w:t>
            </w:r>
            <w:r w:rsidR="002B26A1">
              <w:rPr>
                <w:noProof/>
                <w:color w:val="auto"/>
                <w:sz w:val="22"/>
                <w:szCs w:val="22"/>
              </w:rPr>
              <w:tab/>
            </w:r>
            <w:r w:rsidR="002B26A1" w:rsidRPr="008C60BC">
              <w:rPr>
                <w:rStyle w:val="Hyperlink"/>
                <w:noProof/>
              </w:rPr>
              <w:t>Description of Issues</w:t>
            </w:r>
            <w:r w:rsidR="002B26A1">
              <w:rPr>
                <w:noProof/>
                <w:webHidden/>
              </w:rPr>
              <w:tab/>
            </w:r>
            <w:r w:rsidR="002B26A1">
              <w:rPr>
                <w:noProof/>
                <w:webHidden/>
              </w:rPr>
              <w:fldChar w:fldCharType="begin"/>
            </w:r>
            <w:r w:rsidR="002B26A1">
              <w:rPr>
                <w:noProof/>
                <w:webHidden/>
              </w:rPr>
              <w:instrText xml:space="preserve"> PAGEREF _Toc100260773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0A9EB7FB" w14:textId="6E1A5211" w:rsidR="002B26A1" w:rsidRDefault="00344F7A" w:rsidP="00E95A52">
          <w:pPr>
            <w:pStyle w:val="TOC4"/>
            <w:spacing w:after="60"/>
            <w:rPr>
              <w:noProof/>
              <w:sz w:val="22"/>
              <w:szCs w:val="22"/>
            </w:rPr>
          </w:pPr>
          <w:hyperlink w:anchor="_Toc100260774" w:history="1">
            <w:r w:rsidR="002B26A1" w:rsidRPr="008C60BC">
              <w:rPr>
                <w:rStyle w:val="Hyperlink"/>
                <w:noProof/>
              </w:rPr>
              <w:t>i.</w:t>
            </w:r>
            <w:r w:rsidR="002B26A1">
              <w:rPr>
                <w:noProof/>
                <w:sz w:val="22"/>
                <w:szCs w:val="22"/>
              </w:rPr>
              <w:tab/>
            </w:r>
            <w:r w:rsidR="002B26A1" w:rsidRPr="008C60BC">
              <w:rPr>
                <w:rStyle w:val="Hyperlink"/>
                <w:noProof/>
              </w:rPr>
              <w:t>Changes in data sources, assumptions, or methodologies</w:t>
            </w:r>
            <w:r w:rsidR="002B26A1">
              <w:rPr>
                <w:noProof/>
                <w:webHidden/>
              </w:rPr>
              <w:tab/>
            </w:r>
            <w:r w:rsidR="002B26A1">
              <w:rPr>
                <w:noProof/>
                <w:webHidden/>
              </w:rPr>
              <w:fldChar w:fldCharType="begin"/>
            </w:r>
            <w:r w:rsidR="002B26A1">
              <w:rPr>
                <w:noProof/>
                <w:webHidden/>
              </w:rPr>
              <w:instrText xml:space="preserve"> PAGEREF _Toc100260774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0604D70D" w14:textId="4CBAE4A0" w:rsidR="002B26A1" w:rsidRDefault="00344F7A" w:rsidP="00E95A52">
          <w:pPr>
            <w:pStyle w:val="TOC4"/>
            <w:spacing w:after="60"/>
            <w:rPr>
              <w:noProof/>
              <w:sz w:val="22"/>
              <w:szCs w:val="22"/>
            </w:rPr>
          </w:pPr>
          <w:hyperlink w:anchor="_Toc100260775" w:history="1">
            <w:r w:rsidR="002B26A1" w:rsidRPr="008C60BC">
              <w:rPr>
                <w:rStyle w:val="Hyperlink"/>
                <w:noProof/>
              </w:rPr>
              <w:t>ii.</w:t>
            </w:r>
            <w:r w:rsidR="002B26A1">
              <w:rPr>
                <w:noProof/>
                <w:sz w:val="22"/>
                <w:szCs w:val="22"/>
              </w:rPr>
              <w:tab/>
            </w:r>
            <w:r w:rsidR="002B26A1" w:rsidRPr="008C60BC">
              <w:rPr>
                <w:rStyle w:val="Hyperlink"/>
                <w:noProof/>
              </w:rPr>
              <w:t>Assumption changes for previous rating periods</w:t>
            </w:r>
            <w:r w:rsidR="002B26A1">
              <w:rPr>
                <w:noProof/>
                <w:webHidden/>
              </w:rPr>
              <w:tab/>
            </w:r>
            <w:r w:rsidR="002B26A1">
              <w:rPr>
                <w:noProof/>
                <w:webHidden/>
              </w:rPr>
              <w:fldChar w:fldCharType="begin"/>
            </w:r>
            <w:r w:rsidR="002B26A1">
              <w:rPr>
                <w:noProof/>
                <w:webHidden/>
              </w:rPr>
              <w:instrText xml:space="preserve"> PAGEREF _Toc100260775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02BAD06A" w14:textId="43070224" w:rsidR="002B26A1" w:rsidRDefault="00344F7A" w:rsidP="00E95A52">
          <w:pPr>
            <w:pStyle w:val="TOC3"/>
            <w:spacing w:before="0" w:after="60"/>
            <w:rPr>
              <w:noProof/>
              <w:color w:val="auto"/>
              <w:sz w:val="22"/>
              <w:szCs w:val="22"/>
            </w:rPr>
          </w:pPr>
          <w:hyperlink w:anchor="_Toc100260776" w:history="1">
            <w:r w:rsidR="002B26A1" w:rsidRPr="008C60BC">
              <w:rPr>
                <w:rStyle w:val="Hyperlink"/>
                <w:noProof/>
              </w:rPr>
              <w:t>B.</w:t>
            </w:r>
            <w:r w:rsidR="002B26A1">
              <w:rPr>
                <w:noProof/>
                <w:color w:val="auto"/>
                <w:sz w:val="22"/>
                <w:szCs w:val="22"/>
              </w:rPr>
              <w:tab/>
            </w:r>
            <w:r w:rsidR="002B26A1" w:rsidRPr="008C60BC">
              <w:rPr>
                <w:rStyle w:val="Hyperlink"/>
                <w:noProof/>
              </w:rPr>
              <w:t>Assumption Differences Relative to Other Medicaid Populations</w:t>
            </w:r>
            <w:r w:rsidR="002B26A1">
              <w:rPr>
                <w:noProof/>
                <w:webHidden/>
              </w:rPr>
              <w:tab/>
            </w:r>
            <w:r w:rsidR="002B26A1">
              <w:rPr>
                <w:noProof/>
                <w:webHidden/>
              </w:rPr>
              <w:fldChar w:fldCharType="begin"/>
            </w:r>
            <w:r w:rsidR="002B26A1">
              <w:rPr>
                <w:noProof/>
                <w:webHidden/>
              </w:rPr>
              <w:instrText xml:space="preserve"> PAGEREF _Toc100260776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53DA18F2" w14:textId="6F167707" w:rsidR="002B26A1" w:rsidRDefault="00344F7A" w:rsidP="00E95A52">
          <w:pPr>
            <w:pStyle w:val="TOC2"/>
            <w:spacing w:before="0" w:after="60"/>
            <w:rPr>
              <w:caps w:val="0"/>
              <w:noProof/>
              <w:color w:val="auto"/>
              <w:sz w:val="22"/>
              <w:szCs w:val="22"/>
            </w:rPr>
          </w:pPr>
          <w:hyperlink w:anchor="_Toc100260777" w:history="1">
            <w:r w:rsidR="002B26A1" w:rsidRPr="008C60BC">
              <w:rPr>
                <w:rStyle w:val="Hyperlink"/>
                <w:noProof/>
              </w:rPr>
              <w:t>4.</w:t>
            </w:r>
            <w:r w:rsidR="002B26A1">
              <w:rPr>
                <w:caps w:val="0"/>
                <w:noProof/>
                <w:color w:val="auto"/>
                <w:sz w:val="22"/>
                <w:szCs w:val="22"/>
              </w:rPr>
              <w:tab/>
            </w:r>
            <w:r w:rsidR="002B26A1" w:rsidRPr="008C60BC">
              <w:rPr>
                <w:rStyle w:val="Hyperlink"/>
                <w:noProof/>
              </w:rPr>
              <w:t>Final Certified Rates</w:t>
            </w:r>
            <w:r w:rsidR="002B26A1">
              <w:rPr>
                <w:noProof/>
                <w:webHidden/>
              </w:rPr>
              <w:tab/>
            </w:r>
            <w:r w:rsidR="002B26A1">
              <w:rPr>
                <w:noProof/>
                <w:webHidden/>
              </w:rPr>
              <w:fldChar w:fldCharType="begin"/>
            </w:r>
            <w:r w:rsidR="002B26A1">
              <w:rPr>
                <w:noProof/>
                <w:webHidden/>
              </w:rPr>
              <w:instrText xml:space="preserve"> PAGEREF _Toc100260777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70FBDCB9" w14:textId="183A6DCC" w:rsidR="002B26A1" w:rsidRDefault="00344F7A" w:rsidP="00E95A52">
          <w:pPr>
            <w:pStyle w:val="TOC3"/>
            <w:spacing w:before="0" w:after="60"/>
            <w:rPr>
              <w:noProof/>
              <w:color w:val="auto"/>
              <w:sz w:val="22"/>
              <w:szCs w:val="22"/>
            </w:rPr>
          </w:pPr>
          <w:hyperlink w:anchor="_Toc100260778" w:history="1">
            <w:r w:rsidR="002B26A1" w:rsidRPr="008C60BC">
              <w:rPr>
                <w:rStyle w:val="Hyperlink"/>
                <w:noProof/>
              </w:rPr>
              <w:t>A.</w:t>
            </w:r>
            <w:r w:rsidR="002B26A1">
              <w:rPr>
                <w:noProof/>
                <w:color w:val="auto"/>
                <w:sz w:val="22"/>
                <w:szCs w:val="22"/>
              </w:rPr>
              <w:tab/>
            </w:r>
            <w:r w:rsidR="002B26A1" w:rsidRPr="008C60BC">
              <w:rPr>
                <w:rStyle w:val="Hyperlink"/>
                <w:noProof/>
              </w:rPr>
              <w:t>CMS Requests</w:t>
            </w:r>
            <w:r w:rsidR="002B26A1">
              <w:rPr>
                <w:noProof/>
                <w:webHidden/>
              </w:rPr>
              <w:tab/>
            </w:r>
            <w:r w:rsidR="002B26A1">
              <w:rPr>
                <w:noProof/>
                <w:webHidden/>
              </w:rPr>
              <w:fldChar w:fldCharType="begin"/>
            </w:r>
            <w:r w:rsidR="002B26A1">
              <w:rPr>
                <w:noProof/>
                <w:webHidden/>
              </w:rPr>
              <w:instrText xml:space="preserve"> PAGEREF _Toc100260778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094F89C4" w14:textId="63DBF65B" w:rsidR="002B26A1" w:rsidRDefault="00344F7A" w:rsidP="00E95A52">
          <w:pPr>
            <w:pStyle w:val="TOC4"/>
            <w:spacing w:after="60"/>
            <w:rPr>
              <w:noProof/>
              <w:sz w:val="22"/>
              <w:szCs w:val="22"/>
            </w:rPr>
          </w:pPr>
          <w:hyperlink w:anchor="_Toc100260779" w:history="1">
            <w:r w:rsidR="002B26A1" w:rsidRPr="008C60BC">
              <w:rPr>
                <w:rStyle w:val="Hyperlink"/>
                <w:noProof/>
              </w:rPr>
              <w:t>i.</w:t>
            </w:r>
            <w:r w:rsidR="002B26A1">
              <w:rPr>
                <w:noProof/>
                <w:sz w:val="22"/>
                <w:szCs w:val="22"/>
              </w:rPr>
              <w:tab/>
            </w:r>
            <w:r w:rsidR="002B26A1" w:rsidRPr="008C60BC">
              <w:rPr>
                <w:rStyle w:val="Hyperlink"/>
                <w:noProof/>
              </w:rPr>
              <w:t>Comparison to Previous Certification</w:t>
            </w:r>
            <w:r w:rsidR="002B26A1">
              <w:rPr>
                <w:noProof/>
                <w:webHidden/>
              </w:rPr>
              <w:tab/>
            </w:r>
            <w:r w:rsidR="002B26A1">
              <w:rPr>
                <w:noProof/>
                <w:webHidden/>
              </w:rPr>
              <w:fldChar w:fldCharType="begin"/>
            </w:r>
            <w:r w:rsidR="002B26A1">
              <w:rPr>
                <w:noProof/>
                <w:webHidden/>
              </w:rPr>
              <w:instrText xml:space="preserve"> PAGEREF _Toc100260779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4B64CEB0" w14:textId="3DAA2020" w:rsidR="002B26A1" w:rsidRDefault="00344F7A" w:rsidP="00E95A52">
          <w:pPr>
            <w:pStyle w:val="TOC4"/>
            <w:spacing w:after="60"/>
            <w:rPr>
              <w:noProof/>
              <w:sz w:val="22"/>
              <w:szCs w:val="22"/>
            </w:rPr>
          </w:pPr>
          <w:hyperlink w:anchor="_Toc100260780" w:history="1">
            <w:r w:rsidR="002B26A1" w:rsidRPr="008C60BC">
              <w:rPr>
                <w:rStyle w:val="Hyperlink"/>
                <w:noProof/>
              </w:rPr>
              <w:t>ii.</w:t>
            </w:r>
            <w:r w:rsidR="002B26A1">
              <w:rPr>
                <w:noProof/>
                <w:sz w:val="22"/>
                <w:szCs w:val="22"/>
              </w:rPr>
              <w:tab/>
            </w:r>
            <w:r w:rsidR="002B26A1" w:rsidRPr="008C60BC">
              <w:rPr>
                <w:rStyle w:val="Hyperlink"/>
                <w:noProof/>
              </w:rPr>
              <w:t>Description of Other Material Changes to the Capitation Rates</w:t>
            </w:r>
            <w:r w:rsidR="002B26A1">
              <w:rPr>
                <w:noProof/>
                <w:webHidden/>
              </w:rPr>
              <w:tab/>
            </w:r>
            <w:r w:rsidR="002B26A1">
              <w:rPr>
                <w:noProof/>
                <w:webHidden/>
              </w:rPr>
              <w:fldChar w:fldCharType="begin"/>
            </w:r>
            <w:r w:rsidR="002B26A1">
              <w:rPr>
                <w:noProof/>
                <w:webHidden/>
              </w:rPr>
              <w:instrText xml:space="preserve"> PAGEREF _Toc100260780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755A0F66" w14:textId="72A05EC1" w:rsidR="002B26A1" w:rsidRDefault="00344F7A" w:rsidP="00E95A52">
          <w:pPr>
            <w:pStyle w:val="TOC2"/>
            <w:spacing w:before="0" w:after="60"/>
            <w:rPr>
              <w:caps w:val="0"/>
              <w:noProof/>
              <w:color w:val="auto"/>
              <w:sz w:val="22"/>
              <w:szCs w:val="22"/>
            </w:rPr>
          </w:pPr>
          <w:hyperlink w:anchor="_Toc100260781" w:history="1">
            <w:r w:rsidR="002B26A1" w:rsidRPr="008C60BC">
              <w:rPr>
                <w:rStyle w:val="Hyperlink"/>
                <w:noProof/>
              </w:rPr>
              <w:t>5.</w:t>
            </w:r>
            <w:r w:rsidR="002B26A1">
              <w:rPr>
                <w:caps w:val="0"/>
                <w:noProof/>
                <w:color w:val="auto"/>
                <w:sz w:val="22"/>
                <w:szCs w:val="22"/>
              </w:rPr>
              <w:tab/>
            </w:r>
            <w:r w:rsidR="002B26A1" w:rsidRPr="008C60BC">
              <w:rPr>
                <w:rStyle w:val="Hyperlink"/>
                <w:noProof/>
              </w:rPr>
              <w:t>Risk Mitigation Strategies</w:t>
            </w:r>
            <w:r w:rsidR="002B26A1">
              <w:rPr>
                <w:noProof/>
                <w:webHidden/>
              </w:rPr>
              <w:tab/>
            </w:r>
            <w:r w:rsidR="002B26A1">
              <w:rPr>
                <w:noProof/>
                <w:webHidden/>
              </w:rPr>
              <w:fldChar w:fldCharType="begin"/>
            </w:r>
            <w:r w:rsidR="002B26A1">
              <w:rPr>
                <w:noProof/>
                <w:webHidden/>
              </w:rPr>
              <w:instrText xml:space="preserve"> PAGEREF _Toc100260781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1B0DB79D" w14:textId="37D6F42E" w:rsidR="002B26A1" w:rsidRDefault="00344F7A" w:rsidP="00E95A52">
          <w:pPr>
            <w:pStyle w:val="TOC3"/>
            <w:spacing w:before="0" w:after="60"/>
            <w:rPr>
              <w:noProof/>
              <w:color w:val="auto"/>
              <w:sz w:val="22"/>
              <w:szCs w:val="22"/>
            </w:rPr>
          </w:pPr>
          <w:hyperlink w:anchor="_Toc100260782" w:history="1">
            <w:r w:rsidR="002B26A1" w:rsidRPr="008C60BC">
              <w:rPr>
                <w:rStyle w:val="Hyperlink"/>
                <w:noProof/>
              </w:rPr>
              <w:t>A.</w:t>
            </w:r>
            <w:r w:rsidR="002B26A1">
              <w:rPr>
                <w:noProof/>
                <w:color w:val="auto"/>
                <w:sz w:val="22"/>
                <w:szCs w:val="22"/>
              </w:rPr>
              <w:tab/>
            </w:r>
            <w:r w:rsidR="002B26A1" w:rsidRPr="008C60BC">
              <w:rPr>
                <w:rStyle w:val="Hyperlink"/>
                <w:noProof/>
              </w:rPr>
              <w:t>Description of Risk Mitigation Strategy</w:t>
            </w:r>
            <w:r w:rsidR="002B26A1">
              <w:rPr>
                <w:noProof/>
                <w:webHidden/>
              </w:rPr>
              <w:tab/>
            </w:r>
            <w:r w:rsidR="002B26A1">
              <w:rPr>
                <w:noProof/>
                <w:webHidden/>
              </w:rPr>
              <w:fldChar w:fldCharType="begin"/>
            </w:r>
            <w:r w:rsidR="002B26A1">
              <w:rPr>
                <w:noProof/>
                <w:webHidden/>
              </w:rPr>
              <w:instrText xml:space="preserve"> PAGEREF _Toc100260782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7849C9BD" w14:textId="7288CE21" w:rsidR="002B26A1" w:rsidRDefault="00344F7A" w:rsidP="00E95A52">
          <w:pPr>
            <w:pStyle w:val="TOC3"/>
            <w:spacing w:before="0" w:after="60"/>
            <w:rPr>
              <w:noProof/>
              <w:color w:val="auto"/>
              <w:sz w:val="22"/>
              <w:szCs w:val="22"/>
            </w:rPr>
          </w:pPr>
          <w:hyperlink w:anchor="_Toc100260783" w:history="1">
            <w:r w:rsidR="002B26A1" w:rsidRPr="008C60BC">
              <w:rPr>
                <w:rStyle w:val="Hyperlink"/>
                <w:noProof/>
              </w:rPr>
              <w:t>B.</w:t>
            </w:r>
            <w:r w:rsidR="002B26A1">
              <w:rPr>
                <w:noProof/>
                <w:color w:val="auto"/>
                <w:sz w:val="22"/>
                <w:szCs w:val="22"/>
              </w:rPr>
              <w:tab/>
            </w:r>
            <w:r w:rsidR="002B26A1" w:rsidRPr="008C60BC">
              <w:rPr>
                <w:rStyle w:val="Hyperlink"/>
                <w:noProof/>
              </w:rPr>
              <w:t>Changes to Risk Mitigation Strategy Relative to Prior Years</w:t>
            </w:r>
            <w:r w:rsidR="002B26A1">
              <w:rPr>
                <w:noProof/>
                <w:webHidden/>
              </w:rPr>
              <w:tab/>
            </w:r>
            <w:r w:rsidR="002B26A1">
              <w:rPr>
                <w:noProof/>
                <w:webHidden/>
              </w:rPr>
              <w:fldChar w:fldCharType="begin"/>
            </w:r>
            <w:r w:rsidR="002B26A1">
              <w:rPr>
                <w:noProof/>
                <w:webHidden/>
              </w:rPr>
              <w:instrText xml:space="preserve"> PAGEREF _Toc100260783 \h </w:instrText>
            </w:r>
            <w:r w:rsidR="002B26A1">
              <w:rPr>
                <w:noProof/>
                <w:webHidden/>
              </w:rPr>
            </w:r>
            <w:r w:rsidR="002B26A1">
              <w:rPr>
                <w:noProof/>
                <w:webHidden/>
              </w:rPr>
              <w:fldChar w:fldCharType="separate"/>
            </w:r>
            <w:r>
              <w:rPr>
                <w:noProof/>
                <w:webHidden/>
              </w:rPr>
              <w:t>41</w:t>
            </w:r>
            <w:r w:rsidR="002B26A1">
              <w:rPr>
                <w:noProof/>
                <w:webHidden/>
              </w:rPr>
              <w:fldChar w:fldCharType="end"/>
            </w:r>
          </w:hyperlink>
        </w:p>
        <w:p w14:paraId="41CD5158" w14:textId="37B1CC3E" w:rsidR="002B26A1" w:rsidRDefault="00344F7A" w:rsidP="00E95A52">
          <w:pPr>
            <w:pStyle w:val="TOC1"/>
            <w:spacing w:before="0" w:after="60"/>
            <w:rPr>
              <w:b w:val="0"/>
              <w:caps w:val="0"/>
              <w:noProof/>
              <w:sz w:val="22"/>
              <w:szCs w:val="22"/>
            </w:rPr>
          </w:pPr>
          <w:hyperlink w:anchor="_Toc100260784" w:history="1">
            <w:r w:rsidR="002B26A1" w:rsidRPr="008C60BC">
              <w:rPr>
                <w:rStyle w:val="Hyperlink"/>
                <w:noProof/>
              </w:rPr>
              <w:t>Limitations</w:t>
            </w:r>
            <w:r w:rsidR="002B26A1">
              <w:rPr>
                <w:noProof/>
                <w:webHidden/>
              </w:rPr>
              <w:tab/>
            </w:r>
            <w:r w:rsidR="002B26A1">
              <w:rPr>
                <w:noProof/>
                <w:webHidden/>
              </w:rPr>
              <w:fldChar w:fldCharType="begin"/>
            </w:r>
            <w:r w:rsidR="002B26A1">
              <w:rPr>
                <w:noProof/>
                <w:webHidden/>
              </w:rPr>
              <w:instrText xml:space="preserve"> PAGEREF _Toc100260784 \h </w:instrText>
            </w:r>
            <w:r w:rsidR="002B26A1">
              <w:rPr>
                <w:noProof/>
                <w:webHidden/>
              </w:rPr>
            </w:r>
            <w:r w:rsidR="002B26A1">
              <w:rPr>
                <w:noProof/>
                <w:webHidden/>
              </w:rPr>
              <w:fldChar w:fldCharType="separate"/>
            </w:r>
            <w:r>
              <w:rPr>
                <w:noProof/>
                <w:webHidden/>
              </w:rPr>
              <w:t>42</w:t>
            </w:r>
            <w:r w:rsidR="002B26A1">
              <w:rPr>
                <w:noProof/>
                <w:webHidden/>
              </w:rPr>
              <w:fldChar w:fldCharType="end"/>
            </w:r>
          </w:hyperlink>
        </w:p>
        <w:p w14:paraId="7CB67634" w14:textId="575C5DF6" w:rsidR="002B26A1" w:rsidRDefault="00344F7A" w:rsidP="00E95A52">
          <w:pPr>
            <w:pStyle w:val="TOC1"/>
            <w:spacing w:before="0" w:after="60"/>
            <w:rPr>
              <w:b w:val="0"/>
              <w:caps w:val="0"/>
              <w:noProof/>
              <w:sz w:val="22"/>
              <w:szCs w:val="22"/>
            </w:rPr>
          </w:pPr>
          <w:hyperlink w:anchor="_Toc100260785" w:history="1">
            <w:r w:rsidR="002B26A1" w:rsidRPr="008C60BC">
              <w:rPr>
                <w:rStyle w:val="Hyperlink"/>
                <w:noProof/>
              </w:rPr>
              <w:t>Appendix 1: Actuarial Certification</w:t>
            </w:r>
          </w:hyperlink>
        </w:p>
        <w:p w14:paraId="7EE1B5E7" w14:textId="0D8D92DB" w:rsidR="002B26A1" w:rsidRDefault="00344F7A" w:rsidP="00E95A52">
          <w:pPr>
            <w:pStyle w:val="TOC1"/>
            <w:spacing w:before="0" w:after="60"/>
            <w:rPr>
              <w:b w:val="0"/>
              <w:caps w:val="0"/>
              <w:noProof/>
              <w:sz w:val="22"/>
              <w:szCs w:val="22"/>
            </w:rPr>
          </w:pPr>
          <w:hyperlink w:anchor="_Toc100260786" w:history="1">
            <w:r w:rsidR="002B26A1" w:rsidRPr="008C60BC">
              <w:rPr>
                <w:rStyle w:val="Hyperlink"/>
                <w:noProof/>
              </w:rPr>
              <w:t>Appendix 2: CY 2019 Base Data Development</w:t>
            </w:r>
          </w:hyperlink>
        </w:p>
        <w:p w14:paraId="340C596D" w14:textId="0B47A6B7" w:rsidR="002B26A1" w:rsidRDefault="00344F7A" w:rsidP="00E95A52">
          <w:pPr>
            <w:pStyle w:val="TOC1"/>
            <w:spacing w:before="0" w:after="60"/>
            <w:rPr>
              <w:b w:val="0"/>
              <w:caps w:val="0"/>
              <w:noProof/>
              <w:sz w:val="22"/>
              <w:szCs w:val="22"/>
            </w:rPr>
          </w:pPr>
          <w:hyperlink w:anchor="_Toc100260787" w:history="1">
            <w:r w:rsidR="002B26A1" w:rsidRPr="008C60BC">
              <w:rPr>
                <w:rStyle w:val="Hyperlink"/>
                <w:noProof/>
              </w:rPr>
              <w:t>Appendix 3: SFY 2023 Projected Benefit Expense Development</w:t>
            </w:r>
          </w:hyperlink>
        </w:p>
        <w:p w14:paraId="58CF83D6" w14:textId="56D37513" w:rsidR="002B26A1" w:rsidRDefault="00344F7A" w:rsidP="00E95A52">
          <w:pPr>
            <w:pStyle w:val="TOC1"/>
            <w:spacing w:before="0" w:after="60"/>
            <w:rPr>
              <w:b w:val="0"/>
              <w:caps w:val="0"/>
              <w:noProof/>
              <w:sz w:val="22"/>
              <w:szCs w:val="22"/>
            </w:rPr>
          </w:pPr>
          <w:hyperlink w:anchor="_Toc100260788" w:history="1">
            <w:r w:rsidR="002B26A1" w:rsidRPr="008C60BC">
              <w:rPr>
                <w:rStyle w:val="Hyperlink"/>
                <w:noProof/>
              </w:rPr>
              <w:t>Appendix 4: SFY 2023 Capitation Rate Development</w:t>
            </w:r>
          </w:hyperlink>
        </w:p>
        <w:p w14:paraId="19629C20" w14:textId="77B5266D" w:rsidR="00593603" w:rsidRDefault="00375E5B" w:rsidP="00E95A52">
          <w:pPr>
            <w:pStyle w:val="TOC1"/>
            <w:spacing w:before="0" w:after="60" w:line="240" w:lineRule="auto"/>
          </w:pPr>
          <w:r>
            <w:rPr>
              <w:bCs/>
              <w:noProof/>
            </w:rPr>
            <w:fldChar w:fldCharType="end"/>
          </w:r>
        </w:p>
      </w:sdtContent>
    </w:sdt>
    <w:p w14:paraId="2E4523CC" w14:textId="01AF0F61" w:rsidR="009503CA" w:rsidRDefault="009503CA">
      <w:pPr>
        <w:spacing w:line="264" w:lineRule="auto"/>
        <w:sectPr w:rsidR="009503CA" w:rsidSect="009503CA">
          <w:headerReference w:type="even" r:id="rId17"/>
          <w:headerReference w:type="default" r:id="rId18"/>
          <w:footerReference w:type="default" r:id="rId19"/>
          <w:headerReference w:type="first" r:id="rId20"/>
          <w:pgSz w:w="12240" w:h="15840" w:code="1"/>
          <w:pgMar w:top="1440" w:right="1440" w:bottom="1440" w:left="1440" w:header="720" w:footer="720" w:gutter="0"/>
          <w:pgNumType w:start="0"/>
          <w:cols w:space="720"/>
          <w:titlePg/>
          <w:docGrid w:linePitch="360"/>
        </w:sectPr>
      </w:pPr>
    </w:p>
    <w:p w14:paraId="141BD6FC" w14:textId="2BD46446" w:rsidR="002E1FD8" w:rsidRDefault="00553928" w:rsidP="00593603">
      <w:pPr>
        <w:pStyle w:val="Heading1"/>
      </w:pPr>
      <w:bookmarkStart w:id="0" w:name="_Toc8984983"/>
      <w:bookmarkStart w:id="1" w:name="_Toc100260669"/>
      <w:r>
        <w:lastRenderedPageBreak/>
        <w:t>Introduction &amp; Executive Summary</w:t>
      </w:r>
      <w:bookmarkEnd w:id="0"/>
      <w:bookmarkEnd w:id="1"/>
    </w:p>
    <w:p w14:paraId="27E99292" w14:textId="46A8A81B" w:rsidR="00AC1CE6" w:rsidRPr="00AC1CE6" w:rsidRDefault="00553928" w:rsidP="00627A51">
      <w:pPr>
        <w:pStyle w:val="RRSubhead2"/>
        <w:spacing w:before="120"/>
        <w:jc w:val="both"/>
      </w:pPr>
      <w:bookmarkStart w:id="2" w:name="_Toc8031219"/>
      <w:r>
        <w:t>background</w:t>
      </w:r>
      <w:bookmarkEnd w:id="2"/>
    </w:p>
    <w:p w14:paraId="7CA384CD" w14:textId="561FFD1E" w:rsidR="00E901B9" w:rsidRDefault="00536773" w:rsidP="00622097">
      <w:pPr>
        <w:pStyle w:val="RRBody"/>
        <w:jc w:val="both"/>
      </w:pPr>
      <w:bookmarkStart w:id="3" w:name="_Toc431546424"/>
      <w:bookmarkStart w:id="4" w:name="_Toc466284547"/>
      <w:bookmarkStart w:id="5" w:name="_Toc504388970"/>
      <w:r w:rsidRPr="006C351B">
        <w:t xml:space="preserve">Milliman, Inc. (Milliman) has been retained by </w:t>
      </w:r>
      <w:r w:rsidRPr="00BD0DBF">
        <w:t xml:space="preserve">the Rhode Island Executive Office of Health </w:t>
      </w:r>
      <w:r>
        <w:t>and</w:t>
      </w:r>
      <w:r w:rsidRPr="00BD0DBF">
        <w:t xml:space="preserve"> Human Services (EOHHS)</w:t>
      </w:r>
      <w:r>
        <w:t xml:space="preserve"> </w:t>
      </w:r>
      <w:r w:rsidRPr="006C351B">
        <w:t xml:space="preserve">to provide actuarial and consulting services related to the development of capitation rates for </w:t>
      </w:r>
      <w:r>
        <w:t>Rhode Island’s</w:t>
      </w:r>
      <w:r w:rsidRPr="006C351B">
        <w:t xml:space="preserve"> Medicaid </w:t>
      </w:r>
      <w:r>
        <w:t xml:space="preserve">managed care </w:t>
      </w:r>
      <w:r w:rsidRPr="006C351B">
        <w:t>program</w:t>
      </w:r>
      <w:r>
        <w:t xml:space="preserve"> effective July 1, </w:t>
      </w:r>
      <w:r w:rsidR="00C14780">
        <w:t xml:space="preserve">2022 </w:t>
      </w:r>
      <w:r w:rsidR="00AA23AE">
        <w:t xml:space="preserve">for state fiscal year (SFY) </w:t>
      </w:r>
      <w:r w:rsidR="00C14780">
        <w:t>2023</w:t>
      </w:r>
      <w:r w:rsidRPr="006C351B">
        <w:t xml:space="preserve">. </w:t>
      </w:r>
      <w:r w:rsidR="00E901B9">
        <w:t xml:space="preserve">This letter provides documentation for the development of the actuarially sound capitation rates. It also includes the required actuarial certification in Appendix 1. </w:t>
      </w:r>
    </w:p>
    <w:p w14:paraId="236D5C69" w14:textId="6569E98B" w:rsidR="00AC1CE6" w:rsidRDefault="00AC1CE6" w:rsidP="00622097">
      <w:pPr>
        <w:pStyle w:val="RRBody"/>
        <w:jc w:val="both"/>
      </w:pPr>
      <w:r w:rsidRPr="00AC1CE6">
        <w:t xml:space="preserve">At the time of this report, we acknowledge there </w:t>
      </w:r>
      <w:r w:rsidR="00613F7F">
        <w:t>continues to be</w:t>
      </w:r>
      <w:r w:rsidRPr="00AC1CE6">
        <w:t xml:space="preserve"> uncertainty regarding the impact of the COVID-19 pandemic on future projections. It is possible that the COVID-19 pandemic could have a material impact on the projected enrollment and capitation rates presented in this report. </w:t>
      </w:r>
    </w:p>
    <w:p w14:paraId="282AB9A4" w14:textId="298EA9F5" w:rsidR="00E901B9" w:rsidRPr="00A81F54" w:rsidRDefault="00E901B9" w:rsidP="00622097">
      <w:pPr>
        <w:pStyle w:val="RRBody"/>
        <w:jc w:val="both"/>
      </w:pPr>
      <w:r>
        <w:t xml:space="preserve">To facilitate review, this document has been organized in the same manner as the </w:t>
      </w:r>
      <w:r w:rsidR="005364BA">
        <w:t>202</w:t>
      </w:r>
      <w:r w:rsidR="00784ABC">
        <w:t>2</w:t>
      </w:r>
      <w:r w:rsidR="00C35322">
        <w:t>-</w:t>
      </w:r>
      <w:r w:rsidR="005364BA">
        <w:t>202</w:t>
      </w:r>
      <w:r w:rsidR="00784ABC">
        <w:t>3</w:t>
      </w:r>
      <w:r w:rsidR="005364BA">
        <w:t xml:space="preserve"> </w:t>
      </w:r>
      <w:r>
        <w:t xml:space="preserve">Medicaid Managed Care </w:t>
      </w:r>
      <w:r w:rsidR="00C35322">
        <w:t xml:space="preserve">Rate </w:t>
      </w:r>
      <w:r>
        <w:t xml:space="preserve">Development Guide, released by the Center for Medicare and Medicaid Services in </w:t>
      </w:r>
      <w:r w:rsidR="00784ABC">
        <w:t xml:space="preserve">April </w:t>
      </w:r>
      <w:r w:rsidR="00326D0D">
        <w:t>202</w:t>
      </w:r>
      <w:r w:rsidR="00784ABC">
        <w:t>2</w:t>
      </w:r>
      <w:r w:rsidR="00536773">
        <w:t xml:space="preserve"> (CMS guide).</w:t>
      </w:r>
      <w:r w:rsidR="00A017F2">
        <w:t xml:space="preserve"> </w:t>
      </w:r>
      <w:r w:rsidR="00816DEC">
        <w:t>Section II of the CMS guide is not applicable to this certification, as Rhode Island’s Medicaid managed care program does not include long-term services and supports.</w:t>
      </w:r>
    </w:p>
    <w:p w14:paraId="0A208426" w14:textId="77777777" w:rsidR="00CC2386" w:rsidRPr="00C26113" w:rsidRDefault="002E1FD8" w:rsidP="00622097">
      <w:pPr>
        <w:pStyle w:val="RRSubhead2"/>
        <w:jc w:val="both"/>
      </w:pPr>
      <w:bookmarkStart w:id="6" w:name="_Toc8031220"/>
      <w:r w:rsidRPr="002E1FD8">
        <w:t>Fiscal impact estimate</w:t>
      </w:r>
      <w:bookmarkEnd w:id="3"/>
      <w:bookmarkEnd w:id="4"/>
      <w:bookmarkEnd w:id="5"/>
      <w:bookmarkEnd w:id="6"/>
    </w:p>
    <w:p w14:paraId="1C7A68CB" w14:textId="2CDD52C0" w:rsidR="00E901B9" w:rsidRDefault="00E901B9" w:rsidP="00622097">
      <w:pPr>
        <w:pStyle w:val="RRBody"/>
        <w:jc w:val="both"/>
      </w:pPr>
      <w:r w:rsidRPr="00E901B9">
        <w:t xml:space="preserve">The actuarially sound capitation rates for the Medicaid </w:t>
      </w:r>
      <w:r w:rsidR="00AD79E7">
        <w:t>M</w:t>
      </w:r>
      <w:r w:rsidRPr="00E901B9">
        <w:t xml:space="preserve">anaged </w:t>
      </w:r>
      <w:r w:rsidR="00AD79E7">
        <w:t>C</w:t>
      </w:r>
      <w:r w:rsidRPr="00E901B9">
        <w:t xml:space="preserve">are </w:t>
      </w:r>
      <w:r w:rsidR="00AD79E7">
        <w:t>P</w:t>
      </w:r>
      <w:r w:rsidRPr="00E901B9">
        <w:t xml:space="preserve">rogram are illustrated in </w:t>
      </w:r>
      <w:r w:rsidR="00D762B9">
        <w:t>Figure</w:t>
      </w:r>
      <w:r w:rsidRPr="00E901B9">
        <w:t xml:space="preserve"> 1. These rates ar</w:t>
      </w:r>
      <w:r>
        <w:t xml:space="preserve">e effective from </w:t>
      </w:r>
      <w:r w:rsidR="009C467E">
        <w:t>July 1, 2022</w:t>
      </w:r>
      <w:r w:rsidR="00B52EB3">
        <w:t xml:space="preserve"> through </w:t>
      </w:r>
      <w:r w:rsidR="009C467E">
        <w:t>June 30, 2023</w:t>
      </w:r>
      <w:r w:rsidRPr="00E901B9">
        <w:t xml:space="preserve">. </w:t>
      </w:r>
      <w:r w:rsidR="00B06709">
        <w:t>Figure</w:t>
      </w:r>
      <w:r w:rsidRPr="00E901B9">
        <w:t xml:space="preserve"> 1 provides a comparison of the </w:t>
      </w:r>
      <w:r w:rsidR="009C467E">
        <w:t>July 1, 2022</w:t>
      </w:r>
      <w:r w:rsidR="00A76363" w:rsidRPr="00E901B9">
        <w:t xml:space="preserve"> </w:t>
      </w:r>
      <w:r w:rsidRPr="00E901B9">
        <w:t xml:space="preserve">rates relative to </w:t>
      </w:r>
      <w:r>
        <w:t xml:space="preserve">the rates effective July 1, </w:t>
      </w:r>
      <w:r w:rsidR="00326D0D">
        <w:t>2021</w:t>
      </w:r>
      <w:r w:rsidR="00326D0D" w:rsidRPr="00E901B9">
        <w:t xml:space="preserve"> </w:t>
      </w:r>
      <w:r w:rsidRPr="00E901B9">
        <w:t xml:space="preserve">for the </w:t>
      </w:r>
      <w:r w:rsidR="004436CA">
        <w:t>Medicaid</w:t>
      </w:r>
      <w:r w:rsidR="00AA23AE">
        <w:t xml:space="preserve"> managed care</w:t>
      </w:r>
      <w:r w:rsidRPr="00E901B9">
        <w:t xml:space="preserve"> program. The composite rates illustrated for both </w:t>
      </w:r>
      <w:r w:rsidR="00AA23AE">
        <w:t xml:space="preserve">SFY </w:t>
      </w:r>
      <w:r w:rsidR="00326D0D" w:rsidRPr="00E901B9">
        <w:t>20</w:t>
      </w:r>
      <w:r w:rsidR="00326D0D">
        <w:t xml:space="preserve">22 </w:t>
      </w:r>
      <w:r>
        <w:t xml:space="preserve">and </w:t>
      </w:r>
      <w:r w:rsidR="00AA23AE">
        <w:t xml:space="preserve">SFY </w:t>
      </w:r>
      <w:r w:rsidR="00326D0D">
        <w:t>2023</w:t>
      </w:r>
      <w:r w:rsidR="00326D0D" w:rsidRPr="00E901B9">
        <w:t xml:space="preserve"> </w:t>
      </w:r>
      <w:r w:rsidR="00AD79E7">
        <w:t>were</w:t>
      </w:r>
      <w:r w:rsidRPr="00E901B9">
        <w:t xml:space="preserve"> developed based on </w:t>
      </w:r>
      <w:r w:rsidR="00AA23AE">
        <w:t>projected</w:t>
      </w:r>
      <w:r w:rsidRPr="00E901B9">
        <w:t xml:space="preserve"> monthly enrollment </w:t>
      </w:r>
      <w:r w:rsidR="00AA23AE">
        <w:t xml:space="preserve">for SFY </w:t>
      </w:r>
      <w:r w:rsidR="00326D0D">
        <w:t xml:space="preserve">2023 </w:t>
      </w:r>
      <w:r w:rsidR="00415ED4">
        <w:t>and are illustrated on a per member per month (PMPM) basis</w:t>
      </w:r>
      <w:r w:rsidRPr="00E901B9">
        <w:t xml:space="preserve">. </w:t>
      </w:r>
      <w:r w:rsidR="006F68EC" w:rsidRPr="006F68EC">
        <w:t xml:space="preserve"> </w:t>
      </w:r>
    </w:p>
    <w:tbl>
      <w:tblPr>
        <w:tblW w:w="8516" w:type="dxa"/>
        <w:tblLook w:val="04A0" w:firstRow="1" w:lastRow="0" w:firstColumn="1" w:lastColumn="0" w:noHBand="0" w:noVBand="1"/>
      </w:tblPr>
      <w:tblGrid>
        <w:gridCol w:w="2732"/>
        <w:gridCol w:w="1483"/>
        <w:gridCol w:w="1489"/>
        <w:gridCol w:w="1489"/>
        <w:gridCol w:w="1323"/>
      </w:tblGrid>
      <w:tr w:rsidR="00805CB3" w:rsidRPr="00805CB3" w14:paraId="1DAF7D59" w14:textId="77777777" w:rsidTr="00805CB3">
        <w:trPr>
          <w:trHeight w:val="240"/>
        </w:trPr>
        <w:tc>
          <w:tcPr>
            <w:tcW w:w="8516" w:type="dxa"/>
            <w:gridSpan w:val="5"/>
            <w:tcBorders>
              <w:top w:val="single" w:sz="4" w:space="0" w:color="E8E9E9"/>
              <w:left w:val="nil"/>
              <w:bottom w:val="nil"/>
              <w:right w:val="nil"/>
            </w:tcBorders>
            <w:shd w:val="clear" w:color="auto" w:fill="auto"/>
            <w:noWrap/>
            <w:vAlign w:val="bottom"/>
            <w:hideMark/>
          </w:tcPr>
          <w:p w14:paraId="7C673029" w14:textId="25F74188" w:rsidR="00805CB3" w:rsidRPr="00805CB3" w:rsidRDefault="00D762B9" w:rsidP="00D762B9">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00805CB3" w:rsidRPr="00805CB3">
              <w:rPr>
                <w:rFonts w:ascii="Arial" w:eastAsia="Times New Roman" w:hAnsi="Arial" w:cs="Arial"/>
                <w:b/>
                <w:bCs/>
                <w:color w:val="0081E3"/>
                <w:szCs w:val="18"/>
              </w:rPr>
              <w:t xml:space="preserve"> </w:t>
            </w:r>
            <w:r w:rsidR="001151A9">
              <w:rPr>
                <w:rFonts w:ascii="Arial" w:eastAsia="Times New Roman" w:hAnsi="Arial" w:cs="Arial"/>
                <w:b/>
                <w:bCs/>
                <w:color w:val="0081E3"/>
                <w:szCs w:val="18"/>
              </w:rPr>
              <w:t>1</w:t>
            </w:r>
            <w:r>
              <w:rPr>
                <w:rFonts w:ascii="Arial" w:eastAsia="Times New Roman" w:hAnsi="Arial" w:cs="Arial"/>
                <w:b/>
                <w:bCs/>
                <w:color w:val="0081E3"/>
                <w:szCs w:val="18"/>
              </w:rPr>
              <w:t xml:space="preserve">: COMPARISON WITH </w:t>
            </w:r>
            <w:r w:rsidRPr="00805CB3">
              <w:rPr>
                <w:rFonts w:ascii="Arial" w:eastAsia="Times New Roman" w:hAnsi="Arial" w:cs="Arial"/>
                <w:b/>
                <w:bCs/>
                <w:color w:val="0081E3"/>
                <w:szCs w:val="18"/>
              </w:rPr>
              <w:t xml:space="preserve">SFY </w:t>
            </w:r>
            <w:r w:rsidR="00326D0D" w:rsidRPr="00805CB3">
              <w:rPr>
                <w:rFonts w:ascii="Arial" w:eastAsia="Times New Roman" w:hAnsi="Arial" w:cs="Arial"/>
                <w:b/>
                <w:bCs/>
                <w:color w:val="0081E3"/>
                <w:szCs w:val="18"/>
              </w:rPr>
              <w:t>20</w:t>
            </w:r>
            <w:r w:rsidR="00326D0D">
              <w:rPr>
                <w:rFonts w:ascii="Arial" w:eastAsia="Times New Roman" w:hAnsi="Arial" w:cs="Arial"/>
                <w:b/>
                <w:bCs/>
                <w:color w:val="0081E3"/>
                <w:szCs w:val="18"/>
              </w:rPr>
              <w:t>2</w:t>
            </w:r>
            <w:r w:rsidR="00F67BC5">
              <w:rPr>
                <w:rFonts w:ascii="Arial" w:eastAsia="Times New Roman" w:hAnsi="Arial" w:cs="Arial"/>
                <w:b/>
                <w:bCs/>
                <w:color w:val="0081E3"/>
                <w:szCs w:val="18"/>
              </w:rPr>
              <w:t>2</w:t>
            </w:r>
            <w:r w:rsidR="00326D0D" w:rsidRPr="00805CB3">
              <w:rPr>
                <w:rFonts w:ascii="Arial" w:eastAsia="Times New Roman" w:hAnsi="Arial" w:cs="Arial"/>
                <w:b/>
                <w:bCs/>
                <w:color w:val="0081E3"/>
                <w:szCs w:val="18"/>
              </w:rPr>
              <w:t xml:space="preserve"> </w:t>
            </w:r>
            <w:r>
              <w:rPr>
                <w:rFonts w:ascii="Arial" w:eastAsia="Times New Roman" w:hAnsi="Arial" w:cs="Arial"/>
                <w:b/>
                <w:bCs/>
                <w:color w:val="0081E3"/>
                <w:szCs w:val="18"/>
              </w:rPr>
              <w:t xml:space="preserve">RATES </w:t>
            </w:r>
            <w:r w:rsidRPr="00805CB3">
              <w:rPr>
                <w:rFonts w:ascii="Arial" w:eastAsia="Times New Roman" w:hAnsi="Arial" w:cs="Arial"/>
                <w:b/>
                <w:bCs/>
                <w:color w:val="0081E3"/>
                <w:szCs w:val="18"/>
              </w:rPr>
              <w:t>(PMPM</w:t>
            </w:r>
            <w:r w:rsidR="00613F7F">
              <w:rPr>
                <w:rFonts w:ascii="Arial" w:eastAsia="Times New Roman" w:hAnsi="Arial" w:cs="Arial"/>
                <w:b/>
                <w:bCs/>
                <w:color w:val="0081E3"/>
                <w:szCs w:val="18"/>
              </w:rPr>
              <w:t xml:space="preserve"> BASIS</w:t>
            </w:r>
            <w:r w:rsidRPr="00805CB3">
              <w:rPr>
                <w:rFonts w:ascii="Arial" w:eastAsia="Times New Roman" w:hAnsi="Arial" w:cs="Arial"/>
                <w:b/>
                <w:bCs/>
                <w:color w:val="0081E3"/>
                <w:szCs w:val="18"/>
              </w:rPr>
              <w:t>)</w:t>
            </w:r>
          </w:p>
        </w:tc>
      </w:tr>
      <w:tr w:rsidR="00023C81" w:rsidRPr="00805CB3" w14:paraId="368CA753" w14:textId="77777777" w:rsidTr="00805CB3">
        <w:trPr>
          <w:trHeight w:val="960"/>
        </w:trPr>
        <w:tc>
          <w:tcPr>
            <w:tcW w:w="2732" w:type="dxa"/>
            <w:tcBorders>
              <w:top w:val="nil"/>
              <w:left w:val="nil"/>
              <w:bottom w:val="single" w:sz="4" w:space="0" w:color="C6C9CA"/>
              <w:right w:val="nil"/>
            </w:tcBorders>
            <w:shd w:val="clear" w:color="auto" w:fill="auto"/>
            <w:vAlign w:val="bottom"/>
            <w:hideMark/>
          </w:tcPr>
          <w:p w14:paraId="47F22D5C" w14:textId="2DF5D82E" w:rsidR="00023C81" w:rsidRPr="00805CB3" w:rsidRDefault="00023C81" w:rsidP="00023C81">
            <w:pPr>
              <w:spacing w:after="0" w:line="240" w:lineRule="auto"/>
              <w:rPr>
                <w:rFonts w:ascii="Arial" w:eastAsia="Times New Roman" w:hAnsi="Arial" w:cs="Arial"/>
                <w:b/>
                <w:bCs/>
                <w:color w:val="39414D"/>
                <w:szCs w:val="18"/>
              </w:rPr>
            </w:pPr>
            <w:r>
              <w:rPr>
                <w:rFonts w:ascii="Arial" w:hAnsi="Arial" w:cs="Arial"/>
                <w:b/>
                <w:bCs/>
                <w:color w:val="39414D"/>
                <w:szCs w:val="18"/>
              </w:rPr>
              <w:t>Population</w:t>
            </w:r>
          </w:p>
        </w:tc>
        <w:tc>
          <w:tcPr>
            <w:tcW w:w="1483" w:type="dxa"/>
            <w:tcBorders>
              <w:top w:val="nil"/>
              <w:left w:val="nil"/>
              <w:bottom w:val="single" w:sz="4" w:space="0" w:color="C6C9CA"/>
              <w:right w:val="nil"/>
            </w:tcBorders>
            <w:shd w:val="clear" w:color="auto" w:fill="auto"/>
            <w:vAlign w:val="bottom"/>
            <w:hideMark/>
          </w:tcPr>
          <w:p w14:paraId="30C2EC01" w14:textId="6CF97C49" w:rsidR="00023C81" w:rsidRPr="00805CB3" w:rsidRDefault="00023C81" w:rsidP="00023C81">
            <w:pPr>
              <w:spacing w:after="0" w:line="240" w:lineRule="auto"/>
              <w:jc w:val="center"/>
              <w:rPr>
                <w:rFonts w:ascii="Arial" w:eastAsia="Times New Roman" w:hAnsi="Arial" w:cs="Arial"/>
                <w:b/>
                <w:bCs/>
                <w:color w:val="39414D"/>
                <w:szCs w:val="18"/>
              </w:rPr>
            </w:pPr>
            <w:r>
              <w:rPr>
                <w:rFonts w:ascii="Arial" w:hAnsi="Arial" w:cs="Arial"/>
                <w:b/>
                <w:bCs/>
                <w:color w:val="39414D"/>
                <w:szCs w:val="18"/>
              </w:rPr>
              <w:t xml:space="preserve">Estimated SFY </w:t>
            </w:r>
            <w:r w:rsidR="00641F44">
              <w:rPr>
                <w:rFonts w:ascii="Arial" w:hAnsi="Arial" w:cs="Arial"/>
                <w:b/>
                <w:bCs/>
                <w:color w:val="39414D"/>
                <w:szCs w:val="18"/>
              </w:rPr>
              <w:t xml:space="preserve">2023 </w:t>
            </w:r>
            <w:r>
              <w:rPr>
                <w:rFonts w:ascii="Arial" w:hAnsi="Arial" w:cs="Arial"/>
                <w:b/>
                <w:bCs/>
                <w:color w:val="39414D"/>
                <w:szCs w:val="18"/>
              </w:rPr>
              <w:t>Average Monthly Enrollment</w:t>
            </w:r>
          </w:p>
        </w:tc>
        <w:tc>
          <w:tcPr>
            <w:tcW w:w="1489" w:type="dxa"/>
            <w:tcBorders>
              <w:top w:val="nil"/>
              <w:left w:val="nil"/>
              <w:bottom w:val="single" w:sz="4" w:space="0" w:color="C6C9CA"/>
              <w:right w:val="nil"/>
            </w:tcBorders>
            <w:shd w:val="clear" w:color="auto" w:fill="auto"/>
            <w:vAlign w:val="bottom"/>
            <w:hideMark/>
          </w:tcPr>
          <w:p w14:paraId="40E4A413" w14:textId="1A0F79F9" w:rsidR="00023C81" w:rsidRPr="00805CB3" w:rsidRDefault="00023C81" w:rsidP="00023C81">
            <w:pPr>
              <w:spacing w:after="0" w:line="240" w:lineRule="auto"/>
              <w:jc w:val="center"/>
              <w:rPr>
                <w:rFonts w:ascii="Arial" w:eastAsia="Times New Roman" w:hAnsi="Arial" w:cs="Arial"/>
                <w:b/>
                <w:bCs/>
                <w:color w:val="39414D"/>
                <w:szCs w:val="18"/>
              </w:rPr>
            </w:pPr>
            <w:r>
              <w:rPr>
                <w:rFonts w:ascii="Arial" w:hAnsi="Arial" w:cs="Arial"/>
                <w:b/>
                <w:bCs/>
                <w:color w:val="39414D"/>
                <w:szCs w:val="18"/>
              </w:rPr>
              <w:t xml:space="preserve">SFY </w:t>
            </w:r>
            <w:r w:rsidR="00641F44">
              <w:rPr>
                <w:rFonts w:ascii="Arial" w:hAnsi="Arial" w:cs="Arial"/>
                <w:b/>
                <w:bCs/>
                <w:color w:val="39414D"/>
                <w:szCs w:val="18"/>
              </w:rPr>
              <w:t xml:space="preserve">2022 </w:t>
            </w:r>
            <w:r>
              <w:rPr>
                <w:rFonts w:ascii="Arial" w:hAnsi="Arial" w:cs="Arial"/>
                <w:b/>
                <w:bCs/>
                <w:color w:val="39414D"/>
                <w:szCs w:val="18"/>
              </w:rPr>
              <w:t>Composite Rates</w:t>
            </w:r>
          </w:p>
        </w:tc>
        <w:tc>
          <w:tcPr>
            <w:tcW w:w="1489" w:type="dxa"/>
            <w:tcBorders>
              <w:top w:val="nil"/>
              <w:left w:val="nil"/>
              <w:bottom w:val="single" w:sz="4" w:space="0" w:color="C6C9CA"/>
              <w:right w:val="nil"/>
            </w:tcBorders>
            <w:shd w:val="clear" w:color="auto" w:fill="auto"/>
            <w:vAlign w:val="bottom"/>
            <w:hideMark/>
          </w:tcPr>
          <w:p w14:paraId="1E775235" w14:textId="5EC70FDC" w:rsidR="00023C81" w:rsidRPr="00805CB3" w:rsidRDefault="00023C81" w:rsidP="00023C81">
            <w:pPr>
              <w:spacing w:after="0" w:line="240" w:lineRule="auto"/>
              <w:jc w:val="center"/>
              <w:rPr>
                <w:rFonts w:ascii="Arial" w:eastAsia="Times New Roman" w:hAnsi="Arial" w:cs="Arial"/>
                <w:b/>
                <w:bCs/>
                <w:color w:val="39414D"/>
                <w:szCs w:val="18"/>
              </w:rPr>
            </w:pPr>
            <w:r>
              <w:rPr>
                <w:rFonts w:ascii="Arial" w:hAnsi="Arial" w:cs="Arial"/>
                <w:b/>
                <w:bCs/>
                <w:color w:val="39414D"/>
                <w:szCs w:val="18"/>
              </w:rPr>
              <w:t xml:space="preserve">SFY </w:t>
            </w:r>
            <w:r w:rsidR="00641F44">
              <w:rPr>
                <w:rFonts w:ascii="Arial" w:hAnsi="Arial" w:cs="Arial"/>
                <w:b/>
                <w:bCs/>
                <w:color w:val="39414D"/>
                <w:szCs w:val="18"/>
              </w:rPr>
              <w:t xml:space="preserve">2023 </w:t>
            </w:r>
            <w:r>
              <w:rPr>
                <w:rFonts w:ascii="Arial" w:hAnsi="Arial" w:cs="Arial"/>
                <w:b/>
                <w:bCs/>
                <w:color w:val="39414D"/>
                <w:szCs w:val="18"/>
              </w:rPr>
              <w:t>Composite Rates</w:t>
            </w:r>
          </w:p>
        </w:tc>
        <w:tc>
          <w:tcPr>
            <w:tcW w:w="1323" w:type="dxa"/>
            <w:tcBorders>
              <w:top w:val="nil"/>
              <w:left w:val="nil"/>
              <w:bottom w:val="single" w:sz="4" w:space="0" w:color="C6C9CA"/>
              <w:right w:val="nil"/>
            </w:tcBorders>
            <w:shd w:val="clear" w:color="auto" w:fill="auto"/>
            <w:vAlign w:val="bottom"/>
            <w:hideMark/>
          </w:tcPr>
          <w:p w14:paraId="629984E8" w14:textId="10365EE5" w:rsidR="00023C81" w:rsidRPr="00805CB3" w:rsidRDefault="00023C81" w:rsidP="00023C81">
            <w:pPr>
              <w:spacing w:after="0" w:line="240" w:lineRule="auto"/>
              <w:jc w:val="center"/>
              <w:rPr>
                <w:rFonts w:ascii="Arial" w:eastAsia="Times New Roman" w:hAnsi="Arial" w:cs="Arial"/>
                <w:b/>
                <w:bCs/>
                <w:color w:val="39414D"/>
                <w:szCs w:val="18"/>
              </w:rPr>
            </w:pPr>
            <w:r>
              <w:rPr>
                <w:rFonts w:ascii="Arial" w:hAnsi="Arial" w:cs="Arial"/>
                <w:b/>
                <w:bCs/>
                <w:color w:val="39414D"/>
                <w:szCs w:val="18"/>
              </w:rPr>
              <w:t>% Change</w:t>
            </w:r>
          </w:p>
        </w:tc>
      </w:tr>
      <w:tr w:rsidR="00471DC9" w:rsidRPr="00805CB3" w14:paraId="529852E0" w14:textId="77777777" w:rsidTr="00627A51">
        <w:trPr>
          <w:trHeight w:val="240"/>
        </w:trPr>
        <w:tc>
          <w:tcPr>
            <w:tcW w:w="2732" w:type="dxa"/>
            <w:tcBorders>
              <w:top w:val="nil"/>
              <w:left w:val="nil"/>
              <w:bottom w:val="nil"/>
              <w:right w:val="nil"/>
            </w:tcBorders>
            <w:shd w:val="clear" w:color="auto" w:fill="auto"/>
            <w:noWrap/>
            <w:vAlign w:val="center"/>
            <w:hideMark/>
          </w:tcPr>
          <w:p w14:paraId="4CFBFC55" w14:textId="68A331DA" w:rsidR="00471DC9" w:rsidRPr="00805CB3"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RIte Care</w:t>
            </w:r>
          </w:p>
        </w:tc>
        <w:tc>
          <w:tcPr>
            <w:tcW w:w="1483" w:type="dxa"/>
            <w:tcBorders>
              <w:top w:val="nil"/>
              <w:left w:val="nil"/>
              <w:bottom w:val="nil"/>
              <w:right w:val="nil"/>
            </w:tcBorders>
            <w:shd w:val="clear" w:color="auto" w:fill="auto"/>
            <w:noWrap/>
            <w:vAlign w:val="center"/>
            <w:hideMark/>
          </w:tcPr>
          <w:p w14:paraId="7A0C3945" w14:textId="51083DC1"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170,711 </w:t>
            </w:r>
          </w:p>
        </w:tc>
        <w:tc>
          <w:tcPr>
            <w:tcW w:w="1489" w:type="dxa"/>
            <w:tcBorders>
              <w:top w:val="nil"/>
              <w:left w:val="nil"/>
              <w:bottom w:val="nil"/>
              <w:right w:val="nil"/>
            </w:tcBorders>
            <w:shd w:val="clear" w:color="auto" w:fill="auto"/>
            <w:noWrap/>
            <w:vAlign w:val="center"/>
            <w:hideMark/>
          </w:tcPr>
          <w:p w14:paraId="41FDF797" w14:textId="6DF6946F"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$ 306.21 </w:t>
            </w:r>
          </w:p>
        </w:tc>
        <w:tc>
          <w:tcPr>
            <w:tcW w:w="1489" w:type="dxa"/>
            <w:tcBorders>
              <w:top w:val="nil"/>
              <w:left w:val="nil"/>
              <w:bottom w:val="nil"/>
              <w:right w:val="nil"/>
            </w:tcBorders>
            <w:shd w:val="clear" w:color="auto" w:fill="auto"/>
            <w:noWrap/>
            <w:vAlign w:val="center"/>
            <w:hideMark/>
          </w:tcPr>
          <w:p w14:paraId="47102882" w14:textId="27A94855"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$ 313.05 </w:t>
            </w:r>
          </w:p>
        </w:tc>
        <w:tc>
          <w:tcPr>
            <w:tcW w:w="1323" w:type="dxa"/>
            <w:tcBorders>
              <w:top w:val="nil"/>
              <w:left w:val="nil"/>
              <w:bottom w:val="nil"/>
              <w:right w:val="nil"/>
            </w:tcBorders>
            <w:shd w:val="clear" w:color="auto" w:fill="auto"/>
            <w:noWrap/>
            <w:vAlign w:val="center"/>
            <w:hideMark/>
          </w:tcPr>
          <w:p w14:paraId="51EED619" w14:textId="2448AED6"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2.2% </w:t>
            </w:r>
          </w:p>
        </w:tc>
      </w:tr>
      <w:tr w:rsidR="00471DC9" w:rsidRPr="00805CB3" w14:paraId="45919CD3" w14:textId="77777777" w:rsidTr="00627A51">
        <w:trPr>
          <w:trHeight w:val="240"/>
        </w:trPr>
        <w:tc>
          <w:tcPr>
            <w:tcW w:w="2732" w:type="dxa"/>
            <w:tcBorders>
              <w:top w:val="nil"/>
              <w:left w:val="nil"/>
              <w:bottom w:val="nil"/>
              <w:right w:val="nil"/>
            </w:tcBorders>
            <w:shd w:val="clear" w:color="000000" w:fill="E8E9E9"/>
            <w:noWrap/>
            <w:vAlign w:val="center"/>
            <w:hideMark/>
          </w:tcPr>
          <w:p w14:paraId="38B03464" w14:textId="7FC30C6D" w:rsidR="00471DC9" w:rsidRPr="00805CB3"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CSHCN</w:t>
            </w:r>
          </w:p>
        </w:tc>
        <w:tc>
          <w:tcPr>
            <w:tcW w:w="1483" w:type="dxa"/>
            <w:tcBorders>
              <w:top w:val="nil"/>
              <w:left w:val="nil"/>
              <w:bottom w:val="nil"/>
              <w:right w:val="nil"/>
            </w:tcBorders>
            <w:shd w:val="clear" w:color="000000" w:fill="E8E9E9"/>
            <w:noWrap/>
            <w:vAlign w:val="center"/>
            <w:hideMark/>
          </w:tcPr>
          <w:p w14:paraId="5AD6B213" w14:textId="4AC7D014"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9,660 </w:t>
            </w:r>
          </w:p>
        </w:tc>
        <w:tc>
          <w:tcPr>
            <w:tcW w:w="1489" w:type="dxa"/>
            <w:tcBorders>
              <w:top w:val="nil"/>
              <w:left w:val="nil"/>
              <w:bottom w:val="nil"/>
              <w:right w:val="nil"/>
            </w:tcBorders>
            <w:shd w:val="clear" w:color="000000" w:fill="E8E9E9"/>
            <w:noWrap/>
            <w:vAlign w:val="center"/>
            <w:hideMark/>
          </w:tcPr>
          <w:p w14:paraId="797A6342" w14:textId="136805F0"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1,161.06 </w:t>
            </w:r>
          </w:p>
        </w:tc>
        <w:tc>
          <w:tcPr>
            <w:tcW w:w="1489" w:type="dxa"/>
            <w:tcBorders>
              <w:top w:val="nil"/>
              <w:left w:val="nil"/>
              <w:bottom w:val="nil"/>
              <w:right w:val="nil"/>
            </w:tcBorders>
            <w:shd w:val="clear" w:color="000000" w:fill="E8E9E9"/>
            <w:noWrap/>
            <w:vAlign w:val="center"/>
            <w:hideMark/>
          </w:tcPr>
          <w:p w14:paraId="673ECB71" w14:textId="18B87286"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1,208.59 </w:t>
            </w:r>
          </w:p>
        </w:tc>
        <w:tc>
          <w:tcPr>
            <w:tcW w:w="1323" w:type="dxa"/>
            <w:tcBorders>
              <w:top w:val="nil"/>
              <w:left w:val="nil"/>
              <w:bottom w:val="nil"/>
              <w:right w:val="nil"/>
            </w:tcBorders>
            <w:shd w:val="clear" w:color="000000" w:fill="E8E9E9"/>
            <w:noWrap/>
            <w:vAlign w:val="center"/>
            <w:hideMark/>
          </w:tcPr>
          <w:p w14:paraId="6F0FA09D" w14:textId="770E4A34"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4.1% </w:t>
            </w:r>
          </w:p>
        </w:tc>
      </w:tr>
      <w:tr w:rsidR="00471DC9" w:rsidRPr="00805CB3" w14:paraId="7FF33823" w14:textId="77777777" w:rsidTr="00627A51">
        <w:trPr>
          <w:trHeight w:val="240"/>
        </w:trPr>
        <w:tc>
          <w:tcPr>
            <w:tcW w:w="2732" w:type="dxa"/>
            <w:tcBorders>
              <w:top w:val="nil"/>
              <w:left w:val="nil"/>
              <w:bottom w:val="nil"/>
              <w:right w:val="nil"/>
            </w:tcBorders>
            <w:shd w:val="clear" w:color="auto" w:fill="auto"/>
            <w:noWrap/>
            <w:vAlign w:val="center"/>
            <w:hideMark/>
          </w:tcPr>
          <w:p w14:paraId="7E3A12CE" w14:textId="74A071AD" w:rsidR="00471DC9" w:rsidRPr="00805CB3"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Medicaid Expansion</w:t>
            </w:r>
          </w:p>
        </w:tc>
        <w:tc>
          <w:tcPr>
            <w:tcW w:w="1483" w:type="dxa"/>
            <w:tcBorders>
              <w:top w:val="nil"/>
              <w:left w:val="nil"/>
              <w:bottom w:val="nil"/>
              <w:right w:val="nil"/>
            </w:tcBorders>
            <w:shd w:val="clear" w:color="auto" w:fill="auto"/>
            <w:noWrap/>
            <w:vAlign w:val="center"/>
            <w:hideMark/>
          </w:tcPr>
          <w:p w14:paraId="14F065F8" w14:textId="0E3702AE"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107,096 </w:t>
            </w:r>
          </w:p>
        </w:tc>
        <w:tc>
          <w:tcPr>
            <w:tcW w:w="1489" w:type="dxa"/>
            <w:tcBorders>
              <w:top w:val="nil"/>
              <w:left w:val="nil"/>
              <w:bottom w:val="nil"/>
              <w:right w:val="nil"/>
            </w:tcBorders>
            <w:shd w:val="clear" w:color="auto" w:fill="auto"/>
            <w:noWrap/>
            <w:vAlign w:val="center"/>
            <w:hideMark/>
          </w:tcPr>
          <w:p w14:paraId="65849BC1" w14:textId="7A41B0B0"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663.80 </w:t>
            </w:r>
          </w:p>
        </w:tc>
        <w:tc>
          <w:tcPr>
            <w:tcW w:w="1489" w:type="dxa"/>
            <w:tcBorders>
              <w:top w:val="nil"/>
              <w:left w:val="nil"/>
              <w:bottom w:val="nil"/>
              <w:right w:val="nil"/>
            </w:tcBorders>
            <w:shd w:val="clear" w:color="auto" w:fill="auto"/>
            <w:noWrap/>
            <w:vAlign w:val="center"/>
            <w:hideMark/>
          </w:tcPr>
          <w:p w14:paraId="2B5831F3" w14:textId="45243D42"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647.97 </w:t>
            </w:r>
          </w:p>
        </w:tc>
        <w:tc>
          <w:tcPr>
            <w:tcW w:w="1323" w:type="dxa"/>
            <w:tcBorders>
              <w:top w:val="nil"/>
              <w:left w:val="nil"/>
              <w:bottom w:val="nil"/>
              <w:right w:val="nil"/>
            </w:tcBorders>
            <w:shd w:val="clear" w:color="auto" w:fill="auto"/>
            <w:noWrap/>
            <w:vAlign w:val="center"/>
            <w:hideMark/>
          </w:tcPr>
          <w:p w14:paraId="71811443" w14:textId="1A4EE76B"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(2.4%)</w:t>
            </w:r>
          </w:p>
        </w:tc>
      </w:tr>
      <w:tr w:rsidR="00471DC9" w:rsidRPr="00805CB3" w14:paraId="0E8EE0CA" w14:textId="77777777" w:rsidTr="00627A51">
        <w:trPr>
          <w:trHeight w:val="240"/>
        </w:trPr>
        <w:tc>
          <w:tcPr>
            <w:tcW w:w="2732" w:type="dxa"/>
            <w:tcBorders>
              <w:top w:val="nil"/>
              <w:left w:val="nil"/>
              <w:bottom w:val="nil"/>
              <w:right w:val="nil"/>
            </w:tcBorders>
            <w:shd w:val="clear" w:color="000000" w:fill="E8E9E9"/>
            <w:noWrap/>
            <w:vAlign w:val="center"/>
            <w:hideMark/>
          </w:tcPr>
          <w:p w14:paraId="30BD82D6" w14:textId="413777D5" w:rsidR="00471DC9" w:rsidRPr="00805CB3"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Rhody Health Partners</w:t>
            </w:r>
          </w:p>
        </w:tc>
        <w:tc>
          <w:tcPr>
            <w:tcW w:w="1483" w:type="dxa"/>
            <w:tcBorders>
              <w:top w:val="nil"/>
              <w:left w:val="nil"/>
              <w:bottom w:val="nil"/>
              <w:right w:val="nil"/>
            </w:tcBorders>
            <w:shd w:val="clear" w:color="000000" w:fill="E8E9E9"/>
            <w:noWrap/>
            <w:vAlign w:val="center"/>
            <w:hideMark/>
          </w:tcPr>
          <w:p w14:paraId="715129C6" w14:textId="644CE2C3"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14,545 </w:t>
            </w:r>
          </w:p>
        </w:tc>
        <w:tc>
          <w:tcPr>
            <w:tcW w:w="1489" w:type="dxa"/>
            <w:tcBorders>
              <w:top w:val="nil"/>
              <w:left w:val="nil"/>
              <w:bottom w:val="nil"/>
              <w:right w:val="nil"/>
            </w:tcBorders>
            <w:shd w:val="clear" w:color="000000" w:fill="E8E9E9"/>
            <w:noWrap/>
            <w:vAlign w:val="center"/>
            <w:hideMark/>
          </w:tcPr>
          <w:p w14:paraId="51BC8F8F" w14:textId="6010B090"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1,929.00 </w:t>
            </w:r>
          </w:p>
        </w:tc>
        <w:tc>
          <w:tcPr>
            <w:tcW w:w="1489" w:type="dxa"/>
            <w:tcBorders>
              <w:top w:val="nil"/>
              <w:left w:val="nil"/>
              <w:bottom w:val="nil"/>
              <w:right w:val="nil"/>
            </w:tcBorders>
            <w:shd w:val="clear" w:color="000000" w:fill="E8E9E9"/>
            <w:noWrap/>
            <w:vAlign w:val="center"/>
            <w:hideMark/>
          </w:tcPr>
          <w:p w14:paraId="49DC39E4" w14:textId="7B526318"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1,980.85 </w:t>
            </w:r>
          </w:p>
        </w:tc>
        <w:tc>
          <w:tcPr>
            <w:tcW w:w="1323" w:type="dxa"/>
            <w:tcBorders>
              <w:top w:val="nil"/>
              <w:left w:val="nil"/>
              <w:bottom w:val="nil"/>
              <w:right w:val="nil"/>
            </w:tcBorders>
            <w:shd w:val="clear" w:color="000000" w:fill="E8E9E9"/>
            <w:noWrap/>
            <w:vAlign w:val="center"/>
            <w:hideMark/>
          </w:tcPr>
          <w:p w14:paraId="20A5AA9C" w14:textId="22B0874E"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2.7% </w:t>
            </w:r>
          </w:p>
        </w:tc>
      </w:tr>
      <w:tr w:rsidR="00471DC9" w:rsidRPr="00805CB3" w14:paraId="750567E3" w14:textId="77777777" w:rsidTr="00627A51">
        <w:trPr>
          <w:trHeight w:val="240"/>
        </w:trPr>
        <w:tc>
          <w:tcPr>
            <w:tcW w:w="2732" w:type="dxa"/>
            <w:tcBorders>
              <w:top w:val="nil"/>
              <w:left w:val="nil"/>
              <w:bottom w:val="nil"/>
              <w:right w:val="nil"/>
            </w:tcBorders>
            <w:shd w:val="clear" w:color="auto" w:fill="auto"/>
            <w:noWrap/>
            <w:vAlign w:val="center"/>
            <w:hideMark/>
          </w:tcPr>
          <w:p w14:paraId="1A526F1D" w14:textId="44BEF9EE" w:rsidR="00471DC9" w:rsidRPr="00805CB3"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SOBRA</w:t>
            </w:r>
          </w:p>
        </w:tc>
        <w:tc>
          <w:tcPr>
            <w:tcW w:w="1483" w:type="dxa"/>
            <w:tcBorders>
              <w:top w:val="nil"/>
              <w:left w:val="nil"/>
              <w:bottom w:val="nil"/>
              <w:right w:val="nil"/>
            </w:tcBorders>
            <w:shd w:val="clear" w:color="auto" w:fill="auto"/>
            <w:noWrap/>
            <w:vAlign w:val="center"/>
            <w:hideMark/>
          </w:tcPr>
          <w:p w14:paraId="677D7B2F" w14:textId="6D74EBB2"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423 </w:t>
            </w:r>
          </w:p>
        </w:tc>
        <w:tc>
          <w:tcPr>
            <w:tcW w:w="1489" w:type="dxa"/>
            <w:tcBorders>
              <w:top w:val="nil"/>
              <w:left w:val="nil"/>
              <w:bottom w:val="nil"/>
              <w:right w:val="nil"/>
            </w:tcBorders>
            <w:shd w:val="clear" w:color="auto" w:fill="auto"/>
            <w:noWrap/>
            <w:vAlign w:val="center"/>
            <w:hideMark/>
          </w:tcPr>
          <w:p w14:paraId="53EB9722" w14:textId="69439147"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13,611.28 </w:t>
            </w:r>
          </w:p>
        </w:tc>
        <w:tc>
          <w:tcPr>
            <w:tcW w:w="1489" w:type="dxa"/>
            <w:tcBorders>
              <w:top w:val="nil"/>
              <w:left w:val="nil"/>
              <w:bottom w:val="nil"/>
              <w:right w:val="nil"/>
            </w:tcBorders>
            <w:shd w:val="clear" w:color="auto" w:fill="auto"/>
            <w:noWrap/>
            <w:vAlign w:val="center"/>
            <w:hideMark/>
          </w:tcPr>
          <w:p w14:paraId="1011E41F" w14:textId="602937BE"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14,552.46 </w:t>
            </w:r>
          </w:p>
        </w:tc>
        <w:tc>
          <w:tcPr>
            <w:tcW w:w="1323" w:type="dxa"/>
            <w:tcBorders>
              <w:top w:val="nil"/>
              <w:left w:val="nil"/>
              <w:bottom w:val="nil"/>
              <w:right w:val="nil"/>
            </w:tcBorders>
            <w:shd w:val="clear" w:color="auto" w:fill="auto"/>
            <w:noWrap/>
            <w:vAlign w:val="center"/>
            <w:hideMark/>
          </w:tcPr>
          <w:p w14:paraId="19693AE7" w14:textId="284C63E5" w:rsidR="00471DC9" w:rsidRPr="00805CB3"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6.9% </w:t>
            </w:r>
          </w:p>
        </w:tc>
      </w:tr>
      <w:tr w:rsidR="00471DC9" w:rsidRPr="00805CB3" w14:paraId="1B3940BA" w14:textId="77777777" w:rsidTr="00627A51">
        <w:trPr>
          <w:trHeight w:val="240"/>
        </w:trPr>
        <w:tc>
          <w:tcPr>
            <w:tcW w:w="2732" w:type="dxa"/>
            <w:tcBorders>
              <w:top w:val="nil"/>
              <w:left w:val="nil"/>
              <w:bottom w:val="nil"/>
              <w:right w:val="nil"/>
            </w:tcBorders>
            <w:shd w:val="clear" w:color="000000" w:fill="E8E9E9"/>
            <w:noWrap/>
            <w:vAlign w:val="center"/>
            <w:hideMark/>
          </w:tcPr>
          <w:p w14:paraId="2BA76443" w14:textId="6FF814B4" w:rsidR="00471DC9" w:rsidRPr="00805CB3" w:rsidRDefault="00471DC9" w:rsidP="00471DC9">
            <w:pPr>
              <w:spacing w:after="0" w:line="240" w:lineRule="auto"/>
              <w:rPr>
                <w:rFonts w:ascii="Arial" w:eastAsia="Times New Roman" w:hAnsi="Arial" w:cs="Arial"/>
                <w:b/>
                <w:bCs/>
                <w:color w:val="39414D"/>
                <w:szCs w:val="18"/>
              </w:rPr>
            </w:pPr>
            <w:r>
              <w:rPr>
                <w:rFonts w:ascii="Arial" w:hAnsi="Arial" w:cs="Arial"/>
                <w:b/>
                <w:bCs/>
                <w:color w:val="39414D"/>
                <w:szCs w:val="18"/>
              </w:rPr>
              <w:t>Composite</w:t>
            </w:r>
          </w:p>
        </w:tc>
        <w:tc>
          <w:tcPr>
            <w:tcW w:w="1483" w:type="dxa"/>
            <w:tcBorders>
              <w:top w:val="nil"/>
              <w:left w:val="nil"/>
              <w:bottom w:val="nil"/>
              <w:right w:val="nil"/>
            </w:tcBorders>
            <w:shd w:val="clear" w:color="000000" w:fill="E8E9E9"/>
            <w:noWrap/>
            <w:vAlign w:val="center"/>
            <w:hideMark/>
          </w:tcPr>
          <w:p w14:paraId="4FBE1E08" w14:textId="56F3473E" w:rsidR="00471DC9" w:rsidRPr="00805CB3"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302,012 </w:t>
            </w:r>
          </w:p>
        </w:tc>
        <w:tc>
          <w:tcPr>
            <w:tcW w:w="1489" w:type="dxa"/>
            <w:tcBorders>
              <w:top w:val="nil"/>
              <w:left w:val="nil"/>
              <w:bottom w:val="nil"/>
              <w:right w:val="nil"/>
            </w:tcBorders>
            <w:shd w:val="clear" w:color="000000" w:fill="E8E9E9"/>
            <w:noWrap/>
            <w:vAlign w:val="center"/>
            <w:hideMark/>
          </w:tcPr>
          <w:p w14:paraId="4B92F285" w14:textId="15A102F0" w:rsidR="00471DC9" w:rsidRPr="00805CB3"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$ 557.56 </w:t>
            </w:r>
          </w:p>
        </w:tc>
        <w:tc>
          <w:tcPr>
            <w:tcW w:w="1489" w:type="dxa"/>
            <w:tcBorders>
              <w:top w:val="nil"/>
              <w:left w:val="nil"/>
              <w:bottom w:val="nil"/>
              <w:right w:val="nil"/>
            </w:tcBorders>
            <w:shd w:val="clear" w:color="000000" w:fill="E8E9E9"/>
            <w:noWrap/>
            <w:vAlign w:val="center"/>
            <w:hideMark/>
          </w:tcPr>
          <w:p w14:paraId="5F6EBB72" w14:textId="5CFA743F" w:rsidR="00471DC9" w:rsidRPr="00805CB3"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$ 561.15 </w:t>
            </w:r>
          </w:p>
        </w:tc>
        <w:tc>
          <w:tcPr>
            <w:tcW w:w="1323" w:type="dxa"/>
            <w:tcBorders>
              <w:top w:val="nil"/>
              <w:left w:val="nil"/>
              <w:bottom w:val="nil"/>
              <w:right w:val="nil"/>
            </w:tcBorders>
            <w:shd w:val="clear" w:color="000000" w:fill="E8E9E9"/>
            <w:noWrap/>
            <w:vAlign w:val="center"/>
            <w:hideMark/>
          </w:tcPr>
          <w:p w14:paraId="3619EA2B" w14:textId="0F4A8488" w:rsidR="00471DC9" w:rsidRPr="00805CB3"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0.6% </w:t>
            </w:r>
          </w:p>
        </w:tc>
      </w:tr>
    </w:tbl>
    <w:p w14:paraId="1CA940D0" w14:textId="77777777" w:rsidR="00E901B9" w:rsidRPr="006E4DF5" w:rsidRDefault="00E901B9" w:rsidP="00627A51">
      <w:pPr>
        <w:spacing w:before="60" w:after="0"/>
        <w:rPr>
          <w:b/>
        </w:rPr>
      </w:pPr>
      <w:r w:rsidRPr="006E4DF5">
        <w:rPr>
          <w:b/>
        </w:rPr>
        <w:t xml:space="preserve">Notes: </w:t>
      </w:r>
    </w:p>
    <w:p w14:paraId="242825A2" w14:textId="054E8795" w:rsidR="00E901B9" w:rsidRPr="00E51B17" w:rsidRDefault="00AA23AE" w:rsidP="006E4DF5">
      <w:pPr>
        <w:pStyle w:val="ListParagraph"/>
        <w:numPr>
          <w:ilvl w:val="0"/>
          <w:numId w:val="18"/>
        </w:numPr>
        <w:ind w:left="360"/>
      </w:pPr>
      <w:r>
        <w:t xml:space="preserve">SFY </w:t>
      </w:r>
      <w:r w:rsidR="00326D0D">
        <w:t>2022</w:t>
      </w:r>
      <w:r w:rsidR="00326D0D" w:rsidRPr="00E51B17">
        <w:t xml:space="preserve"> </w:t>
      </w:r>
      <w:r w:rsidR="00E901B9" w:rsidRPr="00E51B17">
        <w:t xml:space="preserve">and </w:t>
      </w:r>
      <w:r>
        <w:t xml:space="preserve">SFY </w:t>
      </w:r>
      <w:r w:rsidR="00326D0D">
        <w:t xml:space="preserve">2023 </w:t>
      </w:r>
      <w:r w:rsidR="00E901B9" w:rsidRPr="00E51B17">
        <w:t xml:space="preserve">composite rates were developed based on </w:t>
      </w:r>
      <w:r>
        <w:t xml:space="preserve">projected SFY </w:t>
      </w:r>
      <w:r w:rsidR="00326D0D">
        <w:t xml:space="preserve">2023 </w:t>
      </w:r>
      <w:r w:rsidR="00E901B9">
        <w:t>average</w:t>
      </w:r>
      <w:r w:rsidR="00E901B9" w:rsidRPr="00E51B17">
        <w:t xml:space="preserve"> monthly enrollment.</w:t>
      </w:r>
    </w:p>
    <w:p w14:paraId="1AE9B41B" w14:textId="3F292108" w:rsidR="005C5A81" w:rsidRDefault="00AA23AE" w:rsidP="006E4DF5">
      <w:pPr>
        <w:pStyle w:val="ListParagraph"/>
        <w:numPr>
          <w:ilvl w:val="0"/>
          <w:numId w:val="18"/>
        </w:numPr>
        <w:ind w:left="360"/>
      </w:pPr>
      <w:r>
        <w:t>SOBRA</w:t>
      </w:r>
      <w:r w:rsidR="005C5A81">
        <w:t xml:space="preserve"> enrollment reflects the estimated count of monthly deliveries.</w:t>
      </w:r>
    </w:p>
    <w:p w14:paraId="27E509AC" w14:textId="042FE03E" w:rsidR="003D09C2" w:rsidRDefault="003D09C2" w:rsidP="006E4DF5">
      <w:pPr>
        <w:pStyle w:val="ListParagraph"/>
        <w:numPr>
          <w:ilvl w:val="0"/>
          <w:numId w:val="18"/>
        </w:numPr>
        <w:ind w:left="360"/>
      </w:pPr>
      <w:r>
        <w:t xml:space="preserve">SFY 2022 capitation rates reflect the capitation rates contained in the “State Fiscal Year 2022 Medicaid Managed Care Capitation Rate </w:t>
      </w:r>
      <w:r w:rsidR="00305961">
        <w:t xml:space="preserve">Second </w:t>
      </w:r>
      <w:r>
        <w:t xml:space="preserve">Amendment” dated </w:t>
      </w:r>
      <w:r w:rsidR="00305961">
        <w:t xml:space="preserve">June </w:t>
      </w:r>
      <w:r>
        <w:t>1</w:t>
      </w:r>
      <w:r w:rsidR="00305961">
        <w:t>5</w:t>
      </w:r>
      <w:r>
        <w:t>, 202</w:t>
      </w:r>
      <w:r w:rsidR="00305961">
        <w:t>2</w:t>
      </w:r>
      <w:r w:rsidR="00BA4317">
        <w:t>, inclusive of directed payments with separate payment terms</w:t>
      </w:r>
      <w:r>
        <w:t>.</w:t>
      </w:r>
    </w:p>
    <w:p w14:paraId="12AF38A4" w14:textId="77777777" w:rsidR="00E901B9" w:rsidRDefault="00E901B9" w:rsidP="00210B59">
      <w:pPr>
        <w:pStyle w:val="RRBody"/>
      </w:pPr>
    </w:p>
    <w:p w14:paraId="671CB455" w14:textId="7572620A" w:rsidR="00A81F54" w:rsidRDefault="00553928" w:rsidP="00210B59">
      <w:pPr>
        <w:pStyle w:val="RRBody"/>
      </w:pPr>
      <w:r w:rsidRPr="00887697">
        <w:rPr>
          <w:szCs w:val="18"/>
        </w:rPr>
        <w:br w:type="column"/>
      </w:r>
      <w:r w:rsidR="00D762B9">
        <w:lastRenderedPageBreak/>
        <w:t>Figure</w:t>
      </w:r>
      <w:r w:rsidR="0041608E" w:rsidRPr="00827581">
        <w:t xml:space="preserve"> </w:t>
      </w:r>
      <w:r w:rsidR="0041608E">
        <w:t>2</w:t>
      </w:r>
      <w:r w:rsidR="0041608E" w:rsidRPr="00827581">
        <w:t xml:space="preserve"> compares the estimated state and federal expenditures under</w:t>
      </w:r>
      <w:r w:rsidR="0041608E">
        <w:t xml:space="preserve"> </w:t>
      </w:r>
      <w:r w:rsidR="00AA23AE">
        <w:t xml:space="preserve">the SFY </w:t>
      </w:r>
      <w:r w:rsidR="00326D0D">
        <w:t xml:space="preserve">2022 </w:t>
      </w:r>
      <w:r w:rsidR="0041608E">
        <w:t>capitation rates</w:t>
      </w:r>
      <w:r w:rsidR="001151A9">
        <w:t xml:space="preserve"> relative</w:t>
      </w:r>
      <w:r w:rsidR="0041608E" w:rsidRPr="00827581">
        <w:t xml:space="preserve"> to the</w:t>
      </w:r>
      <w:r w:rsidR="0041608E">
        <w:t xml:space="preserve"> </w:t>
      </w:r>
      <w:r w:rsidR="00AA23AE">
        <w:t xml:space="preserve">SFY </w:t>
      </w:r>
      <w:r w:rsidR="00326D0D">
        <w:t xml:space="preserve">2023 </w:t>
      </w:r>
      <w:r w:rsidR="0041608E">
        <w:t xml:space="preserve">capitation rates, based on </w:t>
      </w:r>
      <w:r w:rsidR="00AA23AE">
        <w:t xml:space="preserve">projected </w:t>
      </w:r>
      <w:r w:rsidR="0041608E">
        <w:t xml:space="preserve">average monthly enrollment </w:t>
      </w:r>
      <w:r w:rsidR="00AA23AE">
        <w:t xml:space="preserve">for SFY </w:t>
      </w:r>
      <w:r w:rsidR="00326D0D">
        <w:t>2023</w:t>
      </w:r>
      <w:r w:rsidR="0041608E">
        <w:t>.</w:t>
      </w:r>
    </w:p>
    <w:tbl>
      <w:tblPr>
        <w:tblpPr w:leftFromText="180" w:rightFromText="180" w:vertAnchor="text" w:tblpY="1"/>
        <w:tblOverlap w:val="never"/>
        <w:tblW w:w="7036" w:type="dxa"/>
        <w:tblLook w:val="04A0" w:firstRow="1" w:lastRow="0" w:firstColumn="1" w:lastColumn="0" w:noHBand="0" w:noVBand="1"/>
      </w:tblPr>
      <w:tblGrid>
        <w:gridCol w:w="2558"/>
        <w:gridCol w:w="1504"/>
        <w:gridCol w:w="1516"/>
        <w:gridCol w:w="1458"/>
      </w:tblGrid>
      <w:tr w:rsidR="00E70D34" w:rsidRPr="00E70D34" w14:paraId="1D38A29A" w14:textId="77777777" w:rsidTr="00A20C2E">
        <w:trPr>
          <w:trHeight w:val="240"/>
        </w:trPr>
        <w:tc>
          <w:tcPr>
            <w:tcW w:w="7036" w:type="dxa"/>
            <w:gridSpan w:val="4"/>
            <w:tcBorders>
              <w:top w:val="single" w:sz="4" w:space="0" w:color="E8E9E9"/>
              <w:left w:val="nil"/>
              <w:bottom w:val="nil"/>
              <w:right w:val="nil"/>
            </w:tcBorders>
            <w:shd w:val="clear" w:color="auto" w:fill="auto"/>
            <w:noWrap/>
            <w:vAlign w:val="bottom"/>
            <w:hideMark/>
          </w:tcPr>
          <w:p w14:paraId="5B566A4B" w14:textId="27B26AEF" w:rsidR="00E70D34" w:rsidRPr="00E70D34" w:rsidRDefault="00D762B9" w:rsidP="00A20C2E">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00E70D34" w:rsidRPr="00E70D34">
              <w:rPr>
                <w:rFonts w:ascii="Arial" w:eastAsia="Times New Roman" w:hAnsi="Arial" w:cs="Arial"/>
                <w:b/>
                <w:bCs/>
                <w:color w:val="0081E3"/>
                <w:szCs w:val="18"/>
              </w:rPr>
              <w:t xml:space="preserve"> </w:t>
            </w:r>
            <w:r w:rsidR="00C74A33">
              <w:rPr>
                <w:rFonts w:ascii="Arial" w:eastAsia="Times New Roman" w:hAnsi="Arial" w:cs="Arial"/>
                <w:b/>
                <w:bCs/>
                <w:color w:val="0081E3"/>
                <w:szCs w:val="18"/>
              </w:rPr>
              <w:t>2</w:t>
            </w:r>
            <w:r>
              <w:rPr>
                <w:rFonts w:ascii="Arial" w:eastAsia="Times New Roman" w:hAnsi="Arial" w:cs="Arial"/>
                <w:b/>
                <w:bCs/>
                <w:color w:val="0081E3"/>
                <w:szCs w:val="18"/>
              </w:rPr>
              <w:t>:</w:t>
            </w:r>
            <w:r w:rsidRPr="00E70D34">
              <w:rPr>
                <w:rFonts w:ascii="Arial" w:eastAsia="Times New Roman" w:hAnsi="Arial" w:cs="Arial"/>
                <w:b/>
                <w:bCs/>
                <w:color w:val="0081E3"/>
                <w:szCs w:val="18"/>
              </w:rPr>
              <w:t xml:space="preserve"> </w:t>
            </w:r>
            <w:r>
              <w:rPr>
                <w:rFonts w:ascii="Arial" w:eastAsia="Times New Roman" w:hAnsi="Arial" w:cs="Arial"/>
                <w:b/>
                <w:bCs/>
                <w:color w:val="0081E3"/>
                <w:szCs w:val="18"/>
              </w:rPr>
              <w:t xml:space="preserve">COMPARISON WITH </w:t>
            </w:r>
            <w:r w:rsidRPr="00E70D34">
              <w:rPr>
                <w:rFonts w:ascii="Arial" w:eastAsia="Times New Roman" w:hAnsi="Arial" w:cs="Arial"/>
                <w:b/>
                <w:bCs/>
                <w:color w:val="0081E3"/>
                <w:szCs w:val="18"/>
              </w:rPr>
              <w:t xml:space="preserve">SFY </w:t>
            </w:r>
            <w:r w:rsidR="00326D0D" w:rsidRPr="00E70D34">
              <w:rPr>
                <w:rFonts w:ascii="Arial" w:eastAsia="Times New Roman" w:hAnsi="Arial" w:cs="Arial"/>
                <w:b/>
                <w:bCs/>
                <w:color w:val="0081E3"/>
                <w:szCs w:val="18"/>
              </w:rPr>
              <w:t>20</w:t>
            </w:r>
            <w:r w:rsidR="00326D0D">
              <w:rPr>
                <w:rFonts w:ascii="Arial" w:eastAsia="Times New Roman" w:hAnsi="Arial" w:cs="Arial"/>
                <w:b/>
                <w:bCs/>
                <w:color w:val="0081E3"/>
                <w:szCs w:val="18"/>
              </w:rPr>
              <w:t>22</w:t>
            </w:r>
            <w:r w:rsidR="00326D0D" w:rsidRPr="00E70D34">
              <w:rPr>
                <w:rFonts w:ascii="Arial" w:eastAsia="Times New Roman" w:hAnsi="Arial" w:cs="Arial"/>
                <w:b/>
                <w:bCs/>
                <w:color w:val="0081E3"/>
                <w:szCs w:val="18"/>
              </w:rPr>
              <w:t xml:space="preserve"> </w:t>
            </w:r>
            <w:r>
              <w:rPr>
                <w:rFonts w:ascii="Arial" w:eastAsia="Times New Roman" w:hAnsi="Arial" w:cs="Arial"/>
                <w:b/>
                <w:bCs/>
                <w:color w:val="0081E3"/>
                <w:szCs w:val="18"/>
              </w:rPr>
              <w:t xml:space="preserve">EXPENDITURES </w:t>
            </w:r>
            <w:r w:rsidRPr="00E70D34">
              <w:rPr>
                <w:rFonts w:ascii="Arial" w:eastAsia="Times New Roman" w:hAnsi="Arial" w:cs="Arial"/>
                <w:b/>
                <w:bCs/>
                <w:color w:val="0081E3"/>
                <w:szCs w:val="18"/>
              </w:rPr>
              <w:t xml:space="preserve">($ </w:t>
            </w:r>
            <w:r>
              <w:rPr>
                <w:rFonts w:ascii="Arial" w:eastAsia="Times New Roman" w:hAnsi="Arial" w:cs="Arial"/>
                <w:b/>
                <w:bCs/>
                <w:color w:val="0081E3"/>
                <w:szCs w:val="18"/>
              </w:rPr>
              <w:t>MILLIONS</w:t>
            </w:r>
            <w:r w:rsidRPr="00E70D34">
              <w:rPr>
                <w:rFonts w:ascii="Arial" w:eastAsia="Times New Roman" w:hAnsi="Arial" w:cs="Arial"/>
                <w:b/>
                <w:bCs/>
                <w:color w:val="0081E3"/>
                <w:szCs w:val="18"/>
              </w:rPr>
              <w:t>)</w:t>
            </w:r>
          </w:p>
        </w:tc>
      </w:tr>
      <w:tr w:rsidR="00023C81" w:rsidRPr="00E70D34" w14:paraId="2649701B" w14:textId="77777777" w:rsidTr="00A20C2E">
        <w:trPr>
          <w:trHeight w:val="720"/>
        </w:trPr>
        <w:tc>
          <w:tcPr>
            <w:tcW w:w="2558" w:type="dxa"/>
            <w:tcBorders>
              <w:top w:val="nil"/>
              <w:left w:val="nil"/>
              <w:bottom w:val="single" w:sz="4" w:space="0" w:color="C6C9CA"/>
              <w:right w:val="nil"/>
            </w:tcBorders>
            <w:shd w:val="clear" w:color="auto" w:fill="auto"/>
            <w:vAlign w:val="bottom"/>
            <w:hideMark/>
          </w:tcPr>
          <w:p w14:paraId="2F644389" w14:textId="1B204C56" w:rsidR="00023C81" w:rsidRPr="00E70D34" w:rsidRDefault="00023C81" w:rsidP="00A20C2E">
            <w:pPr>
              <w:spacing w:after="0" w:line="240" w:lineRule="auto"/>
              <w:rPr>
                <w:rFonts w:ascii="Arial" w:eastAsia="Times New Roman" w:hAnsi="Arial" w:cs="Arial"/>
                <w:b/>
                <w:bCs/>
                <w:color w:val="39414D"/>
                <w:szCs w:val="18"/>
              </w:rPr>
            </w:pPr>
            <w:r>
              <w:rPr>
                <w:rFonts w:ascii="Arial" w:hAnsi="Arial" w:cs="Arial"/>
                <w:b/>
                <w:bCs/>
                <w:color w:val="39414D"/>
                <w:szCs w:val="18"/>
              </w:rPr>
              <w:t>Population</w:t>
            </w:r>
          </w:p>
        </w:tc>
        <w:tc>
          <w:tcPr>
            <w:tcW w:w="1504" w:type="dxa"/>
            <w:tcBorders>
              <w:top w:val="nil"/>
              <w:left w:val="nil"/>
              <w:bottom w:val="single" w:sz="4" w:space="0" w:color="C6C9CA"/>
              <w:right w:val="nil"/>
            </w:tcBorders>
            <w:shd w:val="clear" w:color="auto" w:fill="auto"/>
            <w:vAlign w:val="bottom"/>
            <w:hideMark/>
          </w:tcPr>
          <w:p w14:paraId="347FA474" w14:textId="02BD1F54" w:rsidR="00023C81" w:rsidRPr="00E70D34" w:rsidRDefault="00023C81" w:rsidP="00A20C2E">
            <w:pPr>
              <w:spacing w:after="0" w:line="240" w:lineRule="auto"/>
              <w:jc w:val="center"/>
              <w:rPr>
                <w:rFonts w:ascii="Arial" w:eastAsia="Times New Roman" w:hAnsi="Arial" w:cs="Arial"/>
                <w:b/>
                <w:bCs/>
                <w:color w:val="39414D"/>
                <w:szCs w:val="18"/>
              </w:rPr>
            </w:pPr>
            <w:r>
              <w:rPr>
                <w:rFonts w:ascii="Arial" w:hAnsi="Arial" w:cs="Arial"/>
                <w:b/>
                <w:bCs/>
                <w:color w:val="39414D"/>
                <w:szCs w:val="18"/>
              </w:rPr>
              <w:t xml:space="preserve">SFY </w:t>
            </w:r>
            <w:r w:rsidR="00326D0D">
              <w:rPr>
                <w:rFonts w:ascii="Arial" w:hAnsi="Arial" w:cs="Arial"/>
                <w:b/>
                <w:bCs/>
                <w:color w:val="39414D"/>
                <w:szCs w:val="18"/>
              </w:rPr>
              <w:t xml:space="preserve">2022 </w:t>
            </w:r>
            <w:r>
              <w:rPr>
                <w:rFonts w:ascii="Arial" w:hAnsi="Arial" w:cs="Arial"/>
                <w:b/>
                <w:bCs/>
                <w:color w:val="39414D"/>
                <w:szCs w:val="18"/>
              </w:rPr>
              <w:t>Aggregate Expenditures</w:t>
            </w:r>
          </w:p>
        </w:tc>
        <w:tc>
          <w:tcPr>
            <w:tcW w:w="1516" w:type="dxa"/>
            <w:tcBorders>
              <w:top w:val="nil"/>
              <w:left w:val="nil"/>
              <w:bottom w:val="single" w:sz="4" w:space="0" w:color="C6C9CA"/>
              <w:right w:val="nil"/>
            </w:tcBorders>
            <w:shd w:val="clear" w:color="auto" w:fill="auto"/>
            <w:vAlign w:val="bottom"/>
            <w:hideMark/>
          </w:tcPr>
          <w:p w14:paraId="1FD4CD22" w14:textId="2C679E74" w:rsidR="00023C81" w:rsidRPr="00E70D34" w:rsidRDefault="00023C81" w:rsidP="00A20C2E">
            <w:pPr>
              <w:spacing w:after="0" w:line="240" w:lineRule="auto"/>
              <w:jc w:val="center"/>
              <w:rPr>
                <w:rFonts w:ascii="Arial" w:eastAsia="Times New Roman" w:hAnsi="Arial" w:cs="Arial"/>
                <w:b/>
                <w:bCs/>
                <w:color w:val="39414D"/>
                <w:szCs w:val="18"/>
              </w:rPr>
            </w:pPr>
            <w:r>
              <w:rPr>
                <w:rFonts w:ascii="Arial" w:hAnsi="Arial" w:cs="Arial"/>
                <w:b/>
                <w:bCs/>
                <w:color w:val="39414D"/>
                <w:szCs w:val="18"/>
              </w:rPr>
              <w:t xml:space="preserve">SFY </w:t>
            </w:r>
            <w:r w:rsidR="00326D0D">
              <w:rPr>
                <w:rFonts w:ascii="Arial" w:hAnsi="Arial" w:cs="Arial"/>
                <w:b/>
                <w:bCs/>
                <w:color w:val="39414D"/>
                <w:szCs w:val="18"/>
              </w:rPr>
              <w:t xml:space="preserve">2023 </w:t>
            </w:r>
            <w:r>
              <w:rPr>
                <w:rFonts w:ascii="Arial" w:hAnsi="Arial" w:cs="Arial"/>
                <w:b/>
                <w:bCs/>
                <w:color w:val="39414D"/>
                <w:szCs w:val="18"/>
              </w:rPr>
              <w:t>Aggregate Expenditures</w:t>
            </w:r>
          </w:p>
        </w:tc>
        <w:tc>
          <w:tcPr>
            <w:tcW w:w="1458" w:type="dxa"/>
            <w:tcBorders>
              <w:top w:val="nil"/>
              <w:left w:val="nil"/>
              <w:bottom w:val="single" w:sz="4" w:space="0" w:color="C6C9CA"/>
              <w:right w:val="nil"/>
            </w:tcBorders>
            <w:shd w:val="clear" w:color="auto" w:fill="auto"/>
            <w:vAlign w:val="bottom"/>
            <w:hideMark/>
          </w:tcPr>
          <w:p w14:paraId="41CE66C5" w14:textId="6117656C" w:rsidR="00023C81" w:rsidRPr="00E70D34" w:rsidRDefault="00023C81" w:rsidP="00A20C2E">
            <w:pPr>
              <w:spacing w:after="0" w:line="240" w:lineRule="auto"/>
              <w:jc w:val="center"/>
              <w:rPr>
                <w:rFonts w:ascii="Arial" w:eastAsia="Times New Roman" w:hAnsi="Arial" w:cs="Arial"/>
                <w:b/>
                <w:bCs/>
                <w:color w:val="39414D"/>
                <w:szCs w:val="18"/>
              </w:rPr>
            </w:pPr>
            <w:r>
              <w:rPr>
                <w:rFonts w:ascii="Arial" w:hAnsi="Arial" w:cs="Arial"/>
                <w:b/>
                <w:bCs/>
                <w:color w:val="39414D"/>
                <w:szCs w:val="18"/>
              </w:rPr>
              <w:t>Expenditure Change</w:t>
            </w:r>
          </w:p>
        </w:tc>
      </w:tr>
      <w:tr w:rsidR="00471DC9" w:rsidRPr="00E70D34" w14:paraId="2EC006FE" w14:textId="77777777" w:rsidTr="00D37360">
        <w:trPr>
          <w:trHeight w:val="240"/>
        </w:trPr>
        <w:tc>
          <w:tcPr>
            <w:tcW w:w="2558" w:type="dxa"/>
            <w:tcBorders>
              <w:top w:val="nil"/>
              <w:left w:val="nil"/>
              <w:bottom w:val="nil"/>
              <w:right w:val="nil"/>
            </w:tcBorders>
            <w:shd w:val="clear" w:color="auto" w:fill="auto"/>
            <w:noWrap/>
            <w:vAlign w:val="center"/>
            <w:hideMark/>
          </w:tcPr>
          <w:p w14:paraId="6A5E7BCC" w14:textId="41D942B6" w:rsidR="00471DC9" w:rsidRPr="00E70D34"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RIte Care</w:t>
            </w:r>
          </w:p>
        </w:tc>
        <w:tc>
          <w:tcPr>
            <w:tcW w:w="1504" w:type="dxa"/>
            <w:tcBorders>
              <w:top w:val="nil"/>
              <w:left w:val="nil"/>
              <w:bottom w:val="nil"/>
              <w:right w:val="nil"/>
            </w:tcBorders>
            <w:shd w:val="clear" w:color="auto" w:fill="auto"/>
            <w:noWrap/>
            <w:vAlign w:val="center"/>
            <w:hideMark/>
          </w:tcPr>
          <w:p w14:paraId="45C01F98" w14:textId="3BBA5AED"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$ 627.3 </w:t>
            </w:r>
          </w:p>
        </w:tc>
        <w:tc>
          <w:tcPr>
            <w:tcW w:w="1516" w:type="dxa"/>
            <w:tcBorders>
              <w:top w:val="nil"/>
              <w:left w:val="nil"/>
              <w:bottom w:val="nil"/>
              <w:right w:val="nil"/>
            </w:tcBorders>
            <w:shd w:val="clear" w:color="auto" w:fill="auto"/>
            <w:noWrap/>
            <w:vAlign w:val="center"/>
            <w:hideMark/>
          </w:tcPr>
          <w:p w14:paraId="7688E5EE" w14:textId="773F1CF9"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$ 641.3 </w:t>
            </w:r>
          </w:p>
        </w:tc>
        <w:tc>
          <w:tcPr>
            <w:tcW w:w="1458" w:type="dxa"/>
            <w:tcBorders>
              <w:top w:val="nil"/>
              <w:left w:val="nil"/>
              <w:bottom w:val="nil"/>
              <w:right w:val="nil"/>
            </w:tcBorders>
            <w:shd w:val="clear" w:color="auto" w:fill="auto"/>
            <w:noWrap/>
            <w:vAlign w:val="center"/>
            <w:hideMark/>
          </w:tcPr>
          <w:p w14:paraId="7CE9C1E2" w14:textId="4B47655B"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$ 14.0 </w:t>
            </w:r>
          </w:p>
        </w:tc>
      </w:tr>
      <w:tr w:rsidR="00471DC9" w:rsidRPr="00E70D34" w14:paraId="639D60EF" w14:textId="77777777" w:rsidTr="00D37360">
        <w:trPr>
          <w:trHeight w:val="240"/>
        </w:trPr>
        <w:tc>
          <w:tcPr>
            <w:tcW w:w="2558" w:type="dxa"/>
            <w:tcBorders>
              <w:top w:val="nil"/>
              <w:left w:val="nil"/>
              <w:bottom w:val="nil"/>
              <w:right w:val="nil"/>
            </w:tcBorders>
            <w:shd w:val="clear" w:color="000000" w:fill="E8E9E9"/>
            <w:noWrap/>
            <w:vAlign w:val="center"/>
            <w:hideMark/>
          </w:tcPr>
          <w:p w14:paraId="17D91CE9" w14:textId="5A9B3331" w:rsidR="00471DC9" w:rsidRPr="00E70D34"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CSHCN</w:t>
            </w:r>
          </w:p>
        </w:tc>
        <w:tc>
          <w:tcPr>
            <w:tcW w:w="1504" w:type="dxa"/>
            <w:tcBorders>
              <w:top w:val="nil"/>
              <w:left w:val="nil"/>
              <w:bottom w:val="nil"/>
              <w:right w:val="nil"/>
            </w:tcBorders>
            <w:shd w:val="clear" w:color="000000" w:fill="E8E9E9"/>
            <w:noWrap/>
            <w:vAlign w:val="center"/>
            <w:hideMark/>
          </w:tcPr>
          <w:p w14:paraId="7F36D9ED" w14:textId="0D08394A"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134.6 </w:t>
            </w:r>
          </w:p>
        </w:tc>
        <w:tc>
          <w:tcPr>
            <w:tcW w:w="1516" w:type="dxa"/>
            <w:tcBorders>
              <w:top w:val="nil"/>
              <w:left w:val="nil"/>
              <w:bottom w:val="nil"/>
              <w:right w:val="nil"/>
            </w:tcBorders>
            <w:shd w:val="clear" w:color="000000" w:fill="E8E9E9"/>
            <w:noWrap/>
            <w:vAlign w:val="center"/>
            <w:hideMark/>
          </w:tcPr>
          <w:p w14:paraId="76535DA5" w14:textId="0F8A8E93"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140.1 </w:t>
            </w:r>
          </w:p>
        </w:tc>
        <w:tc>
          <w:tcPr>
            <w:tcW w:w="1458" w:type="dxa"/>
            <w:tcBorders>
              <w:top w:val="nil"/>
              <w:left w:val="nil"/>
              <w:bottom w:val="nil"/>
              <w:right w:val="nil"/>
            </w:tcBorders>
            <w:shd w:val="clear" w:color="000000" w:fill="E8E9E9"/>
            <w:noWrap/>
            <w:vAlign w:val="center"/>
            <w:hideMark/>
          </w:tcPr>
          <w:p w14:paraId="773C6937" w14:textId="518C43D7"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5.5 </w:t>
            </w:r>
          </w:p>
        </w:tc>
      </w:tr>
      <w:tr w:rsidR="00471DC9" w:rsidRPr="00E70D34" w14:paraId="0E7E4BB2" w14:textId="77777777" w:rsidTr="00627A51">
        <w:trPr>
          <w:trHeight w:val="240"/>
        </w:trPr>
        <w:tc>
          <w:tcPr>
            <w:tcW w:w="2558" w:type="dxa"/>
            <w:tcBorders>
              <w:top w:val="nil"/>
              <w:left w:val="nil"/>
              <w:bottom w:val="nil"/>
              <w:right w:val="nil"/>
            </w:tcBorders>
            <w:shd w:val="clear" w:color="auto" w:fill="auto"/>
            <w:noWrap/>
            <w:vAlign w:val="bottom"/>
            <w:hideMark/>
          </w:tcPr>
          <w:p w14:paraId="279C97B4" w14:textId="6111FB87" w:rsidR="00471DC9" w:rsidRPr="00E70D34"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Rhody Health Partners</w:t>
            </w:r>
          </w:p>
        </w:tc>
        <w:tc>
          <w:tcPr>
            <w:tcW w:w="1504" w:type="dxa"/>
            <w:tcBorders>
              <w:top w:val="nil"/>
              <w:left w:val="nil"/>
              <w:bottom w:val="nil"/>
              <w:right w:val="nil"/>
            </w:tcBorders>
            <w:shd w:val="clear" w:color="auto" w:fill="auto"/>
            <w:noWrap/>
            <w:vAlign w:val="center"/>
            <w:hideMark/>
          </w:tcPr>
          <w:p w14:paraId="3D7496ED" w14:textId="0D136FEB"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336.7 </w:t>
            </w:r>
          </w:p>
        </w:tc>
        <w:tc>
          <w:tcPr>
            <w:tcW w:w="1516" w:type="dxa"/>
            <w:tcBorders>
              <w:top w:val="nil"/>
              <w:left w:val="nil"/>
              <w:bottom w:val="nil"/>
              <w:right w:val="nil"/>
            </w:tcBorders>
            <w:shd w:val="clear" w:color="auto" w:fill="auto"/>
            <w:noWrap/>
            <w:vAlign w:val="center"/>
            <w:hideMark/>
          </w:tcPr>
          <w:p w14:paraId="3CCEE754" w14:textId="3DB9318F"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345.7 </w:t>
            </w:r>
          </w:p>
        </w:tc>
        <w:tc>
          <w:tcPr>
            <w:tcW w:w="1458" w:type="dxa"/>
            <w:tcBorders>
              <w:top w:val="nil"/>
              <w:left w:val="nil"/>
              <w:bottom w:val="nil"/>
              <w:right w:val="nil"/>
            </w:tcBorders>
            <w:shd w:val="clear" w:color="auto" w:fill="auto"/>
            <w:noWrap/>
            <w:vAlign w:val="center"/>
            <w:hideMark/>
          </w:tcPr>
          <w:p w14:paraId="688D4433" w14:textId="04AF14B8"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9.0 </w:t>
            </w:r>
          </w:p>
        </w:tc>
      </w:tr>
      <w:tr w:rsidR="00471DC9" w:rsidRPr="00E70D34" w14:paraId="2615F47B" w14:textId="77777777" w:rsidTr="00627A51">
        <w:trPr>
          <w:trHeight w:val="144"/>
        </w:trPr>
        <w:tc>
          <w:tcPr>
            <w:tcW w:w="2558" w:type="dxa"/>
            <w:tcBorders>
              <w:top w:val="nil"/>
              <w:left w:val="nil"/>
              <w:bottom w:val="nil"/>
              <w:right w:val="nil"/>
            </w:tcBorders>
            <w:shd w:val="clear" w:color="auto" w:fill="auto"/>
            <w:noWrap/>
            <w:vAlign w:val="bottom"/>
            <w:hideMark/>
          </w:tcPr>
          <w:p w14:paraId="1E2AA61C" w14:textId="77777777" w:rsidR="00471DC9" w:rsidRPr="00E70D34" w:rsidRDefault="00471DC9" w:rsidP="00471DC9">
            <w:pPr>
              <w:spacing w:after="0" w:line="240" w:lineRule="auto"/>
              <w:jc w:val="right"/>
              <w:rPr>
                <w:rFonts w:ascii="Arial" w:eastAsia="Times New Roman" w:hAnsi="Arial" w:cs="Arial"/>
                <w:color w:val="39414D"/>
                <w:szCs w:val="18"/>
              </w:rPr>
            </w:pPr>
          </w:p>
        </w:tc>
        <w:tc>
          <w:tcPr>
            <w:tcW w:w="1504" w:type="dxa"/>
            <w:tcBorders>
              <w:top w:val="nil"/>
              <w:left w:val="nil"/>
              <w:bottom w:val="nil"/>
              <w:right w:val="nil"/>
            </w:tcBorders>
            <w:shd w:val="clear" w:color="auto" w:fill="auto"/>
            <w:noWrap/>
            <w:vAlign w:val="center"/>
            <w:hideMark/>
          </w:tcPr>
          <w:p w14:paraId="65334DB9" w14:textId="77777777" w:rsidR="00471DC9" w:rsidRPr="00E70D34" w:rsidRDefault="00471DC9" w:rsidP="00471DC9">
            <w:pPr>
              <w:spacing w:after="0" w:line="240" w:lineRule="auto"/>
              <w:rPr>
                <w:rFonts w:ascii="Times New Roman" w:eastAsia="Times New Roman" w:hAnsi="Times New Roman" w:cs="Times New Roman"/>
                <w:sz w:val="20"/>
                <w:szCs w:val="20"/>
              </w:rPr>
            </w:pPr>
          </w:p>
        </w:tc>
        <w:tc>
          <w:tcPr>
            <w:tcW w:w="1516" w:type="dxa"/>
            <w:tcBorders>
              <w:top w:val="nil"/>
              <w:left w:val="nil"/>
              <w:bottom w:val="nil"/>
              <w:right w:val="nil"/>
            </w:tcBorders>
            <w:shd w:val="clear" w:color="auto" w:fill="auto"/>
            <w:noWrap/>
            <w:vAlign w:val="center"/>
            <w:hideMark/>
          </w:tcPr>
          <w:p w14:paraId="7C398BF8" w14:textId="77777777" w:rsidR="00471DC9" w:rsidRPr="00E70D34" w:rsidRDefault="00471DC9" w:rsidP="00471DC9">
            <w:pPr>
              <w:spacing w:after="0" w:line="240" w:lineRule="auto"/>
              <w:rPr>
                <w:rFonts w:ascii="Times New Roman" w:eastAsia="Times New Roman" w:hAnsi="Times New Roman" w:cs="Times New Roman"/>
                <w:sz w:val="20"/>
                <w:szCs w:val="20"/>
              </w:rPr>
            </w:pPr>
          </w:p>
        </w:tc>
        <w:tc>
          <w:tcPr>
            <w:tcW w:w="1458" w:type="dxa"/>
            <w:tcBorders>
              <w:top w:val="nil"/>
              <w:left w:val="nil"/>
              <w:bottom w:val="nil"/>
              <w:right w:val="nil"/>
            </w:tcBorders>
            <w:shd w:val="clear" w:color="auto" w:fill="auto"/>
            <w:noWrap/>
            <w:vAlign w:val="center"/>
            <w:hideMark/>
          </w:tcPr>
          <w:p w14:paraId="46BB9A29" w14:textId="77777777" w:rsidR="00471DC9" w:rsidRPr="00E70D34" w:rsidRDefault="00471DC9" w:rsidP="00471DC9">
            <w:pPr>
              <w:spacing w:after="0" w:line="240" w:lineRule="auto"/>
              <w:rPr>
                <w:rFonts w:ascii="Times New Roman" w:eastAsia="Times New Roman" w:hAnsi="Times New Roman" w:cs="Times New Roman"/>
                <w:sz w:val="20"/>
                <w:szCs w:val="20"/>
              </w:rPr>
            </w:pPr>
          </w:p>
        </w:tc>
      </w:tr>
      <w:tr w:rsidR="00471DC9" w:rsidRPr="00E70D34" w14:paraId="3C36F460" w14:textId="77777777" w:rsidTr="00627A51">
        <w:trPr>
          <w:trHeight w:val="240"/>
        </w:trPr>
        <w:tc>
          <w:tcPr>
            <w:tcW w:w="2558" w:type="dxa"/>
            <w:tcBorders>
              <w:top w:val="nil"/>
              <w:left w:val="nil"/>
              <w:bottom w:val="nil"/>
              <w:right w:val="nil"/>
            </w:tcBorders>
            <w:shd w:val="clear" w:color="000000" w:fill="E8E9E9"/>
            <w:noWrap/>
            <w:vAlign w:val="bottom"/>
            <w:hideMark/>
          </w:tcPr>
          <w:p w14:paraId="3350E781" w14:textId="18C7BD93" w:rsidR="00471DC9" w:rsidRPr="00E70D34"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Subtotal Medicaid</w:t>
            </w:r>
          </w:p>
        </w:tc>
        <w:tc>
          <w:tcPr>
            <w:tcW w:w="1504" w:type="dxa"/>
            <w:tcBorders>
              <w:top w:val="nil"/>
              <w:left w:val="nil"/>
              <w:bottom w:val="nil"/>
              <w:right w:val="nil"/>
            </w:tcBorders>
            <w:shd w:val="clear" w:color="000000" w:fill="E8E9E9"/>
            <w:noWrap/>
            <w:vAlign w:val="center"/>
            <w:hideMark/>
          </w:tcPr>
          <w:p w14:paraId="41CE0B04" w14:textId="4BBA7B2F"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1,098.6 </w:t>
            </w:r>
          </w:p>
        </w:tc>
        <w:tc>
          <w:tcPr>
            <w:tcW w:w="1516" w:type="dxa"/>
            <w:tcBorders>
              <w:top w:val="nil"/>
              <w:left w:val="nil"/>
              <w:bottom w:val="nil"/>
              <w:right w:val="nil"/>
            </w:tcBorders>
            <w:shd w:val="clear" w:color="000000" w:fill="E8E9E9"/>
            <w:noWrap/>
            <w:vAlign w:val="center"/>
            <w:hideMark/>
          </w:tcPr>
          <w:p w14:paraId="1889796A" w14:textId="4C149796"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1,127.1 </w:t>
            </w:r>
          </w:p>
        </w:tc>
        <w:tc>
          <w:tcPr>
            <w:tcW w:w="1458" w:type="dxa"/>
            <w:tcBorders>
              <w:top w:val="nil"/>
              <w:left w:val="nil"/>
              <w:bottom w:val="nil"/>
              <w:right w:val="nil"/>
            </w:tcBorders>
            <w:shd w:val="clear" w:color="000000" w:fill="E8E9E9"/>
            <w:noWrap/>
            <w:vAlign w:val="center"/>
            <w:hideMark/>
          </w:tcPr>
          <w:p w14:paraId="6D038CA1" w14:textId="4D082358"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28.5 </w:t>
            </w:r>
          </w:p>
        </w:tc>
      </w:tr>
      <w:tr w:rsidR="00471DC9" w:rsidRPr="00E70D34" w14:paraId="4ACCDE41" w14:textId="77777777" w:rsidTr="00627A51">
        <w:trPr>
          <w:trHeight w:val="240"/>
        </w:trPr>
        <w:tc>
          <w:tcPr>
            <w:tcW w:w="2558" w:type="dxa"/>
            <w:tcBorders>
              <w:top w:val="nil"/>
              <w:left w:val="nil"/>
              <w:bottom w:val="nil"/>
              <w:right w:val="nil"/>
            </w:tcBorders>
            <w:shd w:val="clear" w:color="auto" w:fill="auto"/>
            <w:noWrap/>
            <w:vAlign w:val="bottom"/>
            <w:hideMark/>
          </w:tcPr>
          <w:p w14:paraId="2349D254" w14:textId="27A775DE" w:rsidR="00471DC9" w:rsidRPr="00E70D34" w:rsidRDefault="00471DC9" w:rsidP="00471DC9">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Federal</w:t>
            </w:r>
          </w:p>
        </w:tc>
        <w:tc>
          <w:tcPr>
            <w:tcW w:w="1504" w:type="dxa"/>
            <w:tcBorders>
              <w:top w:val="nil"/>
              <w:left w:val="nil"/>
              <w:bottom w:val="nil"/>
              <w:right w:val="nil"/>
            </w:tcBorders>
            <w:shd w:val="clear" w:color="auto" w:fill="auto"/>
            <w:noWrap/>
            <w:vAlign w:val="center"/>
            <w:hideMark/>
          </w:tcPr>
          <w:p w14:paraId="6216B6FB" w14:textId="4C40B63E"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595.3 </w:t>
            </w:r>
          </w:p>
        </w:tc>
        <w:tc>
          <w:tcPr>
            <w:tcW w:w="1516" w:type="dxa"/>
            <w:tcBorders>
              <w:top w:val="nil"/>
              <w:left w:val="nil"/>
              <w:bottom w:val="nil"/>
              <w:right w:val="nil"/>
            </w:tcBorders>
            <w:shd w:val="clear" w:color="auto" w:fill="auto"/>
            <w:noWrap/>
            <w:vAlign w:val="center"/>
            <w:hideMark/>
          </w:tcPr>
          <w:p w14:paraId="1C76AC8D" w14:textId="699C491B"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610.8 </w:t>
            </w:r>
          </w:p>
        </w:tc>
        <w:tc>
          <w:tcPr>
            <w:tcW w:w="1458" w:type="dxa"/>
            <w:tcBorders>
              <w:top w:val="nil"/>
              <w:left w:val="nil"/>
              <w:bottom w:val="nil"/>
              <w:right w:val="nil"/>
            </w:tcBorders>
            <w:shd w:val="clear" w:color="auto" w:fill="auto"/>
            <w:noWrap/>
            <w:vAlign w:val="center"/>
            <w:hideMark/>
          </w:tcPr>
          <w:p w14:paraId="0FC6703F" w14:textId="2BAD6FD2"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15.5 </w:t>
            </w:r>
          </w:p>
        </w:tc>
      </w:tr>
      <w:tr w:rsidR="00471DC9" w:rsidRPr="00E70D34" w14:paraId="51E15AC0" w14:textId="77777777" w:rsidTr="00627A51">
        <w:trPr>
          <w:trHeight w:val="240"/>
        </w:trPr>
        <w:tc>
          <w:tcPr>
            <w:tcW w:w="2558" w:type="dxa"/>
            <w:tcBorders>
              <w:top w:val="nil"/>
              <w:left w:val="nil"/>
              <w:bottom w:val="nil"/>
              <w:right w:val="nil"/>
            </w:tcBorders>
            <w:shd w:val="clear" w:color="000000" w:fill="E8E9E9"/>
            <w:noWrap/>
            <w:vAlign w:val="bottom"/>
            <w:hideMark/>
          </w:tcPr>
          <w:p w14:paraId="30773463" w14:textId="5F6A581C" w:rsidR="00471DC9" w:rsidRPr="00E70D34" w:rsidRDefault="00471DC9" w:rsidP="00471DC9">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State</w:t>
            </w:r>
          </w:p>
        </w:tc>
        <w:tc>
          <w:tcPr>
            <w:tcW w:w="1504" w:type="dxa"/>
            <w:tcBorders>
              <w:top w:val="nil"/>
              <w:left w:val="nil"/>
              <w:bottom w:val="nil"/>
              <w:right w:val="nil"/>
            </w:tcBorders>
            <w:shd w:val="clear" w:color="000000" w:fill="E8E9E9"/>
            <w:noWrap/>
            <w:vAlign w:val="center"/>
            <w:hideMark/>
          </w:tcPr>
          <w:p w14:paraId="68218C75" w14:textId="37A78B0E"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503.3 </w:t>
            </w:r>
          </w:p>
        </w:tc>
        <w:tc>
          <w:tcPr>
            <w:tcW w:w="1516" w:type="dxa"/>
            <w:tcBorders>
              <w:top w:val="nil"/>
              <w:left w:val="nil"/>
              <w:bottom w:val="nil"/>
              <w:right w:val="nil"/>
            </w:tcBorders>
            <w:shd w:val="clear" w:color="000000" w:fill="E8E9E9"/>
            <w:noWrap/>
            <w:vAlign w:val="center"/>
            <w:hideMark/>
          </w:tcPr>
          <w:p w14:paraId="6A16642E" w14:textId="318E61AB"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516.3 </w:t>
            </w:r>
          </w:p>
        </w:tc>
        <w:tc>
          <w:tcPr>
            <w:tcW w:w="1458" w:type="dxa"/>
            <w:tcBorders>
              <w:top w:val="nil"/>
              <w:left w:val="nil"/>
              <w:bottom w:val="nil"/>
              <w:right w:val="nil"/>
            </w:tcBorders>
            <w:shd w:val="clear" w:color="000000" w:fill="E8E9E9"/>
            <w:noWrap/>
            <w:vAlign w:val="center"/>
            <w:hideMark/>
          </w:tcPr>
          <w:p w14:paraId="780E2654" w14:textId="3E459ED5"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13.0 </w:t>
            </w:r>
          </w:p>
        </w:tc>
      </w:tr>
      <w:tr w:rsidR="00471DC9" w:rsidRPr="00E70D34" w14:paraId="4E311F66" w14:textId="77777777" w:rsidTr="00627A51">
        <w:trPr>
          <w:trHeight w:val="240"/>
        </w:trPr>
        <w:tc>
          <w:tcPr>
            <w:tcW w:w="2558" w:type="dxa"/>
            <w:tcBorders>
              <w:top w:val="nil"/>
              <w:left w:val="nil"/>
              <w:bottom w:val="nil"/>
              <w:right w:val="nil"/>
            </w:tcBorders>
            <w:shd w:val="clear" w:color="auto" w:fill="auto"/>
            <w:noWrap/>
            <w:vAlign w:val="bottom"/>
            <w:hideMark/>
          </w:tcPr>
          <w:p w14:paraId="4D6369DE" w14:textId="77777777" w:rsidR="00471DC9" w:rsidRPr="00E70D34" w:rsidRDefault="00471DC9" w:rsidP="00471DC9">
            <w:pPr>
              <w:spacing w:after="0" w:line="240" w:lineRule="auto"/>
              <w:jc w:val="right"/>
              <w:rPr>
                <w:rFonts w:ascii="Arial" w:eastAsia="Times New Roman" w:hAnsi="Arial" w:cs="Arial"/>
                <w:color w:val="39414D"/>
                <w:szCs w:val="18"/>
              </w:rPr>
            </w:pPr>
          </w:p>
        </w:tc>
        <w:tc>
          <w:tcPr>
            <w:tcW w:w="1504" w:type="dxa"/>
            <w:tcBorders>
              <w:top w:val="nil"/>
              <w:left w:val="nil"/>
              <w:bottom w:val="nil"/>
              <w:right w:val="nil"/>
            </w:tcBorders>
            <w:shd w:val="clear" w:color="auto" w:fill="auto"/>
            <w:noWrap/>
            <w:vAlign w:val="center"/>
            <w:hideMark/>
          </w:tcPr>
          <w:p w14:paraId="79E1359F" w14:textId="77777777" w:rsidR="00471DC9" w:rsidRPr="00E70D34" w:rsidRDefault="00471DC9" w:rsidP="00471DC9">
            <w:pPr>
              <w:spacing w:after="0" w:line="240" w:lineRule="auto"/>
              <w:rPr>
                <w:rFonts w:ascii="Times New Roman" w:eastAsia="Times New Roman" w:hAnsi="Times New Roman" w:cs="Times New Roman"/>
                <w:sz w:val="20"/>
                <w:szCs w:val="20"/>
              </w:rPr>
            </w:pPr>
          </w:p>
        </w:tc>
        <w:tc>
          <w:tcPr>
            <w:tcW w:w="1516" w:type="dxa"/>
            <w:tcBorders>
              <w:top w:val="nil"/>
              <w:left w:val="nil"/>
              <w:bottom w:val="nil"/>
              <w:right w:val="nil"/>
            </w:tcBorders>
            <w:shd w:val="clear" w:color="auto" w:fill="auto"/>
            <w:noWrap/>
            <w:vAlign w:val="center"/>
            <w:hideMark/>
          </w:tcPr>
          <w:p w14:paraId="4FD31C02" w14:textId="77777777" w:rsidR="00471DC9" w:rsidRPr="00E70D34" w:rsidRDefault="00471DC9" w:rsidP="00471DC9">
            <w:pPr>
              <w:spacing w:after="0" w:line="240" w:lineRule="auto"/>
              <w:rPr>
                <w:rFonts w:ascii="Times New Roman" w:eastAsia="Times New Roman" w:hAnsi="Times New Roman" w:cs="Times New Roman"/>
                <w:sz w:val="20"/>
                <w:szCs w:val="20"/>
              </w:rPr>
            </w:pPr>
          </w:p>
        </w:tc>
        <w:tc>
          <w:tcPr>
            <w:tcW w:w="1458" w:type="dxa"/>
            <w:tcBorders>
              <w:top w:val="nil"/>
              <w:left w:val="nil"/>
              <w:bottom w:val="nil"/>
              <w:right w:val="nil"/>
            </w:tcBorders>
            <w:shd w:val="clear" w:color="auto" w:fill="auto"/>
            <w:noWrap/>
            <w:vAlign w:val="center"/>
            <w:hideMark/>
          </w:tcPr>
          <w:p w14:paraId="70E64D51" w14:textId="77777777" w:rsidR="00471DC9" w:rsidRPr="00E70D34" w:rsidRDefault="00471DC9" w:rsidP="00471DC9">
            <w:pPr>
              <w:spacing w:after="0" w:line="240" w:lineRule="auto"/>
              <w:rPr>
                <w:rFonts w:ascii="Times New Roman" w:eastAsia="Times New Roman" w:hAnsi="Times New Roman" w:cs="Times New Roman"/>
                <w:sz w:val="20"/>
                <w:szCs w:val="20"/>
              </w:rPr>
            </w:pPr>
          </w:p>
        </w:tc>
      </w:tr>
      <w:tr w:rsidR="00471DC9" w:rsidRPr="00E70D34" w14:paraId="1F123D77" w14:textId="77777777" w:rsidTr="00627A51">
        <w:trPr>
          <w:trHeight w:val="240"/>
        </w:trPr>
        <w:tc>
          <w:tcPr>
            <w:tcW w:w="2558" w:type="dxa"/>
            <w:tcBorders>
              <w:top w:val="nil"/>
              <w:left w:val="nil"/>
              <w:bottom w:val="nil"/>
              <w:right w:val="nil"/>
            </w:tcBorders>
            <w:shd w:val="clear" w:color="000000" w:fill="E8E9E9"/>
            <w:noWrap/>
            <w:vAlign w:val="bottom"/>
            <w:hideMark/>
          </w:tcPr>
          <w:p w14:paraId="4D8E7960" w14:textId="45352C03" w:rsidR="00471DC9" w:rsidRPr="00E70D34"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Medicaid Expansion</w:t>
            </w:r>
          </w:p>
        </w:tc>
        <w:tc>
          <w:tcPr>
            <w:tcW w:w="1504" w:type="dxa"/>
            <w:tcBorders>
              <w:top w:val="nil"/>
              <w:left w:val="nil"/>
              <w:bottom w:val="nil"/>
              <w:right w:val="nil"/>
            </w:tcBorders>
            <w:shd w:val="clear" w:color="000000" w:fill="E8E9E9"/>
            <w:noWrap/>
            <w:vAlign w:val="center"/>
            <w:hideMark/>
          </w:tcPr>
          <w:p w14:paraId="6DD3323C" w14:textId="0FEB36AF"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853.1 </w:t>
            </w:r>
          </w:p>
        </w:tc>
        <w:tc>
          <w:tcPr>
            <w:tcW w:w="1516" w:type="dxa"/>
            <w:tcBorders>
              <w:top w:val="nil"/>
              <w:left w:val="nil"/>
              <w:bottom w:val="nil"/>
              <w:right w:val="nil"/>
            </w:tcBorders>
            <w:shd w:val="clear" w:color="000000" w:fill="E8E9E9"/>
            <w:noWrap/>
            <w:vAlign w:val="center"/>
            <w:hideMark/>
          </w:tcPr>
          <w:p w14:paraId="5A3B2A3F" w14:textId="4D9DA13A"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832.7 </w:t>
            </w:r>
          </w:p>
        </w:tc>
        <w:tc>
          <w:tcPr>
            <w:tcW w:w="1458" w:type="dxa"/>
            <w:tcBorders>
              <w:top w:val="nil"/>
              <w:left w:val="nil"/>
              <w:bottom w:val="nil"/>
              <w:right w:val="nil"/>
            </w:tcBorders>
            <w:shd w:val="clear" w:color="000000" w:fill="E8E9E9"/>
            <w:noWrap/>
            <w:vAlign w:val="center"/>
            <w:hideMark/>
          </w:tcPr>
          <w:p w14:paraId="2AD095DE" w14:textId="333F1D1D"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(20.4)</w:t>
            </w:r>
          </w:p>
        </w:tc>
      </w:tr>
      <w:tr w:rsidR="00471DC9" w:rsidRPr="00E70D34" w14:paraId="490D7941" w14:textId="77777777" w:rsidTr="00627A51">
        <w:trPr>
          <w:trHeight w:val="240"/>
        </w:trPr>
        <w:tc>
          <w:tcPr>
            <w:tcW w:w="2558" w:type="dxa"/>
            <w:tcBorders>
              <w:top w:val="nil"/>
              <w:left w:val="nil"/>
              <w:bottom w:val="nil"/>
              <w:right w:val="nil"/>
            </w:tcBorders>
            <w:shd w:val="clear" w:color="auto" w:fill="auto"/>
            <w:noWrap/>
            <w:vAlign w:val="bottom"/>
            <w:hideMark/>
          </w:tcPr>
          <w:p w14:paraId="19CCD394" w14:textId="24D62322" w:rsidR="00471DC9" w:rsidRPr="00E70D34" w:rsidRDefault="00471DC9" w:rsidP="00471DC9">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Federal</w:t>
            </w:r>
          </w:p>
        </w:tc>
        <w:tc>
          <w:tcPr>
            <w:tcW w:w="1504" w:type="dxa"/>
            <w:tcBorders>
              <w:top w:val="nil"/>
              <w:left w:val="nil"/>
              <w:bottom w:val="nil"/>
              <w:right w:val="nil"/>
            </w:tcBorders>
            <w:shd w:val="clear" w:color="auto" w:fill="auto"/>
            <w:noWrap/>
            <w:vAlign w:val="center"/>
            <w:hideMark/>
          </w:tcPr>
          <w:p w14:paraId="61DD83F8" w14:textId="174CC2B8"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767.8 </w:t>
            </w:r>
          </w:p>
        </w:tc>
        <w:tc>
          <w:tcPr>
            <w:tcW w:w="1516" w:type="dxa"/>
            <w:tcBorders>
              <w:top w:val="nil"/>
              <w:left w:val="nil"/>
              <w:bottom w:val="nil"/>
              <w:right w:val="nil"/>
            </w:tcBorders>
            <w:shd w:val="clear" w:color="auto" w:fill="auto"/>
            <w:noWrap/>
            <w:vAlign w:val="center"/>
            <w:hideMark/>
          </w:tcPr>
          <w:p w14:paraId="0A1CAB92" w14:textId="76D6D6DF"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749.5 </w:t>
            </w:r>
          </w:p>
        </w:tc>
        <w:tc>
          <w:tcPr>
            <w:tcW w:w="1458" w:type="dxa"/>
            <w:tcBorders>
              <w:top w:val="nil"/>
              <w:left w:val="nil"/>
              <w:bottom w:val="nil"/>
              <w:right w:val="nil"/>
            </w:tcBorders>
            <w:shd w:val="clear" w:color="auto" w:fill="auto"/>
            <w:noWrap/>
            <w:vAlign w:val="center"/>
            <w:hideMark/>
          </w:tcPr>
          <w:p w14:paraId="08EEB7CA" w14:textId="2AFE1489"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(18.3)</w:t>
            </w:r>
          </w:p>
        </w:tc>
      </w:tr>
      <w:tr w:rsidR="00471DC9" w:rsidRPr="00E70D34" w14:paraId="583098F1" w14:textId="77777777" w:rsidTr="00627A51">
        <w:trPr>
          <w:trHeight w:val="240"/>
        </w:trPr>
        <w:tc>
          <w:tcPr>
            <w:tcW w:w="2558" w:type="dxa"/>
            <w:tcBorders>
              <w:top w:val="nil"/>
              <w:left w:val="nil"/>
              <w:bottom w:val="nil"/>
              <w:right w:val="nil"/>
            </w:tcBorders>
            <w:shd w:val="clear" w:color="000000" w:fill="E8E9E9"/>
            <w:noWrap/>
            <w:vAlign w:val="bottom"/>
            <w:hideMark/>
          </w:tcPr>
          <w:p w14:paraId="24F18749" w14:textId="45ACA439" w:rsidR="00471DC9" w:rsidRPr="00E70D34" w:rsidRDefault="00471DC9" w:rsidP="00471DC9">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State</w:t>
            </w:r>
          </w:p>
        </w:tc>
        <w:tc>
          <w:tcPr>
            <w:tcW w:w="1504" w:type="dxa"/>
            <w:tcBorders>
              <w:top w:val="nil"/>
              <w:left w:val="nil"/>
              <w:bottom w:val="nil"/>
              <w:right w:val="nil"/>
            </w:tcBorders>
            <w:shd w:val="clear" w:color="000000" w:fill="E8E9E9"/>
            <w:noWrap/>
            <w:vAlign w:val="center"/>
            <w:hideMark/>
          </w:tcPr>
          <w:p w14:paraId="60DFB8BC" w14:textId="7066986B"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85.3 </w:t>
            </w:r>
          </w:p>
        </w:tc>
        <w:tc>
          <w:tcPr>
            <w:tcW w:w="1516" w:type="dxa"/>
            <w:tcBorders>
              <w:top w:val="nil"/>
              <w:left w:val="nil"/>
              <w:bottom w:val="nil"/>
              <w:right w:val="nil"/>
            </w:tcBorders>
            <w:shd w:val="clear" w:color="000000" w:fill="E8E9E9"/>
            <w:noWrap/>
            <w:vAlign w:val="center"/>
            <w:hideMark/>
          </w:tcPr>
          <w:p w14:paraId="01BEED80" w14:textId="2AF23A1B"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83.3 </w:t>
            </w:r>
          </w:p>
        </w:tc>
        <w:tc>
          <w:tcPr>
            <w:tcW w:w="1458" w:type="dxa"/>
            <w:tcBorders>
              <w:top w:val="nil"/>
              <w:left w:val="nil"/>
              <w:bottom w:val="nil"/>
              <w:right w:val="nil"/>
            </w:tcBorders>
            <w:shd w:val="clear" w:color="000000" w:fill="E8E9E9"/>
            <w:noWrap/>
            <w:vAlign w:val="center"/>
            <w:hideMark/>
          </w:tcPr>
          <w:p w14:paraId="14A9FBE1" w14:textId="29ABF3C1"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(2.0)</w:t>
            </w:r>
          </w:p>
        </w:tc>
      </w:tr>
      <w:tr w:rsidR="00471DC9" w:rsidRPr="00E70D34" w14:paraId="2014F2CC" w14:textId="77777777" w:rsidTr="00627A51">
        <w:trPr>
          <w:trHeight w:val="240"/>
        </w:trPr>
        <w:tc>
          <w:tcPr>
            <w:tcW w:w="2558" w:type="dxa"/>
            <w:tcBorders>
              <w:top w:val="nil"/>
              <w:left w:val="nil"/>
              <w:bottom w:val="nil"/>
              <w:right w:val="nil"/>
            </w:tcBorders>
            <w:shd w:val="clear" w:color="auto" w:fill="auto"/>
            <w:noWrap/>
            <w:vAlign w:val="bottom"/>
            <w:hideMark/>
          </w:tcPr>
          <w:p w14:paraId="5B683ADA" w14:textId="5031515A" w:rsidR="00471DC9" w:rsidRPr="00E70D34" w:rsidRDefault="00471DC9" w:rsidP="00471DC9">
            <w:pPr>
              <w:spacing w:after="0" w:line="240" w:lineRule="auto"/>
              <w:jc w:val="right"/>
              <w:rPr>
                <w:rFonts w:ascii="Arial" w:eastAsia="Times New Roman" w:hAnsi="Arial" w:cs="Arial"/>
                <w:color w:val="39414D"/>
                <w:szCs w:val="18"/>
              </w:rPr>
            </w:pPr>
          </w:p>
        </w:tc>
        <w:tc>
          <w:tcPr>
            <w:tcW w:w="1504" w:type="dxa"/>
            <w:tcBorders>
              <w:top w:val="nil"/>
              <w:left w:val="nil"/>
              <w:bottom w:val="nil"/>
              <w:right w:val="nil"/>
            </w:tcBorders>
            <w:shd w:val="clear" w:color="auto" w:fill="auto"/>
            <w:noWrap/>
            <w:vAlign w:val="center"/>
            <w:hideMark/>
          </w:tcPr>
          <w:p w14:paraId="48A6AD37" w14:textId="0F0AD825" w:rsidR="00471DC9" w:rsidRPr="00E70D34" w:rsidRDefault="00471DC9" w:rsidP="00471DC9">
            <w:pPr>
              <w:spacing w:after="0" w:line="240" w:lineRule="auto"/>
              <w:rPr>
                <w:rFonts w:ascii="Times New Roman" w:eastAsia="Times New Roman" w:hAnsi="Times New Roman" w:cs="Times New Roman"/>
                <w:sz w:val="20"/>
                <w:szCs w:val="20"/>
              </w:rPr>
            </w:pPr>
          </w:p>
        </w:tc>
        <w:tc>
          <w:tcPr>
            <w:tcW w:w="1516" w:type="dxa"/>
            <w:tcBorders>
              <w:top w:val="nil"/>
              <w:left w:val="nil"/>
              <w:bottom w:val="nil"/>
              <w:right w:val="nil"/>
            </w:tcBorders>
            <w:shd w:val="clear" w:color="auto" w:fill="auto"/>
            <w:noWrap/>
            <w:vAlign w:val="center"/>
            <w:hideMark/>
          </w:tcPr>
          <w:p w14:paraId="3D4FDFA9" w14:textId="2E12ACE1" w:rsidR="00471DC9" w:rsidRPr="00E70D34" w:rsidRDefault="00471DC9" w:rsidP="00471DC9">
            <w:pPr>
              <w:spacing w:after="0" w:line="240" w:lineRule="auto"/>
              <w:rPr>
                <w:rFonts w:ascii="Times New Roman" w:eastAsia="Times New Roman" w:hAnsi="Times New Roman" w:cs="Times New Roman"/>
                <w:sz w:val="20"/>
                <w:szCs w:val="20"/>
              </w:rPr>
            </w:pPr>
          </w:p>
        </w:tc>
        <w:tc>
          <w:tcPr>
            <w:tcW w:w="1458" w:type="dxa"/>
            <w:tcBorders>
              <w:top w:val="nil"/>
              <w:left w:val="nil"/>
              <w:bottom w:val="nil"/>
              <w:right w:val="nil"/>
            </w:tcBorders>
            <w:shd w:val="clear" w:color="auto" w:fill="auto"/>
            <w:noWrap/>
            <w:vAlign w:val="center"/>
            <w:hideMark/>
          </w:tcPr>
          <w:p w14:paraId="3C443794" w14:textId="1D7EF860" w:rsidR="00471DC9" w:rsidRPr="00E70D34" w:rsidRDefault="00471DC9" w:rsidP="00471DC9">
            <w:pPr>
              <w:spacing w:after="0" w:line="240" w:lineRule="auto"/>
              <w:rPr>
                <w:rFonts w:ascii="Times New Roman" w:eastAsia="Times New Roman" w:hAnsi="Times New Roman" w:cs="Times New Roman"/>
                <w:sz w:val="20"/>
                <w:szCs w:val="20"/>
              </w:rPr>
            </w:pPr>
          </w:p>
        </w:tc>
      </w:tr>
      <w:tr w:rsidR="00471DC9" w:rsidRPr="00E70D34" w14:paraId="72CA0D3D" w14:textId="77777777" w:rsidTr="00627A51">
        <w:trPr>
          <w:trHeight w:val="240"/>
        </w:trPr>
        <w:tc>
          <w:tcPr>
            <w:tcW w:w="2558" w:type="dxa"/>
            <w:tcBorders>
              <w:top w:val="nil"/>
              <w:left w:val="nil"/>
              <w:bottom w:val="nil"/>
              <w:right w:val="nil"/>
            </w:tcBorders>
            <w:shd w:val="clear" w:color="000000" w:fill="E8E9E9"/>
            <w:noWrap/>
            <w:vAlign w:val="bottom"/>
            <w:hideMark/>
          </w:tcPr>
          <w:p w14:paraId="5EB34144" w14:textId="6D94FA4E" w:rsidR="00471DC9" w:rsidRPr="00E70D34" w:rsidRDefault="00471DC9" w:rsidP="00471DC9">
            <w:pPr>
              <w:spacing w:after="0" w:line="240" w:lineRule="auto"/>
              <w:rPr>
                <w:rFonts w:ascii="Arial" w:eastAsia="Times New Roman" w:hAnsi="Arial" w:cs="Arial"/>
                <w:color w:val="39414D"/>
                <w:szCs w:val="18"/>
              </w:rPr>
            </w:pPr>
            <w:r>
              <w:rPr>
                <w:rFonts w:ascii="Arial" w:hAnsi="Arial" w:cs="Arial"/>
                <w:color w:val="39414D"/>
                <w:szCs w:val="18"/>
              </w:rPr>
              <w:t>SOBRA</w:t>
            </w:r>
          </w:p>
        </w:tc>
        <w:tc>
          <w:tcPr>
            <w:tcW w:w="1504" w:type="dxa"/>
            <w:tcBorders>
              <w:top w:val="nil"/>
              <w:left w:val="nil"/>
              <w:bottom w:val="nil"/>
              <w:right w:val="nil"/>
            </w:tcBorders>
            <w:shd w:val="clear" w:color="000000" w:fill="E8E9E9"/>
            <w:noWrap/>
            <w:vAlign w:val="center"/>
            <w:hideMark/>
          </w:tcPr>
          <w:p w14:paraId="1DDBC0A5" w14:textId="44B2F3B4"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69.0 </w:t>
            </w:r>
          </w:p>
        </w:tc>
        <w:tc>
          <w:tcPr>
            <w:tcW w:w="1516" w:type="dxa"/>
            <w:tcBorders>
              <w:top w:val="nil"/>
              <w:left w:val="nil"/>
              <w:bottom w:val="nil"/>
              <w:right w:val="nil"/>
            </w:tcBorders>
            <w:shd w:val="clear" w:color="000000" w:fill="E8E9E9"/>
            <w:noWrap/>
            <w:vAlign w:val="center"/>
            <w:hideMark/>
          </w:tcPr>
          <w:p w14:paraId="127A45D9" w14:textId="203C09E6"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73.8 </w:t>
            </w:r>
          </w:p>
        </w:tc>
        <w:tc>
          <w:tcPr>
            <w:tcW w:w="1458" w:type="dxa"/>
            <w:tcBorders>
              <w:top w:val="nil"/>
              <w:left w:val="nil"/>
              <w:bottom w:val="nil"/>
              <w:right w:val="nil"/>
            </w:tcBorders>
            <w:shd w:val="clear" w:color="000000" w:fill="E8E9E9"/>
            <w:noWrap/>
            <w:vAlign w:val="center"/>
            <w:hideMark/>
          </w:tcPr>
          <w:p w14:paraId="77D64961" w14:textId="3A54774D"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4.8 </w:t>
            </w:r>
          </w:p>
        </w:tc>
      </w:tr>
      <w:tr w:rsidR="00471DC9" w:rsidRPr="00E70D34" w14:paraId="0A5D48B1" w14:textId="77777777" w:rsidTr="00627A51">
        <w:trPr>
          <w:trHeight w:val="240"/>
        </w:trPr>
        <w:tc>
          <w:tcPr>
            <w:tcW w:w="2558" w:type="dxa"/>
            <w:tcBorders>
              <w:top w:val="nil"/>
              <w:left w:val="nil"/>
              <w:bottom w:val="nil"/>
              <w:right w:val="nil"/>
            </w:tcBorders>
            <w:shd w:val="clear" w:color="auto" w:fill="auto"/>
            <w:noWrap/>
            <w:vAlign w:val="bottom"/>
            <w:hideMark/>
          </w:tcPr>
          <w:p w14:paraId="4C6AD8DE" w14:textId="13D33D58" w:rsidR="00471DC9" w:rsidRPr="00E70D34" w:rsidRDefault="00471DC9" w:rsidP="00471DC9">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Federal</w:t>
            </w:r>
          </w:p>
        </w:tc>
        <w:tc>
          <w:tcPr>
            <w:tcW w:w="1504" w:type="dxa"/>
            <w:tcBorders>
              <w:top w:val="nil"/>
              <w:left w:val="nil"/>
              <w:bottom w:val="nil"/>
              <w:right w:val="nil"/>
            </w:tcBorders>
            <w:shd w:val="clear" w:color="auto" w:fill="auto"/>
            <w:noWrap/>
            <w:vAlign w:val="center"/>
            <w:hideMark/>
          </w:tcPr>
          <w:p w14:paraId="3A0E924B" w14:textId="55718808"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41.3 </w:t>
            </w:r>
          </w:p>
        </w:tc>
        <w:tc>
          <w:tcPr>
            <w:tcW w:w="1516" w:type="dxa"/>
            <w:tcBorders>
              <w:top w:val="nil"/>
              <w:left w:val="nil"/>
              <w:bottom w:val="nil"/>
              <w:right w:val="nil"/>
            </w:tcBorders>
            <w:shd w:val="clear" w:color="auto" w:fill="auto"/>
            <w:noWrap/>
            <w:vAlign w:val="center"/>
            <w:hideMark/>
          </w:tcPr>
          <w:p w14:paraId="5C0F1253" w14:textId="7F7C8A8C"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44.2 </w:t>
            </w:r>
          </w:p>
        </w:tc>
        <w:tc>
          <w:tcPr>
            <w:tcW w:w="1458" w:type="dxa"/>
            <w:tcBorders>
              <w:top w:val="nil"/>
              <w:left w:val="nil"/>
              <w:bottom w:val="nil"/>
              <w:right w:val="nil"/>
            </w:tcBorders>
            <w:shd w:val="clear" w:color="auto" w:fill="auto"/>
            <w:noWrap/>
            <w:vAlign w:val="center"/>
            <w:hideMark/>
          </w:tcPr>
          <w:p w14:paraId="493ED424" w14:textId="67DC0F6C"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2.9 </w:t>
            </w:r>
          </w:p>
        </w:tc>
      </w:tr>
      <w:tr w:rsidR="00471DC9" w:rsidRPr="00E70D34" w14:paraId="6053B35C" w14:textId="77777777" w:rsidTr="00627A51">
        <w:trPr>
          <w:trHeight w:val="240"/>
        </w:trPr>
        <w:tc>
          <w:tcPr>
            <w:tcW w:w="2558" w:type="dxa"/>
            <w:tcBorders>
              <w:top w:val="nil"/>
              <w:left w:val="nil"/>
              <w:bottom w:val="nil"/>
              <w:right w:val="nil"/>
            </w:tcBorders>
            <w:shd w:val="clear" w:color="000000" w:fill="E8E9E9"/>
            <w:noWrap/>
            <w:vAlign w:val="bottom"/>
            <w:hideMark/>
          </w:tcPr>
          <w:p w14:paraId="37BA5916" w14:textId="0430E8A2" w:rsidR="00471DC9" w:rsidRPr="00E70D34" w:rsidRDefault="00471DC9" w:rsidP="00471DC9">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State</w:t>
            </w:r>
          </w:p>
        </w:tc>
        <w:tc>
          <w:tcPr>
            <w:tcW w:w="1504" w:type="dxa"/>
            <w:tcBorders>
              <w:top w:val="nil"/>
              <w:left w:val="nil"/>
              <w:bottom w:val="nil"/>
              <w:right w:val="nil"/>
            </w:tcBorders>
            <w:shd w:val="clear" w:color="000000" w:fill="E8E9E9"/>
            <w:noWrap/>
            <w:vAlign w:val="center"/>
            <w:hideMark/>
          </w:tcPr>
          <w:p w14:paraId="02F86FF8" w14:textId="0048981A"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27.7 </w:t>
            </w:r>
          </w:p>
        </w:tc>
        <w:tc>
          <w:tcPr>
            <w:tcW w:w="1516" w:type="dxa"/>
            <w:tcBorders>
              <w:top w:val="nil"/>
              <w:left w:val="nil"/>
              <w:bottom w:val="nil"/>
              <w:right w:val="nil"/>
            </w:tcBorders>
            <w:shd w:val="clear" w:color="000000" w:fill="E8E9E9"/>
            <w:noWrap/>
            <w:vAlign w:val="center"/>
            <w:hideMark/>
          </w:tcPr>
          <w:p w14:paraId="0FEC41CE" w14:textId="7BFFC634"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29.6 </w:t>
            </w:r>
          </w:p>
        </w:tc>
        <w:tc>
          <w:tcPr>
            <w:tcW w:w="1458" w:type="dxa"/>
            <w:tcBorders>
              <w:top w:val="nil"/>
              <w:left w:val="nil"/>
              <w:bottom w:val="nil"/>
              <w:right w:val="nil"/>
            </w:tcBorders>
            <w:shd w:val="clear" w:color="000000" w:fill="E8E9E9"/>
            <w:noWrap/>
            <w:vAlign w:val="center"/>
            <w:hideMark/>
          </w:tcPr>
          <w:p w14:paraId="75A544F7" w14:textId="1E63B1E7" w:rsidR="00471DC9" w:rsidRPr="00E70D34" w:rsidRDefault="00471DC9" w:rsidP="00471DC9">
            <w:pPr>
              <w:spacing w:after="0" w:line="240" w:lineRule="auto"/>
              <w:jc w:val="right"/>
              <w:rPr>
                <w:rFonts w:ascii="Arial" w:eastAsia="Times New Roman" w:hAnsi="Arial" w:cs="Arial"/>
                <w:color w:val="39414D"/>
                <w:szCs w:val="18"/>
              </w:rPr>
            </w:pPr>
            <w:r>
              <w:rPr>
                <w:rFonts w:ascii="Arial" w:hAnsi="Arial" w:cs="Arial"/>
                <w:color w:val="39414D"/>
                <w:szCs w:val="18"/>
              </w:rPr>
              <w:t xml:space="preserve">1.9 </w:t>
            </w:r>
          </w:p>
        </w:tc>
      </w:tr>
      <w:tr w:rsidR="00471DC9" w:rsidRPr="00E70D34" w14:paraId="06467EB7" w14:textId="77777777" w:rsidTr="00541BF8">
        <w:trPr>
          <w:trHeight w:val="240"/>
        </w:trPr>
        <w:tc>
          <w:tcPr>
            <w:tcW w:w="2558" w:type="dxa"/>
            <w:tcBorders>
              <w:top w:val="nil"/>
              <w:left w:val="nil"/>
              <w:bottom w:val="nil"/>
              <w:right w:val="nil"/>
            </w:tcBorders>
            <w:shd w:val="clear" w:color="auto" w:fill="auto"/>
            <w:noWrap/>
            <w:vAlign w:val="bottom"/>
            <w:hideMark/>
          </w:tcPr>
          <w:p w14:paraId="0614C58A" w14:textId="2B0B3D0A" w:rsidR="00471DC9" w:rsidRPr="00E70D34" w:rsidRDefault="00471DC9" w:rsidP="00471DC9">
            <w:pPr>
              <w:spacing w:after="0" w:line="240" w:lineRule="auto"/>
              <w:jc w:val="right"/>
              <w:rPr>
                <w:rFonts w:ascii="Arial" w:eastAsia="Times New Roman" w:hAnsi="Arial" w:cs="Arial"/>
                <w:color w:val="39414D"/>
                <w:szCs w:val="18"/>
              </w:rPr>
            </w:pPr>
          </w:p>
        </w:tc>
        <w:tc>
          <w:tcPr>
            <w:tcW w:w="1504" w:type="dxa"/>
            <w:tcBorders>
              <w:top w:val="nil"/>
              <w:left w:val="nil"/>
              <w:bottom w:val="nil"/>
              <w:right w:val="nil"/>
            </w:tcBorders>
            <w:shd w:val="clear" w:color="auto" w:fill="auto"/>
            <w:noWrap/>
            <w:vAlign w:val="center"/>
            <w:hideMark/>
          </w:tcPr>
          <w:p w14:paraId="65EAEEEF" w14:textId="69316B04" w:rsidR="00471DC9" w:rsidRPr="00E70D34" w:rsidRDefault="00471DC9" w:rsidP="00471DC9">
            <w:pPr>
              <w:spacing w:after="0" w:line="240" w:lineRule="auto"/>
              <w:rPr>
                <w:rFonts w:ascii="Times New Roman" w:eastAsia="Times New Roman" w:hAnsi="Times New Roman" w:cs="Times New Roman"/>
                <w:sz w:val="20"/>
                <w:szCs w:val="20"/>
              </w:rPr>
            </w:pPr>
          </w:p>
        </w:tc>
        <w:tc>
          <w:tcPr>
            <w:tcW w:w="1516" w:type="dxa"/>
            <w:tcBorders>
              <w:top w:val="nil"/>
              <w:left w:val="nil"/>
              <w:bottom w:val="nil"/>
              <w:right w:val="nil"/>
            </w:tcBorders>
            <w:shd w:val="clear" w:color="auto" w:fill="auto"/>
            <w:noWrap/>
            <w:vAlign w:val="center"/>
            <w:hideMark/>
          </w:tcPr>
          <w:p w14:paraId="00DD42AF" w14:textId="27E3761C" w:rsidR="00471DC9" w:rsidRPr="00E70D34" w:rsidRDefault="00471DC9" w:rsidP="00471DC9">
            <w:pPr>
              <w:spacing w:after="0" w:line="240" w:lineRule="auto"/>
              <w:rPr>
                <w:rFonts w:ascii="Times New Roman" w:eastAsia="Times New Roman" w:hAnsi="Times New Roman" w:cs="Times New Roman"/>
                <w:sz w:val="20"/>
                <w:szCs w:val="20"/>
              </w:rPr>
            </w:pPr>
          </w:p>
        </w:tc>
        <w:tc>
          <w:tcPr>
            <w:tcW w:w="1458" w:type="dxa"/>
            <w:tcBorders>
              <w:top w:val="nil"/>
              <w:left w:val="nil"/>
              <w:bottom w:val="nil"/>
              <w:right w:val="nil"/>
            </w:tcBorders>
            <w:shd w:val="clear" w:color="auto" w:fill="auto"/>
            <w:noWrap/>
            <w:vAlign w:val="center"/>
            <w:hideMark/>
          </w:tcPr>
          <w:p w14:paraId="4353F0B7" w14:textId="5C36DB19" w:rsidR="00471DC9" w:rsidRPr="00E70D34" w:rsidRDefault="00471DC9" w:rsidP="00471DC9">
            <w:pPr>
              <w:spacing w:after="0" w:line="240" w:lineRule="auto"/>
              <w:rPr>
                <w:rFonts w:ascii="Times New Roman" w:eastAsia="Times New Roman" w:hAnsi="Times New Roman" w:cs="Times New Roman"/>
                <w:sz w:val="20"/>
                <w:szCs w:val="20"/>
              </w:rPr>
            </w:pPr>
          </w:p>
        </w:tc>
      </w:tr>
      <w:tr w:rsidR="00471DC9" w:rsidRPr="00E70D34" w14:paraId="4C15B3E5" w14:textId="77777777" w:rsidTr="00CA712E">
        <w:trPr>
          <w:trHeight w:val="240"/>
        </w:trPr>
        <w:tc>
          <w:tcPr>
            <w:tcW w:w="2558" w:type="dxa"/>
            <w:tcBorders>
              <w:top w:val="nil"/>
              <w:left w:val="nil"/>
              <w:bottom w:val="nil"/>
              <w:right w:val="nil"/>
            </w:tcBorders>
            <w:shd w:val="clear" w:color="000000" w:fill="E8E9E9"/>
            <w:noWrap/>
            <w:vAlign w:val="bottom"/>
            <w:hideMark/>
          </w:tcPr>
          <w:p w14:paraId="5977F670" w14:textId="256A906E" w:rsidR="00471DC9" w:rsidRPr="00E70D34" w:rsidRDefault="00471DC9" w:rsidP="00471DC9">
            <w:pPr>
              <w:spacing w:after="0" w:line="240" w:lineRule="auto"/>
              <w:rPr>
                <w:rFonts w:ascii="Arial" w:eastAsia="Times New Roman" w:hAnsi="Arial" w:cs="Arial"/>
                <w:b/>
                <w:bCs/>
                <w:color w:val="39414D"/>
                <w:szCs w:val="18"/>
              </w:rPr>
            </w:pPr>
            <w:r>
              <w:rPr>
                <w:rFonts w:ascii="Arial" w:hAnsi="Arial" w:cs="Arial"/>
                <w:b/>
                <w:bCs/>
                <w:color w:val="39414D"/>
                <w:szCs w:val="18"/>
              </w:rPr>
              <w:t>Total</w:t>
            </w:r>
          </w:p>
        </w:tc>
        <w:tc>
          <w:tcPr>
            <w:tcW w:w="1504" w:type="dxa"/>
            <w:tcBorders>
              <w:top w:val="nil"/>
              <w:left w:val="nil"/>
              <w:bottom w:val="nil"/>
              <w:right w:val="nil"/>
            </w:tcBorders>
            <w:shd w:val="clear" w:color="000000" w:fill="E8E9E9"/>
            <w:noWrap/>
            <w:vAlign w:val="center"/>
            <w:hideMark/>
          </w:tcPr>
          <w:p w14:paraId="6A361D39" w14:textId="71ACBA44" w:rsidR="00471DC9" w:rsidRPr="00E70D34"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$ 2,020.7 </w:t>
            </w:r>
          </w:p>
        </w:tc>
        <w:tc>
          <w:tcPr>
            <w:tcW w:w="1516" w:type="dxa"/>
            <w:tcBorders>
              <w:top w:val="nil"/>
              <w:left w:val="nil"/>
              <w:bottom w:val="nil"/>
              <w:right w:val="nil"/>
            </w:tcBorders>
            <w:shd w:val="clear" w:color="000000" w:fill="E8E9E9"/>
            <w:noWrap/>
            <w:vAlign w:val="center"/>
            <w:hideMark/>
          </w:tcPr>
          <w:p w14:paraId="390BFB2F" w14:textId="0A72AA42" w:rsidR="00471DC9" w:rsidRPr="00E70D34"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$ 2,033.7 </w:t>
            </w:r>
          </w:p>
        </w:tc>
        <w:tc>
          <w:tcPr>
            <w:tcW w:w="1458" w:type="dxa"/>
            <w:tcBorders>
              <w:top w:val="nil"/>
              <w:left w:val="nil"/>
              <w:bottom w:val="nil"/>
              <w:right w:val="nil"/>
            </w:tcBorders>
            <w:shd w:val="clear" w:color="000000" w:fill="E8E9E9"/>
            <w:noWrap/>
            <w:vAlign w:val="center"/>
            <w:hideMark/>
          </w:tcPr>
          <w:p w14:paraId="1BB00DFF" w14:textId="6BFA5AA6" w:rsidR="00471DC9" w:rsidRPr="00E70D34"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$ 13.0 </w:t>
            </w:r>
          </w:p>
        </w:tc>
      </w:tr>
      <w:tr w:rsidR="00471DC9" w:rsidRPr="00E70D34" w14:paraId="33A437C9" w14:textId="77777777" w:rsidTr="00CA712E">
        <w:trPr>
          <w:trHeight w:val="240"/>
        </w:trPr>
        <w:tc>
          <w:tcPr>
            <w:tcW w:w="2558" w:type="dxa"/>
            <w:tcBorders>
              <w:top w:val="nil"/>
              <w:left w:val="nil"/>
              <w:bottom w:val="nil"/>
              <w:right w:val="nil"/>
            </w:tcBorders>
            <w:shd w:val="clear" w:color="auto" w:fill="auto"/>
            <w:noWrap/>
            <w:vAlign w:val="bottom"/>
            <w:hideMark/>
          </w:tcPr>
          <w:p w14:paraId="77A3443C" w14:textId="2834B2D6" w:rsidR="00471DC9" w:rsidRPr="00E70D34" w:rsidRDefault="00471DC9" w:rsidP="00471DC9">
            <w:pPr>
              <w:spacing w:after="0" w:line="240" w:lineRule="auto"/>
              <w:rPr>
                <w:rFonts w:ascii="Arial" w:eastAsia="Times New Roman" w:hAnsi="Arial" w:cs="Arial"/>
                <w:b/>
                <w:bCs/>
                <w:color w:val="39414D"/>
                <w:szCs w:val="18"/>
              </w:rPr>
            </w:pPr>
            <w:r>
              <w:rPr>
                <w:rFonts w:ascii="Arial" w:hAnsi="Arial" w:cs="Arial"/>
                <w:b/>
                <w:bCs/>
                <w:color w:val="39414D"/>
                <w:szCs w:val="18"/>
              </w:rPr>
              <w:t>Total Federal</w:t>
            </w:r>
          </w:p>
        </w:tc>
        <w:tc>
          <w:tcPr>
            <w:tcW w:w="1504" w:type="dxa"/>
            <w:tcBorders>
              <w:top w:val="nil"/>
              <w:left w:val="nil"/>
              <w:bottom w:val="nil"/>
              <w:right w:val="nil"/>
            </w:tcBorders>
            <w:shd w:val="clear" w:color="auto" w:fill="auto"/>
            <w:noWrap/>
            <w:vAlign w:val="center"/>
            <w:hideMark/>
          </w:tcPr>
          <w:p w14:paraId="4D7DAF27" w14:textId="7E7486BD" w:rsidR="00471DC9" w:rsidRPr="00E70D34"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$ 1,404.4 </w:t>
            </w:r>
          </w:p>
        </w:tc>
        <w:tc>
          <w:tcPr>
            <w:tcW w:w="1516" w:type="dxa"/>
            <w:tcBorders>
              <w:top w:val="nil"/>
              <w:left w:val="nil"/>
              <w:bottom w:val="nil"/>
              <w:right w:val="nil"/>
            </w:tcBorders>
            <w:shd w:val="clear" w:color="auto" w:fill="auto"/>
            <w:noWrap/>
            <w:vAlign w:val="center"/>
            <w:hideMark/>
          </w:tcPr>
          <w:p w14:paraId="69B540A9" w14:textId="57620B5A" w:rsidR="00471DC9" w:rsidRPr="00E70D34"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$ 1,404.4 </w:t>
            </w:r>
          </w:p>
        </w:tc>
        <w:tc>
          <w:tcPr>
            <w:tcW w:w="1458" w:type="dxa"/>
            <w:tcBorders>
              <w:top w:val="nil"/>
              <w:left w:val="nil"/>
              <w:bottom w:val="nil"/>
              <w:right w:val="nil"/>
            </w:tcBorders>
            <w:shd w:val="clear" w:color="auto" w:fill="auto"/>
            <w:noWrap/>
            <w:vAlign w:val="center"/>
            <w:hideMark/>
          </w:tcPr>
          <w:p w14:paraId="697E76E6" w14:textId="675A5DED" w:rsidR="00471DC9" w:rsidRPr="00E70D34"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$ 0.0 </w:t>
            </w:r>
          </w:p>
        </w:tc>
      </w:tr>
      <w:tr w:rsidR="00471DC9" w:rsidRPr="00E70D34" w14:paraId="478D4708" w14:textId="77777777" w:rsidTr="00CA712E">
        <w:trPr>
          <w:trHeight w:val="240"/>
        </w:trPr>
        <w:tc>
          <w:tcPr>
            <w:tcW w:w="2558" w:type="dxa"/>
            <w:tcBorders>
              <w:top w:val="nil"/>
              <w:left w:val="nil"/>
              <w:bottom w:val="nil"/>
              <w:right w:val="nil"/>
            </w:tcBorders>
            <w:shd w:val="clear" w:color="000000" w:fill="E8E9E9"/>
            <w:noWrap/>
            <w:vAlign w:val="bottom"/>
            <w:hideMark/>
          </w:tcPr>
          <w:p w14:paraId="3DFCF8E1" w14:textId="3569DA95" w:rsidR="00471DC9" w:rsidRPr="00E70D34" w:rsidRDefault="00471DC9" w:rsidP="00471DC9">
            <w:pPr>
              <w:spacing w:after="0" w:line="240" w:lineRule="auto"/>
              <w:rPr>
                <w:rFonts w:ascii="Arial" w:eastAsia="Times New Roman" w:hAnsi="Arial" w:cs="Arial"/>
                <w:b/>
                <w:bCs/>
                <w:color w:val="39414D"/>
                <w:szCs w:val="18"/>
              </w:rPr>
            </w:pPr>
            <w:r>
              <w:rPr>
                <w:rFonts w:ascii="Arial" w:hAnsi="Arial" w:cs="Arial"/>
                <w:b/>
                <w:bCs/>
                <w:color w:val="39414D"/>
                <w:szCs w:val="18"/>
              </w:rPr>
              <w:t>Total State</w:t>
            </w:r>
          </w:p>
        </w:tc>
        <w:tc>
          <w:tcPr>
            <w:tcW w:w="1504" w:type="dxa"/>
            <w:tcBorders>
              <w:top w:val="nil"/>
              <w:left w:val="nil"/>
              <w:bottom w:val="nil"/>
              <w:right w:val="nil"/>
            </w:tcBorders>
            <w:shd w:val="clear" w:color="000000" w:fill="E8E9E9"/>
            <w:noWrap/>
            <w:vAlign w:val="center"/>
            <w:hideMark/>
          </w:tcPr>
          <w:p w14:paraId="2CE4A7EE" w14:textId="10D22BF6" w:rsidR="00471DC9" w:rsidRPr="00E70D34"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$ 616.3 </w:t>
            </w:r>
          </w:p>
        </w:tc>
        <w:tc>
          <w:tcPr>
            <w:tcW w:w="1516" w:type="dxa"/>
            <w:tcBorders>
              <w:top w:val="nil"/>
              <w:left w:val="nil"/>
              <w:bottom w:val="nil"/>
              <w:right w:val="nil"/>
            </w:tcBorders>
            <w:shd w:val="clear" w:color="000000" w:fill="E8E9E9"/>
            <w:noWrap/>
            <w:vAlign w:val="center"/>
            <w:hideMark/>
          </w:tcPr>
          <w:p w14:paraId="5B0B2748" w14:textId="69ED2E31" w:rsidR="00471DC9" w:rsidRPr="00E70D34"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$ 629.2 </w:t>
            </w:r>
          </w:p>
        </w:tc>
        <w:tc>
          <w:tcPr>
            <w:tcW w:w="1458" w:type="dxa"/>
            <w:tcBorders>
              <w:top w:val="nil"/>
              <w:left w:val="nil"/>
              <w:bottom w:val="nil"/>
              <w:right w:val="nil"/>
            </w:tcBorders>
            <w:shd w:val="clear" w:color="000000" w:fill="E8E9E9"/>
            <w:noWrap/>
            <w:vAlign w:val="center"/>
            <w:hideMark/>
          </w:tcPr>
          <w:p w14:paraId="55EEDC7B" w14:textId="4B1205FC" w:rsidR="00471DC9" w:rsidRPr="00E70D34" w:rsidRDefault="00471DC9" w:rsidP="00471DC9">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$ 12.9 </w:t>
            </w:r>
          </w:p>
        </w:tc>
      </w:tr>
    </w:tbl>
    <w:p w14:paraId="31D21F13" w14:textId="0464BC39" w:rsidR="00AC1CE6" w:rsidRDefault="00A20C2E" w:rsidP="00CA712E">
      <w:pPr>
        <w:pStyle w:val="RRBody"/>
        <w:spacing w:after="0"/>
      </w:pPr>
      <w:r>
        <w:br w:type="textWrapping" w:clear="all"/>
      </w:r>
    </w:p>
    <w:p w14:paraId="48F109C0" w14:textId="77777777" w:rsidR="0041608E" w:rsidRPr="002A6C9C" w:rsidRDefault="0041608E">
      <w:pPr>
        <w:pStyle w:val="RRBody"/>
        <w:spacing w:before="60" w:after="0"/>
        <w:rPr>
          <w:b/>
        </w:rPr>
      </w:pPr>
      <w:r w:rsidRPr="002A6C9C">
        <w:rPr>
          <w:b/>
        </w:rPr>
        <w:t xml:space="preserve">Notes: </w:t>
      </w:r>
    </w:p>
    <w:p w14:paraId="620FD41A" w14:textId="77777777" w:rsidR="0041608E" w:rsidRDefault="0041608E" w:rsidP="00622097">
      <w:pPr>
        <w:pStyle w:val="ListParagraph"/>
        <w:numPr>
          <w:ilvl w:val="0"/>
          <w:numId w:val="16"/>
        </w:numPr>
        <w:ind w:left="360"/>
        <w:jc w:val="both"/>
      </w:pPr>
      <w:r>
        <w:t>Values have been rounded.</w:t>
      </w:r>
    </w:p>
    <w:p w14:paraId="1448E2FB" w14:textId="30809560" w:rsidR="0041608E" w:rsidRDefault="00AA23AE" w:rsidP="00622097">
      <w:pPr>
        <w:pStyle w:val="ListParagraph"/>
        <w:numPr>
          <w:ilvl w:val="0"/>
          <w:numId w:val="16"/>
        </w:numPr>
        <w:ind w:left="360"/>
        <w:jc w:val="both"/>
      </w:pPr>
      <w:r>
        <w:t xml:space="preserve">SFY </w:t>
      </w:r>
      <w:r w:rsidR="001F1B6D">
        <w:t xml:space="preserve">2022 </w:t>
      </w:r>
      <w:r w:rsidR="00557EC0">
        <w:t xml:space="preserve">and </w:t>
      </w:r>
      <w:r>
        <w:t xml:space="preserve">SFY </w:t>
      </w:r>
      <w:r w:rsidR="001F1B6D">
        <w:t xml:space="preserve">2023 </w:t>
      </w:r>
      <w:r w:rsidR="0041608E">
        <w:t xml:space="preserve">aggregate expenditures were developed based on </w:t>
      </w:r>
      <w:r>
        <w:t xml:space="preserve">projected SFY </w:t>
      </w:r>
      <w:r w:rsidR="001F1B6D">
        <w:t xml:space="preserve">2023 </w:t>
      </w:r>
      <w:r>
        <w:t>average</w:t>
      </w:r>
      <w:r w:rsidRPr="00E51B17">
        <w:t xml:space="preserve"> monthly enrollment</w:t>
      </w:r>
      <w:r w:rsidR="0041608E">
        <w:t>.</w:t>
      </w:r>
    </w:p>
    <w:p w14:paraId="51F2BDF1" w14:textId="370E0B98" w:rsidR="0041608E" w:rsidRPr="00A14A1D" w:rsidRDefault="0041608E" w:rsidP="00622097">
      <w:pPr>
        <w:pStyle w:val="ListParagraph"/>
        <w:numPr>
          <w:ilvl w:val="0"/>
          <w:numId w:val="16"/>
        </w:numPr>
        <w:ind w:left="360"/>
        <w:jc w:val="both"/>
      </w:pPr>
      <w:r w:rsidRPr="006E03E1">
        <w:t xml:space="preserve">State expenditures </w:t>
      </w:r>
      <w:r w:rsidR="00F532CE" w:rsidRPr="00A14A1D">
        <w:t xml:space="preserve">for populations other than </w:t>
      </w:r>
      <w:r w:rsidR="00F532CE">
        <w:t>Medicaid Expansion</w:t>
      </w:r>
      <w:r w:rsidR="00F532CE" w:rsidRPr="006E03E1">
        <w:t xml:space="preserve"> </w:t>
      </w:r>
      <w:r w:rsidR="00F532CE">
        <w:t xml:space="preserve">are </w:t>
      </w:r>
      <w:r w:rsidRPr="006E03E1">
        <w:t xml:space="preserve">based on Federal Fiscal Year </w:t>
      </w:r>
      <w:r w:rsidR="00DD5F14">
        <w:t xml:space="preserve">(FFY) </w:t>
      </w:r>
      <w:r w:rsidR="00641F44" w:rsidRPr="006E03E1">
        <w:t>20</w:t>
      </w:r>
      <w:r w:rsidR="00641F44">
        <w:t>22</w:t>
      </w:r>
      <w:r w:rsidR="00641F44" w:rsidRPr="006E03E1">
        <w:t xml:space="preserve"> </w:t>
      </w:r>
      <w:r w:rsidR="009845D5" w:rsidRPr="009845D5">
        <w:t>Federa</w:t>
      </w:r>
      <w:r w:rsidR="009845D5">
        <w:t>l Medical Assistance Percentage (</w:t>
      </w:r>
      <w:r w:rsidRPr="006E03E1">
        <w:t>FMAP</w:t>
      </w:r>
      <w:r w:rsidR="009845D5">
        <w:t>)</w:t>
      </w:r>
      <w:r w:rsidRPr="006E03E1">
        <w:t xml:space="preserve"> </w:t>
      </w:r>
      <w:r w:rsidR="00557EC0">
        <w:t xml:space="preserve">of </w:t>
      </w:r>
      <w:r w:rsidR="00946530">
        <w:t>54.</w:t>
      </w:r>
      <w:r w:rsidR="00641F44">
        <w:t>88</w:t>
      </w:r>
      <w:r w:rsidRPr="00A14A1D">
        <w:t>%</w:t>
      </w:r>
      <w:r w:rsidR="00F532CE">
        <w:t xml:space="preserve"> for three months</w:t>
      </w:r>
      <w:r w:rsidRPr="00A14A1D">
        <w:t xml:space="preserve"> </w:t>
      </w:r>
      <w:r w:rsidR="00CC4F38">
        <w:t xml:space="preserve">and FFY </w:t>
      </w:r>
      <w:r w:rsidR="00641F44">
        <w:t xml:space="preserve">2023 </w:t>
      </w:r>
      <w:r w:rsidR="00CC4F38">
        <w:t xml:space="preserve">FMAP of </w:t>
      </w:r>
      <w:r w:rsidR="00641F44">
        <w:t>53</w:t>
      </w:r>
      <w:r w:rsidR="00946530">
        <w:t>.</w:t>
      </w:r>
      <w:r w:rsidR="00641F44">
        <w:t>96</w:t>
      </w:r>
      <w:r w:rsidR="00CC4F38" w:rsidRPr="00A14A1D">
        <w:t xml:space="preserve">% </w:t>
      </w:r>
      <w:r w:rsidR="00F532CE">
        <w:t>for nine months</w:t>
      </w:r>
      <w:r w:rsidRPr="00A14A1D">
        <w:t>.</w:t>
      </w:r>
      <w:r w:rsidR="00FD3ECA">
        <w:t xml:space="preserve"> No adjustment was made for </w:t>
      </w:r>
      <w:r w:rsidR="00A20C2E">
        <w:t xml:space="preserve">Families First Coronavirus Response Act enhanced FMAP, </w:t>
      </w:r>
      <w:r w:rsidR="008853D8">
        <w:rPr>
          <w:rFonts w:ascii="Arial" w:hAnsi="Arial" w:cs="Arial"/>
          <w:color w:val="222222"/>
          <w:shd w:val="clear" w:color="auto" w:fill="FFFFFF"/>
        </w:rPr>
        <w:t>Children</w:t>
      </w:r>
      <w:r w:rsidR="00A20C2E">
        <w:rPr>
          <w:rFonts w:ascii="Arial" w:hAnsi="Arial" w:cs="Arial"/>
          <w:color w:val="222222"/>
          <w:shd w:val="clear" w:color="auto" w:fill="FFFFFF"/>
        </w:rPr>
        <w:t>’</w:t>
      </w:r>
      <w:r w:rsidR="008853D8">
        <w:rPr>
          <w:rFonts w:ascii="Arial" w:hAnsi="Arial" w:cs="Arial"/>
          <w:color w:val="222222"/>
          <w:shd w:val="clear" w:color="auto" w:fill="FFFFFF"/>
        </w:rPr>
        <w:t>s Health Insurance Program (</w:t>
      </w:r>
      <w:r w:rsidR="009D1372">
        <w:t>CHIP</w:t>
      </w:r>
      <w:r w:rsidR="008853D8">
        <w:t>)</w:t>
      </w:r>
      <w:r w:rsidR="00A20C2E">
        <w:t>,</w:t>
      </w:r>
      <w:r w:rsidR="009D1372">
        <w:t xml:space="preserve"> or other enhanced FMAP rates.</w:t>
      </w:r>
    </w:p>
    <w:p w14:paraId="686D99CB" w14:textId="020FA2C7" w:rsidR="0041608E" w:rsidRDefault="0041608E" w:rsidP="00622097">
      <w:pPr>
        <w:pStyle w:val="ListParagraph"/>
        <w:numPr>
          <w:ilvl w:val="0"/>
          <w:numId w:val="16"/>
        </w:numPr>
        <w:ind w:left="360"/>
        <w:jc w:val="both"/>
      </w:pPr>
      <w:r w:rsidRPr="00A14A1D">
        <w:t xml:space="preserve">State expenditures </w:t>
      </w:r>
      <w:r w:rsidR="00F532CE" w:rsidRPr="00A14A1D">
        <w:t xml:space="preserve">for the </w:t>
      </w:r>
      <w:r w:rsidR="00F532CE">
        <w:t>Medicaid Expansion population</w:t>
      </w:r>
      <w:r w:rsidR="00F532CE" w:rsidRPr="00A14A1D">
        <w:t xml:space="preserve"> </w:t>
      </w:r>
      <w:r w:rsidR="00F532CE">
        <w:t xml:space="preserve">are </w:t>
      </w:r>
      <w:r w:rsidRPr="00A14A1D">
        <w:t xml:space="preserve">based </w:t>
      </w:r>
      <w:r w:rsidR="00557EC0">
        <w:t xml:space="preserve">FMAP of </w:t>
      </w:r>
      <w:r w:rsidR="00F532CE">
        <w:t>90</w:t>
      </w:r>
      <w:r w:rsidR="008A49E7">
        <w:t>.00</w:t>
      </w:r>
      <w:r w:rsidR="00F532CE">
        <w:t>%</w:t>
      </w:r>
      <w:r>
        <w:t>.</w:t>
      </w:r>
    </w:p>
    <w:p w14:paraId="2CE46730" w14:textId="4BBD6CC4" w:rsidR="00FF30C6" w:rsidRPr="004B66A1" w:rsidRDefault="0043337B" w:rsidP="00622097">
      <w:pPr>
        <w:pStyle w:val="ListParagraph"/>
        <w:numPr>
          <w:ilvl w:val="0"/>
          <w:numId w:val="16"/>
        </w:numPr>
        <w:ind w:left="360"/>
        <w:jc w:val="both"/>
      </w:pPr>
      <w:r>
        <w:t>T</w:t>
      </w:r>
      <w:r w:rsidR="00FF30C6">
        <w:t xml:space="preserve">he </w:t>
      </w:r>
      <w:r>
        <w:t xml:space="preserve">federal and state SOBRA expenditures are allocated based on the </w:t>
      </w:r>
      <w:r w:rsidR="00FF30C6">
        <w:t xml:space="preserve">portion of SOBRA </w:t>
      </w:r>
      <w:r>
        <w:t>capitation payments estimated to be associated with RIte Care and Medicaid Expansion members and their corresponding FMAP</w:t>
      </w:r>
      <w:r w:rsidR="00FF30C6">
        <w:t>.</w:t>
      </w:r>
    </w:p>
    <w:p w14:paraId="4FB1F961" w14:textId="77777777" w:rsidR="0041608E" w:rsidRPr="0041608E" w:rsidRDefault="0041608E" w:rsidP="00210B59">
      <w:pPr>
        <w:pStyle w:val="RRBody"/>
      </w:pPr>
    </w:p>
    <w:p w14:paraId="79B8E902" w14:textId="77777777" w:rsidR="00E9677D" w:rsidRDefault="00E9677D" w:rsidP="00210B59"/>
    <w:p w14:paraId="45CFEBB6" w14:textId="490FBFBC" w:rsidR="00593603" w:rsidRDefault="00593603">
      <w:pPr>
        <w:spacing w:line="264" w:lineRule="auto"/>
      </w:pPr>
      <w:r>
        <w:br w:type="page"/>
      </w:r>
    </w:p>
    <w:p w14:paraId="25AAE46C" w14:textId="147EC178" w:rsidR="00CE2634" w:rsidRPr="00210B59" w:rsidRDefault="00CE2634" w:rsidP="00210B59">
      <w:pPr>
        <w:pStyle w:val="Heading1"/>
      </w:pPr>
      <w:bookmarkStart w:id="7" w:name="_Toc504388971"/>
      <w:bookmarkStart w:id="8" w:name="_Toc8984984"/>
      <w:bookmarkStart w:id="9" w:name="_Toc100260670"/>
      <w:r w:rsidRPr="00210B59">
        <w:lastRenderedPageBreak/>
        <w:t>Section I. Medicaid managed care rates</w:t>
      </w:r>
      <w:bookmarkEnd w:id="7"/>
      <w:bookmarkEnd w:id="8"/>
      <w:bookmarkEnd w:id="9"/>
    </w:p>
    <w:p w14:paraId="2809C061" w14:textId="553A501B" w:rsidR="00CE2634" w:rsidRPr="00210B59" w:rsidRDefault="00CE2634" w:rsidP="00210B59">
      <w:pPr>
        <w:pStyle w:val="Heading2"/>
      </w:pPr>
      <w:bookmarkStart w:id="10" w:name="_Toc305085229"/>
      <w:bookmarkStart w:id="11" w:name="_Toc431546426"/>
      <w:bookmarkStart w:id="12" w:name="_Toc484701126"/>
      <w:bookmarkStart w:id="13" w:name="_Toc504388972"/>
      <w:bookmarkStart w:id="14" w:name="_Toc8984985"/>
      <w:bookmarkStart w:id="15" w:name="_Toc100260671"/>
      <w:r w:rsidRPr="00210B59">
        <w:t>General information</w:t>
      </w:r>
      <w:bookmarkEnd w:id="10"/>
      <w:bookmarkEnd w:id="11"/>
      <w:bookmarkEnd w:id="12"/>
      <w:bookmarkEnd w:id="13"/>
      <w:bookmarkEnd w:id="14"/>
      <w:bookmarkEnd w:id="15"/>
    </w:p>
    <w:p w14:paraId="1926051C" w14:textId="77777777" w:rsidR="006B2FA5" w:rsidRPr="006B2FA5" w:rsidRDefault="00553928" w:rsidP="00622097">
      <w:pPr>
        <w:pStyle w:val="RRBody"/>
        <w:jc w:val="both"/>
      </w:pPr>
      <w:bookmarkStart w:id="16" w:name="_Toc305085230"/>
      <w:bookmarkStart w:id="17" w:name="_Toc431546427"/>
      <w:r w:rsidRPr="00DA0D61">
        <w:t>This</w:t>
      </w:r>
      <w:r w:rsidR="006B2FA5" w:rsidRPr="006B2FA5">
        <w:rPr>
          <w:rFonts w:ascii="Arial" w:eastAsia="Times New Roman" w:hAnsi="Arial" w:cs="Times New Roman"/>
          <w:szCs w:val="18"/>
        </w:rPr>
        <w:t xml:space="preserve"> </w:t>
      </w:r>
      <w:r w:rsidR="006B2FA5" w:rsidRPr="006B2FA5">
        <w:t>section provides information listed under the General Information section of CMS guide, Section I.</w:t>
      </w:r>
    </w:p>
    <w:p w14:paraId="629EBBAB" w14:textId="77777777" w:rsidR="006B2FA5" w:rsidRPr="006B2FA5" w:rsidRDefault="006B2FA5" w:rsidP="00622097">
      <w:pPr>
        <w:pStyle w:val="RRBody"/>
        <w:jc w:val="both"/>
      </w:pPr>
      <w:r w:rsidRPr="006B2FA5">
        <w:t xml:space="preserve">The capitation rates provided under this certification are “actuarially sound” for purposes of 42 CFR 438.4(a), according to the following criteria: </w:t>
      </w:r>
    </w:p>
    <w:p w14:paraId="7E92674F" w14:textId="1AC0FE67" w:rsidR="006B2FA5" w:rsidRPr="006B2FA5" w:rsidRDefault="006B2FA5" w:rsidP="00622097">
      <w:pPr>
        <w:pStyle w:val="RRBullet1"/>
        <w:jc w:val="both"/>
      </w:pPr>
      <w:r w:rsidRPr="006B2FA5">
        <w:t xml:space="preserve">The capitation rates provide for all reasonable, appropriate, and attainable costs that are required under terms of the contract and for the operation of the managed care </w:t>
      </w:r>
      <w:r w:rsidR="00414E5D">
        <w:t xml:space="preserve">organization </w:t>
      </w:r>
      <w:r w:rsidR="00B74AFD">
        <w:t>(MC</w:t>
      </w:r>
      <w:r w:rsidR="00414E5D">
        <w:t>O</w:t>
      </w:r>
      <w:r w:rsidR="00B74AFD">
        <w:t>)</w:t>
      </w:r>
      <w:r w:rsidRPr="006B2FA5">
        <w:t xml:space="preserve"> for the time period and population covered under the terms of the contract, and such capitation rates were developed in accordance with the requirements under 42 CFR 438.4(b).</w:t>
      </w:r>
    </w:p>
    <w:p w14:paraId="519239E2" w14:textId="77777777" w:rsidR="006B2FA5" w:rsidRPr="006B2FA5" w:rsidRDefault="006B2FA5" w:rsidP="00146D27">
      <w:pPr>
        <w:pStyle w:val="RRBody"/>
        <w:spacing w:line="240" w:lineRule="auto"/>
        <w:jc w:val="both"/>
      </w:pPr>
      <w:r w:rsidRPr="006B2FA5">
        <w:t>To ensure compliance with generally accepted actuarial practices and regulatory requirements, we referred to published guidance from the American Academy of Actuaries (AAA), the Actuarial Standards Board (ASB), the Centers for Medicare and Medicaid Services (CMS), and federal regulations. Specifically, the following were referenced during the rate development:</w:t>
      </w:r>
    </w:p>
    <w:p w14:paraId="71C37A6D" w14:textId="62EF1F08" w:rsidR="006B2FA5" w:rsidRPr="006B2FA5" w:rsidRDefault="006B2FA5" w:rsidP="00146D27">
      <w:pPr>
        <w:pStyle w:val="RRBullet1"/>
        <w:spacing w:line="240" w:lineRule="auto"/>
        <w:jc w:val="both"/>
      </w:pPr>
      <w:r w:rsidRPr="006B2FA5">
        <w:t xml:space="preserve">Actuarial standards of practice applicable to Medicaid managed care rate setting which have been enacted as of the capitation rate certification date, including: ASOP 1 (Introductory Actuarial Standard of Practice); ASOP 5 (Incurred Health and Disability Claims); </w:t>
      </w:r>
      <w:r w:rsidR="009E7AD1" w:rsidRPr="00284EFB">
        <w:rPr>
          <w:rFonts w:ascii="Arial" w:eastAsia="Times New Roman" w:hAnsi="Arial" w:cs="Times New Roman"/>
          <w:szCs w:val="18"/>
        </w:rPr>
        <w:t>ASOP 12 (Risk Classification)</w:t>
      </w:r>
      <w:r w:rsidR="009E7AD1">
        <w:rPr>
          <w:rFonts w:ascii="Arial" w:eastAsia="Times New Roman" w:hAnsi="Arial" w:cs="Times New Roman"/>
          <w:szCs w:val="18"/>
        </w:rPr>
        <w:t xml:space="preserve">; </w:t>
      </w:r>
      <w:r w:rsidRPr="006B2FA5">
        <w:t>ASOP 23 (Data Quality); ASOP 25 (Credibility Procedures); ASOP 41 (Actuarial Communications); ASOP 45 (The Use of Health Status Based Risk Adjustment Methodologies); ASOP 49 (Medicaid Managed Care Capitation Rate Development and Certification)</w:t>
      </w:r>
      <w:r w:rsidR="00816DEC">
        <w:t>; and ASOP 56 (Modeling)</w:t>
      </w:r>
      <w:r w:rsidR="00816DEC" w:rsidRPr="006B2FA5">
        <w:t>.</w:t>
      </w:r>
    </w:p>
    <w:p w14:paraId="733C93F1" w14:textId="1D87D5FD" w:rsidR="006B2FA5" w:rsidRPr="006B2FA5" w:rsidRDefault="006B2FA5" w:rsidP="00622097">
      <w:pPr>
        <w:pStyle w:val="RRBullet1"/>
        <w:jc w:val="both"/>
      </w:pPr>
      <w:r w:rsidRPr="006B2FA5">
        <w:t>Actuarial soundness and rate development requirements in the Medicaid and CHIP Managed Care Final Rule (CMS 2390-F</w:t>
      </w:r>
      <w:r w:rsidR="003F523F">
        <w:t xml:space="preserve"> and CMS-2408-F</w:t>
      </w:r>
      <w:r w:rsidRPr="006B2FA5">
        <w:t>).</w:t>
      </w:r>
    </w:p>
    <w:p w14:paraId="76047790" w14:textId="77777777" w:rsidR="006B2FA5" w:rsidRPr="006B2FA5" w:rsidRDefault="006B2FA5" w:rsidP="00622097">
      <w:pPr>
        <w:pStyle w:val="RRBullet1"/>
        <w:jc w:val="both"/>
      </w:pPr>
      <w:r w:rsidRPr="006B2FA5">
        <w:t>The most recent Medicaid Managed Care Rate Development Guide published by CMS.</w:t>
      </w:r>
    </w:p>
    <w:p w14:paraId="246BC8A0" w14:textId="77777777" w:rsidR="006B2FA5" w:rsidRPr="006B2FA5" w:rsidRDefault="006B2FA5" w:rsidP="00622097">
      <w:pPr>
        <w:pStyle w:val="RRBullet1"/>
        <w:jc w:val="both"/>
      </w:pPr>
      <w:r w:rsidRPr="006B2FA5">
        <w:t>Throughout this document and consistent with the requirements under 42 CFR 438.4(a), the term “actuarially sound” will be defined as in ASOP 49:</w:t>
      </w:r>
    </w:p>
    <w:p w14:paraId="55FC5899" w14:textId="77777777" w:rsidR="00CE2634" w:rsidRPr="00541C09" w:rsidRDefault="006B2FA5" w:rsidP="00622097">
      <w:pPr>
        <w:pStyle w:val="RRBody"/>
        <w:jc w:val="both"/>
        <w:rPr>
          <w:rFonts w:cstheme="minorHAnsi"/>
          <w:szCs w:val="18"/>
        </w:rPr>
      </w:pPr>
      <w:r w:rsidRPr="002C7D4E">
        <w:rPr>
          <w:i/>
        </w:rPr>
        <w:t>“Medicaid capitation rates are “actuarially sound” if, for business for which the certification is being prepared and for the period covered by the certification, projected capitation rates and other revenue sources provide for all reasonable, appropriate, and attainable costs. For purposes of this definition, other revenue sources include, but are not limited to, expected reinsurance and governmental stop-loss cash flows, governmental risk-adjustment cash flows, and investment income. For purposes of this definition, costs include, but are not limited to, expected health benefits; health benefit settlement expenses; administrative expenses; the cost of capital, and government-mandated assessments, fees, and taxes.”</w:t>
      </w:r>
      <w:r w:rsidRPr="006B2FA5">
        <w:rPr>
          <w:vertAlign w:val="superscript"/>
        </w:rPr>
        <w:footnoteReference w:id="2"/>
      </w:r>
    </w:p>
    <w:p w14:paraId="4CDFC172" w14:textId="621894A2" w:rsidR="00CE2634" w:rsidRPr="00210B59" w:rsidRDefault="00CE2634" w:rsidP="00622097">
      <w:pPr>
        <w:pStyle w:val="Heading3"/>
        <w:jc w:val="both"/>
      </w:pPr>
      <w:bookmarkStart w:id="18" w:name="_Toc484701127"/>
      <w:bookmarkStart w:id="19" w:name="_Toc504388973"/>
      <w:bookmarkStart w:id="20" w:name="_Toc8984986"/>
      <w:bookmarkStart w:id="21" w:name="_Toc100260672"/>
      <w:bookmarkEnd w:id="16"/>
      <w:bookmarkEnd w:id="17"/>
      <w:r w:rsidRPr="00210B59">
        <w:t>Rate Development Standards</w:t>
      </w:r>
      <w:bookmarkEnd w:id="18"/>
      <w:bookmarkEnd w:id="19"/>
      <w:bookmarkEnd w:id="20"/>
      <w:bookmarkEnd w:id="21"/>
    </w:p>
    <w:p w14:paraId="100C689D" w14:textId="59A54C91" w:rsidR="005364BA" w:rsidRDefault="005364BA" w:rsidP="00622097">
      <w:pPr>
        <w:pStyle w:val="Heading4"/>
      </w:pPr>
      <w:bookmarkStart w:id="22" w:name="_Toc100260673"/>
      <w:bookmarkStart w:id="23" w:name="_Toc484701128"/>
      <w:bookmarkStart w:id="24" w:name="_Toc504388974"/>
      <w:bookmarkStart w:id="25" w:name="_Toc8984987"/>
      <w:bookmarkStart w:id="26" w:name="_Toc305085234"/>
      <w:bookmarkStart w:id="27" w:name="_Toc431546431"/>
      <w:r>
        <w:t>Rate ranges</w:t>
      </w:r>
      <w:bookmarkEnd w:id="22"/>
    </w:p>
    <w:p w14:paraId="35772B1F" w14:textId="5E0B6768" w:rsidR="005364BA" w:rsidRPr="00B27972" w:rsidRDefault="005364BA" w:rsidP="00027779">
      <w:r>
        <w:t xml:space="preserve">The SFY 2023 </w:t>
      </w:r>
      <w:r w:rsidR="00847EEB">
        <w:t xml:space="preserve">Medicaid </w:t>
      </w:r>
      <w:r>
        <w:t>managed care program</w:t>
      </w:r>
      <w:r w:rsidR="00847EEB">
        <w:t xml:space="preserve"> capitation rate development does not utilize rate ranges</w:t>
      </w:r>
      <w:r>
        <w:t>.</w:t>
      </w:r>
    </w:p>
    <w:p w14:paraId="3F0D006A" w14:textId="5B7419BE" w:rsidR="00CE2634" w:rsidRPr="00210B59" w:rsidRDefault="00CE2634" w:rsidP="00622097">
      <w:pPr>
        <w:pStyle w:val="Heading4"/>
      </w:pPr>
      <w:bookmarkStart w:id="28" w:name="_Toc100260674"/>
      <w:r w:rsidRPr="00210B59">
        <w:t>Annual basis</w:t>
      </w:r>
      <w:bookmarkEnd w:id="23"/>
      <w:bookmarkEnd w:id="24"/>
      <w:bookmarkEnd w:id="25"/>
      <w:bookmarkEnd w:id="28"/>
    </w:p>
    <w:p w14:paraId="70D5BFB7" w14:textId="45AC131C" w:rsidR="00AD5657" w:rsidRPr="00A81F54" w:rsidRDefault="00A81F54" w:rsidP="00622097">
      <w:pPr>
        <w:pStyle w:val="RRBody"/>
        <w:jc w:val="both"/>
      </w:pPr>
      <w:r w:rsidRPr="00A81F54">
        <w:t xml:space="preserve">The actuarial certification contained in this report is effective for the capitation rates for the </w:t>
      </w:r>
      <w:r w:rsidR="001B3E25" w:rsidRPr="00A81F54">
        <w:t>one-year</w:t>
      </w:r>
      <w:r w:rsidRPr="00A81F54">
        <w:t xml:space="preserve"> rate period from </w:t>
      </w:r>
      <w:r w:rsidR="009C467E">
        <w:t>July 1, 2022</w:t>
      </w:r>
      <w:r w:rsidR="00B52EB3">
        <w:t xml:space="preserve"> through </w:t>
      </w:r>
      <w:r w:rsidR="009C467E">
        <w:t>June 30, 2023</w:t>
      </w:r>
      <w:r w:rsidRPr="00A81F54">
        <w:t>.</w:t>
      </w:r>
    </w:p>
    <w:p w14:paraId="5328CE2F" w14:textId="77777777" w:rsidR="00CE2634" w:rsidRPr="008335E4" w:rsidRDefault="00CE2634" w:rsidP="00622097">
      <w:pPr>
        <w:pStyle w:val="Heading4"/>
      </w:pPr>
      <w:bookmarkStart w:id="29" w:name="_Toc484701129"/>
      <w:bookmarkStart w:id="30" w:name="_Toc504388975"/>
      <w:bookmarkStart w:id="31" w:name="_Toc8984988"/>
      <w:bookmarkStart w:id="32" w:name="_Toc100260675"/>
      <w:r w:rsidRPr="008335E4">
        <w:t>Required elements</w:t>
      </w:r>
      <w:bookmarkEnd w:id="29"/>
      <w:bookmarkEnd w:id="30"/>
      <w:bookmarkEnd w:id="31"/>
      <w:bookmarkEnd w:id="32"/>
    </w:p>
    <w:p w14:paraId="5F7AC0E8" w14:textId="77777777" w:rsidR="00CE2634" w:rsidRPr="00210B59" w:rsidRDefault="00CE2634" w:rsidP="00622097">
      <w:pPr>
        <w:pStyle w:val="Heading5"/>
        <w:jc w:val="both"/>
      </w:pPr>
      <w:bookmarkStart w:id="33" w:name="_Toc484701130"/>
      <w:bookmarkStart w:id="34" w:name="_Toc504388976"/>
      <w:r w:rsidRPr="00210B59">
        <w:t>Actuarial certification</w:t>
      </w:r>
      <w:bookmarkEnd w:id="33"/>
      <w:bookmarkEnd w:id="34"/>
    </w:p>
    <w:bookmarkEnd w:id="26"/>
    <w:bookmarkEnd w:id="27"/>
    <w:p w14:paraId="7F76B2F1" w14:textId="0F82BEA5" w:rsidR="00414E5D" w:rsidRDefault="000D3679" w:rsidP="00146D27">
      <w:pPr>
        <w:pStyle w:val="RRBody"/>
        <w:spacing w:line="240" w:lineRule="auto"/>
        <w:jc w:val="both"/>
      </w:pPr>
      <w:r w:rsidRPr="000D3679">
        <w:t xml:space="preserve">The actuarial certification, signed by </w:t>
      </w:r>
      <w:r w:rsidR="00D1585E">
        <w:t>Jason A. Clarkson</w:t>
      </w:r>
      <w:r w:rsidRPr="000D3679">
        <w:t xml:space="preserve">, FSA, is in Appendix 1. Mr. </w:t>
      </w:r>
      <w:r w:rsidR="00D1585E">
        <w:t>Clarkson</w:t>
      </w:r>
      <w:r w:rsidR="00D1585E" w:rsidRPr="000D3679">
        <w:t xml:space="preserve"> </w:t>
      </w:r>
      <w:r w:rsidRPr="000D3679">
        <w:t xml:space="preserve">meets the qualification standards established by the American Academy of Actuaries, follows the practice standards established by the Actuarial Standards Board, and certifies that the final rates meet the applicable standards in 42 CFR 438 that are effective for the </w:t>
      </w:r>
      <w:r w:rsidR="00D1585E">
        <w:t>SFY</w:t>
      </w:r>
      <w:r w:rsidR="00D1585E" w:rsidRPr="000D3679">
        <w:t xml:space="preserve"> </w:t>
      </w:r>
      <w:r w:rsidR="001F1B6D" w:rsidRPr="000D3679">
        <w:t>20</w:t>
      </w:r>
      <w:r w:rsidR="001F1B6D">
        <w:t>23</w:t>
      </w:r>
      <w:r w:rsidR="001F1B6D" w:rsidRPr="000D3679">
        <w:t xml:space="preserve"> </w:t>
      </w:r>
      <w:r w:rsidRPr="000D3679">
        <w:t>managed care program rating period.</w:t>
      </w:r>
      <w:bookmarkStart w:id="35" w:name="_Toc484701131"/>
      <w:bookmarkStart w:id="36" w:name="_Toc504388977"/>
    </w:p>
    <w:p w14:paraId="65C727DA" w14:textId="0DFB5EF6" w:rsidR="00CE2634" w:rsidRPr="000D53E0" w:rsidRDefault="00CE2634" w:rsidP="00622097">
      <w:pPr>
        <w:pStyle w:val="Heading5"/>
        <w:jc w:val="both"/>
      </w:pPr>
      <w:r w:rsidRPr="000D53E0">
        <w:lastRenderedPageBreak/>
        <w:t>Certified capitation rates for each rate cell</w:t>
      </w:r>
      <w:bookmarkEnd w:id="35"/>
      <w:bookmarkEnd w:id="36"/>
    </w:p>
    <w:p w14:paraId="2450C265" w14:textId="01BBE81B" w:rsidR="00CE2634" w:rsidRPr="00541C09" w:rsidRDefault="00A81F54" w:rsidP="00622097">
      <w:pPr>
        <w:pStyle w:val="RRBody"/>
        <w:jc w:val="both"/>
        <w:rPr>
          <w:rFonts w:cstheme="minorHAnsi"/>
          <w:szCs w:val="18"/>
        </w:rPr>
      </w:pPr>
      <w:bookmarkStart w:id="37" w:name="_Toc484701132"/>
      <w:r w:rsidRPr="00A81F54">
        <w:t xml:space="preserve">The </w:t>
      </w:r>
      <w:r w:rsidR="009F69D6" w:rsidRPr="009F69D6">
        <w:t xml:space="preserve">certified capitation rates by rate cell are illustrated in Appendix </w:t>
      </w:r>
      <w:r w:rsidR="001F1B6D">
        <w:t>4</w:t>
      </w:r>
      <w:r w:rsidR="009F69D6" w:rsidRPr="009F69D6">
        <w:t xml:space="preserve">. </w:t>
      </w:r>
      <w:r w:rsidR="00D1585E">
        <w:t>M</w:t>
      </w:r>
      <w:r w:rsidR="009F69D6" w:rsidRPr="009F69D6">
        <w:t xml:space="preserve">ember months illustrated in Appendix </w:t>
      </w:r>
      <w:r w:rsidR="001F1B6D">
        <w:t>4</w:t>
      </w:r>
      <w:r w:rsidR="001F1B6D" w:rsidRPr="009F69D6">
        <w:t xml:space="preserve"> </w:t>
      </w:r>
      <w:r w:rsidR="009F69D6" w:rsidRPr="009F69D6">
        <w:t xml:space="preserve">represent </w:t>
      </w:r>
      <w:r w:rsidR="00D1585E">
        <w:t xml:space="preserve">projected </w:t>
      </w:r>
      <w:r w:rsidR="009F69D6" w:rsidRPr="009F69D6">
        <w:t xml:space="preserve">values for </w:t>
      </w:r>
      <w:r w:rsidR="00D1585E">
        <w:t xml:space="preserve">SFY </w:t>
      </w:r>
      <w:r w:rsidR="001F1B6D">
        <w:t>2023</w:t>
      </w:r>
      <w:r w:rsidR="00847EEB">
        <w:t xml:space="preserve"> under the assumptions outlined in this report</w:t>
      </w:r>
      <w:r w:rsidR="00C35322">
        <w:t xml:space="preserve">. </w:t>
      </w:r>
      <w:r w:rsidR="009F69D6" w:rsidRPr="009F69D6">
        <w:t>These rates represent the contracted capitation rates prior to risk adjustment.</w:t>
      </w:r>
    </w:p>
    <w:p w14:paraId="493E7242" w14:textId="77777777" w:rsidR="00CE2634" w:rsidRPr="000D53E0" w:rsidRDefault="00CE2634" w:rsidP="00622097">
      <w:pPr>
        <w:pStyle w:val="Heading5"/>
        <w:jc w:val="both"/>
      </w:pPr>
      <w:bookmarkStart w:id="38" w:name="_Toc484701133"/>
      <w:bookmarkStart w:id="39" w:name="_Toc504388979"/>
      <w:bookmarkEnd w:id="37"/>
      <w:r w:rsidRPr="000D53E0">
        <w:t>Program information</w:t>
      </w:r>
      <w:bookmarkEnd w:id="38"/>
      <w:bookmarkEnd w:id="39"/>
    </w:p>
    <w:p w14:paraId="7BB23872" w14:textId="186044A0" w:rsidR="00CE2634" w:rsidRPr="001B409F" w:rsidRDefault="00CE2634" w:rsidP="00622097">
      <w:pPr>
        <w:pStyle w:val="Heading6"/>
        <w:jc w:val="both"/>
      </w:pPr>
      <w:bookmarkStart w:id="40" w:name="_Toc484701134"/>
      <w:bookmarkStart w:id="41" w:name="_Toc504388980"/>
      <w:r w:rsidRPr="001B409F">
        <w:t>Managed Care program</w:t>
      </w:r>
      <w:bookmarkEnd w:id="40"/>
      <w:bookmarkEnd w:id="41"/>
    </w:p>
    <w:p w14:paraId="632E4C6F" w14:textId="22025186" w:rsidR="00E1295D" w:rsidRDefault="00E1295D" w:rsidP="00622097">
      <w:pPr>
        <w:pStyle w:val="RRBody"/>
        <w:jc w:val="both"/>
      </w:pPr>
      <w:r>
        <w:t>EOHHS operates the Medicaid m</w:t>
      </w:r>
      <w:r w:rsidRPr="003D0595">
        <w:t xml:space="preserve">anaged </w:t>
      </w:r>
      <w:r>
        <w:t>c</w:t>
      </w:r>
      <w:r w:rsidRPr="003D0595">
        <w:t xml:space="preserve">are program for its population covered by Medicaid who meet the state-defined criteria for enrollment in a risk-based managed care </w:t>
      </w:r>
      <w:r>
        <w:t>organization</w:t>
      </w:r>
      <w:r w:rsidRPr="003D0595">
        <w:t xml:space="preserve"> (</w:t>
      </w:r>
      <w:r>
        <w:t>MCO</w:t>
      </w:r>
      <w:r w:rsidRPr="003D0595">
        <w:t>). The managed care population</w:t>
      </w:r>
      <w:r>
        <w:t>s in this report are</w:t>
      </w:r>
      <w:r w:rsidRPr="003D0595">
        <w:t xml:space="preserve"> composed of </w:t>
      </w:r>
      <w:r w:rsidR="001B3E25" w:rsidRPr="00ED51FD">
        <w:t>low-income</w:t>
      </w:r>
      <w:r w:rsidRPr="00ED51FD">
        <w:t xml:space="preserve"> chil</w:t>
      </w:r>
      <w:r w:rsidRPr="00391725">
        <w:t>dren</w:t>
      </w:r>
      <w:r>
        <w:t xml:space="preserve">, </w:t>
      </w:r>
      <w:r w:rsidRPr="00ED51FD">
        <w:t>parents and caretakers, pregnant women, disabled children and adults,</w:t>
      </w:r>
      <w:r>
        <w:t xml:space="preserve"> adoption subsidy and substitute care, and t</w:t>
      </w:r>
      <w:r w:rsidRPr="003D0595">
        <w:t>he Affordable Care Act (ACA) Medicaid expansion</w:t>
      </w:r>
      <w:r>
        <w:t xml:space="preserve"> population.</w:t>
      </w:r>
    </w:p>
    <w:p w14:paraId="18A1750F" w14:textId="16DE38A8" w:rsidR="0081321B" w:rsidRDefault="002C1DA6" w:rsidP="00622097">
      <w:pPr>
        <w:pStyle w:val="RRBody"/>
        <w:jc w:val="both"/>
      </w:pPr>
      <w:r>
        <w:t xml:space="preserve">Under </w:t>
      </w:r>
      <w:r w:rsidR="00E1295D">
        <w:t xml:space="preserve">the managed care </w:t>
      </w:r>
      <w:r>
        <w:t xml:space="preserve">program, comprehensive services are provided through </w:t>
      </w:r>
      <w:r w:rsidR="0081321B">
        <w:t xml:space="preserve">the following </w:t>
      </w:r>
      <w:r w:rsidR="00D1585E">
        <w:t>three</w:t>
      </w:r>
      <w:r w:rsidR="0081321B">
        <w:t xml:space="preserve"> </w:t>
      </w:r>
      <w:r w:rsidR="00D1585E">
        <w:t xml:space="preserve">MCOs </w:t>
      </w:r>
      <w:r>
        <w:t>on a statewide basis</w:t>
      </w:r>
      <w:r w:rsidR="0081321B">
        <w:t>:</w:t>
      </w:r>
    </w:p>
    <w:p w14:paraId="5B3DD7CC" w14:textId="77777777" w:rsidR="009D4D69" w:rsidRDefault="0081321B" w:rsidP="009D4D69">
      <w:pPr>
        <w:pStyle w:val="RRBullet1"/>
        <w:jc w:val="both"/>
      </w:pPr>
      <w:r>
        <w:t>Neighborhood Health Plan of Rhode Island</w:t>
      </w:r>
    </w:p>
    <w:p w14:paraId="48D426DF" w14:textId="77777777" w:rsidR="009D4D69" w:rsidRDefault="0081321B" w:rsidP="009D4D69">
      <w:pPr>
        <w:pStyle w:val="RRBullet1"/>
        <w:jc w:val="both"/>
      </w:pPr>
      <w:r>
        <w:t>Tufts Health Public Plans</w:t>
      </w:r>
    </w:p>
    <w:p w14:paraId="68DC25C7" w14:textId="54A7EA4B" w:rsidR="0081321B" w:rsidRDefault="0081321B" w:rsidP="009D4D69">
      <w:pPr>
        <w:pStyle w:val="RRBullet1"/>
        <w:jc w:val="both"/>
      </w:pPr>
      <w:r>
        <w:t xml:space="preserve">UnitedHealthcare of New England </w:t>
      </w:r>
    </w:p>
    <w:p w14:paraId="04E98B1E" w14:textId="0ADDDD84" w:rsidR="005705EA" w:rsidRDefault="002C1DA6" w:rsidP="00622097">
      <w:pPr>
        <w:pStyle w:val="RRBody"/>
        <w:jc w:val="both"/>
      </w:pPr>
      <w:r>
        <w:t xml:space="preserve">Benefits covered under the </w:t>
      </w:r>
      <w:r w:rsidR="00D3279E">
        <w:t xml:space="preserve">Medicaid managed </w:t>
      </w:r>
      <w:r>
        <w:t>prog</w:t>
      </w:r>
      <w:r w:rsidR="003238B2">
        <w:t>ram are comprehensive in nature</w:t>
      </w:r>
      <w:r w:rsidR="00D3279E">
        <w:t xml:space="preserve"> for all populations except for the Extended Family Planning rate cell, which covers a limited set of family planning services</w:t>
      </w:r>
      <w:r w:rsidR="003238B2">
        <w:t xml:space="preserve">. </w:t>
      </w:r>
      <w:r>
        <w:t xml:space="preserve">Long-term </w:t>
      </w:r>
      <w:r w:rsidR="00D3279E">
        <w:t xml:space="preserve">services and supports </w:t>
      </w:r>
      <w:r>
        <w:t xml:space="preserve">are covered on a fee-for-service basis for the </w:t>
      </w:r>
      <w:r w:rsidR="00E51E6F">
        <w:t xml:space="preserve">Children with Special Healthcare Needs and </w:t>
      </w:r>
      <w:r w:rsidR="00D3279E">
        <w:t>Rhody Health Partners population</w:t>
      </w:r>
      <w:r>
        <w:t xml:space="preserve">. The following </w:t>
      </w:r>
      <w:r w:rsidR="00B06709">
        <w:t>figure</w:t>
      </w:r>
      <w:r>
        <w:t xml:space="preserve"> outlines the core benefits covered under the managed care capitation rate for the </w:t>
      </w:r>
      <w:r w:rsidR="00D3279E">
        <w:t xml:space="preserve">covered </w:t>
      </w:r>
      <w:r>
        <w:t>population</w:t>
      </w:r>
      <w:r w:rsidR="00AD79E7">
        <w:t>s</w:t>
      </w:r>
      <w:r w:rsidR="005C5A81">
        <w:t>.</w:t>
      </w:r>
    </w:p>
    <w:tbl>
      <w:tblPr>
        <w:tblW w:w="9090" w:type="dxa"/>
        <w:tblLook w:val="04A0" w:firstRow="1" w:lastRow="0" w:firstColumn="1" w:lastColumn="0" w:noHBand="0" w:noVBand="1"/>
      </w:tblPr>
      <w:tblGrid>
        <w:gridCol w:w="4545"/>
        <w:gridCol w:w="4545"/>
      </w:tblGrid>
      <w:tr w:rsidR="00E1295D" w:rsidRPr="00084E88" w14:paraId="6614C11D" w14:textId="77777777" w:rsidTr="00D762B9">
        <w:trPr>
          <w:trHeight w:val="278"/>
        </w:trPr>
        <w:tc>
          <w:tcPr>
            <w:tcW w:w="9090" w:type="dxa"/>
            <w:gridSpan w:val="2"/>
            <w:tcBorders>
              <w:top w:val="single" w:sz="4" w:space="0" w:color="E8E9E9"/>
              <w:left w:val="nil"/>
              <w:bottom w:val="nil"/>
              <w:right w:val="nil"/>
            </w:tcBorders>
            <w:shd w:val="clear" w:color="auto" w:fill="auto"/>
            <w:noWrap/>
            <w:vAlign w:val="center"/>
            <w:hideMark/>
          </w:tcPr>
          <w:p w14:paraId="1A450D1D" w14:textId="30ACBC51" w:rsidR="00E1295D" w:rsidRPr="00084E88" w:rsidRDefault="00D762B9" w:rsidP="00D762B9">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00E1295D" w:rsidRPr="00084E88">
              <w:rPr>
                <w:rFonts w:ascii="Arial" w:eastAsia="Times New Roman" w:hAnsi="Arial" w:cs="Arial"/>
                <w:b/>
                <w:bCs/>
                <w:color w:val="0081E3"/>
                <w:szCs w:val="18"/>
              </w:rPr>
              <w:t xml:space="preserve"> </w:t>
            </w:r>
            <w:r w:rsidR="00E1295D">
              <w:rPr>
                <w:rFonts w:ascii="Arial" w:eastAsia="Times New Roman" w:hAnsi="Arial" w:cs="Arial"/>
                <w:b/>
                <w:bCs/>
                <w:color w:val="0081E3"/>
                <w:szCs w:val="18"/>
              </w:rPr>
              <w:t>3</w:t>
            </w:r>
            <w:r>
              <w:rPr>
                <w:rFonts w:ascii="Arial" w:eastAsia="Times New Roman" w:hAnsi="Arial" w:cs="Arial"/>
                <w:b/>
                <w:bCs/>
                <w:color w:val="0081E3"/>
                <w:szCs w:val="18"/>
              </w:rPr>
              <w:t>: MANAGED CARE BENEFIT PACKAGE</w:t>
            </w:r>
          </w:p>
        </w:tc>
      </w:tr>
      <w:tr w:rsidR="00E1295D" w:rsidRPr="00084E88" w14:paraId="6878221D" w14:textId="77777777" w:rsidTr="008F4601">
        <w:trPr>
          <w:trHeight w:val="300"/>
        </w:trPr>
        <w:tc>
          <w:tcPr>
            <w:tcW w:w="4545" w:type="dxa"/>
            <w:tcBorders>
              <w:top w:val="single" w:sz="4" w:space="0" w:color="BFBFBF" w:themeColor="background1" w:themeShade="BF"/>
              <w:left w:val="nil"/>
              <w:bottom w:val="nil"/>
              <w:right w:val="single" w:sz="4" w:space="0" w:color="BFBFBF" w:themeColor="background1" w:themeShade="BF"/>
            </w:tcBorders>
            <w:shd w:val="clear" w:color="auto" w:fill="auto"/>
            <w:vAlign w:val="center"/>
            <w:hideMark/>
          </w:tcPr>
          <w:p w14:paraId="45415C7D"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Inpatient and Outpatient Hospital</w:t>
            </w:r>
          </w:p>
        </w:tc>
        <w:tc>
          <w:tcPr>
            <w:tcW w:w="4545" w:type="dxa"/>
            <w:tcBorders>
              <w:top w:val="single" w:sz="4" w:space="0" w:color="BFBFBF" w:themeColor="background1" w:themeShade="BF"/>
              <w:left w:val="single" w:sz="4" w:space="0" w:color="BFBFBF" w:themeColor="background1" w:themeShade="BF"/>
              <w:bottom w:val="nil"/>
              <w:right w:val="nil"/>
            </w:tcBorders>
            <w:shd w:val="clear" w:color="auto" w:fill="auto"/>
            <w:vAlign w:val="center"/>
            <w:hideMark/>
          </w:tcPr>
          <w:p w14:paraId="7785F0E9"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School-Based Clinic Services</w:t>
            </w:r>
          </w:p>
        </w:tc>
      </w:tr>
      <w:tr w:rsidR="00E1295D" w:rsidRPr="00084E88" w14:paraId="4244AD82" w14:textId="77777777" w:rsidTr="008F4601">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63C19BF5"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Therapies</w:t>
            </w:r>
          </w:p>
        </w:tc>
        <w:tc>
          <w:tcPr>
            <w:tcW w:w="4545" w:type="dxa"/>
            <w:tcBorders>
              <w:top w:val="nil"/>
              <w:left w:val="single" w:sz="4" w:space="0" w:color="BFBFBF" w:themeColor="background1" w:themeShade="BF"/>
              <w:bottom w:val="nil"/>
              <w:right w:val="nil"/>
            </w:tcBorders>
            <w:shd w:val="clear" w:color="000000" w:fill="E8E9E9"/>
            <w:vAlign w:val="center"/>
            <w:hideMark/>
          </w:tcPr>
          <w:p w14:paraId="1588F5A6"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Services of Other Practitioners</w:t>
            </w:r>
          </w:p>
        </w:tc>
      </w:tr>
      <w:tr w:rsidR="00E1295D" w:rsidRPr="00084E88" w14:paraId="76F7C66B" w14:textId="77777777" w:rsidTr="008F4601">
        <w:trPr>
          <w:trHeight w:val="480"/>
        </w:trPr>
        <w:tc>
          <w:tcPr>
            <w:tcW w:w="4545" w:type="dxa"/>
            <w:tcBorders>
              <w:top w:val="nil"/>
              <w:left w:val="nil"/>
              <w:bottom w:val="nil"/>
              <w:right w:val="single" w:sz="4" w:space="0" w:color="BFBFBF" w:themeColor="background1" w:themeShade="BF"/>
            </w:tcBorders>
            <w:shd w:val="clear" w:color="auto" w:fill="auto"/>
            <w:vAlign w:val="center"/>
            <w:hideMark/>
          </w:tcPr>
          <w:p w14:paraId="5FC123A6"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Physician Services</w:t>
            </w:r>
          </w:p>
        </w:tc>
        <w:tc>
          <w:tcPr>
            <w:tcW w:w="4545" w:type="dxa"/>
            <w:tcBorders>
              <w:top w:val="nil"/>
              <w:left w:val="single" w:sz="4" w:space="0" w:color="BFBFBF" w:themeColor="background1" w:themeShade="BF"/>
              <w:bottom w:val="nil"/>
              <w:right w:val="nil"/>
            </w:tcBorders>
            <w:shd w:val="clear" w:color="auto" w:fill="auto"/>
            <w:vAlign w:val="center"/>
            <w:hideMark/>
          </w:tcPr>
          <w:p w14:paraId="0F8185D4"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Court Ordered Mental Health and Substance Use Services</w:t>
            </w:r>
          </w:p>
        </w:tc>
      </w:tr>
      <w:tr w:rsidR="00E1295D" w:rsidRPr="00084E88" w14:paraId="3212A29F" w14:textId="77777777" w:rsidTr="008F4601">
        <w:trPr>
          <w:trHeight w:val="480"/>
        </w:trPr>
        <w:tc>
          <w:tcPr>
            <w:tcW w:w="4545" w:type="dxa"/>
            <w:tcBorders>
              <w:top w:val="nil"/>
              <w:left w:val="nil"/>
              <w:bottom w:val="nil"/>
              <w:right w:val="single" w:sz="4" w:space="0" w:color="BFBFBF" w:themeColor="background1" w:themeShade="BF"/>
            </w:tcBorders>
            <w:shd w:val="clear" w:color="000000" w:fill="E8E9E9"/>
            <w:vAlign w:val="center"/>
            <w:hideMark/>
          </w:tcPr>
          <w:p w14:paraId="1A83DDC0"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Family Planning Services</w:t>
            </w:r>
          </w:p>
        </w:tc>
        <w:tc>
          <w:tcPr>
            <w:tcW w:w="4545" w:type="dxa"/>
            <w:tcBorders>
              <w:top w:val="nil"/>
              <w:left w:val="single" w:sz="4" w:space="0" w:color="BFBFBF" w:themeColor="background1" w:themeShade="BF"/>
              <w:bottom w:val="nil"/>
              <w:right w:val="nil"/>
            </w:tcBorders>
            <w:shd w:val="clear" w:color="000000" w:fill="E8E9E9"/>
            <w:vAlign w:val="center"/>
            <w:hideMark/>
          </w:tcPr>
          <w:p w14:paraId="4FDED15C"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Court Ordered Treatment for Children</w:t>
            </w:r>
          </w:p>
        </w:tc>
      </w:tr>
      <w:tr w:rsidR="00E1295D" w:rsidRPr="00084E88" w14:paraId="04802697" w14:textId="77777777" w:rsidTr="008F4601">
        <w:trPr>
          <w:trHeight w:val="300"/>
        </w:trPr>
        <w:tc>
          <w:tcPr>
            <w:tcW w:w="4545" w:type="dxa"/>
            <w:tcBorders>
              <w:top w:val="nil"/>
              <w:left w:val="nil"/>
              <w:bottom w:val="nil"/>
              <w:right w:val="single" w:sz="4" w:space="0" w:color="BFBFBF" w:themeColor="background1" w:themeShade="BF"/>
            </w:tcBorders>
            <w:shd w:val="clear" w:color="auto" w:fill="auto"/>
            <w:vAlign w:val="center"/>
            <w:hideMark/>
          </w:tcPr>
          <w:p w14:paraId="0FF56C55"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Prescription and Non-Prescription Drugs</w:t>
            </w:r>
          </w:p>
        </w:tc>
        <w:tc>
          <w:tcPr>
            <w:tcW w:w="4545" w:type="dxa"/>
            <w:tcBorders>
              <w:top w:val="nil"/>
              <w:left w:val="single" w:sz="4" w:space="0" w:color="BFBFBF" w:themeColor="background1" w:themeShade="BF"/>
              <w:bottom w:val="nil"/>
              <w:right w:val="nil"/>
            </w:tcBorders>
            <w:shd w:val="clear" w:color="auto" w:fill="auto"/>
            <w:vAlign w:val="center"/>
            <w:hideMark/>
          </w:tcPr>
          <w:p w14:paraId="55499FB1"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Podiatry Services</w:t>
            </w:r>
          </w:p>
        </w:tc>
      </w:tr>
      <w:tr w:rsidR="00E1295D" w:rsidRPr="00084E88" w14:paraId="468474A1" w14:textId="77777777" w:rsidTr="008F4601">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435527CD"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Laboratory, Radiology, and Diagnostic Services</w:t>
            </w:r>
          </w:p>
        </w:tc>
        <w:tc>
          <w:tcPr>
            <w:tcW w:w="4545" w:type="dxa"/>
            <w:tcBorders>
              <w:top w:val="nil"/>
              <w:left w:val="single" w:sz="4" w:space="0" w:color="BFBFBF" w:themeColor="background1" w:themeShade="BF"/>
              <w:bottom w:val="nil"/>
              <w:right w:val="nil"/>
            </w:tcBorders>
            <w:shd w:val="clear" w:color="000000" w:fill="E8E9E9"/>
            <w:vAlign w:val="center"/>
            <w:hideMark/>
          </w:tcPr>
          <w:p w14:paraId="34E4BF1C"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Optometry Services</w:t>
            </w:r>
          </w:p>
        </w:tc>
      </w:tr>
      <w:tr w:rsidR="00E1295D" w:rsidRPr="00084E88" w14:paraId="48523DDE" w14:textId="77777777" w:rsidTr="008F4601">
        <w:trPr>
          <w:trHeight w:val="480"/>
        </w:trPr>
        <w:tc>
          <w:tcPr>
            <w:tcW w:w="4545" w:type="dxa"/>
            <w:tcBorders>
              <w:top w:val="nil"/>
              <w:left w:val="nil"/>
              <w:bottom w:val="nil"/>
              <w:right w:val="single" w:sz="4" w:space="0" w:color="BFBFBF" w:themeColor="background1" w:themeShade="BF"/>
            </w:tcBorders>
            <w:shd w:val="clear" w:color="auto" w:fill="auto"/>
            <w:vAlign w:val="center"/>
            <w:hideMark/>
          </w:tcPr>
          <w:p w14:paraId="627B2E0F"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Mental Health and Substance Use Inpatient and Outpatient Services</w:t>
            </w:r>
          </w:p>
        </w:tc>
        <w:tc>
          <w:tcPr>
            <w:tcW w:w="4545" w:type="dxa"/>
            <w:tcBorders>
              <w:top w:val="nil"/>
              <w:left w:val="single" w:sz="4" w:space="0" w:color="BFBFBF" w:themeColor="background1" w:themeShade="BF"/>
              <w:bottom w:val="nil"/>
              <w:right w:val="nil"/>
            </w:tcBorders>
            <w:shd w:val="clear" w:color="auto" w:fill="auto"/>
            <w:vAlign w:val="center"/>
            <w:hideMark/>
          </w:tcPr>
          <w:p w14:paraId="2AA2F308"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Oral Health</w:t>
            </w:r>
          </w:p>
        </w:tc>
      </w:tr>
      <w:tr w:rsidR="00E1295D" w:rsidRPr="00084E88" w14:paraId="48979B1F" w14:textId="77777777" w:rsidTr="008F4601">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161C3DD3"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Home Health and Home Care Services</w:t>
            </w:r>
          </w:p>
        </w:tc>
        <w:tc>
          <w:tcPr>
            <w:tcW w:w="4545" w:type="dxa"/>
            <w:tcBorders>
              <w:top w:val="nil"/>
              <w:left w:val="single" w:sz="4" w:space="0" w:color="BFBFBF" w:themeColor="background1" w:themeShade="BF"/>
              <w:bottom w:val="nil"/>
              <w:right w:val="nil"/>
            </w:tcBorders>
            <w:shd w:val="clear" w:color="000000" w:fill="E8E9E9"/>
            <w:vAlign w:val="center"/>
            <w:hideMark/>
          </w:tcPr>
          <w:p w14:paraId="547C88C4"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Hospice Services</w:t>
            </w:r>
          </w:p>
        </w:tc>
      </w:tr>
      <w:tr w:rsidR="00E1295D" w:rsidRPr="00084E88" w14:paraId="727838F2" w14:textId="77777777" w:rsidTr="008F4601">
        <w:trPr>
          <w:trHeight w:val="300"/>
        </w:trPr>
        <w:tc>
          <w:tcPr>
            <w:tcW w:w="4545" w:type="dxa"/>
            <w:tcBorders>
              <w:top w:val="nil"/>
              <w:left w:val="nil"/>
              <w:bottom w:val="nil"/>
              <w:right w:val="single" w:sz="4" w:space="0" w:color="BFBFBF" w:themeColor="background1" w:themeShade="BF"/>
            </w:tcBorders>
            <w:shd w:val="clear" w:color="auto" w:fill="auto"/>
            <w:vAlign w:val="center"/>
            <w:hideMark/>
          </w:tcPr>
          <w:p w14:paraId="7B26DEE2"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Preventive Services</w:t>
            </w:r>
          </w:p>
        </w:tc>
        <w:tc>
          <w:tcPr>
            <w:tcW w:w="4545" w:type="dxa"/>
            <w:tcBorders>
              <w:top w:val="nil"/>
              <w:left w:val="single" w:sz="4" w:space="0" w:color="BFBFBF" w:themeColor="background1" w:themeShade="BF"/>
              <w:bottom w:val="nil"/>
              <w:right w:val="nil"/>
            </w:tcBorders>
            <w:shd w:val="clear" w:color="auto" w:fill="auto"/>
            <w:vAlign w:val="center"/>
            <w:hideMark/>
          </w:tcPr>
          <w:p w14:paraId="1D417027"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Durable Medical Equipment</w:t>
            </w:r>
          </w:p>
        </w:tc>
      </w:tr>
      <w:tr w:rsidR="00E1295D" w:rsidRPr="00084E88" w14:paraId="6F68C643" w14:textId="77777777" w:rsidTr="008F4601">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092D7F46"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EPSDT Services</w:t>
            </w:r>
          </w:p>
        </w:tc>
        <w:tc>
          <w:tcPr>
            <w:tcW w:w="4545" w:type="dxa"/>
            <w:tcBorders>
              <w:top w:val="nil"/>
              <w:left w:val="single" w:sz="4" w:space="0" w:color="BFBFBF" w:themeColor="background1" w:themeShade="BF"/>
              <w:bottom w:val="nil"/>
              <w:right w:val="nil"/>
            </w:tcBorders>
            <w:shd w:val="clear" w:color="000000" w:fill="E8E9E9"/>
            <w:vAlign w:val="center"/>
            <w:hideMark/>
          </w:tcPr>
          <w:p w14:paraId="31784E83"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Case Management</w:t>
            </w:r>
          </w:p>
        </w:tc>
      </w:tr>
      <w:tr w:rsidR="00E1295D" w:rsidRPr="00084E88" w14:paraId="41197468" w14:textId="77777777" w:rsidTr="008F4601">
        <w:trPr>
          <w:trHeight w:val="300"/>
        </w:trPr>
        <w:tc>
          <w:tcPr>
            <w:tcW w:w="4545" w:type="dxa"/>
            <w:tcBorders>
              <w:top w:val="nil"/>
              <w:left w:val="nil"/>
              <w:bottom w:val="nil"/>
              <w:right w:val="single" w:sz="4" w:space="0" w:color="BFBFBF" w:themeColor="background1" w:themeShade="BF"/>
            </w:tcBorders>
            <w:shd w:val="clear" w:color="auto" w:fill="auto"/>
            <w:vAlign w:val="center"/>
            <w:hideMark/>
          </w:tcPr>
          <w:p w14:paraId="218AEDE8"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Emergency Room Services</w:t>
            </w:r>
          </w:p>
        </w:tc>
        <w:tc>
          <w:tcPr>
            <w:tcW w:w="4545" w:type="dxa"/>
            <w:tcBorders>
              <w:top w:val="nil"/>
              <w:left w:val="single" w:sz="4" w:space="0" w:color="BFBFBF" w:themeColor="background1" w:themeShade="BF"/>
              <w:bottom w:val="nil"/>
              <w:right w:val="nil"/>
            </w:tcBorders>
            <w:shd w:val="clear" w:color="auto" w:fill="auto"/>
            <w:vAlign w:val="center"/>
            <w:hideMark/>
          </w:tcPr>
          <w:p w14:paraId="69D5909B"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Transplant Services</w:t>
            </w:r>
          </w:p>
        </w:tc>
      </w:tr>
      <w:tr w:rsidR="00E1295D" w:rsidRPr="00084E88" w14:paraId="10EBDC59" w14:textId="77777777" w:rsidTr="008F4601">
        <w:trPr>
          <w:trHeight w:val="300"/>
        </w:trPr>
        <w:tc>
          <w:tcPr>
            <w:tcW w:w="4545" w:type="dxa"/>
            <w:tcBorders>
              <w:top w:val="nil"/>
              <w:left w:val="nil"/>
              <w:right w:val="single" w:sz="4" w:space="0" w:color="BFBFBF" w:themeColor="background1" w:themeShade="BF"/>
            </w:tcBorders>
            <w:shd w:val="clear" w:color="000000" w:fill="E8E9E9"/>
            <w:vAlign w:val="center"/>
            <w:hideMark/>
          </w:tcPr>
          <w:p w14:paraId="08939B6B"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Emergency Transportation</w:t>
            </w:r>
          </w:p>
        </w:tc>
        <w:tc>
          <w:tcPr>
            <w:tcW w:w="4545" w:type="dxa"/>
            <w:tcBorders>
              <w:top w:val="nil"/>
              <w:left w:val="single" w:sz="4" w:space="0" w:color="BFBFBF" w:themeColor="background1" w:themeShade="BF"/>
              <w:right w:val="nil"/>
            </w:tcBorders>
            <w:shd w:val="clear" w:color="000000" w:fill="E8E9E9"/>
            <w:vAlign w:val="center"/>
            <w:hideMark/>
          </w:tcPr>
          <w:p w14:paraId="21BDFEFC"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Rehabilitation services</w:t>
            </w:r>
          </w:p>
        </w:tc>
      </w:tr>
      <w:tr w:rsidR="00E1295D" w:rsidRPr="00084E88" w14:paraId="4D019179" w14:textId="77777777" w:rsidTr="008F4601">
        <w:trPr>
          <w:trHeight w:val="300"/>
        </w:trPr>
        <w:tc>
          <w:tcPr>
            <w:tcW w:w="4545"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4370EACB"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Nursing Home and Skilled Nursing Facility Care</w:t>
            </w:r>
          </w:p>
        </w:tc>
        <w:tc>
          <w:tcPr>
            <w:tcW w:w="4545" w:type="dxa"/>
            <w:tcBorders>
              <w:top w:val="nil"/>
              <w:left w:val="single" w:sz="4" w:space="0" w:color="BFBFBF" w:themeColor="background1" w:themeShade="BF"/>
              <w:bottom w:val="single" w:sz="4" w:space="0" w:color="BFBFBF" w:themeColor="background1" w:themeShade="BF"/>
              <w:right w:val="nil"/>
            </w:tcBorders>
            <w:shd w:val="clear" w:color="auto" w:fill="auto"/>
            <w:vAlign w:val="center"/>
            <w:hideMark/>
          </w:tcPr>
          <w:p w14:paraId="5DEC4AE1" w14:textId="77777777" w:rsidR="00E1295D" w:rsidRPr="00084E88" w:rsidRDefault="00E1295D" w:rsidP="008F4601">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Other Miscellaneous Services</w:t>
            </w:r>
          </w:p>
        </w:tc>
      </w:tr>
    </w:tbl>
    <w:p w14:paraId="4FD5F359" w14:textId="7BAEE2F1" w:rsidR="00FA78F7" w:rsidRPr="00B5621E" w:rsidRDefault="00FA78F7" w:rsidP="00FA78F7">
      <w:pPr>
        <w:pStyle w:val="RRNumberedBullet1"/>
        <w:numPr>
          <w:ilvl w:val="0"/>
          <w:numId w:val="0"/>
        </w:numPr>
        <w:spacing w:after="120"/>
        <w:rPr>
          <w:sz w:val="16"/>
          <w:szCs w:val="16"/>
        </w:rPr>
      </w:pPr>
      <w:r w:rsidRPr="00B5621E">
        <w:rPr>
          <w:rFonts w:ascii="Arial" w:eastAsia="Times New Roman" w:hAnsi="Arial" w:cs="Arial"/>
          <w:color w:val="727A7D"/>
          <w:sz w:val="16"/>
          <w:szCs w:val="16"/>
        </w:rPr>
        <w:t xml:space="preserve">Note: COVID-19 vaccine administration professional charges are covered </w:t>
      </w:r>
      <w:r>
        <w:rPr>
          <w:rFonts w:ascii="Arial" w:eastAsia="Times New Roman" w:hAnsi="Arial" w:cs="Arial"/>
          <w:color w:val="727A7D"/>
          <w:sz w:val="16"/>
          <w:szCs w:val="16"/>
        </w:rPr>
        <w:t>under</w:t>
      </w:r>
      <w:r w:rsidRPr="00B5621E">
        <w:rPr>
          <w:rFonts w:ascii="Arial" w:eastAsia="Times New Roman" w:hAnsi="Arial" w:cs="Arial"/>
          <w:color w:val="727A7D"/>
          <w:sz w:val="16"/>
          <w:szCs w:val="16"/>
        </w:rPr>
        <w:t xml:space="preserve"> a non-risk payment from EOHHS to the MCOs.</w:t>
      </w:r>
      <w:r w:rsidRPr="00B5621E">
        <w:rPr>
          <w:rFonts w:ascii="Arial" w:eastAsia="Times New Roman" w:hAnsi="Arial" w:cs="Arial"/>
          <w:color w:val="727A7D"/>
          <w:sz w:val="16"/>
          <w:szCs w:val="16"/>
        </w:rPr>
        <w:tab/>
      </w:r>
    </w:p>
    <w:p w14:paraId="33668EFD" w14:textId="20C3F707" w:rsidR="00E1295D" w:rsidRDefault="00E1295D" w:rsidP="00627A51">
      <w:pPr>
        <w:pStyle w:val="RRBody"/>
        <w:jc w:val="both"/>
      </w:pPr>
      <w:r>
        <w:t xml:space="preserve">Covered services are consistent with the SFY </w:t>
      </w:r>
      <w:r w:rsidR="00B06FCD">
        <w:t xml:space="preserve">2022 </w:t>
      </w:r>
      <w:r>
        <w:t xml:space="preserve">benefit package. </w:t>
      </w:r>
      <w:r w:rsidRPr="00807B0D">
        <w:t xml:space="preserve">Detailed benefit coverage information for all benefits listed in this </w:t>
      </w:r>
      <w:r w:rsidR="00B06709">
        <w:t>figure</w:t>
      </w:r>
      <w:r w:rsidRPr="00807B0D">
        <w:t xml:space="preserve"> can be found within</w:t>
      </w:r>
      <w:r>
        <w:t xml:space="preserve"> Attachment A, “Schedule of In-Plan Benefits” in the MCO Medicaid Managed Care Services contracts.</w:t>
      </w:r>
      <w:r w:rsidRPr="000C2553">
        <w:t xml:space="preserve"> In-lieu-of services may </w:t>
      </w:r>
      <w:r w:rsidR="00C27226" w:rsidRPr="000C2553">
        <w:t xml:space="preserve">also </w:t>
      </w:r>
      <w:r w:rsidRPr="000C2553">
        <w:t>be provided with written approval from EOHHS</w:t>
      </w:r>
      <w:r>
        <w:t>.</w:t>
      </w:r>
      <w:r w:rsidRPr="000C2553">
        <w:t xml:space="preserve"> </w:t>
      </w:r>
    </w:p>
    <w:p w14:paraId="3041A018" w14:textId="77777777" w:rsidR="00DE0859" w:rsidRPr="00DE0859" w:rsidRDefault="00AD5657" w:rsidP="00622097">
      <w:pPr>
        <w:pStyle w:val="Heading6"/>
        <w:jc w:val="both"/>
      </w:pPr>
      <w:bookmarkStart w:id="42" w:name="_Toc484701136"/>
      <w:r>
        <w:t>Rating period</w:t>
      </w:r>
    </w:p>
    <w:p w14:paraId="60A77602" w14:textId="72DA6254" w:rsidR="00357B5D" w:rsidRDefault="00AD5657" w:rsidP="00622097">
      <w:pPr>
        <w:pStyle w:val="RRBody"/>
        <w:jc w:val="both"/>
      </w:pPr>
      <w:r w:rsidRPr="00DA0D61">
        <w:t xml:space="preserve">This </w:t>
      </w:r>
      <w:r w:rsidR="00357B5D" w:rsidRPr="00357B5D">
        <w:t xml:space="preserve">actuarial certification is effective for the </w:t>
      </w:r>
      <w:r w:rsidR="001B3E25" w:rsidRPr="00357B5D">
        <w:t>one-year</w:t>
      </w:r>
      <w:r w:rsidR="00357B5D" w:rsidRPr="00357B5D">
        <w:t xml:space="preserve"> rating period of </w:t>
      </w:r>
      <w:r w:rsidR="009C467E">
        <w:t>July 1, 2022</w:t>
      </w:r>
      <w:r w:rsidR="00B52EB3">
        <w:t xml:space="preserve"> through </w:t>
      </w:r>
      <w:r w:rsidR="009C467E">
        <w:t>June 30, 2023</w:t>
      </w:r>
      <w:r w:rsidR="00357B5D" w:rsidRPr="00357B5D">
        <w:t>.</w:t>
      </w:r>
    </w:p>
    <w:p w14:paraId="3EFB1811" w14:textId="77777777" w:rsidR="00146D27" w:rsidRDefault="00146D27" w:rsidP="00622097">
      <w:pPr>
        <w:pStyle w:val="RRBody"/>
        <w:jc w:val="both"/>
      </w:pPr>
    </w:p>
    <w:p w14:paraId="13671AE6" w14:textId="77777777" w:rsidR="00CE2634" w:rsidRDefault="00CE2634" w:rsidP="00622097">
      <w:pPr>
        <w:pStyle w:val="Heading6"/>
        <w:jc w:val="both"/>
      </w:pPr>
      <w:bookmarkStart w:id="43" w:name="_Toc504388982"/>
      <w:r w:rsidRPr="00DE0859">
        <w:lastRenderedPageBreak/>
        <w:t>Covered populations</w:t>
      </w:r>
      <w:bookmarkEnd w:id="42"/>
      <w:bookmarkEnd w:id="43"/>
    </w:p>
    <w:p w14:paraId="757F99CE" w14:textId="08CD7496" w:rsidR="00EB0664" w:rsidRDefault="00357B5D" w:rsidP="00622097">
      <w:pPr>
        <w:pStyle w:val="RRBody"/>
        <w:jc w:val="both"/>
      </w:pPr>
      <w:r>
        <w:t xml:space="preserve">The </w:t>
      </w:r>
      <w:r w:rsidR="0081321B">
        <w:t xml:space="preserve">EOHHS </w:t>
      </w:r>
      <w:r w:rsidR="00EB0664">
        <w:t xml:space="preserve">Medicaid </w:t>
      </w:r>
      <w:r w:rsidR="0081321B">
        <w:t>m</w:t>
      </w:r>
      <w:r w:rsidR="00EB0664">
        <w:t xml:space="preserve">anaged </w:t>
      </w:r>
      <w:r w:rsidR="0081321B">
        <w:t>c</w:t>
      </w:r>
      <w:r w:rsidR="00EB0664">
        <w:t>are program</w:t>
      </w:r>
      <w:r w:rsidR="00395DAF">
        <w:t>s covered in this report</w:t>
      </w:r>
      <w:r w:rsidR="00EB0664">
        <w:t xml:space="preserve"> includes Medicaid beneficiaries in four distinct populations:</w:t>
      </w:r>
    </w:p>
    <w:p w14:paraId="20B50243" w14:textId="77777777" w:rsidR="00395DAF" w:rsidRDefault="00395DAF" w:rsidP="00622097">
      <w:pPr>
        <w:pStyle w:val="RRBullet1"/>
        <w:jc w:val="both"/>
      </w:pPr>
      <w:r w:rsidRPr="008B6FAF">
        <w:rPr>
          <w:b/>
          <w:bCs/>
        </w:rPr>
        <w:t>RIte Care:</w:t>
      </w:r>
      <w:r>
        <w:t xml:space="preserve"> Children, pregnant women, parents, and caretaker populations.</w:t>
      </w:r>
    </w:p>
    <w:p w14:paraId="736331AF" w14:textId="3AA98FA8" w:rsidR="00395DAF" w:rsidRDefault="00395DAF" w:rsidP="00622097">
      <w:pPr>
        <w:pStyle w:val="RRBullet1"/>
        <w:jc w:val="both"/>
      </w:pPr>
      <w:r w:rsidRPr="008B6FAF">
        <w:rPr>
          <w:b/>
          <w:bCs/>
        </w:rPr>
        <w:t>Children with Special Healthcare Needs (CSHCN):</w:t>
      </w:r>
      <w:r>
        <w:t xml:space="preserve"> Children eligible for </w:t>
      </w:r>
      <w:r w:rsidR="009D1372">
        <w:t>Supplemental Security Income (</w:t>
      </w:r>
      <w:r>
        <w:t>SSI</w:t>
      </w:r>
      <w:r w:rsidR="009D1372">
        <w:t>)</w:t>
      </w:r>
      <w:r>
        <w:t>, adoption subsidy, substitute care, and Katie Beckett populations.</w:t>
      </w:r>
    </w:p>
    <w:p w14:paraId="7F080880" w14:textId="77777777" w:rsidR="00395DAF" w:rsidRDefault="00395DAF" w:rsidP="00622097">
      <w:pPr>
        <w:pStyle w:val="RRBullet1"/>
        <w:jc w:val="both"/>
      </w:pPr>
      <w:r w:rsidRPr="008B6FAF">
        <w:rPr>
          <w:b/>
          <w:bCs/>
        </w:rPr>
        <w:t>Medicaid Expansion:</w:t>
      </w:r>
      <w:r>
        <w:t xml:space="preserve"> Population eligible for Medicaid under the Affordable Care Act (ACA) Medicaid expansion.</w:t>
      </w:r>
    </w:p>
    <w:p w14:paraId="755847D2" w14:textId="29391771" w:rsidR="00395DAF" w:rsidRDefault="00395DAF" w:rsidP="00622097">
      <w:pPr>
        <w:pStyle w:val="RRBullet1"/>
        <w:jc w:val="both"/>
      </w:pPr>
      <w:r w:rsidRPr="008B6FAF">
        <w:rPr>
          <w:b/>
          <w:bCs/>
        </w:rPr>
        <w:t>Rhody Health Partners (RHP):</w:t>
      </w:r>
      <w:r>
        <w:t xml:space="preserve"> Non-dual </w:t>
      </w:r>
      <w:r w:rsidR="00AF5DF4">
        <w:t xml:space="preserve">disabled </w:t>
      </w:r>
      <w:r>
        <w:t>adults</w:t>
      </w:r>
      <w:r w:rsidR="00EB0664">
        <w:t xml:space="preserve">.  </w:t>
      </w:r>
    </w:p>
    <w:p w14:paraId="46978026" w14:textId="7F290D85" w:rsidR="00395DAF" w:rsidRDefault="00395DAF" w:rsidP="00622097">
      <w:pPr>
        <w:pStyle w:val="RRBullet1"/>
        <w:numPr>
          <w:ilvl w:val="0"/>
          <w:numId w:val="0"/>
        </w:numPr>
        <w:jc w:val="both"/>
      </w:pPr>
      <w:r w:rsidRPr="00200258">
        <w:t xml:space="preserve">Note that </w:t>
      </w:r>
      <w:r>
        <w:t xml:space="preserve">the </w:t>
      </w:r>
      <w:r w:rsidR="009D1372">
        <w:t>Medicare-Medicaid Plan (</w:t>
      </w:r>
      <w:r w:rsidRPr="00200258">
        <w:t>MMP</w:t>
      </w:r>
      <w:r w:rsidR="009D1372">
        <w:t>)</w:t>
      </w:r>
      <w:r w:rsidRPr="00200258">
        <w:t xml:space="preserve"> Demonstration / </w:t>
      </w:r>
      <w:r>
        <w:t xml:space="preserve">Rhody Health Options </w:t>
      </w:r>
      <w:r w:rsidRPr="00200258">
        <w:t>Integrity</w:t>
      </w:r>
      <w:r>
        <w:t xml:space="preserve">, PACE, and RIte Smiles managed care programs are </w:t>
      </w:r>
      <w:r w:rsidR="00D71A07">
        <w:t>outside the scope of this certification</w:t>
      </w:r>
      <w:r w:rsidRPr="00200258">
        <w:t>.</w:t>
      </w:r>
    </w:p>
    <w:p w14:paraId="64CD6006" w14:textId="54D31F1B" w:rsidR="00395DAF" w:rsidRDefault="00395DAF" w:rsidP="00622097">
      <w:pPr>
        <w:pStyle w:val="RRBullet1"/>
        <w:numPr>
          <w:ilvl w:val="0"/>
          <w:numId w:val="0"/>
        </w:numPr>
        <w:jc w:val="both"/>
      </w:pPr>
      <w:r>
        <w:t xml:space="preserve">The three MCOs cover all of the above populations with the exception of the CSHCN Substitute Care rate cell, which is solely covered by Neighborhood Health Plan of Rhode Island. </w:t>
      </w:r>
      <w:r w:rsidR="00D762B9">
        <w:t>Figure</w:t>
      </w:r>
      <w:r>
        <w:t xml:space="preserve"> 4 illustrates the corresponding rate cells and pay level</w:t>
      </w:r>
      <w:r w:rsidR="00DD693B">
        <w:t>s</w:t>
      </w:r>
      <w:r>
        <w:t xml:space="preserve"> for the populations covered in this certification.</w:t>
      </w:r>
    </w:p>
    <w:tbl>
      <w:tblPr>
        <w:tblpPr w:leftFromText="180" w:rightFromText="180" w:vertAnchor="text" w:tblpY="1"/>
        <w:tblOverlap w:val="never"/>
        <w:tblW w:w="8190" w:type="dxa"/>
        <w:tblLook w:val="04A0" w:firstRow="1" w:lastRow="0" w:firstColumn="1" w:lastColumn="0" w:noHBand="0" w:noVBand="1"/>
      </w:tblPr>
      <w:tblGrid>
        <w:gridCol w:w="3780"/>
        <w:gridCol w:w="2880"/>
        <w:gridCol w:w="1530"/>
      </w:tblGrid>
      <w:tr w:rsidR="00D762B9" w:rsidRPr="00A73F83" w14:paraId="27D8BA7F" w14:textId="58FBFE6B" w:rsidTr="00D762B9">
        <w:trPr>
          <w:trHeight w:val="260"/>
          <w:tblHeader/>
        </w:trPr>
        <w:tc>
          <w:tcPr>
            <w:tcW w:w="8190" w:type="dxa"/>
            <w:gridSpan w:val="3"/>
            <w:tcBorders>
              <w:top w:val="single" w:sz="4" w:space="0" w:color="E8E9E9"/>
              <w:left w:val="nil"/>
              <w:bottom w:val="nil"/>
              <w:right w:val="nil"/>
            </w:tcBorders>
            <w:shd w:val="clear" w:color="auto" w:fill="auto"/>
            <w:noWrap/>
            <w:vAlign w:val="bottom"/>
            <w:hideMark/>
          </w:tcPr>
          <w:p w14:paraId="6C70361C" w14:textId="0C5BFCB9" w:rsidR="00D762B9" w:rsidRPr="00A73F83" w:rsidRDefault="00D762B9" w:rsidP="00D762B9">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Pr="00A73F83">
              <w:rPr>
                <w:rFonts w:ascii="Arial" w:eastAsia="Times New Roman" w:hAnsi="Arial" w:cs="Arial"/>
                <w:b/>
                <w:bCs/>
                <w:color w:val="0081E3"/>
                <w:szCs w:val="18"/>
              </w:rPr>
              <w:t xml:space="preserve"> </w:t>
            </w:r>
            <w:r>
              <w:rPr>
                <w:rFonts w:ascii="Arial" w:eastAsia="Times New Roman" w:hAnsi="Arial" w:cs="Arial"/>
                <w:b/>
                <w:bCs/>
                <w:color w:val="0081E3"/>
                <w:szCs w:val="18"/>
              </w:rPr>
              <w:t>4: MANAGED CARE CAPITATION RATE CELLS</w:t>
            </w:r>
          </w:p>
        </w:tc>
      </w:tr>
      <w:tr w:rsidR="00D762B9" w:rsidRPr="00A73F83" w14:paraId="1403B588" w14:textId="2CE80014" w:rsidTr="00D762B9">
        <w:trPr>
          <w:trHeight w:val="92"/>
          <w:tblHeader/>
        </w:trPr>
        <w:tc>
          <w:tcPr>
            <w:tcW w:w="3780" w:type="dxa"/>
            <w:tcBorders>
              <w:top w:val="nil"/>
              <w:left w:val="nil"/>
              <w:bottom w:val="single" w:sz="4" w:space="0" w:color="C6C9CA"/>
              <w:right w:val="nil"/>
            </w:tcBorders>
            <w:shd w:val="clear" w:color="auto" w:fill="auto"/>
            <w:vAlign w:val="bottom"/>
            <w:hideMark/>
          </w:tcPr>
          <w:p w14:paraId="40776A63" w14:textId="77777777" w:rsidR="00D762B9" w:rsidRPr="00A73F83" w:rsidRDefault="00D762B9" w:rsidP="00D762B9">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Population</w:t>
            </w:r>
          </w:p>
        </w:tc>
        <w:tc>
          <w:tcPr>
            <w:tcW w:w="2880" w:type="dxa"/>
            <w:tcBorders>
              <w:top w:val="nil"/>
              <w:left w:val="nil"/>
              <w:bottom w:val="single" w:sz="4" w:space="0" w:color="C6C9CA"/>
              <w:right w:val="nil"/>
            </w:tcBorders>
            <w:shd w:val="clear" w:color="auto" w:fill="auto"/>
            <w:vAlign w:val="bottom"/>
            <w:hideMark/>
          </w:tcPr>
          <w:p w14:paraId="4039200C" w14:textId="77777777" w:rsidR="00D762B9" w:rsidRPr="00A73F83" w:rsidRDefault="00D762B9" w:rsidP="00D762B9">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Rate Cell</w:t>
            </w:r>
          </w:p>
        </w:tc>
        <w:tc>
          <w:tcPr>
            <w:tcW w:w="1530" w:type="dxa"/>
            <w:tcBorders>
              <w:top w:val="nil"/>
              <w:left w:val="nil"/>
              <w:bottom w:val="single" w:sz="4" w:space="0" w:color="C6C9CA"/>
              <w:right w:val="nil"/>
            </w:tcBorders>
            <w:shd w:val="clear" w:color="auto" w:fill="auto"/>
            <w:vAlign w:val="bottom"/>
            <w:hideMark/>
          </w:tcPr>
          <w:p w14:paraId="6A8F3C28" w14:textId="77777777" w:rsidR="00D762B9" w:rsidRPr="00A73F83" w:rsidRDefault="00D762B9" w:rsidP="00D762B9">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Pay Level</w:t>
            </w:r>
          </w:p>
        </w:tc>
      </w:tr>
      <w:tr w:rsidR="00D762B9" w:rsidRPr="00A73F83" w14:paraId="7FB6207F" w14:textId="47C166F4" w:rsidTr="00D762B9">
        <w:trPr>
          <w:trHeight w:val="58"/>
        </w:trPr>
        <w:tc>
          <w:tcPr>
            <w:tcW w:w="3780" w:type="dxa"/>
            <w:vMerge w:val="restart"/>
            <w:tcBorders>
              <w:top w:val="single" w:sz="4" w:space="0" w:color="C6C9CA"/>
              <w:left w:val="nil"/>
              <w:bottom w:val="nil"/>
              <w:right w:val="nil"/>
            </w:tcBorders>
            <w:shd w:val="clear" w:color="auto" w:fill="auto"/>
            <w:vAlign w:val="center"/>
            <w:hideMark/>
          </w:tcPr>
          <w:p w14:paraId="6D57E491" w14:textId="77777777" w:rsidR="00D762B9" w:rsidRPr="00A73F83" w:rsidRDefault="00D762B9" w:rsidP="00D762B9">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RIte Care</w:t>
            </w:r>
          </w:p>
        </w:tc>
        <w:tc>
          <w:tcPr>
            <w:tcW w:w="2880" w:type="dxa"/>
            <w:tcBorders>
              <w:top w:val="single" w:sz="4" w:space="0" w:color="C6C9CA"/>
              <w:left w:val="nil"/>
              <w:bottom w:val="nil"/>
              <w:right w:val="nil"/>
            </w:tcBorders>
            <w:shd w:val="clear" w:color="auto" w:fill="auto"/>
            <w:vAlign w:val="center"/>
            <w:hideMark/>
          </w:tcPr>
          <w:p w14:paraId="5FE8776D"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MF &lt;1</w:t>
            </w:r>
          </w:p>
        </w:tc>
        <w:tc>
          <w:tcPr>
            <w:tcW w:w="1530" w:type="dxa"/>
            <w:tcBorders>
              <w:top w:val="single" w:sz="4" w:space="0" w:color="C6C9CA"/>
              <w:left w:val="nil"/>
              <w:bottom w:val="nil"/>
              <w:right w:val="nil"/>
            </w:tcBorders>
            <w:shd w:val="clear" w:color="auto" w:fill="auto"/>
            <w:vAlign w:val="center"/>
            <w:hideMark/>
          </w:tcPr>
          <w:p w14:paraId="743A6809"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001</w:t>
            </w:r>
          </w:p>
        </w:tc>
      </w:tr>
      <w:tr w:rsidR="00D762B9" w:rsidRPr="00A73F83" w14:paraId="0DD16BFC" w14:textId="57E7D19D" w:rsidTr="00D762B9">
        <w:trPr>
          <w:trHeight w:val="68"/>
        </w:trPr>
        <w:tc>
          <w:tcPr>
            <w:tcW w:w="3780" w:type="dxa"/>
            <w:vMerge/>
            <w:tcBorders>
              <w:top w:val="nil"/>
              <w:left w:val="nil"/>
              <w:bottom w:val="nil"/>
              <w:right w:val="nil"/>
            </w:tcBorders>
            <w:vAlign w:val="center"/>
            <w:hideMark/>
          </w:tcPr>
          <w:p w14:paraId="09099277"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000000" w:fill="E8E9E9"/>
            <w:vAlign w:val="center"/>
            <w:hideMark/>
          </w:tcPr>
          <w:p w14:paraId="4F44891D"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MF 1-5</w:t>
            </w:r>
          </w:p>
        </w:tc>
        <w:tc>
          <w:tcPr>
            <w:tcW w:w="1530" w:type="dxa"/>
            <w:tcBorders>
              <w:top w:val="nil"/>
              <w:left w:val="nil"/>
              <w:bottom w:val="nil"/>
              <w:right w:val="nil"/>
            </w:tcBorders>
            <w:shd w:val="clear" w:color="000000" w:fill="E8E9E9"/>
            <w:vAlign w:val="center"/>
            <w:hideMark/>
          </w:tcPr>
          <w:p w14:paraId="134D0BFC"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005</w:t>
            </w:r>
          </w:p>
        </w:tc>
      </w:tr>
      <w:tr w:rsidR="00D762B9" w:rsidRPr="00A73F83" w14:paraId="0A615828" w14:textId="7D7E3313" w:rsidTr="00D762B9">
        <w:trPr>
          <w:trHeight w:val="68"/>
        </w:trPr>
        <w:tc>
          <w:tcPr>
            <w:tcW w:w="3780" w:type="dxa"/>
            <w:vMerge/>
            <w:tcBorders>
              <w:top w:val="nil"/>
              <w:left w:val="nil"/>
              <w:bottom w:val="nil"/>
              <w:right w:val="nil"/>
            </w:tcBorders>
            <w:vAlign w:val="center"/>
            <w:hideMark/>
          </w:tcPr>
          <w:p w14:paraId="3628672F"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auto"/>
            <w:vAlign w:val="center"/>
            <w:hideMark/>
          </w:tcPr>
          <w:p w14:paraId="470B383C"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MF 6-14</w:t>
            </w:r>
          </w:p>
        </w:tc>
        <w:tc>
          <w:tcPr>
            <w:tcW w:w="1530" w:type="dxa"/>
            <w:tcBorders>
              <w:top w:val="nil"/>
              <w:left w:val="nil"/>
              <w:bottom w:val="nil"/>
              <w:right w:val="nil"/>
            </w:tcBorders>
            <w:shd w:val="clear" w:color="auto" w:fill="auto"/>
            <w:vAlign w:val="center"/>
            <w:hideMark/>
          </w:tcPr>
          <w:p w14:paraId="14793E8D"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009</w:t>
            </w:r>
          </w:p>
        </w:tc>
      </w:tr>
      <w:tr w:rsidR="00D762B9" w:rsidRPr="00A73F83" w14:paraId="5BD0C54A" w14:textId="5320468B" w:rsidTr="00D762B9">
        <w:trPr>
          <w:trHeight w:val="68"/>
        </w:trPr>
        <w:tc>
          <w:tcPr>
            <w:tcW w:w="3780" w:type="dxa"/>
            <w:vMerge/>
            <w:tcBorders>
              <w:top w:val="nil"/>
              <w:left w:val="nil"/>
              <w:bottom w:val="nil"/>
              <w:right w:val="nil"/>
            </w:tcBorders>
            <w:vAlign w:val="center"/>
            <w:hideMark/>
          </w:tcPr>
          <w:p w14:paraId="537F9B18"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000000" w:fill="E8E9E9"/>
            <w:vAlign w:val="center"/>
            <w:hideMark/>
          </w:tcPr>
          <w:p w14:paraId="616DDA22"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 15-44</w:t>
            </w:r>
          </w:p>
        </w:tc>
        <w:tc>
          <w:tcPr>
            <w:tcW w:w="1530" w:type="dxa"/>
            <w:tcBorders>
              <w:top w:val="nil"/>
              <w:left w:val="nil"/>
              <w:bottom w:val="nil"/>
              <w:right w:val="nil"/>
            </w:tcBorders>
            <w:shd w:val="clear" w:color="000000" w:fill="E8E9E9"/>
            <w:vAlign w:val="center"/>
            <w:hideMark/>
          </w:tcPr>
          <w:p w14:paraId="4E563234"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013</w:t>
            </w:r>
          </w:p>
        </w:tc>
      </w:tr>
      <w:tr w:rsidR="00D762B9" w:rsidRPr="00A73F83" w14:paraId="12B331BF" w14:textId="4B7DBD5F" w:rsidTr="00D762B9">
        <w:trPr>
          <w:trHeight w:val="68"/>
        </w:trPr>
        <w:tc>
          <w:tcPr>
            <w:tcW w:w="3780" w:type="dxa"/>
            <w:vMerge/>
            <w:tcBorders>
              <w:top w:val="nil"/>
              <w:left w:val="nil"/>
              <w:bottom w:val="nil"/>
              <w:right w:val="nil"/>
            </w:tcBorders>
            <w:vAlign w:val="center"/>
            <w:hideMark/>
          </w:tcPr>
          <w:p w14:paraId="732D7DE6"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auto"/>
            <w:vAlign w:val="center"/>
            <w:hideMark/>
          </w:tcPr>
          <w:p w14:paraId="3343CE7A"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F 15-44</w:t>
            </w:r>
          </w:p>
        </w:tc>
        <w:tc>
          <w:tcPr>
            <w:tcW w:w="1530" w:type="dxa"/>
            <w:tcBorders>
              <w:top w:val="nil"/>
              <w:left w:val="nil"/>
              <w:bottom w:val="nil"/>
              <w:right w:val="nil"/>
            </w:tcBorders>
            <w:shd w:val="clear" w:color="auto" w:fill="auto"/>
            <w:vAlign w:val="center"/>
            <w:hideMark/>
          </w:tcPr>
          <w:p w14:paraId="4B54E3C7"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017</w:t>
            </w:r>
          </w:p>
        </w:tc>
      </w:tr>
      <w:tr w:rsidR="00D762B9" w:rsidRPr="00A73F83" w14:paraId="297AB869" w14:textId="795AE72D" w:rsidTr="00D762B9">
        <w:trPr>
          <w:trHeight w:val="68"/>
        </w:trPr>
        <w:tc>
          <w:tcPr>
            <w:tcW w:w="3780" w:type="dxa"/>
            <w:vMerge/>
            <w:tcBorders>
              <w:top w:val="nil"/>
              <w:left w:val="nil"/>
              <w:bottom w:val="nil"/>
              <w:right w:val="nil"/>
            </w:tcBorders>
            <w:vAlign w:val="center"/>
            <w:hideMark/>
          </w:tcPr>
          <w:p w14:paraId="7F8827CD"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000000" w:fill="E8E9E9"/>
            <w:vAlign w:val="center"/>
            <w:hideMark/>
          </w:tcPr>
          <w:p w14:paraId="256BE540"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MF 45+</w:t>
            </w:r>
          </w:p>
        </w:tc>
        <w:tc>
          <w:tcPr>
            <w:tcW w:w="1530" w:type="dxa"/>
            <w:tcBorders>
              <w:top w:val="nil"/>
              <w:left w:val="nil"/>
              <w:bottom w:val="nil"/>
              <w:right w:val="nil"/>
            </w:tcBorders>
            <w:shd w:val="clear" w:color="000000" w:fill="E8E9E9"/>
            <w:vAlign w:val="center"/>
            <w:hideMark/>
          </w:tcPr>
          <w:p w14:paraId="374692CE"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021</w:t>
            </w:r>
          </w:p>
        </w:tc>
      </w:tr>
      <w:tr w:rsidR="00D762B9" w:rsidRPr="00A73F83" w14:paraId="39ED9762" w14:textId="1C5A4E89" w:rsidTr="00D762B9">
        <w:trPr>
          <w:trHeight w:val="68"/>
        </w:trPr>
        <w:tc>
          <w:tcPr>
            <w:tcW w:w="3780" w:type="dxa"/>
            <w:vMerge/>
            <w:tcBorders>
              <w:top w:val="nil"/>
              <w:left w:val="nil"/>
              <w:bottom w:val="nil"/>
              <w:right w:val="nil"/>
            </w:tcBorders>
            <w:vAlign w:val="center"/>
            <w:hideMark/>
          </w:tcPr>
          <w:p w14:paraId="64016A3C"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auto"/>
            <w:vAlign w:val="center"/>
            <w:hideMark/>
          </w:tcPr>
          <w:p w14:paraId="255574B0"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EFP</w:t>
            </w:r>
          </w:p>
        </w:tc>
        <w:tc>
          <w:tcPr>
            <w:tcW w:w="1530" w:type="dxa"/>
            <w:tcBorders>
              <w:top w:val="nil"/>
              <w:left w:val="nil"/>
              <w:bottom w:val="nil"/>
              <w:right w:val="nil"/>
            </w:tcBorders>
            <w:shd w:val="clear" w:color="auto" w:fill="auto"/>
            <w:vAlign w:val="center"/>
            <w:hideMark/>
          </w:tcPr>
          <w:p w14:paraId="5A6A4533"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028</w:t>
            </w:r>
          </w:p>
        </w:tc>
      </w:tr>
      <w:tr w:rsidR="00D762B9" w:rsidRPr="00A73F83" w14:paraId="745C4757" w14:textId="1A8BA096" w:rsidTr="00027779">
        <w:trPr>
          <w:trHeight w:val="179"/>
        </w:trPr>
        <w:tc>
          <w:tcPr>
            <w:tcW w:w="3780" w:type="dxa"/>
            <w:vMerge w:val="restart"/>
            <w:tcBorders>
              <w:top w:val="single" w:sz="4" w:space="0" w:color="BFBFBF" w:themeColor="background1" w:themeShade="BF"/>
              <w:left w:val="nil"/>
              <w:bottom w:val="nil"/>
              <w:right w:val="nil"/>
            </w:tcBorders>
            <w:shd w:val="clear" w:color="auto" w:fill="auto"/>
            <w:vAlign w:val="center"/>
            <w:hideMark/>
          </w:tcPr>
          <w:p w14:paraId="0634AE06" w14:textId="77777777" w:rsidR="00D762B9" w:rsidRPr="00A73F83" w:rsidRDefault="00D762B9" w:rsidP="00D762B9">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Children with Special Healthcare Needs</w:t>
            </w:r>
          </w:p>
        </w:tc>
        <w:tc>
          <w:tcPr>
            <w:tcW w:w="2880" w:type="dxa"/>
            <w:tcBorders>
              <w:top w:val="single" w:sz="4" w:space="0" w:color="BFBFBF" w:themeColor="background1" w:themeShade="BF"/>
              <w:left w:val="nil"/>
              <w:bottom w:val="nil"/>
              <w:right w:val="nil"/>
            </w:tcBorders>
            <w:shd w:val="clear" w:color="auto" w:fill="E8E9E9"/>
            <w:vAlign w:val="center"/>
            <w:hideMark/>
          </w:tcPr>
          <w:p w14:paraId="2E04CFF5"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Adoption Subsidy</w:t>
            </w:r>
          </w:p>
        </w:tc>
        <w:tc>
          <w:tcPr>
            <w:tcW w:w="1530" w:type="dxa"/>
            <w:tcBorders>
              <w:top w:val="single" w:sz="4" w:space="0" w:color="BFBFBF" w:themeColor="background1" w:themeShade="BF"/>
              <w:left w:val="nil"/>
              <w:bottom w:val="nil"/>
              <w:right w:val="nil"/>
            </w:tcBorders>
            <w:shd w:val="clear" w:color="auto" w:fill="E8E9E9"/>
            <w:vAlign w:val="center"/>
            <w:hideMark/>
          </w:tcPr>
          <w:p w14:paraId="09AAB130"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060 – 064</w:t>
            </w:r>
          </w:p>
        </w:tc>
      </w:tr>
      <w:tr w:rsidR="00D762B9" w:rsidRPr="00A73F83" w14:paraId="419ED045" w14:textId="73CDACC3" w:rsidTr="00027779">
        <w:trPr>
          <w:trHeight w:val="153"/>
        </w:trPr>
        <w:tc>
          <w:tcPr>
            <w:tcW w:w="3780" w:type="dxa"/>
            <w:vMerge/>
            <w:tcBorders>
              <w:top w:val="nil"/>
              <w:left w:val="nil"/>
              <w:bottom w:val="nil"/>
              <w:right w:val="nil"/>
            </w:tcBorders>
            <w:vAlign w:val="center"/>
            <w:hideMark/>
          </w:tcPr>
          <w:p w14:paraId="1329CAB2"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auto"/>
            <w:vAlign w:val="center"/>
            <w:hideMark/>
          </w:tcPr>
          <w:p w14:paraId="4551CC54"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 xml:space="preserve">Katie Beckett </w:t>
            </w:r>
          </w:p>
        </w:tc>
        <w:tc>
          <w:tcPr>
            <w:tcW w:w="1530" w:type="dxa"/>
            <w:tcBorders>
              <w:top w:val="nil"/>
              <w:left w:val="nil"/>
              <w:bottom w:val="nil"/>
              <w:right w:val="nil"/>
            </w:tcBorders>
            <w:shd w:val="clear" w:color="auto" w:fill="auto"/>
            <w:vAlign w:val="center"/>
            <w:hideMark/>
          </w:tcPr>
          <w:p w14:paraId="6E189F29"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050 – 054</w:t>
            </w:r>
          </w:p>
        </w:tc>
      </w:tr>
      <w:tr w:rsidR="00D762B9" w:rsidRPr="00A73F83" w14:paraId="5192A2F8" w14:textId="281D65A5" w:rsidTr="00027779">
        <w:trPr>
          <w:trHeight w:val="126"/>
        </w:trPr>
        <w:tc>
          <w:tcPr>
            <w:tcW w:w="3780" w:type="dxa"/>
            <w:vMerge/>
            <w:tcBorders>
              <w:top w:val="nil"/>
              <w:left w:val="nil"/>
              <w:bottom w:val="nil"/>
              <w:right w:val="nil"/>
            </w:tcBorders>
            <w:vAlign w:val="center"/>
            <w:hideMark/>
          </w:tcPr>
          <w:p w14:paraId="04A8C1F5"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E8E9E9"/>
            <w:vAlign w:val="center"/>
            <w:hideMark/>
          </w:tcPr>
          <w:p w14:paraId="59259424"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SSI &lt; 15</w:t>
            </w:r>
          </w:p>
        </w:tc>
        <w:tc>
          <w:tcPr>
            <w:tcW w:w="1530" w:type="dxa"/>
            <w:tcBorders>
              <w:top w:val="nil"/>
              <w:left w:val="nil"/>
              <w:bottom w:val="nil"/>
              <w:right w:val="nil"/>
            </w:tcBorders>
            <w:shd w:val="clear" w:color="auto" w:fill="E8E9E9"/>
            <w:vAlign w:val="center"/>
            <w:hideMark/>
          </w:tcPr>
          <w:p w14:paraId="11B11581"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040 – 042</w:t>
            </w:r>
          </w:p>
        </w:tc>
      </w:tr>
      <w:tr w:rsidR="00D762B9" w:rsidRPr="00A73F83" w14:paraId="062B18DE" w14:textId="237C544D" w:rsidTr="00027779">
        <w:trPr>
          <w:trHeight w:val="180"/>
        </w:trPr>
        <w:tc>
          <w:tcPr>
            <w:tcW w:w="3780" w:type="dxa"/>
            <w:vMerge/>
            <w:tcBorders>
              <w:top w:val="nil"/>
              <w:left w:val="nil"/>
              <w:bottom w:val="nil"/>
              <w:right w:val="nil"/>
            </w:tcBorders>
            <w:vAlign w:val="center"/>
            <w:hideMark/>
          </w:tcPr>
          <w:p w14:paraId="0182EB46"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auto"/>
            <w:vAlign w:val="center"/>
            <w:hideMark/>
          </w:tcPr>
          <w:p w14:paraId="1688947B"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 xml:space="preserve">SSI &gt;= 15 </w:t>
            </w:r>
          </w:p>
        </w:tc>
        <w:tc>
          <w:tcPr>
            <w:tcW w:w="1530" w:type="dxa"/>
            <w:tcBorders>
              <w:top w:val="nil"/>
              <w:left w:val="nil"/>
              <w:bottom w:val="nil"/>
              <w:right w:val="nil"/>
            </w:tcBorders>
            <w:shd w:val="clear" w:color="auto" w:fill="auto"/>
            <w:vAlign w:val="center"/>
            <w:hideMark/>
          </w:tcPr>
          <w:p w14:paraId="10B4E112"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043 – 044</w:t>
            </w:r>
          </w:p>
        </w:tc>
      </w:tr>
      <w:tr w:rsidR="00D762B9" w:rsidRPr="00A73F83" w14:paraId="44FF1287" w14:textId="3FBFC073" w:rsidTr="00027779">
        <w:trPr>
          <w:trHeight w:val="153"/>
        </w:trPr>
        <w:tc>
          <w:tcPr>
            <w:tcW w:w="3780" w:type="dxa"/>
            <w:vMerge/>
            <w:tcBorders>
              <w:top w:val="nil"/>
              <w:left w:val="nil"/>
              <w:bottom w:val="single" w:sz="4" w:space="0" w:color="BFBFBF" w:themeColor="background1" w:themeShade="BF"/>
              <w:right w:val="nil"/>
            </w:tcBorders>
            <w:vAlign w:val="center"/>
            <w:hideMark/>
          </w:tcPr>
          <w:p w14:paraId="3E65A3A6"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single" w:sz="4" w:space="0" w:color="BFBFBF" w:themeColor="background1" w:themeShade="BF"/>
              <w:right w:val="nil"/>
            </w:tcBorders>
            <w:shd w:val="clear" w:color="auto" w:fill="E8E9E9"/>
            <w:vAlign w:val="center"/>
            <w:hideMark/>
          </w:tcPr>
          <w:p w14:paraId="5C43F2D4"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Substitute Care</w:t>
            </w:r>
          </w:p>
        </w:tc>
        <w:tc>
          <w:tcPr>
            <w:tcW w:w="1530" w:type="dxa"/>
            <w:tcBorders>
              <w:top w:val="nil"/>
              <w:left w:val="nil"/>
              <w:bottom w:val="single" w:sz="4" w:space="0" w:color="BFBFBF" w:themeColor="background1" w:themeShade="BF"/>
              <w:right w:val="nil"/>
            </w:tcBorders>
            <w:shd w:val="clear" w:color="auto" w:fill="E8E9E9"/>
            <w:vAlign w:val="center"/>
            <w:hideMark/>
          </w:tcPr>
          <w:p w14:paraId="35C7972B"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033 – 037</w:t>
            </w:r>
          </w:p>
        </w:tc>
      </w:tr>
      <w:tr w:rsidR="00D762B9" w:rsidRPr="00A73F83" w14:paraId="53BC66E1" w14:textId="1A14CC5F" w:rsidTr="00027779">
        <w:trPr>
          <w:trHeight w:val="58"/>
        </w:trPr>
        <w:tc>
          <w:tcPr>
            <w:tcW w:w="3780" w:type="dxa"/>
            <w:vMerge w:val="restart"/>
            <w:tcBorders>
              <w:top w:val="single" w:sz="4" w:space="0" w:color="BFBFBF" w:themeColor="background1" w:themeShade="BF"/>
              <w:left w:val="nil"/>
              <w:bottom w:val="nil"/>
              <w:right w:val="nil"/>
            </w:tcBorders>
            <w:shd w:val="clear" w:color="auto" w:fill="auto"/>
            <w:vAlign w:val="center"/>
            <w:hideMark/>
          </w:tcPr>
          <w:p w14:paraId="0876B0F2" w14:textId="77777777" w:rsidR="00D762B9" w:rsidRPr="00A73F83" w:rsidRDefault="00D762B9" w:rsidP="00D762B9">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Medicaid Expansion</w:t>
            </w:r>
          </w:p>
        </w:tc>
        <w:tc>
          <w:tcPr>
            <w:tcW w:w="2880" w:type="dxa"/>
            <w:tcBorders>
              <w:top w:val="single" w:sz="4" w:space="0" w:color="BFBFBF" w:themeColor="background1" w:themeShade="BF"/>
              <w:left w:val="nil"/>
              <w:bottom w:val="nil"/>
              <w:right w:val="nil"/>
            </w:tcBorders>
            <w:shd w:val="clear" w:color="auto" w:fill="auto"/>
            <w:vAlign w:val="center"/>
            <w:hideMark/>
          </w:tcPr>
          <w:p w14:paraId="4C6ED69B"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F 19-24</w:t>
            </w:r>
          </w:p>
        </w:tc>
        <w:tc>
          <w:tcPr>
            <w:tcW w:w="1530" w:type="dxa"/>
            <w:tcBorders>
              <w:top w:val="single" w:sz="4" w:space="0" w:color="BFBFBF" w:themeColor="background1" w:themeShade="BF"/>
              <w:left w:val="nil"/>
              <w:bottom w:val="nil"/>
              <w:right w:val="nil"/>
            </w:tcBorders>
            <w:shd w:val="clear" w:color="auto" w:fill="auto"/>
            <w:vAlign w:val="center"/>
            <w:hideMark/>
          </w:tcPr>
          <w:p w14:paraId="532BD5F8"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ME01</w:t>
            </w:r>
          </w:p>
        </w:tc>
      </w:tr>
      <w:tr w:rsidR="00D762B9" w:rsidRPr="00A73F83" w14:paraId="73779E48" w14:textId="02EA5B9A" w:rsidTr="00027779">
        <w:trPr>
          <w:trHeight w:val="68"/>
        </w:trPr>
        <w:tc>
          <w:tcPr>
            <w:tcW w:w="3780" w:type="dxa"/>
            <w:vMerge/>
            <w:tcBorders>
              <w:top w:val="nil"/>
              <w:left w:val="nil"/>
              <w:bottom w:val="nil"/>
              <w:right w:val="nil"/>
            </w:tcBorders>
            <w:vAlign w:val="center"/>
            <w:hideMark/>
          </w:tcPr>
          <w:p w14:paraId="7DC3B321"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E8E9E9"/>
            <w:vAlign w:val="center"/>
            <w:hideMark/>
          </w:tcPr>
          <w:p w14:paraId="57BC00AF"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F 25-29</w:t>
            </w:r>
          </w:p>
        </w:tc>
        <w:tc>
          <w:tcPr>
            <w:tcW w:w="1530" w:type="dxa"/>
            <w:tcBorders>
              <w:top w:val="nil"/>
              <w:left w:val="nil"/>
              <w:bottom w:val="nil"/>
              <w:right w:val="nil"/>
            </w:tcBorders>
            <w:shd w:val="clear" w:color="auto" w:fill="E8E9E9"/>
            <w:vAlign w:val="center"/>
            <w:hideMark/>
          </w:tcPr>
          <w:p w14:paraId="6273119D"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ME02</w:t>
            </w:r>
          </w:p>
        </w:tc>
      </w:tr>
      <w:tr w:rsidR="00D762B9" w:rsidRPr="00A73F83" w14:paraId="44E2EA46" w14:textId="466FC34A" w:rsidTr="00027779">
        <w:trPr>
          <w:trHeight w:val="68"/>
        </w:trPr>
        <w:tc>
          <w:tcPr>
            <w:tcW w:w="3780" w:type="dxa"/>
            <w:vMerge/>
            <w:tcBorders>
              <w:top w:val="nil"/>
              <w:left w:val="nil"/>
              <w:bottom w:val="nil"/>
              <w:right w:val="nil"/>
            </w:tcBorders>
            <w:vAlign w:val="center"/>
            <w:hideMark/>
          </w:tcPr>
          <w:p w14:paraId="4F001FB9"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auto"/>
            <w:vAlign w:val="center"/>
            <w:hideMark/>
          </w:tcPr>
          <w:p w14:paraId="52CDE7E1"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F 30-39</w:t>
            </w:r>
          </w:p>
        </w:tc>
        <w:tc>
          <w:tcPr>
            <w:tcW w:w="1530" w:type="dxa"/>
            <w:tcBorders>
              <w:top w:val="nil"/>
              <w:left w:val="nil"/>
              <w:bottom w:val="nil"/>
              <w:right w:val="nil"/>
            </w:tcBorders>
            <w:shd w:val="clear" w:color="auto" w:fill="auto"/>
            <w:vAlign w:val="center"/>
            <w:hideMark/>
          </w:tcPr>
          <w:p w14:paraId="40457D41"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ME03</w:t>
            </w:r>
          </w:p>
        </w:tc>
      </w:tr>
      <w:tr w:rsidR="00D762B9" w:rsidRPr="00A73F83" w14:paraId="315D542E" w14:textId="2C6FD525" w:rsidTr="00027779">
        <w:trPr>
          <w:trHeight w:val="68"/>
        </w:trPr>
        <w:tc>
          <w:tcPr>
            <w:tcW w:w="3780" w:type="dxa"/>
            <w:vMerge/>
            <w:tcBorders>
              <w:top w:val="nil"/>
              <w:left w:val="nil"/>
              <w:bottom w:val="nil"/>
              <w:right w:val="nil"/>
            </w:tcBorders>
            <w:vAlign w:val="center"/>
            <w:hideMark/>
          </w:tcPr>
          <w:p w14:paraId="50425A18"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E8E9E9"/>
            <w:vAlign w:val="center"/>
            <w:hideMark/>
          </w:tcPr>
          <w:p w14:paraId="1C871C51"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F 40-49</w:t>
            </w:r>
          </w:p>
        </w:tc>
        <w:tc>
          <w:tcPr>
            <w:tcW w:w="1530" w:type="dxa"/>
            <w:tcBorders>
              <w:top w:val="nil"/>
              <w:left w:val="nil"/>
              <w:bottom w:val="nil"/>
              <w:right w:val="nil"/>
            </w:tcBorders>
            <w:shd w:val="clear" w:color="auto" w:fill="E8E9E9"/>
            <w:vAlign w:val="center"/>
            <w:hideMark/>
          </w:tcPr>
          <w:p w14:paraId="065621DA"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ME04</w:t>
            </w:r>
          </w:p>
        </w:tc>
      </w:tr>
      <w:tr w:rsidR="00D762B9" w:rsidRPr="00A73F83" w14:paraId="521A3938" w14:textId="02F9C382" w:rsidTr="00027779">
        <w:trPr>
          <w:trHeight w:val="68"/>
        </w:trPr>
        <w:tc>
          <w:tcPr>
            <w:tcW w:w="3780" w:type="dxa"/>
            <w:vMerge/>
            <w:tcBorders>
              <w:top w:val="nil"/>
              <w:left w:val="nil"/>
              <w:bottom w:val="nil"/>
              <w:right w:val="nil"/>
            </w:tcBorders>
            <w:vAlign w:val="center"/>
            <w:hideMark/>
          </w:tcPr>
          <w:p w14:paraId="64733416"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auto"/>
            <w:vAlign w:val="center"/>
            <w:hideMark/>
          </w:tcPr>
          <w:p w14:paraId="32A225DB"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F 50-64</w:t>
            </w:r>
          </w:p>
        </w:tc>
        <w:tc>
          <w:tcPr>
            <w:tcW w:w="1530" w:type="dxa"/>
            <w:tcBorders>
              <w:top w:val="nil"/>
              <w:left w:val="nil"/>
              <w:bottom w:val="nil"/>
              <w:right w:val="nil"/>
            </w:tcBorders>
            <w:shd w:val="clear" w:color="auto" w:fill="auto"/>
            <w:vAlign w:val="center"/>
            <w:hideMark/>
          </w:tcPr>
          <w:p w14:paraId="119311B0"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ME05</w:t>
            </w:r>
          </w:p>
        </w:tc>
      </w:tr>
      <w:tr w:rsidR="00D762B9" w:rsidRPr="00A73F83" w14:paraId="6D9CC7D0" w14:textId="110FBCC2" w:rsidTr="00027779">
        <w:trPr>
          <w:trHeight w:val="68"/>
        </w:trPr>
        <w:tc>
          <w:tcPr>
            <w:tcW w:w="3780" w:type="dxa"/>
            <w:vMerge/>
            <w:tcBorders>
              <w:top w:val="nil"/>
              <w:left w:val="nil"/>
              <w:bottom w:val="nil"/>
              <w:right w:val="nil"/>
            </w:tcBorders>
            <w:vAlign w:val="center"/>
            <w:hideMark/>
          </w:tcPr>
          <w:p w14:paraId="53120098"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E8E9E9"/>
            <w:vAlign w:val="center"/>
            <w:hideMark/>
          </w:tcPr>
          <w:p w14:paraId="74ADAC98"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 19-24</w:t>
            </w:r>
          </w:p>
        </w:tc>
        <w:tc>
          <w:tcPr>
            <w:tcW w:w="1530" w:type="dxa"/>
            <w:tcBorders>
              <w:top w:val="nil"/>
              <w:left w:val="nil"/>
              <w:bottom w:val="nil"/>
              <w:right w:val="nil"/>
            </w:tcBorders>
            <w:shd w:val="clear" w:color="auto" w:fill="E8E9E9"/>
            <w:vAlign w:val="center"/>
            <w:hideMark/>
          </w:tcPr>
          <w:p w14:paraId="45C33A34"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ME06</w:t>
            </w:r>
          </w:p>
        </w:tc>
      </w:tr>
      <w:tr w:rsidR="00D762B9" w:rsidRPr="00A73F83" w14:paraId="2B775E48" w14:textId="358A1ACF" w:rsidTr="00027779">
        <w:trPr>
          <w:trHeight w:val="68"/>
        </w:trPr>
        <w:tc>
          <w:tcPr>
            <w:tcW w:w="3780" w:type="dxa"/>
            <w:vMerge/>
            <w:tcBorders>
              <w:top w:val="nil"/>
              <w:left w:val="nil"/>
              <w:bottom w:val="nil"/>
              <w:right w:val="nil"/>
            </w:tcBorders>
            <w:vAlign w:val="center"/>
            <w:hideMark/>
          </w:tcPr>
          <w:p w14:paraId="32AA581F"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auto"/>
            <w:vAlign w:val="center"/>
            <w:hideMark/>
          </w:tcPr>
          <w:p w14:paraId="4C0363EB"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 25-29</w:t>
            </w:r>
          </w:p>
        </w:tc>
        <w:tc>
          <w:tcPr>
            <w:tcW w:w="1530" w:type="dxa"/>
            <w:tcBorders>
              <w:top w:val="nil"/>
              <w:left w:val="nil"/>
              <w:bottom w:val="nil"/>
              <w:right w:val="nil"/>
            </w:tcBorders>
            <w:shd w:val="clear" w:color="auto" w:fill="auto"/>
            <w:vAlign w:val="center"/>
            <w:hideMark/>
          </w:tcPr>
          <w:p w14:paraId="391D133A"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ME07</w:t>
            </w:r>
          </w:p>
        </w:tc>
      </w:tr>
      <w:tr w:rsidR="00D762B9" w:rsidRPr="00A73F83" w14:paraId="6CB0A23E" w14:textId="3AA88E16" w:rsidTr="00027779">
        <w:trPr>
          <w:trHeight w:val="108"/>
        </w:trPr>
        <w:tc>
          <w:tcPr>
            <w:tcW w:w="3780" w:type="dxa"/>
            <w:vMerge/>
            <w:tcBorders>
              <w:top w:val="nil"/>
              <w:left w:val="nil"/>
              <w:bottom w:val="nil"/>
              <w:right w:val="nil"/>
            </w:tcBorders>
            <w:vAlign w:val="center"/>
            <w:hideMark/>
          </w:tcPr>
          <w:p w14:paraId="1D68AB34"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E8E9E9"/>
            <w:vAlign w:val="center"/>
            <w:hideMark/>
          </w:tcPr>
          <w:p w14:paraId="537CA276"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 30-39</w:t>
            </w:r>
          </w:p>
        </w:tc>
        <w:tc>
          <w:tcPr>
            <w:tcW w:w="1530" w:type="dxa"/>
            <w:tcBorders>
              <w:top w:val="nil"/>
              <w:left w:val="nil"/>
              <w:bottom w:val="nil"/>
              <w:right w:val="nil"/>
            </w:tcBorders>
            <w:shd w:val="clear" w:color="auto" w:fill="E8E9E9"/>
            <w:vAlign w:val="center"/>
            <w:hideMark/>
          </w:tcPr>
          <w:p w14:paraId="6F716806"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ME08</w:t>
            </w:r>
          </w:p>
        </w:tc>
      </w:tr>
      <w:tr w:rsidR="00D762B9" w:rsidRPr="00A73F83" w14:paraId="5FC68B05" w14:textId="02058D66" w:rsidTr="00027779">
        <w:trPr>
          <w:trHeight w:val="68"/>
        </w:trPr>
        <w:tc>
          <w:tcPr>
            <w:tcW w:w="3780" w:type="dxa"/>
            <w:vMerge/>
            <w:tcBorders>
              <w:top w:val="nil"/>
              <w:left w:val="nil"/>
              <w:bottom w:val="nil"/>
              <w:right w:val="nil"/>
            </w:tcBorders>
            <w:vAlign w:val="center"/>
            <w:hideMark/>
          </w:tcPr>
          <w:p w14:paraId="4F4D0C4C"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auto"/>
            <w:vAlign w:val="center"/>
            <w:hideMark/>
          </w:tcPr>
          <w:p w14:paraId="59DDAF7A"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 40-49</w:t>
            </w:r>
          </w:p>
        </w:tc>
        <w:tc>
          <w:tcPr>
            <w:tcW w:w="1530" w:type="dxa"/>
            <w:tcBorders>
              <w:top w:val="nil"/>
              <w:left w:val="nil"/>
              <w:bottom w:val="nil"/>
              <w:right w:val="nil"/>
            </w:tcBorders>
            <w:shd w:val="clear" w:color="auto" w:fill="auto"/>
            <w:vAlign w:val="center"/>
            <w:hideMark/>
          </w:tcPr>
          <w:p w14:paraId="28A1BC6E"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ME09</w:t>
            </w:r>
          </w:p>
        </w:tc>
      </w:tr>
      <w:tr w:rsidR="00D762B9" w:rsidRPr="00A73F83" w14:paraId="35B821E3" w14:textId="6EE5A19E" w:rsidTr="00027779">
        <w:trPr>
          <w:trHeight w:val="68"/>
        </w:trPr>
        <w:tc>
          <w:tcPr>
            <w:tcW w:w="3780" w:type="dxa"/>
            <w:vMerge/>
            <w:tcBorders>
              <w:top w:val="nil"/>
              <w:left w:val="nil"/>
              <w:bottom w:val="nil"/>
              <w:right w:val="nil"/>
            </w:tcBorders>
            <w:vAlign w:val="center"/>
            <w:hideMark/>
          </w:tcPr>
          <w:p w14:paraId="5ED02E75"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E8E9E9"/>
            <w:vAlign w:val="center"/>
            <w:hideMark/>
          </w:tcPr>
          <w:p w14:paraId="73933111"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 50-64</w:t>
            </w:r>
          </w:p>
        </w:tc>
        <w:tc>
          <w:tcPr>
            <w:tcW w:w="1530" w:type="dxa"/>
            <w:tcBorders>
              <w:top w:val="nil"/>
              <w:left w:val="nil"/>
              <w:bottom w:val="nil"/>
              <w:right w:val="nil"/>
            </w:tcBorders>
            <w:shd w:val="clear" w:color="auto" w:fill="E8E9E9"/>
            <w:vAlign w:val="center"/>
            <w:hideMark/>
          </w:tcPr>
          <w:p w14:paraId="70CE4EF6"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ME10</w:t>
            </w:r>
          </w:p>
        </w:tc>
      </w:tr>
      <w:tr w:rsidR="00D762B9" w:rsidRPr="00A73F83" w14:paraId="2460BDB2" w14:textId="3E41EE2C" w:rsidTr="00027779">
        <w:trPr>
          <w:trHeight w:val="58"/>
        </w:trPr>
        <w:tc>
          <w:tcPr>
            <w:tcW w:w="3780" w:type="dxa"/>
            <w:vMerge w:val="restart"/>
            <w:tcBorders>
              <w:top w:val="single" w:sz="4" w:space="0" w:color="BFBFBF" w:themeColor="background1" w:themeShade="BF"/>
              <w:left w:val="nil"/>
              <w:bottom w:val="nil"/>
              <w:right w:val="nil"/>
            </w:tcBorders>
            <w:shd w:val="clear" w:color="auto" w:fill="auto"/>
            <w:vAlign w:val="center"/>
            <w:hideMark/>
          </w:tcPr>
          <w:p w14:paraId="22E6E867" w14:textId="77777777" w:rsidR="00D762B9" w:rsidRPr="00A73F83" w:rsidRDefault="00D762B9" w:rsidP="00D762B9">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Rhody Health Partners</w:t>
            </w:r>
          </w:p>
        </w:tc>
        <w:tc>
          <w:tcPr>
            <w:tcW w:w="2880" w:type="dxa"/>
            <w:tcBorders>
              <w:top w:val="single" w:sz="4" w:space="0" w:color="BFBFBF" w:themeColor="background1" w:themeShade="BF"/>
              <w:left w:val="nil"/>
              <w:bottom w:val="nil"/>
              <w:right w:val="nil"/>
            </w:tcBorders>
            <w:shd w:val="clear" w:color="auto" w:fill="auto"/>
            <w:vAlign w:val="center"/>
            <w:hideMark/>
          </w:tcPr>
          <w:p w14:paraId="0F6E705E"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 xml:space="preserve">RHP – ID </w:t>
            </w:r>
          </w:p>
        </w:tc>
        <w:tc>
          <w:tcPr>
            <w:tcW w:w="1530" w:type="dxa"/>
            <w:tcBorders>
              <w:top w:val="single" w:sz="4" w:space="0" w:color="BFBFBF" w:themeColor="background1" w:themeShade="BF"/>
              <w:left w:val="nil"/>
              <w:bottom w:val="nil"/>
              <w:right w:val="nil"/>
            </w:tcBorders>
            <w:shd w:val="clear" w:color="auto" w:fill="auto"/>
            <w:vAlign w:val="center"/>
            <w:hideMark/>
          </w:tcPr>
          <w:p w14:paraId="1AD97B6D"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RH40</w:t>
            </w:r>
          </w:p>
        </w:tc>
      </w:tr>
      <w:tr w:rsidR="00D762B9" w:rsidRPr="00A73F83" w14:paraId="025953E3" w14:textId="295FE725" w:rsidTr="00027779">
        <w:trPr>
          <w:trHeight w:val="68"/>
        </w:trPr>
        <w:tc>
          <w:tcPr>
            <w:tcW w:w="3780" w:type="dxa"/>
            <w:vMerge/>
            <w:tcBorders>
              <w:top w:val="nil"/>
              <w:left w:val="nil"/>
              <w:bottom w:val="nil"/>
              <w:right w:val="nil"/>
            </w:tcBorders>
            <w:vAlign w:val="center"/>
            <w:hideMark/>
          </w:tcPr>
          <w:p w14:paraId="2E5A18E0" w14:textId="77777777" w:rsidR="00D762B9" w:rsidRPr="00A73F83" w:rsidRDefault="00D762B9" w:rsidP="00D762B9">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E8E9E9"/>
            <w:vAlign w:val="center"/>
            <w:hideMark/>
          </w:tcPr>
          <w:p w14:paraId="51792097"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 xml:space="preserve">RHP – SPMI </w:t>
            </w:r>
          </w:p>
        </w:tc>
        <w:tc>
          <w:tcPr>
            <w:tcW w:w="1530" w:type="dxa"/>
            <w:tcBorders>
              <w:top w:val="nil"/>
              <w:left w:val="nil"/>
              <w:bottom w:val="nil"/>
              <w:right w:val="nil"/>
            </w:tcBorders>
            <w:shd w:val="clear" w:color="auto" w:fill="E8E9E9"/>
            <w:vAlign w:val="center"/>
            <w:hideMark/>
          </w:tcPr>
          <w:p w14:paraId="2EE42B2E" w14:textId="77777777" w:rsidR="00D762B9" w:rsidRPr="00A73F83" w:rsidRDefault="00D762B9" w:rsidP="00D762B9">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RH30</w:t>
            </w:r>
          </w:p>
        </w:tc>
      </w:tr>
      <w:tr w:rsidR="00975C5D" w:rsidRPr="00A73F83" w14:paraId="74050274" w14:textId="7EC1DA13" w:rsidTr="00027779">
        <w:trPr>
          <w:trHeight w:val="68"/>
        </w:trPr>
        <w:tc>
          <w:tcPr>
            <w:tcW w:w="3780" w:type="dxa"/>
            <w:vMerge/>
            <w:tcBorders>
              <w:top w:val="nil"/>
              <w:left w:val="nil"/>
              <w:bottom w:val="nil"/>
              <w:right w:val="nil"/>
            </w:tcBorders>
            <w:vAlign w:val="center"/>
            <w:hideMark/>
          </w:tcPr>
          <w:p w14:paraId="508A620B" w14:textId="77777777" w:rsidR="00975C5D" w:rsidRPr="00A73F83" w:rsidRDefault="00975C5D" w:rsidP="00975C5D">
            <w:pPr>
              <w:spacing w:after="0" w:line="240" w:lineRule="auto"/>
              <w:rPr>
                <w:rFonts w:ascii="Arial" w:eastAsia="Times New Roman" w:hAnsi="Arial" w:cs="Arial"/>
                <w:b/>
                <w:bCs/>
                <w:color w:val="39414D"/>
                <w:szCs w:val="18"/>
              </w:rPr>
            </w:pPr>
          </w:p>
        </w:tc>
        <w:tc>
          <w:tcPr>
            <w:tcW w:w="2880" w:type="dxa"/>
            <w:tcBorders>
              <w:top w:val="nil"/>
              <w:left w:val="nil"/>
              <w:bottom w:val="nil"/>
              <w:right w:val="nil"/>
            </w:tcBorders>
            <w:shd w:val="clear" w:color="auto" w:fill="auto"/>
            <w:vAlign w:val="center"/>
            <w:hideMark/>
          </w:tcPr>
          <w:p w14:paraId="67E01556" w14:textId="7D66F8E4" w:rsidR="00975C5D" w:rsidRPr="00A73F83" w:rsidRDefault="00975C5D" w:rsidP="00975C5D">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RHP – Other Disabled 21-44</w:t>
            </w:r>
          </w:p>
        </w:tc>
        <w:tc>
          <w:tcPr>
            <w:tcW w:w="1530" w:type="dxa"/>
            <w:tcBorders>
              <w:top w:val="nil"/>
              <w:left w:val="nil"/>
              <w:bottom w:val="nil"/>
              <w:right w:val="nil"/>
            </w:tcBorders>
            <w:shd w:val="clear" w:color="auto" w:fill="auto"/>
            <w:vAlign w:val="center"/>
            <w:hideMark/>
          </w:tcPr>
          <w:p w14:paraId="1A9F802D" w14:textId="5F70DFF3" w:rsidR="00975C5D" w:rsidRPr="00A73F83" w:rsidRDefault="00975C5D" w:rsidP="00975C5D">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RH10</w:t>
            </w:r>
          </w:p>
        </w:tc>
      </w:tr>
      <w:tr w:rsidR="00975C5D" w:rsidRPr="00A73F83" w14:paraId="010744C0" w14:textId="1B1BF543" w:rsidTr="00027779">
        <w:trPr>
          <w:trHeight w:val="68"/>
        </w:trPr>
        <w:tc>
          <w:tcPr>
            <w:tcW w:w="3780" w:type="dxa"/>
            <w:vMerge/>
            <w:tcBorders>
              <w:top w:val="nil"/>
              <w:left w:val="nil"/>
              <w:bottom w:val="single" w:sz="4" w:space="0" w:color="BFBFBF" w:themeColor="background1" w:themeShade="BF"/>
              <w:right w:val="nil"/>
            </w:tcBorders>
            <w:vAlign w:val="center"/>
            <w:hideMark/>
          </w:tcPr>
          <w:p w14:paraId="7F3C209C" w14:textId="77777777" w:rsidR="00975C5D" w:rsidRPr="00A73F83" w:rsidRDefault="00975C5D" w:rsidP="00975C5D">
            <w:pPr>
              <w:spacing w:after="0" w:line="240" w:lineRule="auto"/>
              <w:rPr>
                <w:rFonts w:ascii="Arial" w:eastAsia="Times New Roman" w:hAnsi="Arial" w:cs="Arial"/>
                <w:b/>
                <w:bCs/>
                <w:color w:val="39414D"/>
                <w:szCs w:val="18"/>
              </w:rPr>
            </w:pPr>
          </w:p>
        </w:tc>
        <w:tc>
          <w:tcPr>
            <w:tcW w:w="2880" w:type="dxa"/>
            <w:tcBorders>
              <w:top w:val="nil"/>
              <w:left w:val="nil"/>
              <w:bottom w:val="single" w:sz="4" w:space="0" w:color="BFBFBF" w:themeColor="background1" w:themeShade="BF"/>
              <w:right w:val="nil"/>
            </w:tcBorders>
            <w:shd w:val="clear" w:color="auto" w:fill="E8E9E9"/>
            <w:vAlign w:val="center"/>
            <w:hideMark/>
          </w:tcPr>
          <w:p w14:paraId="40BC0645" w14:textId="31393CCD" w:rsidR="00975C5D" w:rsidRPr="00A73F83" w:rsidRDefault="00975C5D" w:rsidP="00975C5D">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RHP – Other Disabled 45+</w:t>
            </w:r>
          </w:p>
        </w:tc>
        <w:tc>
          <w:tcPr>
            <w:tcW w:w="1530" w:type="dxa"/>
            <w:tcBorders>
              <w:top w:val="nil"/>
              <w:left w:val="nil"/>
              <w:bottom w:val="single" w:sz="4" w:space="0" w:color="BFBFBF" w:themeColor="background1" w:themeShade="BF"/>
              <w:right w:val="nil"/>
            </w:tcBorders>
            <w:shd w:val="clear" w:color="auto" w:fill="E8E9E9"/>
            <w:vAlign w:val="center"/>
            <w:hideMark/>
          </w:tcPr>
          <w:p w14:paraId="084959D0" w14:textId="7393E6A7" w:rsidR="00975C5D" w:rsidRPr="00A73F83" w:rsidRDefault="00975C5D" w:rsidP="00975C5D">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RH20</w:t>
            </w:r>
          </w:p>
        </w:tc>
      </w:tr>
      <w:tr w:rsidR="00B06FCD" w:rsidRPr="00A73F83" w14:paraId="1B7E8AA3" w14:textId="77777777" w:rsidTr="00027779">
        <w:trPr>
          <w:trHeight w:val="68"/>
        </w:trPr>
        <w:tc>
          <w:tcPr>
            <w:tcW w:w="3780" w:type="dxa"/>
            <w:tcBorders>
              <w:top w:val="single" w:sz="4" w:space="0" w:color="BFBFBF" w:themeColor="background1" w:themeShade="BF"/>
              <w:left w:val="nil"/>
              <w:bottom w:val="single" w:sz="4" w:space="0" w:color="BFBFBF" w:themeColor="background1" w:themeShade="BF"/>
              <w:right w:val="nil"/>
            </w:tcBorders>
            <w:vAlign w:val="center"/>
          </w:tcPr>
          <w:p w14:paraId="0944DF97" w14:textId="3F0D6986" w:rsidR="00B06FCD" w:rsidRPr="00A73F83" w:rsidRDefault="00B06FCD" w:rsidP="00B06FCD">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SOBRA</w:t>
            </w:r>
          </w:p>
        </w:tc>
        <w:tc>
          <w:tcPr>
            <w:tcW w:w="288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14:paraId="32426199" w14:textId="22C3197E" w:rsidR="00B06FCD" w:rsidRPr="00A73F83" w:rsidRDefault="00B06FCD" w:rsidP="00B06FCD">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 xml:space="preserve">SOBRA </w:t>
            </w:r>
          </w:p>
        </w:tc>
        <w:tc>
          <w:tcPr>
            <w:tcW w:w="1530" w:type="dxa"/>
            <w:tcBorders>
              <w:top w:val="single" w:sz="4" w:space="0" w:color="BFBFBF" w:themeColor="background1" w:themeShade="BF"/>
              <w:left w:val="nil"/>
              <w:bottom w:val="single" w:sz="4" w:space="0" w:color="BFBFBF" w:themeColor="background1" w:themeShade="BF"/>
              <w:right w:val="nil"/>
            </w:tcBorders>
            <w:shd w:val="clear" w:color="auto" w:fill="auto"/>
            <w:vAlign w:val="center"/>
          </w:tcPr>
          <w:p w14:paraId="37A6F7D5" w14:textId="31B5AC80" w:rsidR="00B06FCD" w:rsidRPr="00A73F83" w:rsidRDefault="00B06FCD" w:rsidP="00B06FCD">
            <w:pPr>
              <w:spacing w:after="0" w:line="240" w:lineRule="auto"/>
              <w:rPr>
                <w:rFonts w:ascii="Arial" w:eastAsia="Times New Roman" w:hAnsi="Arial" w:cs="Arial"/>
                <w:color w:val="39414D"/>
                <w:szCs w:val="18"/>
              </w:rPr>
            </w:pPr>
            <w:r w:rsidRPr="00A73F83">
              <w:rPr>
                <w:rFonts w:ascii="Arial" w:eastAsia="Times New Roman" w:hAnsi="Arial" w:cs="Arial"/>
                <w:color w:val="39414D"/>
                <w:szCs w:val="18"/>
              </w:rPr>
              <w:t>N/A</w:t>
            </w:r>
          </w:p>
        </w:tc>
      </w:tr>
    </w:tbl>
    <w:p w14:paraId="4F6A1B19" w14:textId="4A62DF2C" w:rsidR="00395DAF" w:rsidRDefault="00D762B9" w:rsidP="00395DAF">
      <w:pPr>
        <w:pStyle w:val="RRBullet1"/>
        <w:numPr>
          <w:ilvl w:val="0"/>
          <w:numId w:val="0"/>
        </w:numPr>
      </w:pPr>
      <w:r>
        <w:br w:type="textWrapping" w:clear="all"/>
      </w:r>
      <w:r w:rsidR="00395DAF">
        <w:t xml:space="preserve"> </w:t>
      </w:r>
    </w:p>
    <w:p w14:paraId="038ADD6F" w14:textId="303CD65C" w:rsidR="00395DAF" w:rsidRDefault="00395DAF" w:rsidP="00622097">
      <w:pPr>
        <w:pStyle w:val="RRBullet1"/>
        <w:numPr>
          <w:ilvl w:val="0"/>
          <w:numId w:val="0"/>
        </w:numPr>
        <w:jc w:val="both"/>
      </w:pPr>
      <w:r>
        <w:t xml:space="preserve">Enrollment values </w:t>
      </w:r>
      <w:r w:rsidR="00CA5F36">
        <w:t xml:space="preserve">in this report </w:t>
      </w:r>
      <w:r>
        <w:t>reflect partial months for the RIte Care</w:t>
      </w:r>
      <w:r w:rsidRPr="00807B0D">
        <w:t xml:space="preserve"> </w:t>
      </w:r>
      <w:r>
        <w:t xml:space="preserve">and Children with Special Healthcare Needs populations. Partial payments are not made for the remaining populations. </w:t>
      </w:r>
      <w:r w:rsidR="0095464F">
        <w:t xml:space="preserve">The SOBRA capitation rate is paid </w:t>
      </w:r>
      <w:r w:rsidR="00150A26">
        <w:t xml:space="preserve">for eligible maternity claims associated with </w:t>
      </w:r>
      <w:r w:rsidR="0095464F">
        <w:t>RIte Care and Medicaid Expansion members.</w:t>
      </w:r>
      <w:r w:rsidR="00150A26">
        <w:t xml:space="preserve"> The SOBRA capitation rate does not differ between RIte Care and Medicaid Expansion members, and as a result, the composite experience for the SOBRA capitation rate is illustrated in this report. </w:t>
      </w:r>
    </w:p>
    <w:p w14:paraId="796148A2" w14:textId="77777777" w:rsidR="00CE2634" w:rsidRPr="00DE0859" w:rsidRDefault="00CE2634" w:rsidP="00622097">
      <w:pPr>
        <w:pStyle w:val="Heading6"/>
        <w:jc w:val="both"/>
      </w:pPr>
      <w:bookmarkStart w:id="44" w:name="_Toc484701137"/>
      <w:bookmarkStart w:id="45" w:name="_Toc504388983"/>
      <w:r w:rsidRPr="00DE0859">
        <w:t>Eligibility criteria</w:t>
      </w:r>
      <w:bookmarkEnd w:id="44"/>
      <w:bookmarkEnd w:id="45"/>
    </w:p>
    <w:p w14:paraId="51E840C4" w14:textId="77777777" w:rsidR="00150A26" w:rsidRDefault="00E1295D" w:rsidP="00622097">
      <w:pPr>
        <w:pStyle w:val="RRBody"/>
        <w:jc w:val="both"/>
      </w:pPr>
      <w:bookmarkStart w:id="46" w:name="_Toc484701138"/>
      <w:r>
        <w:t>Eligible</w:t>
      </w:r>
      <w:r w:rsidRPr="00E86758">
        <w:t xml:space="preserve"> </w:t>
      </w:r>
      <w:r w:rsidR="00E86758" w:rsidRPr="00E86758">
        <w:t xml:space="preserve">Medicaid beneficiaries are required to enroll in managed care on a mandatory basis. </w:t>
      </w:r>
      <w:r>
        <w:t>Beneficiaries are covered under the fee-for-service program for an initial period as the managed care plan enrollment process occurs.</w:t>
      </w:r>
      <w:r w:rsidR="00B32721">
        <w:t xml:space="preserve"> Members may be excluded from managed care in </w:t>
      </w:r>
      <w:r w:rsidR="00CA5F36">
        <w:t xml:space="preserve">certain </w:t>
      </w:r>
      <w:r w:rsidR="00B32721">
        <w:t>circumstances, such as the presence of other insurance coverage.</w:t>
      </w:r>
      <w:r w:rsidR="00622097">
        <w:t xml:space="preserve">      </w:t>
      </w:r>
    </w:p>
    <w:p w14:paraId="242C6EC2" w14:textId="0FE0F8D1" w:rsidR="00357B5D" w:rsidRPr="00DA0D61" w:rsidRDefault="00622097" w:rsidP="00622097">
      <w:pPr>
        <w:pStyle w:val="RRBody"/>
        <w:jc w:val="both"/>
      </w:pPr>
      <w:r>
        <w:t xml:space="preserve"> </w:t>
      </w:r>
      <w:r w:rsidR="00CD1ABE">
        <w:t xml:space="preserve">  </w:t>
      </w:r>
      <w:r>
        <w:t xml:space="preserve">        </w:t>
      </w:r>
      <w:r w:rsidR="00CD1ABE">
        <w:t xml:space="preserve">                                         </w:t>
      </w:r>
    </w:p>
    <w:p w14:paraId="57A1BE59" w14:textId="77777777" w:rsidR="00CE2634" w:rsidRPr="00DE0859" w:rsidRDefault="00CE2634" w:rsidP="00622097">
      <w:pPr>
        <w:pStyle w:val="Heading6"/>
        <w:jc w:val="both"/>
      </w:pPr>
      <w:bookmarkStart w:id="47" w:name="_Toc504388984"/>
      <w:r w:rsidRPr="00DE0859">
        <w:lastRenderedPageBreak/>
        <w:t>Special contract provisions</w:t>
      </w:r>
      <w:bookmarkEnd w:id="46"/>
      <w:bookmarkEnd w:id="47"/>
    </w:p>
    <w:p w14:paraId="7B4DECFA" w14:textId="2DC1DB4E" w:rsidR="00132695" w:rsidRDefault="00D42D15" w:rsidP="00622097">
      <w:pPr>
        <w:pStyle w:val="RRBody"/>
        <w:jc w:val="both"/>
      </w:pPr>
      <w:r>
        <w:t>This</w:t>
      </w:r>
      <w:r w:rsidR="00E86758">
        <w:t xml:space="preserve"> rate certification report contains documentation of the following special contract provisions related to payment included within rate development.</w:t>
      </w:r>
    </w:p>
    <w:p w14:paraId="536D7FF4" w14:textId="38F25D76" w:rsidR="00E86758" w:rsidRDefault="00E86758" w:rsidP="00622097">
      <w:pPr>
        <w:pStyle w:val="RRBullet1"/>
        <w:jc w:val="both"/>
      </w:pPr>
      <w:r>
        <w:t>Withhold</w:t>
      </w:r>
      <w:r w:rsidR="00B32721">
        <w:t xml:space="preserve"> metrics</w:t>
      </w:r>
      <w:r>
        <w:t xml:space="preserve"> </w:t>
      </w:r>
    </w:p>
    <w:p w14:paraId="3D4F3EE4" w14:textId="77777777" w:rsidR="00B26F84" w:rsidRDefault="00B32721" w:rsidP="00622097">
      <w:pPr>
        <w:pStyle w:val="RRBullet1"/>
        <w:jc w:val="both"/>
      </w:pPr>
      <w:r>
        <w:t xml:space="preserve">Incentive payments </w:t>
      </w:r>
    </w:p>
    <w:p w14:paraId="6A9BB894" w14:textId="65D1D117" w:rsidR="00E86758" w:rsidRDefault="00B32721" w:rsidP="00622097">
      <w:pPr>
        <w:pStyle w:val="RRBullet1"/>
        <w:jc w:val="both"/>
      </w:pPr>
      <w:r>
        <w:t>Risk sharing arrangement</w:t>
      </w:r>
    </w:p>
    <w:p w14:paraId="5BA3615F" w14:textId="1D719A45" w:rsidR="00243D0B" w:rsidRDefault="00243D0B" w:rsidP="00622097">
      <w:pPr>
        <w:pStyle w:val="RRBullet1"/>
        <w:jc w:val="both"/>
      </w:pPr>
      <w:r>
        <w:t>Directed Payments</w:t>
      </w:r>
    </w:p>
    <w:p w14:paraId="7304ECCA" w14:textId="77777777" w:rsidR="004F5395" w:rsidRPr="00E86758" w:rsidRDefault="00E86758" w:rsidP="00622097">
      <w:pPr>
        <w:pStyle w:val="RRBody"/>
        <w:jc w:val="both"/>
      </w:pPr>
      <w:r>
        <w:t>Please see Section I, item 4 for additional detail and documentation</w:t>
      </w:r>
      <w:r w:rsidR="00D42D15">
        <w:t>.</w:t>
      </w:r>
      <w:bookmarkStart w:id="48" w:name="_Toc484701139"/>
      <w:bookmarkStart w:id="49" w:name="_Toc504388985"/>
    </w:p>
    <w:p w14:paraId="1EFCF839" w14:textId="77777777" w:rsidR="00CE2634" w:rsidRPr="00927255" w:rsidRDefault="00CE2634" w:rsidP="00622097">
      <w:pPr>
        <w:pStyle w:val="Heading6"/>
        <w:jc w:val="both"/>
      </w:pPr>
      <w:r w:rsidRPr="00927255">
        <w:t>Retroactive adjustment to capitation rates</w:t>
      </w:r>
      <w:bookmarkEnd w:id="48"/>
      <w:bookmarkEnd w:id="49"/>
    </w:p>
    <w:p w14:paraId="69CB597A" w14:textId="0755D507" w:rsidR="00CE2634" w:rsidRPr="00541C09" w:rsidRDefault="00A43632" w:rsidP="00622097">
      <w:pPr>
        <w:jc w:val="both"/>
      </w:pPr>
      <w:r w:rsidRPr="00541C09">
        <w:rPr>
          <w:rFonts w:cstheme="minorHAnsi"/>
          <w:szCs w:val="18"/>
        </w:rPr>
        <w:t>This rate certification report does not include a</w:t>
      </w:r>
      <w:r>
        <w:rPr>
          <w:rFonts w:cstheme="minorHAnsi"/>
          <w:szCs w:val="18"/>
        </w:rPr>
        <w:t xml:space="preserve"> retroactive adjustment to the prior certified</w:t>
      </w:r>
      <w:r w:rsidRPr="00541C09">
        <w:rPr>
          <w:rFonts w:cstheme="minorHAnsi"/>
          <w:szCs w:val="18"/>
        </w:rPr>
        <w:t xml:space="preserve"> capitation rates</w:t>
      </w:r>
      <w:r w:rsidR="00CE2634" w:rsidRPr="00541C09">
        <w:t>.</w:t>
      </w:r>
    </w:p>
    <w:p w14:paraId="3934950E" w14:textId="77777777" w:rsidR="00CE2634" w:rsidRPr="008335E4" w:rsidRDefault="00CE2634" w:rsidP="00622097">
      <w:pPr>
        <w:pStyle w:val="Heading4"/>
      </w:pPr>
      <w:bookmarkStart w:id="50" w:name="_Toc484701140"/>
      <w:bookmarkStart w:id="51" w:name="_Toc504388986"/>
      <w:bookmarkStart w:id="52" w:name="_Toc8984989"/>
      <w:bookmarkStart w:id="53" w:name="_Toc100260676"/>
      <w:r w:rsidRPr="008335E4">
        <w:t>Differences among capitation rates</w:t>
      </w:r>
      <w:bookmarkEnd w:id="50"/>
      <w:bookmarkEnd w:id="51"/>
      <w:bookmarkEnd w:id="52"/>
      <w:bookmarkEnd w:id="53"/>
    </w:p>
    <w:p w14:paraId="31471DF7" w14:textId="77777777" w:rsidR="00D42D15" w:rsidRPr="00DD4B5A" w:rsidRDefault="0041012B" w:rsidP="00622097">
      <w:pPr>
        <w:pStyle w:val="RRBody"/>
        <w:jc w:val="both"/>
      </w:pPr>
      <w:bookmarkStart w:id="54" w:name="_Hlk41226898"/>
      <w:r w:rsidRPr="0041012B">
        <w:t>Any proposed differences among capitation rates according to covered populations are based on valid rate development standards and are not based on the rate of federal financial participation associated with the covered</w:t>
      </w:r>
      <w:r>
        <w:t xml:space="preserve"> </w:t>
      </w:r>
      <w:r w:rsidR="00D42D15">
        <w:t>populations</w:t>
      </w:r>
      <w:bookmarkEnd w:id="54"/>
      <w:r w:rsidR="00D42D15">
        <w:t>.</w:t>
      </w:r>
    </w:p>
    <w:p w14:paraId="10556B71" w14:textId="77777777" w:rsidR="00CE2634" w:rsidRPr="008335E4" w:rsidRDefault="00CE2634" w:rsidP="00622097">
      <w:pPr>
        <w:pStyle w:val="Heading4"/>
      </w:pPr>
      <w:bookmarkStart w:id="55" w:name="_Toc484701141"/>
      <w:bookmarkStart w:id="56" w:name="_Toc504388987"/>
      <w:bookmarkStart w:id="57" w:name="_Toc8984990"/>
      <w:bookmarkStart w:id="58" w:name="_Toc100260677"/>
      <w:r w:rsidRPr="008335E4">
        <w:t>Cross-subsidization of rate cell payment</w:t>
      </w:r>
      <w:bookmarkEnd w:id="55"/>
      <w:bookmarkEnd w:id="56"/>
      <w:bookmarkEnd w:id="57"/>
      <w:bookmarkEnd w:id="58"/>
    </w:p>
    <w:p w14:paraId="3807984E" w14:textId="77777777" w:rsidR="00D42D15" w:rsidRPr="00DD4B5A" w:rsidRDefault="0041012B" w:rsidP="00622097">
      <w:pPr>
        <w:pStyle w:val="RRBody"/>
        <w:jc w:val="both"/>
      </w:pPr>
      <w:bookmarkStart w:id="59" w:name="_Toc484701142"/>
      <w:bookmarkStart w:id="60" w:name="_Toc504388988"/>
      <w:r w:rsidRPr="0041012B">
        <w:t xml:space="preserve">The </w:t>
      </w:r>
      <w:r w:rsidRPr="00210B59">
        <w:t>capitation</w:t>
      </w:r>
      <w:r w:rsidRPr="0041012B">
        <w:t xml:space="preserve"> rates were developed at the rate cell level and neither cross-subsidize nor are cross-subsidized by payments from any other rate</w:t>
      </w:r>
      <w:r>
        <w:t xml:space="preserve"> </w:t>
      </w:r>
      <w:r w:rsidR="00D42D15">
        <w:t>cell.</w:t>
      </w:r>
    </w:p>
    <w:p w14:paraId="166AC267" w14:textId="77777777" w:rsidR="00CE2634" w:rsidRPr="008335E4" w:rsidRDefault="00CE2634" w:rsidP="00622097">
      <w:pPr>
        <w:pStyle w:val="Heading4"/>
      </w:pPr>
      <w:bookmarkStart w:id="61" w:name="_Toc8984991"/>
      <w:bookmarkStart w:id="62" w:name="_Toc100260678"/>
      <w:r w:rsidRPr="008335E4">
        <w:t>Effective dates</w:t>
      </w:r>
      <w:bookmarkEnd w:id="59"/>
      <w:bookmarkEnd w:id="60"/>
      <w:bookmarkEnd w:id="61"/>
      <w:bookmarkEnd w:id="62"/>
    </w:p>
    <w:p w14:paraId="18B0A9A2" w14:textId="1B0B5927" w:rsidR="00D42D15" w:rsidRPr="001466CE" w:rsidRDefault="0041012B" w:rsidP="00622097">
      <w:pPr>
        <w:pStyle w:val="RRBody"/>
        <w:jc w:val="both"/>
      </w:pPr>
      <w:bookmarkStart w:id="63" w:name="_Toc484701143"/>
      <w:bookmarkStart w:id="64" w:name="_Toc504388989"/>
      <w:r w:rsidRPr="0041012B">
        <w:t xml:space="preserve">To the best of our knowledge, the effective dates of changes to the </w:t>
      </w:r>
      <w:r w:rsidR="00B32721">
        <w:t>Medicaid managed care</w:t>
      </w:r>
      <w:r w:rsidR="00B32721" w:rsidRPr="0041012B">
        <w:t xml:space="preserve"> </w:t>
      </w:r>
      <w:r w:rsidRPr="0041012B">
        <w:t>program are consistent with the assumptions used in the development of the certifie</w:t>
      </w:r>
      <w:r w:rsidR="00554271">
        <w:t xml:space="preserve">d </w:t>
      </w:r>
      <w:r w:rsidR="00B32721">
        <w:t xml:space="preserve">SFY </w:t>
      </w:r>
      <w:r w:rsidR="00574ADF">
        <w:t>2023</w:t>
      </w:r>
      <w:r w:rsidR="00574ADF" w:rsidRPr="0041012B">
        <w:t xml:space="preserve"> </w:t>
      </w:r>
      <w:r w:rsidRPr="0041012B">
        <w:t>capitation rates.</w:t>
      </w:r>
    </w:p>
    <w:p w14:paraId="4C6878E1" w14:textId="77777777" w:rsidR="00210B59" w:rsidRDefault="00210B59" w:rsidP="00622097">
      <w:pPr>
        <w:pStyle w:val="Heading4"/>
      </w:pPr>
      <w:bookmarkStart w:id="65" w:name="_Toc8984992"/>
      <w:bookmarkStart w:id="66" w:name="_Toc100260679"/>
      <w:r>
        <w:t>Medical loss ratio</w:t>
      </w:r>
      <w:bookmarkEnd w:id="65"/>
      <w:bookmarkEnd w:id="66"/>
    </w:p>
    <w:p w14:paraId="5EF21F16" w14:textId="4704BBD1" w:rsidR="00210B59" w:rsidRPr="00210B59" w:rsidRDefault="00185E58" w:rsidP="00622097">
      <w:pPr>
        <w:jc w:val="both"/>
      </w:pPr>
      <w:bookmarkStart w:id="67" w:name="_Hlk9944506"/>
      <w:r>
        <w:t>Capitation rates were developed in such a way that a medical loss ratio, as calculated under 42 CFR 438.8, is projected to be greater than 85% for the rating year</w:t>
      </w:r>
      <w:bookmarkEnd w:id="67"/>
      <w:r w:rsidR="00A43632">
        <w:t>, which includes provisions for non-benefit costs that are appropriate and attainable</w:t>
      </w:r>
      <w:r w:rsidR="00210B59">
        <w:t>.</w:t>
      </w:r>
    </w:p>
    <w:p w14:paraId="5169FAD9" w14:textId="3E08294E" w:rsidR="009C467E" w:rsidRDefault="009C467E" w:rsidP="00622097">
      <w:pPr>
        <w:pStyle w:val="Heading4"/>
      </w:pPr>
      <w:bookmarkStart w:id="68" w:name="_Toc100260680"/>
      <w:bookmarkStart w:id="69" w:name="_Toc8984993"/>
      <w:r>
        <w:t>Rate ranges</w:t>
      </w:r>
      <w:bookmarkEnd w:id="68"/>
    </w:p>
    <w:p w14:paraId="2F91EF61" w14:textId="44473266" w:rsidR="009C467E" w:rsidRPr="00FB1A4F" w:rsidRDefault="00150A26" w:rsidP="009C467E">
      <w:r>
        <w:t>The SFY 2023 Medicaid managed care program capitation rate development does not utilize rate ranges</w:t>
      </w:r>
      <w:r w:rsidR="009C467E">
        <w:t>.</w:t>
      </w:r>
    </w:p>
    <w:p w14:paraId="6D57A7F4" w14:textId="7C699FB9" w:rsidR="009C467E" w:rsidRDefault="009C467E" w:rsidP="00622097">
      <w:pPr>
        <w:pStyle w:val="Heading4"/>
      </w:pPr>
      <w:bookmarkStart w:id="70" w:name="_Toc100260681"/>
      <w:r>
        <w:t>Actuarial soundness of rate ranges</w:t>
      </w:r>
      <w:bookmarkEnd w:id="70"/>
    </w:p>
    <w:p w14:paraId="4DF0E26D" w14:textId="1D93E439" w:rsidR="009C467E" w:rsidRPr="00FB1A4F" w:rsidRDefault="00150A26" w:rsidP="009C467E">
      <w:r>
        <w:t>The SFY 2023 Medicaid managed care program capitation rate development does not utilize rate ranges</w:t>
      </w:r>
      <w:r w:rsidR="009C467E">
        <w:t>.</w:t>
      </w:r>
    </w:p>
    <w:p w14:paraId="099F768C" w14:textId="0C993A20" w:rsidR="00CE2634" w:rsidRPr="008335E4" w:rsidRDefault="00CE2634" w:rsidP="00622097">
      <w:pPr>
        <w:pStyle w:val="Heading4"/>
      </w:pPr>
      <w:bookmarkStart w:id="71" w:name="_Toc100260682"/>
      <w:r w:rsidRPr="008335E4">
        <w:t>Generally accepted actuarial practices and principles</w:t>
      </w:r>
      <w:bookmarkEnd w:id="63"/>
      <w:bookmarkEnd w:id="64"/>
      <w:bookmarkEnd w:id="69"/>
      <w:bookmarkEnd w:id="71"/>
    </w:p>
    <w:p w14:paraId="45938D62" w14:textId="77777777" w:rsidR="00CE2634" w:rsidRPr="009F2859" w:rsidRDefault="00CE2634" w:rsidP="00622097">
      <w:pPr>
        <w:pStyle w:val="Heading5"/>
        <w:jc w:val="both"/>
      </w:pPr>
      <w:bookmarkStart w:id="72" w:name="_Toc484701144"/>
      <w:bookmarkStart w:id="73" w:name="_Toc504388990"/>
      <w:r w:rsidRPr="009F2859">
        <w:t>Reasonable, appropriate, and attainable</w:t>
      </w:r>
      <w:bookmarkEnd w:id="72"/>
      <w:bookmarkEnd w:id="73"/>
    </w:p>
    <w:p w14:paraId="48A3CF1A" w14:textId="77777777" w:rsidR="00CE2634" w:rsidRPr="00541C09" w:rsidRDefault="0041012B" w:rsidP="00622097">
      <w:pPr>
        <w:jc w:val="both"/>
      </w:pPr>
      <w:r w:rsidRPr="0041012B">
        <w:t>In our judgment, all adjustments to the capitation rates, or to any portion of the capitation rates, reflect reasonable, appropriate, and attainable costs. To our knowledge, all reasonable, appropriate, and attainable costs have been included in the</w:t>
      </w:r>
      <w:r>
        <w:t xml:space="preserve"> </w:t>
      </w:r>
      <w:r w:rsidR="00CE2634" w:rsidRPr="00541C09">
        <w:t>certification.</w:t>
      </w:r>
    </w:p>
    <w:p w14:paraId="4F4D04DE" w14:textId="77777777" w:rsidR="00CE2634" w:rsidRPr="009F2859" w:rsidRDefault="00CE2634" w:rsidP="00622097">
      <w:pPr>
        <w:pStyle w:val="Heading5"/>
        <w:jc w:val="both"/>
      </w:pPr>
      <w:bookmarkStart w:id="74" w:name="_Toc484701145"/>
      <w:bookmarkStart w:id="75" w:name="_Toc504388991"/>
      <w:r w:rsidRPr="009F2859">
        <w:t>Outside the rate setting process</w:t>
      </w:r>
      <w:bookmarkEnd w:id="74"/>
      <w:bookmarkEnd w:id="75"/>
    </w:p>
    <w:p w14:paraId="58C08C1E" w14:textId="79D6707B" w:rsidR="00D42D15" w:rsidRDefault="00D42D15" w:rsidP="00622097">
      <w:pPr>
        <w:pStyle w:val="RRBody"/>
        <w:jc w:val="both"/>
      </w:pPr>
      <w:r>
        <w:t>There are no adjustments to the rates performed outside the rate setting process.</w:t>
      </w:r>
    </w:p>
    <w:p w14:paraId="6DCC4212" w14:textId="77777777" w:rsidR="00CE2634" w:rsidRPr="009F2859" w:rsidRDefault="00CE2634" w:rsidP="00622097">
      <w:pPr>
        <w:pStyle w:val="Heading5"/>
        <w:jc w:val="both"/>
      </w:pPr>
      <w:bookmarkStart w:id="76" w:name="_Toc484701146"/>
      <w:bookmarkStart w:id="77" w:name="_Toc504388992"/>
      <w:r w:rsidRPr="009F2859">
        <w:t>Final contracted rates</w:t>
      </w:r>
      <w:bookmarkEnd w:id="76"/>
      <w:bookmarkEnd w:id="77"/>
    </w:p>
    <w:p w14:paraId="500FB150" w14:textId="2FC70EFE" w:rsidR="00D42D15" w:rsidRPr="00D42D15" w:rsidRDefault="00D42D15" w:rsidP="00622097">
      <w:pPr>
        <w:pStyle w:val="RRBody"/>
        <w:jc w:val="both"/>
        <w:rPr>
          <w:sz w:val="22"/>
        </w:rPr>
      </w:pPr>
      <w:bookmarkStart w:id="78" w:name="_Toc484701147"/>
      <w:bookmarkStart w:id="79" w:name="_Toc504388993"/>
      <w:r>
        <w:t xml:space="preserve">The </w:t>
      </w:r>
      <w:r w:rsidR="00B32721">
        <w:t xml:space="preserve">SFY </w:t>
      </w:r>
      <w:r w:rsidR="009D47F7">
        <w:t>2023</w:t>
      </w:r>
      <w:r w:rsidR="009D47F7" w:rsidRPr="00554271">
        <w:t xml:space="preserve"> </w:t>
      </w:r>
      <w:r w:rsidR="00554271" w:rsidRPr="00554271">
        <w:t>capitation rates certified in this report represent the final contracted rates by rate cell prior to risk adjustment.</w:t>
      </w:r>
    </w:p>
    <w:p w14:paraId="05121ECF" w14:textId="77777777" w:rsidR="00CE2634" w:rsidRPr="008335E4" w:rsidRDefault="00CE2634" w:rsidP="00622097">
      <w:pPr>
        <w:pStyle w:val="Heading4"/>
      </w:pPr>
      <w:bookmarkStart w:id="80" w:name="_Toc8984994"/>
      <w:bookmarkStart w:id="81" w:name="_Toc100260683"/>
      <w:r w:rsidRPr="008335E4">
        <w:lastRenderedPageBreak/>
        <w:t>Rate certification for effective time periods</w:t>
      </w:r>
      <w:bookmarkEnd w:id="78"/>
      <w:bookmarkEnd w:id="79"/>
      <w:bookmarkEnd w:id="80"/>
      <w:bookmarkEnd w:id="81"/>
    </w:p>
    <w:p w14:paraId="373927AE" w14:textId="72403FFF" w:rsidR="00CE2634" w:rsidRPr="00D42D15" w:rsidRDefault="0041012B" w:rsidP="00622097">
      <w:pPr>
        <w:pStyle w:val="RRBody"/>
        <w:jc w:val="both"/>
        <w:rPr>
          <w:rFonts w:cs="Times New Roman"/>
          <w:szCs w:val="18"/>
        </w:rPr>
      </w:pPr>
      <w:r w:rsidRPr="0041012B">
        <w:t xml:space="preserve">This actuarial certification is effective for the </w:t>
      </w:r>
      <w:r w:rsidR="001B3E25" w:rsidRPr="0041012B">
        <w:t>one-year</w:t>
      </w:r>
      <w:r w:rsidRPr="0041012B">
        <w:t xml:space="preserve"> rating period of </w:t>
      </w:r>
      <w:r w:rsidR="009C467E">
        <w:t>July 1, 2022</w:t>
      </w:r>
      <w:r w:rsidR="00B52EB3">
        <w:t xml:space="preserve"> through </w:t>
      </w:r>
      <w:r w:rsidR="009C467E">
        <w:t>June 30, 2023</w:t>
      </w:r>
      <w:r w:rsidRPr="0041012B">
        <w:t>.</w:t>
      </w:r>
    </w:p>
    <w:p w14:paraId="2C2CD7DC" w14:textId="081394C2" w:rsidR="009D47F7" w:rsidRDefault="009D47F7" w:rsidP="00622097">
      <w:pPr>
        <w:pStyle w:val="Heading4"/>
      </w:pPr>
      <w:bookmarkStart w:id="82" w:name="_Toc100260684"/>
      <w:bookmarkStart w:id="83" w:name="_Toc484701148"/>
      <w:bookmarkStart w:id="84" w:name="_Toc504388994"/>
      <w:bookmarkStart w:id="85" w:name="_Toc8984995"/>
      <w:r>
        <w:t>COVID-19 public health emergency</w:t>
      </w:r>
      <w:bookmarkEnd w:id="82"/>
    </w:p>
    <w:p w14:paraId="616FF8CB" w14:textId="7C9ADAAD" w:rsidR="00E132D0" w:rsidRDefault="00150A26" w:rsidP="009D47F7">
      <w:r>
        <w:t xml:space="preserve">We considered the direct and indirect impact of COVID-19 on the covered population and services in SFY 2023. </w:t>
      </w:r>
      <w:r w:rsidR="00E132D0">
        <w:t xml:space="preserve">This analysis and estimated impacts are described in detail in Section </w:t>
      </w:r>
      <w:r w:rsidR="00FE229B">
        <w:t>I.3.B.ii.(a).</w:t>
      </w:r>
    </w:p>
    <w:p w14:paraId="22622DD8" w14:textId="5BE42FC8" w:rsidR="00150A26" w:rsidRDefault="00150A26" w:rsidP="009D47F7">
      <w:r>
        <w:t>For purposes of this report, the public health emergency (PHE) was assumed to continue throughout SFY 2023. The potential termination of the PHE and associated impacts may be evaluated when the</w:t>
      </w:r>
      <w:r w:rsidR="00E132D0">
        <w:t xml:space="preserve"> PHE</w:t>
      </w:r>
      <w:r>
        <w:t xml:space="preserve"> termination date is </w:t>
      </w:r>
      <w:r w:rsidR="00027779">
        <w:t>known</w:t>
      </w:r>
      <w:r w:rsidR="00E132D0">
        <w:t xml:space="preserve">. </w:t>
      </w:r>
    </w:p>
    <w:p w14:paraId="26B41953" w14:textId="0392A767" w:rsidR="00CE2634" w:rsidRDefault="00CE2634" w:rsidP="00622097">
      <w:pPr>
        <w:pStyle w:val="Heading4"/>
      </w:pPr>
      <w:bookmarkStart w:id="86" w:name="_Toc100260685"/>
      <w:r w:rsidRPr="008335E4">
        <w:t>Procedures for rate certification and amendment</w:t>
      </w:r>
      <w:bookmarkEnd w:id="83"/>
      <w:bookmarkEnd w:id="84"/>
      <w:bookmarkEnd w:id="85"/>
      <w:bookmarkEnd w:id="86"/>
    </w:p>
    <w:p w14:paraId="663C5A32" w14:textId="77777777" w:rsidR="00B8748C" w:rsidRPr="00933BDB" w:rsidRDefault="00B8748C" w:rsidP="00622097">
      <w:pPr>
        <w:pStyle w:val="RRBody"/>
        <w:jc w:val="both"/>
      </w:pPr>
      <w:r w:rsidRPr="00933BDB">
        <w:t>In general, a new rate certification will be submitted when the rates change. The following exceptions are allowed</w:t>
      </w:r>
      <w:r w:rsidR="00530625">
        <w:t xml:space="preserve"> per §438.7 of CMS 2390-F</w:t>
      </w:r>
      <w:r w:rsidRPr="00933BDB">
        <w:t>:</w:t>
      </w:r>
    </w:p>
    <w:p w14:paraId="6EC04CD5" w14:textId="04488EC3" w:rsidR="00A43632" w:rsidRDefault="00A43632" w:rsidP="00622097">
      <w:pPr>
        <w:pStyle w:val="ListParagraph"/>
        <w:numPr>
          <w:ilvl w:val="0"/>
          <w:numId w:val="10"/>
        </w:numPr>
        <w:jc w:val="both"/>
      </w:pPr>
      <w:r w:rsidRPr="00DF73B0">
        <w:t>An increase or decrease of up to 1.5% in the capitation rate per rate cell.</w:t>
      </w:r>
    </w:p>
    <w:p w14:paraId="5FD77995" w14:textId="591AA888" w:rsidR="00B8748C" w:rsidRPr="00DF73B0" w:rsidRDefault="00B8748C" w:rsidP="00622097">
      <w:pPr>
        <w:pStyle w:val="ListParagraph"/>
        <w:numPr>
          <w:ilvl w:val="0"/>
          <w:numId w:val="10"/>
        </w:numPr>
        <w:jc w:val="both"/>
      </w:pPr>
      <w:r w:rsidRPr="00DF73B0">
        <w:t>Risk adjustment, under a methodology described in the initial certification, c</w:t>
      </w:r>
      <w:r w:rsidR="007B40AA" w:rsidRPr="00DF73B0">
        <w:t xml:space="preserve">hanges the rates paid to the </w:t>
      </w:r>
      <w:r w:rsidR="00B32721">
        <w:t>MCOs</w:t>
      </w:r>
      <w:r w:rsidR="00071264">
        <w:t>.</w:t>
      </w:r>
    </w:p>
    <w:p w14:paraId="68603672" w14:textId="5C09F89A" w:rsidR="00CE2634" w:rsidRDefault="00E144CC" w:rsidP="00622097">
      <w:pPr>
        <w:pStyle w:val="RRBody"/>
        <w:jc w:val="both"/>
      </w:pPr>
      <w:r>
        <w:t xml:space="preserve">Under case one above, a contract amendment must still be submitted to CMS. </w:t>
      </w:r>
      <w:r w:rsidR="00593F32">
        <w:t xml:space="preserve">In instances in which </w:t>
      </w:r>
      <w:r>
        <w:t xml:space="preserve">the rates are </w:t>
      </w:r>
      <w:r w:rsidR="00027779">
        <w:t>unchanged,</w:t>
      </w:r>
      <w:r>
        <w:t xml:space="preserve"> but </w:t>
      </w:r>
      <w:r w:rsidR="00593F32">
        <w:t xml:space="preserve">a contract amendment </w:t>
      </w:r>
      <w:r>
        <w:t>could reasonably change the rate development and rates, we will provide supporting documentation indicating the rationale as to why the rates continue to be actuarially sound.</w:t>
      </w:r>
      <w:r w:rsidR="00B8748C">
        <w:t xml:space="preserve"> </w:t>
      </w:r>
      <w:r>
        <w:t>A new rate certification will be provided to account for any costs invalidated by courts of law, or changes in federal statues, regulations, or approvals.</w:t>
      </w:r>
    </w:p>
    <w:p w14:paraId="2F668A48" w14:textId="62DEE908" w:rsidR="009D47F7" w:rsidRPr="00B8748C" w:rsidRDefault="00E132D0" w:rsidP="00622097">
      <w:pPr>
        <w:pStyle w:val="RRBody"/>
        <w:jc w:val="both"/>
        <w:rPr>
          <w:sz w:val="22"/>
        </w:rPr>
      </w:pPr>
      <w:r>
        <w:t>A</w:t>
      </w:r>
      <w:r w:rsidR="009D47F7">
        <w:t>ny update to the payment terms by application of this risk adjustment methodology will be provided to CMS consistent with 42 CFR §438.3(c).</w:t>
      </w:r>
    </w:p>
    <w:p w14:paraId="4E15B424" w14:textId="778A711D" w:rsidR="00CE2634" w:rsidRPr="00D705D5" w:rsidRDefault="00CE2634" w:rsidP="00622097">
      <w:pPr>
        <w:pStyle w:val="Heading3"/>
        <w:jc w:val="both"/>
      </w:pPr>
      <w:bookmarkStart w:id="87" w:name="_Toc484701149"/>
      <w:bookmarkStart w:id="88" w:name="_Toc504388995"/>
      <w:bookmarkStart w:id="89" w:name="_Toc8984996"/>
      <w:bookmarkStart w:id="90" w:name="_Toc100260686"/>
      <w:r w:rsidRPr="00D705D5">
        <w:t>Appropriate Documentation</w:t>
      </w:r>
      <w:bookmarkEnd w:id="87"/>
      <w:bookmarkEnd w:id="88"/>
      <w:bookmarkEnd w:id="89"/>
      <w:bookmarkEnd w:id="90"/>
    </w:p>
    <w:p w14:paraId="48559D6F" w14:textId="3F865AFB" w:rsidR="009D47F7" w:rsidRDefault="009D47F7" w:rsidP="00622097">
      <w:pPr>
        <w:pStyle w:val="Heading4"/>
      </w:pPr>
      <w:bookmarkStart w:id="91" w:name="_Toc100260687"/>
      <w:bookmarkStart w:id="92" w:name="_Toc484701150"/>
      <w:bookmarkStart w:id="93" w:name="_Toc504388996"/>
      <w:bookmarkStart w:id="94" w:name="_Toc8984997"/>
      <w:r>
        <w:t>Capitation rate certification</w:t>
      </w:r>
      <w:bookmarkEnd w:id="91"/>
    </w:p>
    <w:p w14:paraId="205D2979" w14:textId="0EAF5C76" w:rsidR="009D47F7" w:rsidRPr="00B27972" w:rsidRDefault="00E132D0" w:rsidP="00027779">
      <w:r>
        <w:t xml:space="preserve">The SFY 2023 Medicaid managed care rate development specifies </w:t>
      </w:r>
      <w:r w:rsidR="00D71A07">
        <w:t xml:space="preserve">capitation </w:t>
      </w:r>
      <w:r>
        <w:t>rates for each rate cell</w:t>
      </w:r>
      <w:r w:rsidR="009D47F7">
        <w:t>.</w:t>
      </w:r>
    </w:p>
    <w:p w14:paraId="31ACA52B" w14:textId="07E71D24" w:rsidR="00CE2634" w:rsidRPr="008335E4" w:rsidRDefault="00CE2634" w:rsidP="00622097">
      <w:pPr>
        <w:pStyle w:val="Heading4"/>
      </w:pPr>
      <w:bookmarkStart w:id="95" w:name="_Toc100260688"/>
      <w:r w:rsidRPr="008335E4">
        <w:t>Documentation of required elements</w:t>
      </w:r>
      <w:bookmarkEnd w:id="92"/>
      <w:bookmarkEnd w:id="93"/>
      <w:bookmarkEnd w:id="94"/>
      <w:bookmarkEnd w:id="95"/>
    </w:p>
    <w:p w14:paraId="47491F2A" w14:textId="77777777" w:rsidR="00CE2634" w:rsidRPr="00541C09" w:rsidRDefault="002010B6" w:rsidP="00622097">
      <w:pPr>
        <w:jc w:val="both"/>
      </w:pPr>
      <w:r w:rsidRPr="002010B6">
        <w:t>This report contains appropriate documentation of all elements described in the rate certification, including data used, assumptions made, and methods for analyzing data and developing assumptions and</w:t>
      </w:r>
      <w:r>
        <w:t xml:space="preserve"> </w:t>
      </w:r>
      <w:r w:rsidR="00CE2634" w:rsidRPr="00541C09">
        <w:t>adjustments.</w:t>
      </w:r>
    </w:p>
    <w:p w14:paraId="7FF37994" w14:textId="47563185" w:rsidR="00B2400F" w:rsidRPr="0027065D" w:rsidRDefault="00E132D0" w:rsidP="00B2400F">
      <w:pPr>
        <w:pStyle w:val="Heading4"/>
      </w:pPr>
      <w:bookmarkStart w:id="96" w:name="_Toc100260689"/>
      <w:bookmarkStart w:id="97" w:name="_Toc484701151"/>
      <w:bookmarkStart w:id="98" w:name="_Toc504388997"/>
      <w:bookmarkStart w:id="99" w:name="_Toc8984998"/>
      <w:r>
        <w:t>Use of r</w:t>
      </w:r>
      <w:r w:rsidR="00B2400F">
        <w:t xml:space="preserve">ate </w:t>
      </w:r>
      <w:r w:rsidR="00C41FB7">
        <w:t>ranges</w:t>
      </w:r>
      <w:bookmarkEnd w:id="96"/>
    </w:p>
    <w:p w14:paraId="7E939CCE" w14:textId="49F17746" w:rsidR="00B2400F" w:rsidRDefault="00B2400F" w:rsidP="00072C4C">
      <w:pPr>
        <w:jc w:val="both"/>
      </w:pPr>
      <w:r>
        <w:t>This report certifies specific rates for each rate cell in accordance with 42 CFR §438.4(b)(4) and 438.7(c).</w:t>
      </w:r>
    </w:p>
    <w:p w14:paraId="2E750DFE" w14:textId="3346D646" w:rsidR="00C41FB7" w:rsidRDefault="00C41FB7" w:rsidP="00622097">
      <w:pPr>
        <w:pStyle w:val="Heading4"/>
      </w:pPr>
      <w:bookmarkStart w:id="100" w:name="_Toc100260690"/>
      <w:r>
        <w:t>Rate range boundaries</w:t>
      </w:r>
      <w:bookmarkEnd w:id="100"/>
    </w:p>
    <w:p w14:paraId="221D897B" w14:textId="691A1B74" w:rsidR="00C41FB7" w:rsidRPr="00FB1A4F" w:rsidRDefault="00E132D0" w:rsidP="00C41FB7">
      <w:r>
        <w:t>The SFY 2023 Medicaid managed care program capitation rate development does not utilize rate ranges</w:t>
      </w:r>
      <w:r w:rsidR="00C41FB7">
        <w:t>.</w:t>
      </w:r>
    </w:p>
    <w:p w14:paraId="5B3D5F1B" w14:textId="62A9FDA8" w:rsidR="00CE2634" w:rsidRPr="0027065D" w:rsidRDefault="00CE2634" w:rsidP="00622097">
      <w:pPr>
        <w:pStyle w:val="Heading4"/>
      </w:pPr>
      <w:bookmarkStart w:id="101" w:name="_Toc100260691"/>
      <w:r w:rsidRPr="0027065D">
        <w:t>Index</w:t>
      </w:r>
      <w:bookmarkEnd w:id="97"/>
      <w:bookmarkEnd w:id="98"/>
      <w:bookmarkEnd w:id="99"/>
      <w:bookmarkEnd w:id="101"/>
    </w:p>
    <w:p w14:paraId="5C766846" w14:textId="77777777" w:rsidR="00CE2634" w:rsidRPr="00541C09" w:rsidRDefault="00CE2634" w:rsidP="00622097">
      <w:pPr>
        <w:jc w:val="both"/>
      </w:pPr>
      <w:r w:rsidRPr="00541C09">
        <w:t xml:space="preserve">The index to this rate certification is the </w:t>
      </w:r>
      <w:r w:rsidR="003C17F1">
        <w:t xml:space="preserve">table </w:t>
      </w:r>
      <w:r w:rsidRPr="00541C09">
        <w:t>of contents, found immediately after the title page. The index includes section numbers and related page numbers. Sections not relevant to this certification continue to be provided, with an explanation of why they are not applicable.</w:t>
      </w:r>
    </w:p>
    <w:p w14:paraId="67362E5A" w14:textId="37B1F2D4" w:rsidR="00C41FB7" w:rsidRDefault="00C41FB7" w:rsidP="00622097">
      <w:pPr>
        <w:pStyle w:val="Heading4"/>
      </w:pPr>
      <w:bookmarkStart w:id="102" w:name="_Toc100260692"/>
      <w:bookmarkStart w:id="103" w:name="_Toc484701152"/>
      <w:bookmarkStart w:id="104" w:name="_Toc504388998"/>
      <w:bookmarkStart w:id="105" w:name="_Toc8984999"/>
      <w:r>
        <w:t>Compliance with 42 CFR §438.4(b)(1)</w:t>
      </w:r>
      <w:bookmarkEnd w:id="102"/>
    </w:p>
    <w:p w14:paraId="40BD870F" w14:textId="7AFCF7E1" w:rsidR="00C41FB7" w:rsidRPr="00B27972" w:rsidRDefault="00BE0AD8" w:rsidP="00027779">
      <w:r>
        <w:t xml:space="preserve">The SFY 2023 Medicaid managed care capitation rate development includes assumptions, methodologies, and/or factors that are based on valid rate development standards and are consistent across covered populations in accordance with </w:t>
      </w:r>
      <w:r w:rsidR="00C41FB7" w:rsidRPr="00C41FB7">
        <w:t>42 CFR §438.4(b)(</w:t>
      </w:r>
      <w:r w:rsidR="00C41FB7">
        <w:t>1</w:t>
      </w:r>
      <w:r w:rsidR="00C41FB7" w:rsidRPr="00C41FB7">
        <w:t>)</w:t>
      </w:r>
      <w:r>
        <w:t xml:space="preserve"> and </w:t>
      </w:r>
      <w:r w:rsidRPr="00C41FB7">
        <w:t>§438.4(b)(</w:t>
      </w:r>
      <w:r>
        <w:t>6</w:t>
      </w:r>
      <w:r w:rsidRPr="00C41FB7">
        <w:t>)</w:t>
      </w:r>
      <w:r w:rsidR="00C41FB7">
        <w:t>.</w:t>
      </w:r>
    </w:p>
    <w:p w14:paraId="458B1AA0" w14:textId="623004D4" w:rsidR="00CE2634" w:rsidRDefault="00CE2634" w:rsidP="00622097">
      <w:pPr>
        <w:pStyle w:val="Heading4"/>
      </w:pPr>
      <w:bookmarkStart w:id="106" w:name="_Toc100260693"/>
      <w:r w:rsidRPr="0027065D">
        <w:lastRenderedPageBreak/>
        <w:t>Different FMAP</w:t>
      </w:r>
      <w:bookmarkEnd w:id="103"/>
      <w:bookmarkEnd w:id="104"/>
      <w:bookmarkEnd w:id="105"/>
      <w:bookmarkEnd w:id="106"/>
    </w:p>
    <w:p w14:paraId="5118BB61" w14:textId="059309D6" w:rsidR="00216978" w:rsidRDefault="00216978" w:rsidP="00622097">
      <w:pPr>
        <w:pStyle w:val="RRBody"/>
        <w:jc w:val="both"/>
      </w:pPr>
      <w:r>
        <w:t>Capitated payments for</w:t>
      </w:r>
      <w:r w:rsidRPr="007B40AA">
        <w:t xml:space="preserve"> </w:t>
      </w:r>
      <w:r w:rsidR="00164F76">
        <w:t>CSHCN, RHP, and RIte Care</w:t>
      </w:r>
      <w:r w:rsidR="007B40AA" w:rsidRPr="007B40AA">
        <w:t xml:space="preserve"> populations receive the </w:t>
      </w:r>
      <w:r w:rsidR="00D71A07">
        <w:t>standard</w:t>
      </w:r>
      <w:r w:rsidR="00D71A07" w:rsidRPr="007B40AA">
        <w:t xml:space="preserve"> </w:t>
      </w:r>
      <w:r w:rsidR="007B40AA" w:rsidRPr="007B40AA">
        <w:t>state FMAP</w:t>
      </w:r>
      <w:r>
        <w:t xml:space="preserve"> of </w:t>
      </w:r>
      <w:r w:rsidR="00B72C20">
        <w:t>54.</w:t>
      </w:r>
      <w:r w:rsidR="00B27972">
        <w:t>88</w:t>
      </w:r>
      <w:r w:rsidR="00B72C20">
        <w:t xml:space="preserve">% in FFY </w:t>
      </w:r>
      <w:r w:rsidR="00B27972">
        <w:t xml:space="preserve">2022 </w:t>
      </w:r>
      <w:r w:rsidR="00B72C20">
        <w:t xml:space="preserve">and </w:t>
      </w:r>
      <w:r w:rsidR="00B27972">
        <w:t>53</w:t>
      </w:r>
      <w:r>
        <w:t>.</w:t>
      </w:r>
      <w:r w:rsidR="00B27972">
        <w:t>96</w:t>
      </w:r>
      <w:r>
        <w:t xml:space="preserve">% in FFY </w:t>
      </w:r>
      <w:r w:rsidR="00B27972">
        <w:t>2023</w:t>
      </w:r>
      <w:r w:rsidR="007B40AA" w:rsidRPr="007B40AA">
        <w:t xml:space="preserve">. The </w:t>
      </w:r>
      <w:r w:rsidR="00164F76">
        <w:t xml:space="preserve">Medicaid Expansion </w:t>
      </w:r>
      <w:r w:rsidR="007B40AA" w:rsidRPr="007B40AA">
        <w:t xml:space="preserve">population receives </w:t>
      </w:r>
      <w:r>
        <w:t xml:space="preserve">an </w:t>
      </w:r>
      <w:r w:rsidR="007B40AA" w:rsidRPr="007B40AA">
        <w:t xml:space="preserve">enhanced </w:t>
      </w:r>
      <w:r>
        <w:t xml:space="preserve">90% </w:t>
      </w:r>
      <w:r w:rsidR="007B40AA" w:rsidRPr="007B40AA">
        <w:t xml:space="preserve">FMAP. </w:t>
      </w:r>
    </w:p>
    <w:p w14:paraId="048933C3" w14:textId="18357C14" w:rsidR="00B8748C" w:rsidRPr="00EB0D6C" w:rsidRDefault="00B72C20">
      <w:pPr>
        <w:pStyle w:val="RRBody"/>
        <w:jc w:val="both"/>
      </w:pPr>
      <w:r>
        <w:t xml:space="preserve">The enhanced FMAP of </w:t>
      </w:r>
      <w:r w:rsidR="00F20E0B">
        <w:t>68</w:t>
      </w:r>
      <w:r>
        <w:t>.</w:t>
      </w:r>
      <w:r w:rsidR="00F20E0B">
        <w:t>42</w:t>
      </w:r>
      <w:r>
        <w:t xml:space="preserve">% in FFY </w:t>
      </w:r>
      <w:r w:rsidR="00F20E0B">
        <w:t xml:space="preserve">2022 </w:t>
      </w:r>
      <w:r>
        <w:t xml:space="preserve">and </w:t>
      </w:r>
      <w:r w:rsidR="00F20E0B">
        <w:t>67</w:t>
      </w:r>
      <w:r>
        <w:t>.</w:t>
      </w:r>
      <w:r w:rsidR="00F20E0B">
        <w:t>77</w:t>
      </w:r>
      <w:r>
        <w:t xml:space="preserve">% in FFY </w:t>
      </w:r>
      <w:r w:rsidR="00F20E0B">
        <w:t xml:space="preserve">2023 </w:t>
      </w:r>
      <w:r>
        <w:t xml:space="preserve">for </w:t>
      </w:r>
      <w:r w:rsidR="00216978">
        <w:t>children who are eligible for Title XXI benefits</w:t>
      </w:r>
      <w:r>
        <w:t xml:space="preserve">, the enhanced FMAP provided by the Families First Coronavirus Response Act (6.2% increase), and 90% enhanced FMAP for family planning services are </w:t>
      </w:r>
      <w:r w:rsidR="007B40AA" w:rsidRPr="007B40AA">
        <w:t>not reflected in th</w:t>
      </w:r>
      <w:r w:rsidR="00DD5F14">
        <w:t xml:space="preserve">e values provided in </w:t>
      </w:r>
      <w:r w:rsidR="006A75FA">
        <w:t>Figure 2</w:t>
      </w:r>
      <w:r w:rsidR="00B8748C" w:rsidRPr="00A95802">
        <w:t>.</w:t>
      </w:r>
    </w:p>
    <w:p w14:paraId="1E9365D5" w14:textId="7A54A5DD" w:rsidR="00CE2634" w:rsidRPr="0027065D" w:rsidRDefault="00936C7D" w:rsidP="00622097">
      <w:pPr>
        <w:pStyle w:val="Heading4"/>
      </w:pPr>
      <w:bookmarkStart w:id="107" w:name="_Toc8985000"/>
      <w:bookmarkStart w:id="108" w:name="_Toc100260694"/>
      <w:r>
        <w:t>Comparison to final certified rates in the previous rate certification</w:t>
      </w:r>
      <w:bookmarkEnd w:id="107"/>
      <w:bookmarkEnd w:id="108"/>
    </w:p>
    <w:p w14:paraId="17B65361" w14:textId="74ECFAB4" w:rsidR="00CE2634" w:rsidRPr="00541C09" w:rsidRDefault="00936C7D" w:rsidP="00622097">
      <w:pPr>
        <w:jc w:val="both"/>
      </w:pPr>
      <w:r>
        <w:t xml:space="preserve">The </w:t>
      </w:r>
      <w:r w:rsidR="000F3D8D">
        <w:t xml:space="preserve">previous </w:t>
      </w:r>
      <w:r>
        <w:t>r</w:t>
      </w:r>
      <w:r w:rsidR="002010B6">
        <w:t xml:space="preserve">ate certification applied to </w:t>
      </w:r>
      <w:r w:rsidR="00B26F84">
        <w:t xml:space="preserve">SFY </w:t>
      </w:r>
      <w:r w:rsidR="00F20E0B">
        <w:t xml:space="preserve">2022 </w:t>
      </w:r>
      <w:r>
        <w:t xml:space="preserve">capitation rates. A comparison to </w:t>
      </w:r>
      <w:r w:rsidR="00B26F84">
        <w:t xml:space="preserve">SFY </w:t>
      </w:r>
      <w:r w:rsidR="00F20E0B">
        <w:t xml:space="preserve">2022 </w:t>
      </w:r>
      <w:r>
        <w:t xml:space="preserve">certified rates by rate cell is provided in </w:t>
      </w:r>
      <w:r w:rsidR="00132695">
        <w:t xml:space="preserve">Appendix </w:t>
      </w:r>
      <w:r w:rsidR="00D71A07">
        <w:t>4</w:t>
      </w:r>
      <w:r w:rsidR="00CE2634" w:rsidRPr="00541C09">
        <w:t>.</w:t>
      </w:r>
      <w:r w:rsidR="00B2400F">
        <w:t xml:space="preserve"> </w:t>
      </w:r>
      <w:r w:rsidR="008F1742">
        <w:t>All material changes to the capitation rates and rate development process compared to the previous rate certification are described in this report.</w:t>
      </w:r>
    </w:p>
    <w:p w14:paraId="297D6F85" w14:textId="3EFBC166" w:rsidR="00C9603B" w:rsidRPr="0027065D" w:rsidRDefault="00C9603B" w:rsidP="00C9603B">
      <w:pPr>
        <w:pStyle w:val="Heading4"/>
      </w:pPr>
      <w:bookmarkStart w:id="109" w:name="_Toc100260695"/>
      <w:r>
        <w:t>Future Amendments</w:t>
      </w:r>
      <w:bookmarkEnd w:id="109"/>
    </w:p>
    <w:p w14:paraId="48A97027" w14:textId="6D380340" w:rsidR="001D7F4A" w:rsidRDefault="0008195D" w:rsidP="001F71A1">
      <w:pPr>
        <w:jc w:val="both"/>
      </w:pPr>
      <w:r>
        <w:t>The SFY 2023 capitation rates may be amended to reflect material program changes not known at the time of this certification</w:t>
      </w:r>
      <w:r w:rsidR="00911EB9">
        <w:t>, such as</w:t>
      </w:r>
      <w:r w:rsidR="00BE0AD8">
        <w:t xml:space="preserve"> legislatively mandated SFY 2023 program changes and/or </w:t>
      </w:r>
      <w:r>
        <w:t xml:space="preserve">impacts associated with </w:t>
      </w:r>
      <w:r w:rsidR="00BE0AD8">
        <w:t>termination of the PHE.</w:t>
      </w:r>
    </w:p>
    <w:p w14:paraId="5F41C392" w14:textId="56DDBDF6" w:rsidR="00C41FB7" w:rsidRDefault="00C41FB7" w:rsidP="00C41FB7">
      <w:pPr>
        <w:pStyle w:val="Heading4"/>
      </w:pPr>
      <w:bookmarkStart w:id="110" w:name="_Toc100260696"/>
      <w:r>
        <w:t>COVID-19 public health emergency</w:t>
      </w:r>
      <w:bookmarkEnd w:id="110"/>
    </w:p>
    <w:p w14:paraId="7E00D40D" w14:textId="510F9EEE" w:rsidR="00EF2938" w:rsidRDefault="00EF2938" w:rsidP="00EF2938">
      <w:pPr>
        <w:jc w:val="both"/>
      </w:pPr>
      <w:r>
        <w:t xml:space="preserve">We considered the impact of COVID-19 on the estimated utilization and service mix for the covered population in SFY 2023. We note that there continues to be </w:t>
      </w:r>
      <w:r w:rsidR="0008195D">
        <w:t xml:space="preserve">material </w:t>
      </w:r>
      <w:r>
        <w:t xml:space="preserve">uncertainty </w:t>
      </w:r>
      <w:r w:rsidR="0008195D">
        <w:t xml:space="preserve">related to </w:t>
      </w:r>
      <w:r>
        <w:t>the impact of COVID-19 on capitation rates.</w:t>
      </w:r>
      <w:r w:rsidR="00FE229B" w:rsidRPr="00FE229B">
        <w:t xml:space="preserve"> </w:t>
      </w:r>
      <w:r w:rsidR="00FE229B">
        <w:t>This analysis and estimated impacts are described in detail in Section I.3.B.ii.(a).</w:t>
      </w:r>
    </w:p>
    <w:p w14:paraId="13CD73D7" w14:textId="17E0BCDC" w:rsidR="00C41FB7" w:rsidRPr="00B27972" w:rsidRDefault="00EF2938" w:rsidP="00EF2938">
      <w:r>
        <w:t xml:space="preserve">As previously stated, the PHE was assumed to continue throughout SFY 2023. The potential termination of the PHE and associated impacts may be evaluated when the PHE termination date is </w:t>
      </w:r>
      <w:r w:rsidR="00027779">
        <w:t>known</w:t>
      </w:r>
      <w:r>
        <w:t>.</w:t>
      </w:r>
    </w:p>
    <w:p w14:paraId="3C95E834" w14:textId="3E2E1238" w:rsidR="00214E70" w:rsidRPr="009F2859" w:rsidRDefault="00214E70" w:rsidP="00214E70">
      <w:pPr>
        <w:pStyle w:val="Heading5"/>
        <w:jc w:val="both"/>
      </w:pPr>
      <w:r>
        <w:t>Available data</w:t>
      </w:r>
    </w:p>
    <w:p w14:paraId="2C704B0A" w14:textId="54FC5DC1" w:rsidR="00EF2938" w:rsidRDefault="00EF2938" w:rsidP="00214E70">
      <w:pPr>
        <w:jc w:val="both"/>
      </w:pPr>
      <w:r>
        <w:t>Rhode Island Medicaid managed care data through December 31, 2021</w:t>
      </w:r>
      <w:r w:rsidR="0008195D">
        <w:t>,</w:t>
      </w:r>
      <w:r>
        <w:t xml:space="preserve">inclusive of </w:t>
      </w:r>
      <w:r w:rsidR="0008195D">
        <w:t>incurred but not paid (</w:t>
      </w:r>
      <w:r>
        <w:t>IBNP</w:t>
      </w:r>
      <w:r w:rsidR="0008195D">
        <w:t>)</w:t>
      </w:r>
      <w:r>
        <w:t xml:space="preserve"> expenditures</w:t>
      </w:r>
      <w:r w:rsidR="0008195D">
        <w:t>,</w:t>
      </w:r>
      <w:r>
        <w:t xml:space="preserve"> was evaluated to understand emerging experience </w:t>
      </w:r>
      <w:r w:rsidR="0008195D">
        <w:t xml:space="preserve">during </w:t>
      </w:r>
      <w:r>
        <w:t xml:space="preserve">the PHE. Encounter data, program enrollment, and MCO submitted Financial Data Cost Reports (FDCRs) were </w:t>
      </w:r>
      <w:r w:rsidR="00777156">
        <w:t>utilized in this analysis</w:t>
      </w:r>
      <w:r>
        <w:t xml:space="preserve">. Emerging Rhode Island experience was compared to results in other state Medicaid programs to evaluate </w:t>
      </w:r>
      <w:r w:rsidR="007176CC">
        <w:t xml:space="preserve">the </w:t>
      </w:r>
      <w:r>
        <w:t xml:space="preserve">consistency of observed </w:t>
      </w:r>
      <w:r w:rsidR="0008195D">
        <w:t xml:space="preserve">pandemic </w:t>
      </w:r>
      <w:r>
        <w:t>trends.</w:t>
      </w:r>
    </w:p>
    <w:p w14:paraId="58A52BF9" w14:textId="42BBA672" w:rsidR="00214E70" w:rsidRPr="009F2859" w:rsidRDefault="00214E70" w:rsidP="00214E70">
      <w:pPr>
        <w:pStyle w:val="Heading5"/>
        <w:jc w:val="both"/>
      </w:pPr>
      <w:r>
        <w:t>Direct and indirect impacts</w:t>
      </w:r>
    </w:p>
    <w:p w14:paraId="325AE9E9" w14:textId="507A1792" w:rsidR="00EF2938" w:rsidRDefault="00EF2938" w:rsidP="00EF2938">
      <w:pPr>
        <w:jc w:val="both"/>
      </w:pPr>
      <w:r>
        <w:t>We considered pandemic-related impacts such as COVID-19 infections, suppressed utilization, pent-up demand, and changes in population mix</w:t>
      </w:r>
      <w:r w:rsidRPr="00505159">
        <w:t xml:space="preserve"> </w:t>
      </w:r>
      <w:r>
        <w:t xml:space="preserve">on the observed utilization and service mix. </w:t>
      </w:r>
      <w:r w:rsidR="007176CC">
        <w:t>W</w:t>
      </w:r>
      <w:r>
        <w:t xml:space="preserve">e also considered the effect of increased immunity to COVID-19, the potential impact of COVID-19 variants, and provider capacity. </w:t>
      </w:r>
      <w:r w:rsidR="007176CC">
        <w:t>These considerations were evaluated in the development of the emerging experience adjustment, prospective trends, and COVID-19 testing adjustment described in section I.3.B.</w:t>
      </w:r>
    </w:p>
    <w:p w14:paraId="37012FAB" w14:textId="21DC6359" w:rsidR="007176CC" w:rsidRDefault="007176CC" w:rsidP="00342286">
      <w:pPr>
        <w:pStyle w:val="Heading5"/>
      </w:pPr>
      <w:r>
        <w:t xml:space="preserve">Non-risk payments </w:t>
      </w:r>
    </w:p>
    <w:p w14:paraId="7F18B844" w14:textId="1DEBE85B" w:rsidR="00EF2938" w:rsidRDefault="00EF2938" w:rsidP="00EF2938">
      <w:r>
        <w:t>In SFY 2023, COVID-19 vaccines will be paid for and provided by the federal government, and professional administration fees paid by the MCOs will be fully reimbursed through a non-risk payment for COVID-19 vaccine administration. As a result, no adjustment is made for the cost of COVID-19 vaccinations in SFY 2023.</w:t>
      </w:r>
    </w:p>
    <w:p w14:paraId="11B86F38" w14:textId="29A76D3D" w:rsidR="00214E70" w:rsidRDefault="00214E70" w:rsidP="00214E70">
      <w:pPr>
        <w:pStyle w:val="Heading5"/>
        <w:jc w:val="both"/>
      </w:pPr>
      <w:r>
        <w:t>Risk mitigation strategies</w:t>
      </w:r>
    </w:p>
    <w:p w14:paraId="2B2C583C" w14:textId="39E25907" w:rsidR="00C41FB7" w:rsidRDefault="00214E70" w:rsidP="00027779">
      <w:r>
        <w:t xml:space="preserve">There is no </w:t>
      </w:r>
      <w:r w:rsidR="007176CC">
        <w:t xml:space="preserve">change in the </w:t>
      </w:r>
      <w:r>
        <w:t xml:space="preserve">risk mitigation strategy specific to the COVID-19 PHE </w:t>
      </w:r>
      <w:r w:rsidR="007176CC">
        <w:t xml:space="preserve">relative to the SFY 2022 contract period. The risk </w:t>
      </w:r>
      <w:r>
        <w:t xml:space="preserve">sharing mechanism </w:t>
      </w:r>
      <w:r w:rsidR="007176CC">
        <w:t>that was established prior to the PHE is unchanged</w:t>
      </w:r>
      <w:r>
        <w:t>, as described in Section I.4.C.</w:t>
      </w:r>
    </w:p>
    <w:p w14:paraId="27405FB0" w14:textId="77777777" w:rsidR="001D7F4A" w:rsidRPr="001D7F4A" w:rsidRDefault="001D7F4A" w:rsidP="00210B59">
      <w:pPr>
        <w:rPr>
          <w:sz w:val="30"/>
          <w:szCs w:val="30"/>
        </w:rPr>
      </w:pPr>
      <w:r>
        <w:br w:type="page"/>
      </w:r>
    </w:p>
    <w:p w14:paraId="6BA39C68" w14:textId="3A1C3420" w:rsidR="00CE2634" w:rsidRPr="001D7F4A" w:rsidRDefault="00CE2634" w:rsidP="00622097">
      <w:pPr>
        <w:pStyle w:val="Heading2"/>
        <w:jc w:val="both"/>
      </w:pPr>
      <w:bookmarkStart w:id="111" w:name="_Toc8985001"/>
      <w:bookmarkStart w:id="112" w:name="_Toc100260697"/>
      <w:r w:rsidRPr="001D7F4A">
        <w:lastRenderedPageBreak/>
        <w:t>Data</w:t>
      </w:r>
      <w:bookmarkEnd w:id="111"/>
      <w:bookmarkEnd w:id="112"/>
    </w:p>
    <w:p w14:paraId="7EB427D5" w14:textId="7E3DB5D5" w:rsidR="00AC17B1" w:rsidRPr="00DA0D61" w:rsidRDefault="00AC17B1" w:rsidP="00622097">
      <w:pPr>
        <w:pStyle w:val="RRBody"/>
        <w:jc w:val="both"/>
      </w:pPr>
      <w:bookmarkStart w:id="113" w:name="_Toc484701156"/>
      <w:bookmarkStart w:id="114" w:name="_Toc504389002"/>
      <w:r w:rsidRPr="00DA0D61">
        <w:t xml:space="preserve">This </w:t>
      </w:r>
      <w:r w:rsidR="002010B6" w:rsidRPr="002010B6">
        <w:t>section provides information regarding the base data used to develop the capitation rates. The base experience data described in this sectio</w:t>
      </w:r>
      <w:r w:rsidR="002010B6">
        <w:t>n is illustrated in Appendix 2.</w:t>
      </w:r>
    </w:p>
    <w:p w14:paraId="6068FF80" w14:textId="505FB489" w:rsidR="00CE2634" w:rsidRPr="00D705D5" w:rsidRDefault="00CE2634" w:rsidP="00622097">
      <w:pPr>
        <w:pStyle w:val="Heading3"/>
        <w:numPr>
          <w:ilvl w:val="1"/>
          <w:numId w:val="25"/>
        </w:numPr>
        <w:jc w:val="both"/>
      </w:pPr>
      <w:bookmarkStart w:id="115" w:name="_Toc8985002"/>
      <w:bookmarkStart w:id="116" w:name="_Toc100260698"/>
      <w:r w:rsidRPr="00D705D5">
        <w:t>Rate Development Standards</w:t>
      </w:r>
      <w:bookmarkEnd w:id="113"/>
      <w:bookmarkEnd w:id="114"/>
      <w:bookmarkEnd w:id="115"/>
      <w:bookmarkEnd w:id="116"/>
    </w:p>
    <w:p w14:paraId="371ECBB5" w14:textId="5079A9B9" w:rsidR="00AC17B1" w:rsidRPr="00AC17B1" w:rsidRDefault="002010B6" w:rsidP="00622097">
      <w:pPr>
        <w:pStyle w:val="RRBody"/>
        <w:jc w:val="both"/>
      </w:pPr>
      <w:bookmarkStart w:id="117" w:name="_Toc484701157"/>
      <w:bookmarkStart w:id="118" w:name="_Toc504389003"/>
      <w:r w:rsidRPr="002010B6">
        <w:t xml:space="preserve">In accordance with 42 CFR §438.5(c), we have followed the rate development standards related to base data. The remainder of </w:t>
      </w:r>
      <w:r w:rsidR="006A75FA">
        <w:t>S</w:t>
      </w:r>
      <w:r w:rsidRPr="002010B6">
        <w:t>ection I, item 2 provides documentation of the data types, sources, validation process, material adjustments and other information relevant to the documentation standards required by CMS.</w:t>
      </w:r>
    </w:p>
    <w:p w14:paraId="3379C269" w14:textId="0C53095D" w:rsidR="00CE2634" w:rsidRPr="00D705D5" w:rsidRDefault="00CE2634" w:rsidP="00622097">
      <w:pPr>
        <w:pStyle w:val="Heading3"/>
        <w:jc w:val="both"/>
      </w:pPr>
      <w:bookmarkStart w:id="119" w:name="_Toc8985003"/>
      <w:bookmarkStart w:id="120" w:name="_Toc100260699"/>
      <w:r w:rsidRPr="00D705D5">
        <w:t>Appropriate Documentation</w:t>
      </w:r>
      <w:bookmarkEnd w:id="117"/>
      <w:bookmarkEnd w:id="118"/>
      <w:bookmarkEnd w:id="119"/>
      <w:bookmarkEnd w:id="120"/>
    </w:p>
    <w:p w14:paraId="6123FFF2" w14:textId="77777777" w:rsidR="00CE2634" w:rsidRPr="0027065D" w:rsidRDefault="00CE2634" w:rsidP="00622097">
      <w:pPr>
        <w:pStyle w:val="Heading4"/>
      </w:pPr>
      <w:bookmarkStart w:id="121" w:name="_Toc484701158"/>
      <w:bookmarkStart w:id="122" w:name="_Toc504389004"/>
      <w:bookmarkStart w:id="123" w:name="_Toc8985004"/>
      <w:bookmarkStart w:id="124" w:name="_Toc100260700"/>
      <w:r w:rsidRPr="0027065D">
        <w:t>Requested data</w:t>
      </w:r>
      <w:bookmarkEnd w:id="121"/>
      <w:bookmarkEnd w:id="122"/>
      <w:bookmarkEnd w:id="123"/>
      <w:bookmarkEnd w:id="124"/>
    </w:p>
    <w:p w14:paraId="521FBD47" w14:textId="6570BFBB" w:rsidR="00CB0E85" w:rsidRDefault="00B72D07" w:rsidP="00622097">
      <w:pPr>
        <w:pStyle w:val="RRBody"/>
        <w:jc w:val="both"/>
        <w:rPr>
          <w:rFonts w:cstheme="minorHAnsi"/>
          <w:szCs w:val="18"/>
        </w:rPr>
      </w:pPr>
      <w:r>
        <w:rPr>
          <w:rFonts w:cstheme="minorHAnsi"/>
          <w:szCs w:val="18"/>
        </w:rPr>
        <w:t xml:space="preserve">Milliman </w:t>
      </w:r>
      <w:r w:rsidR="00D02DA5">
        <w:rPr>
          <w:rFonts w:cstheme="minorHAnsi"/>
          <w:szCs w:val="18"/>
        </w:rPr>
        <w:t xml:space="preserve">receives eligibility, capitation, encounter, and fee-for-service claim files from EOHHS </w:t>
      </w:r>
      <w:r w:rsidR="00072C4C">
        <w:rPr>
          <w:rFonts w:cstheme="minorHAnsi"/>
          <w:szCs w:val="18"/>
        </w:rPr>
        <w:t>on a monthly basis</w:t>
      </w:r>
      <w:r w:rsidR="00D02DA5">
        <w:rPr>
          <w:rFonts w:cstheme="minorHAnsi"/>
          <w:szCs w:val="18"/>
        </w:rPr>
        <w:t xml:space="preserve">. </w:t>
      </w:r>
      <w:r w:rsidR="00072C4C">
        <w:rPr>
          <w:rFonts w:cstheme="minorHAnsi"/>
          <w:szCs w:val="18"/>
        </w:rPr>
        <w:t>In addition</w:t>
      </w:r>
      <w:r w:rsidR="008F1742">
        <w:rPr>
          <w:rFonts w:cstheme="minorHAnsi"/>
          <w:szCs w:val="18"/>
        </w:rPr>
        <w:t xml:space="preserve">, Milliman receives </w:t>
      </w:r>
      <w:r w:rsidR="00072C4C">
        <w:rPr>
          <w:rFonts w:cstheme="minorHAnsi"/>
          <w:szCs w:val="18"/>
        </w:rPr>
        <w:t xml:space="preserve">quarterly </w:t>
      </w:r>
      <w:r w:rsidR="008F1742">
        <w:rPr>
          <w:rFonts w:cstheme="minorHAnsi"/>
          <w:szCs w:val="18"/>
        </w:rPr>
        <w:t xml:space="preserve">cost reports from the MCOs. </w:t>
      </w:r>
      <w:r w:rsidR="00D02DA5">
        <w:rPr>
          <w:rFonts w:cstheme="minorHAnsi"/>
          <w:szCs w:val="18"/>
        </w:rPr>
        <w:t xml:space="preserve">Milliman reviewed </w:t>
      </w:r>
      <w:r w:rsidR="00475B1C">
        <w:rPr>
          <w:rFonts w:cstheme="minorHAnsi"/>
          <w:szCs w:val="18"/>
        </w:rPr>
        <w:t xml:space="preserve">January </w:t>
      </w:r>
      <w:r w:rsidR="008F1742">
        <w:rPr>
          <w:rFonts w:cstheme="minorHAnsi"/>
          <w:szCs w:val="18"/>
        </w:rPr>
        <w:t xml:space="preserve">1, </w:t>
      </w:r>
      <w:r w:rsidR="006F1459">
        <w:rPr>
          <w:rFonts w:cstheme="minorHAnsi"/>
          <w:szCs w:val="18"/>
        </w:rPr>
        <w:t>201</w:t>
      </w:r>
      <w:r w:rsidR="00475B1C">
        <w:rPr>
          <w:rFonts w:cstheme="minorHAnsi"/>
          <w:szCs w:val="18"/>
        </w:rPr>
        <w:t>9</w:t>
      </w:r>
      <w:r w:rsidR="006F1459">
        <w:rPr>
          <w:rFonts w:cstheme="minorHAnsi"/>
          <w:szCs w:val="18"/>
        </w:rPr>
        <w:t xml:space="preserve"> </w:t>
      </w:r>
      <w:r w:rsidR="008F1742">
        <w:rPr>
          <w:rFonts w:cstheme="minorHAnsi"/>
          <w:szCs w:val="18"/>
        </w:rPr>
        <w:t xml:space="preserve">through </w:t>
      </w:r>
      <w:r w:rsidR="006F1459">
        <w:rPr>
          <w:rFonts w:cstheme="minorHAnsi"/>
          <w:szCs w:val="18"/>
        </w:rPr>
        <w:t xml:space="preserve">December 31, 2021 </w:t>
      </w:r>
      <w:r w:rsidR="00D02DA5">
        <w:rPr>
          <w:rFonts w:cstheme="minorHAnsi"/>
          <w:szCs w:val="18"/>
        </w:rPr>
        <w:t xml:space="preserve">experience </w:t>
      </w:r>
      <w:r>
        <w:rPr>
          <w:rFonts w:cstheme="minorHAnsi"/>
          <w:szCs w:val="18"/>
        </w:rPr>
        <w:t xml:space="preserve">with </w:t>
      </w:r>
      <w:r w:rsidR="00023D8C">
        <w:rPr>
          <w:rFonts w:cstheme="minorHAnsi"/>
          <w:szCs w:val="18"/>
        </w:rPr>
        <w:t xml:space="preserve">claims </w:t>
      </w:r>
      <w:r>
        <w:rPr>
          <w:rFonts w:cstheme="minorHAnsi"/>
          <w:szCs w:val="18"/>
        </w:rPr>
        <w:t xml:space="preserve">runout through </w:t>
      </w:r>
      <w:r w:rsidR="006F1459">
        <w:rPr>
          <w:rFonts w:cstheme="minorHAnsi"/>
          <w:szCs w:val="18"/>
        </w:rPr>
        <w:t xml:space="preserve">December </w:t>
      </w:r>
      <w:r w:rsidR="008F1742">
        <w:rPr>
          <w:rFonts w:cstheme="minorHAnsi"/>
          <w:szCs w:val="18"/>
        </w:rPr>
        <w:t>31</w:t>
      </w:r>
      <w:r>
        <w:rPr>
          <w:rFonts w:cstheme="minorHAnsi"/>
          <w:szCs w:val="18"/>
        </w:rPr>
        <w:t xml:space="preserve">, </w:t>
      </w:r>
      <w:r w:rsidR="006F1459">
        <w:rPr>
          <w:rFonts w:cstheme="minorHAnsi"/>
          <w:szCs w:val="18"/>
        </w:rPr>
        <w:t xml:space="preserve">2021 </w:t>
      </w:r>
      <w:r>
        <w:rPr>
          <w:rFonts w:cstheme="minorHAnsi"/>
          <w:szCs w:val="18"/>
        </w:rPr>
        <w:t>for the</w:t>
      </w:r>
      <w:r w:rsidR="00072C4C">
        <w:rPr>
          <w:rFonts w:cstheme="minorHAnsi"/>
          <w:szCs w:val="18"/>
        </w:rPr>
        <w:t xml:space="preserve"> SFY 2022</w:t>
      </w:r>
      <w:r>
        <w:rPr>
          <w:rFonts w:cstheme="minorHAnsi"/>
          <w:szCs w:val="18"/>
        </w:rPr>
        <w:t xml:space="preserve"> rate setting process. </w:t>
      </w:r>
    </w:p>
    <w:p w14:paraId="3D1EE3E5" w14:textId="3788DFE4" w:rsidR="00CE2634" w:rsidRDefault="004C5B97" w:rsidP="00622097">
      <w:pPr>
        <w:pStyle w:val="RRBody"/>
        <w:jc w:val="both"/>
      </w:pPr>
      <w:r>
        <w:t xml:space="preserve">The </w:t>
      </w:r>
      <w:r w:rsidR="00CB0E85">
        <w:t xml:space="preserve">base data used in the SFY </w:t>
      </w:r>
      <w:r w:rsidR="006F1459">
        <w:t xml:space="preserve">2023 </w:t>
      </w:r>
      <w:r w:rsidR="00CB0E85">
        <w:t>capitation rate development includes</w:t>
      </w:r>
      <w:r w:rsidR="00475B1C">
        <w:t xml:space="preserve"> calendar year</w:t>
      </w:r>
      <w:r w:rsidR="00CB0E85">
        <w:t xml:space="preserve"> </w:t>
      </w:r>
      <w:r w:rsidR="00475B1C">
        <w:t>(</w:t>
      </w:r>
      <w:r w:rsidR="006F1459">
        <w:t>CY</w:t>
      </w:r>
      <w:r w:rsidR="00475B1C">
        <w:t>)</w:t>
      </w:r>
      <w:r>
        <w:t xml:space="preserve"> </w:t>
      </w:r>
      <w:r w:rsidR="00081AC4">
        <w:t xml:space="preserve">2019 </w:t>
      </w:r>
      <w:r>
        <w:t>experience</w:t>
      </w:r>
      <w:r w:rsidR="00CB0E85">
        <w:t xml:space="preserve"> and </w:t>
      </w:r>
      <w:r>
        <w:t xml:space="preserve">is </w:t>
      </w:r>
      <w:r w:rsidR="002C280A">
        <w:t>summarized</w:t>
      </w:r>
      <w:r>
        <w:t xml:space="preserve"> in </w:t>
      </w:r>
      <w:r w:rsidR="00AE3F80" w:rsidRPr="00AE3F80">
        <w:t>Appendix 2</w:t>
      </w:r>
      <w:r w:rsidR="00AE3F80">
        <w:t>.</w:t>
      </w:r>
      <w:r w:rsidR="00CB0E85">
        <w:t xml:space="preserve"> </w:t>
      </w:r>
      <w:r w:rsidR="00475B1C">
        <w:t>CY 2019</w:t>
      </w:r>
      <w:r w:rsidR="00CB0E85">
        <w:t xml:space="preserve"> w</w:t>
      </w:r>
      <w:r w:rsidR="00475B1C">
        <w:t>as</w:t>
      </w:r>
      <w:r w:rsidR="00CB0E85">
        <w:t xml:space="preserve"> chosen </w:t>
      </w:r>
      <w:r w:rsidR="00991BAC">
        <w:t xml:space="preserve">as a base data period </w:t>
      </w:r>
      <w:r w:rsidR="00023D8C">
        <w:t xml:space="preserve">due to it not being impacted </w:t>
      </w:r>
      <w:r w:rsidR="00991BAC">
        <w:t xml:space="preserve">by the </w:t>
      </w:r>
      <w:r w:rsidR="00CB0E85">
        <w:t xml:space="preserve">COVID-19 pandemic. As described in Section I, item 3 “Projected benefit cost and trends”, </w:t>
      </w:r>
      <w:r w:rsidR="00991BAC">
        <w:t xml:space="preserve">the capitation rates are adjusted to reflect </w:t>
      </w:r>
      <w:r w:rsidR="00CB0E85">
        <w:t xml:space="preserve">emerging experience </w:t>
      </w:r>
      <w:r w:rsidR="00991BAC">
        <w:t>observed in the PHE environment</w:t>
      </w:r>
      <w:r w:rsidR="00CB0E85">
        <w:t>.</w:t>
      </w:r>
      <w:r w:rsidR="00991BAC">
        <w:t xml:space="preserve"> </w:t>
      </w:r>
    </w:p>
    <w:p w14:paraId="709441D8" w14:textId="00C14185" w:rsidR="00CB0E85" w:rsidRDefault="00CB0E85" w:rsidP="00622097">
      <w:pPr>
        <w:pStyle w:val="RRBody"/>
        <w:jc w:val="both"/>
      </w:pPr>
      <w:r w:rsidRPr="00AE3F80">
        <w:t>The remainder of this section details the base data and validation p</w:t>
      </w:r>
      <w:r>
        <w:t xml:space="preserve">rocesses utilized in the SFY </w:t>
      </w:r>
      <w:r w:rsidR="006F1459">
        <w:t xml:space="preserve">2023 </w:t>
      </w:r>
      <w:r w:rsidRPr="00AE3F80">
        <w:t>capitation rate development.</w:t>
      </w:r>
    </w:p>
    <w:p w14:paraId="6519A121" w14:textId="77777777" w:rsidR="00CE2634" w:rsidRPr="0027065D" w:rsidRDefault="00CE2634" w:rsidP="00622097">
      <w:pPr>
        <w:pStyle w:val="Heading4"/>
      </w:pPr>
      <w:bookmarkStart w:id="125" w:name="_Toc484701159"/>
      <w:bookmarkStart w:id="126" w:name="_Toc504389005"/>
      <w:bookmarkStart w:id="127" w:name="_Toc8985005"/>
      <w:bookmarkStart w:id="128" w:name="_Toc100260701"/>
      <w:r w:rsidRPr="0027065D">
        <w:t>Data used to develop the capitation rates</w:t>
      </w:r>
      <w:bookmarkEnd w:id="125"/>
      <w:bookmarkEnd w:id="126"/>
      <w:bookmarkEnd w:id="127"/>
      <w:bookmarkEnd w:id="128"/>
    </w:p>
    <w:p w14:paraId="23476022" w14:textId="77777777" w:rsidR="00CE2634" w:rsidRPr="00FA46A8" w:rsidRDefault="00CE2634" w:rsidP="00622097">
      <w:pPr>
        <w:pStyle w:val="Heading5"/>
        <w:jc w:val="both"/>
      </w:pPr>
      <w:bookmarkStart w:id="129" w:name="_Toc484701160"/>
      <w:bookmarkStart w:id="130" w:name="_Toc504389006"/>
      <w:r w:rsidRPr="00FA46A8">
        <w:t>Description of the data</w:t>
      </w:r>
      <w:bookmarkEnd w:id="129"/>
      <w:bookmarkEnd w:id="130"/>
    </w:p>
    <w:p w14:paraId="043FB679" w14:textId="77777777" w:rsidR="00CE2634" w:rsidRDefault="00CE2634" w:rsidP="00622097">
      <w:pPr>
        <w:pStyle w:val="Heading6"/>
        <w:numPr>
          <w:ilvl w:val="0"/>
          <w:numId w:val="59"/>
        </w:numPr>
        <w:jc w:val="both"/>
      </w:pPr>
      <w:bookmarkStart w:id="131" w:name="_Toc484701161"/>
      <w:bookmarkStart w:id="132" w:name="_Toc504389007"/>
      <w:r w:rsidRPr="00FA46A8">
        <w:t>Types of data</w:t>
      </w:r>
      <w:bookmarkEnd w:id="131"/>
      <w:bookmarkEnd w:id="132"/>
    </w:p>
    <w:p w14:paraId="21424542" w14:textId="0614A192" w:rsidR="00B541A7" w:rsidRPr="00A513B3" w:rsidRDefault="00B541A7" w:rsidP="00622097">
      <w:pPr>
        <w:pStyle w:val="RRBody"/>
        <w:jc w:val="both"/>
      </w:pPr>
      <w:r w:rsidRPr="00A513B3">
        <w:t xml:space="preserve">The primary data sources for the </w:t>
      </w:r>
      <w:r>
        <w:t xml:space="preserve">SFY </w:t>
      </w:r>
      <w:r w:rsidR="006F1459">
        <w:t>2023</w:t>
      </w:r>
      <w:r w:rsidR="006F1459" w:rsidRPr="00A513B3">
        <w:t xml:space="preserve"> </w:t>
      </w:r>
      <w:r w:rsidRPr="00A513B3">
        <w:t>capitation rate development</w:t>
      </w:r>
      <w:r w:rsidR="00991BAC">
        <w:t xml:space="preserve"> include the following</w:t>
      </w:r>
      <w:r w:rsidRPr="00A513B3">
        <w:t>:</w:t>
      </w:r>
    </w:p>
    <w:p w14:paraId="0667C800" w14:textId="6B55BD79" w:rsidR="00B541A7" w:rsidRDefault="00B541A7" w:rsidP="00622097">
      <w:pPr>
        <w:pStyle w:val="RRNumberedBullet1"/>
        <w:numPr>
          <w:ilvl w:val="0"/>
          <w:numId w:val="48"/>
        </w:numPr>
        <w:spacing w:before="60"/>
        <w:ind w:left="360"/>
        <w:jc w:val="both"/>
      </w:pPr>
      <w:r>
        <w:t>Encounter data submitted by the MCOs;</w:t>
      </w:r>
    </w:p>
    <w:p w14:paraId="5670655D" w14:textId="77777777" w:rsidR="00B541A7" w:rsidRDefault="00B541A7" w:rsidP="00622097">
      <w:pPr>
        <w:pStyle w:val="RRNumberedBullet1"/>
        <w:numPr>
          <w:ilvl w:val="0"/>
          <w:numId w:val="48"/>
        </w:numPr>
        <w:spacing w:before="60"/>
        <w:ind w:left="360"/>
        <w:jc w:val="both"/>
      </w:pPr>
      <w:r>
        <w:t>Eligibility and capitation payment data provided by EOHHS;</w:t>
      </w:r>
    </w:p>
    <w:p w14:paraId="78F691C8" w14:textId="0204C030" w:rsidR="009437E3" w:rsidRDefault="00D02DA5" w:rsidP="00D02DA5">
      <w:pPr>
        <w:pStyle w:val="RRNumberedBullet1"/>
        <w:numPr>
          <w:ilvl w:val="0"/>
          <w:numId w:val="48"/>
        </w:numPr>
        <w:spacing w:before="60"/>
        <w:ind w:left="360"/>
      </w:pPr>
      <w:r>
        <w:rPr>
          <w:rFonts w:asciiTheme="majorHAnsi" w:hAnsiTheme="majorHAnsi" w:cstheme="majorHAnsi"/>
          <w:szCs w:val="18"/>
        </w:rPr>
        <w:t xml:space="preserve">Calendar Year </w:t>
      </w:r>
      <w:r w:rsidR="006F1459">
        <w:rPr>
          <w:rFonts w:asciiTheme="majorHAnsi" w:hAnsiTheme="majorHAnsi" w:cstheme="majorHAnsi"/>
          <w:szCs w:val="18"/>
        </w:rPr>
        <w:t xml:space="preserve">2021 </w:t>
      </w:r>
      <w:r>
        <w:rPr>
          <w:rFonts w:asciiTheme="majorHAnsi" w:hAnsiTheme="majorHAnsi" w:cstheme="majorHAnsi"/>
          <w:szCs w:val="18"/>
        </w:rPr>
        <w:t xml:space="preserve">Quarter </w:t>
      </w:r>
      <w:r w:rsidR="006F1459">
        <w:rPr>
          <w:rFonts w:asciiTheme="majorHAnsi" w:hAnsiTheme="majorHAnsi" w:cstheme="majorHAnsi"/>
          <w:szCs w:val="18"/>
        </w:rPr>
        <w:t xml:space="preserve">3 </w:t>
      </w:r>
      <w:r>
        <w:rPr>
          <w:rFonts w:asciiTheme="majorHAnsi" w:hAnsiTheme="majorHAnsi" w:cstheme="majorHAnsi"/>
          <w:szCs w:val="18"/>
        </w:rPr>
        <w:t xml:space="preserve">(CY </w:t>
      </w:r>
      <w:r w:rsidR="006F1459">
        <w:rPr>
          <w:rFonts w:asciiTheme="majorHAnsi" w:hAnsiTheme="majorHAnsi" w:cstheme="majorHAnsi"/>
          <w:szCs w:val="18"/>
        </w:rPr>
        <w:t>2021 Q3</w:t>
      </w:r>
      <w:r>
        <w:rPr>
          <w:rFonts w:asciiTheme="majorHAnsi" w:hAnsiTheme="majorHAnsi" w:cstheme="majorHAnsi"/>
          <w:szCs w:val="18"/>
        </w:rPr>
        <w:t>) Financial Data Cost Reports (FDCR</w:t>
      </w:r>
      <w:r w:rsidR="009437E3">
        <w:rPr>
          <w:rFonts w:asciiTheme="majorHAnsi" w:hAnsiTheme="majorHAnsi" w:cstheme="majorHAnsi"/>
          <w:szCs w:val="18"/>
        </w:rPr>
        <w:t>s</w:t>
      </w:r>
      <w:r>
        <w:rPr>
          <w:rFonts w:asciiTheme="majorHAnsi" w:hAnsiTheme="majorHAnsi" w:cstheme="majorHAnsi"/>
          <w:szCs w:val="18"/>
        </w:rPr>
        <w:t>) submitted by the MCOs</w:t>
      </w:r>
      <w:r>
        <w:t xml:space="preserve">; </w:t>
      </w:r>
    </w:p>
    <w:p w14:paraId="6D83663B" w14:textId="3A105576" w:rsidR="00D02DA5" w:rsidRDefault="009437E3" w:rsidP="00D02DA5">
      <w:pPr>
        <w:pStyle w:val="RRNumberedBullet1"/>
        <w:numPr>
          <w:ilvl w:val="0"/>
          <w:numId w:val="48"/>
        </w:numPr>
        <w:spacing w:before="60"/>
        <w:ind w:left="360"/>
      </w:pPr>
      <w:r>
        <w:rPr>
          <w:rFonts w:asciiTheme="majorHAnsi" w:hAnsiTheme="majorHAnsi" w:cstheme="majorHAnsi"/>
          <w:szCs w:val="18"/>
        </w:rPr>
        <w:t xml:space="preserve">Calendar Year 2021 Quarter </w:t>
      </w:r>
      <w:r w:rsidR="006F1459">
        <w:rPr>
          <w:rFonts w:asciiTheme="majorHAnsi" w:hAnsiTheme="majorHAnsi" w:cstheme="majorHAnsi"/>
          <w:szCs w:val="18"/>
        </w:rPr>
        <w:t xml:space="preserve">4 </w:t>
      </w:r>
      <w:r>
        <w:rPr>
          <w:rFonts w:asciiTheme="majorHAnsi" w:hAnsiTheme="majorHAnsi" w:cstheme="majorHAnsi"/>
          <w:szCs w:val="18"/>
        </w:rPr>
        <w:t xml:space="preserve">(CY 2021 </w:t>
      </w:r>
      <w:r w:rsidR="006F1459">
        <w:rPr>
          <w:rFonts w:asciiTheme="majorHAnsi" w:hAnsiTheme="majorHAnsi" w:cstheme="majorHAnsi"/>
          <w:szCs w:val="18"/>
        </w:rPr>
        <w:t>Q4</w:t>
      </w:r>
      <w:r>
        <w:rPr>
          <w:rFonts w:asciiTheme="majorHAnsi" w:hAnsiTheme="majorHAnsi" w:cstheme="majorHAnsi"/>
          <w:szCs w:val="18"/>
        </w:rPr>
        <w:t xml:space="preserve">) FDCRs submitted by the MCOs; </w:t>
      </w:r>
      <w:r>
        <w:t>and,</w:t>
      </w:r>
    </w:p>
    <w:p w14:paraId="6E0C2001" w14:textId="037A8C5F" w:rsidR="00B541A7" w:rsidRDefault="00081AC4" w:rsidP="00622097">
      <w:pPr>
        <w:pStyle w:val="RRNumberedBullet1"/>
        <w:numPr>
          <w:ilvl w:val="0"/>
          <w:numId w:val="48"/>
        </w:numPr>
        <w:spacing w:before="60"/>
        <w:ind w:left="360"/>
        <w:jc w:val="both"/>
      </w:pPr>
      <w:r>
        <w:t>MCO Survey responses provided by the MCO</w:t>
      </w:r>
      <w:r w:rsidR="00B541A7">
        <w:t>s.</w:t>
      </w:r>
    </w:p>
    <w:p w14:paraId="5B365FA9" w14:textId="39B09D97" w:rsidR="00CE2634" w:rsidRPr="00FA46A8" w:rsidRDefault="00CE2634" w:rsidP="00622097">
      <w:pPr>
        <w:pStyle w:val="Heading6"/>
        <w:jc w:val="both"/>
      </w:pPr>
      <w:bookmarkStart w:id="133" w:name="_Toc484701162"/>
      <w:bookmarkStart w:id="134" w:name="_Toc504389008"/>
      <w:r w:rsidRPr="00FA46A8">
        <w:t>Age of the data</w:t>
      </w:r>
      <w:bookmarkEnd w:id="133"/>
      <w:bookmarkEnd w:id="134"/>
    </w:p>
    <w:p w14:paraId="5000C00B" w14:textId="0CEC92A9" w:rsidR="00A6501E" w:rsidRDefault="002010B6" w:rsidP="00622097">
      <w:pPr>
        <w:pStyle w:val="RRBody"/>
        <w:jc w:val="both"/>
      </w:pPr>
      <w:bookmarkStart w:id="135" w:name="_Toc484701163"/>
      <w:r>
        <w:t xml:space="preserve">The </w:t>
      </w:r>
      <w:r w:rsidR="00A6501E">
        <w:t xml:space="preserve">data serving as the base experience in the capitation rate development process was incurred during </w:t>
      </w:r>
      <w:r w:rsidR="006F1459">
        <w:t>CY</w:t>
      </w:r>
      <w:r w:rsidR="00350322">
        <w:t xml:space="preserve"> </w:t>
      </w:r>
      <w:r w:rsidR="00081AC4">
        <w:t>2019</w:t>
      </w:r>
      <w:r w:rsidR="00A6501E">
        <w:t xml:space="preserve">. The </w:t>
      </w:r>
      <w:r w:rsidR="00D02DA5">
        <w:t xml:space="preserve">CY </w:t>
      </w:r>
      <w:r w:rsidR="006F1459">
        <w:t xml:space="preserve">2021 Q3 </w:t>
      </w:r>
      <w:r w:rsidR="00D02DA5">
        <w:t xml:space="preserve">FDCR submissions </w:t>
      </w:r>
      <w:r w:rsidR="00721E58">
        <w:t xml:space="preserve">used in the base data development </w:t>
      </w:r>
      <w:r w:rsidR="00A6501E">
        <w:t xml:space="preserve">reflect claims paid through </w:t>
      </w:r>
      <w:r w:rsidR="006F1459">
        <w:t>September 30</w:t>
      </w:r>
      <w:r w:rsidR="00A6501E">
        <w:t xml:space="preserve">, </w:t>
      </w:r>
      <w:r w:rsidR="006F1459">
        <w:t>2021</w:t>
      </w:r>
      <w:r w:rsidR="00A6501E">
        <w:t xml:space="preserve">. The encounter data used </w:t>
      </w:r>
      <w:r w:rsidR="00721E58">
        <w:t xml:space="preserve">in the base data development </w:t>
      </w:r>
      <w:r w:rsidR="00A6501E">
        <w:t>reflect</w:t>
      </w:r>
      <w:r w:rsidR="00721E58">
        <w:t>s</w:t>
      </w:r>
      <w:r w:rsidR="00A6501E">
        <w:t xml:space="preserve"> encounters </w:t>
      </w:r>
      <w:r w:rsidR="00735481">
        <w:t xml:space="preserve">paid </w:t>
      </w:r>
      <w:r w:rsidR="00A6501E">
        <w:t xml:space="preserve">through </w:t>
      </w:r>
      <w:r w:rsidR="006F1459">
        <w:t>September 30, 2021</w:t>
      </w:r>
      <w:r w:rsidR="00A6501E">
        <w:t xml:space="preserve">, consistent with the </w:t>
      </w:r>
      <w:r w:rsidR="009437E3">
        <w:t xml:space="preserve">CY </w:t>
      </w:r>
      <w:r w:rsidR="006F1459">
        <w:t xml:space="preserve">2021 Q3 </w:t>
      </w:r>
      <w:r w:rsidR="009437E3">
        <w:t xml:space="preserve">FDCR </w:t>
      </w:r>
      <w:r w:rsidR="00D02DA5">
        <w:t>submission</w:t>
      </w:r>
      <w:r w:rsidR="00897E55">
        <w:t>s</w:t>
      </w:r>
      <w:r w:rsidR="00721E58">
        <w:t xml:space="preserve">. These data sources </w:t>
      </w:r>
      <w:r w:rsidR="009437E3">
        <w:t>were utilized in the base data adjustments described in Section I, item 2.B.iii, “Data adjustments”</w:t>
      </w:r>
      <w:r w:rsidR="00A6501E">
        <w:t>.</w:t>
      </w:r>
    </w:p>
    <w:p w14:paraId="47D4442E" w14:textId="12751FDC" w:rsidR="00A6501E" w:rsidRDefault="00A6501E" w:rsidP="00622097">
      <w:pPr>
        <w:pStyle w:val="RRBody"/>
        <w:jc w:val="both"/>
      </w:pPr>
      <w:r>
        <w:t xml:space="preserve">For the purposes of </w:t>
      </w:r>
      <w:r w:rsidR="00721E58">
        <w:t>analyzing prospective program adjustments</w:t>
      </w:r>
      <w:r>
        <w:t xml:space="preserve">, we reviewed </w:t>
      </w:r>
      <w:r w:rsidR="00721E58">
        <w:t>encounter data submissions included in the EOHHS encounter data transferred to Milliman on March 15, 2022</w:t>
      </w:r>
      <w:r w:rsidR="00682D13">
        <w:t>,</w:t>
      </w:r>
      <w:r w:rsidR="00721E58">
        <w:t xml:space="preserve"> </w:t>
      </w:r>
      <w:r w:rsidR="009437E3">
        <w:t xml:space="preserve">and </w:t>
      </w:r>
      <w:r w:rsidR="0034526F">
        <w:t xml:space="preserve">financial experience included in the </w:t>
      </w:r>
      <w:r w:rsidR="009437E3">
        <w:t xml:space="preserve">CY 2021 </w:t>
      </w:r>
      <w:r w:rsidR="006F1459">
        <w:t xml:space="preserve">Q4 </w:t>
      </w:r>
      <w:r w:rsidR="009437E3">
        <w:t xml:space="preserve">FDCR </w:t>
      </w:r>
      <w:r>
        <w:t xml:space="preserve">through </w:t>
      </w:r>
      <w:r w:rsidR="006F1459">
        <w:t xml:space="preserve">December </w:t>
      </w:r>
      <w:r w:rsidR="009437E3">
        <w:t>31, 2021</w:t>
      </w:r>
      <w:r>
        <w:t xml:space="preserve">. </w:t>
      </w:r>
    </w:p>
    <w:p w14:paraId="3939A78E" w14:textId="745614D8" w:rsidR="00CE2634" w:rsidRDefault="00CE2634" w:rsidP="00622097">
      <w:pPr>
        <w:pStyle w:val="Heading6"/>
        <w:jc w:val="both"/>
      </w:pPr>
      <w:bookmarkStart w:id="136" w:name="_Toc504389009"/>
      <w:r w:rsidRPr="00FA46A8" w:rsidDel="001B409F">
        <w:t>D</w:t>
      </w:r>
      <w:r w:rsidRPr="00FA46A8">
        <w:t>ata sources</w:t>
      </w:r>
      <w:bookmarkEnd w:id="135"/>
      <w:bookmarkEnd w:id="136"/>
    </w:p>
    <w:p w14:paraId="214A3073" w14:textId="5EF4C898" w:rsidR="003E7BD1" w:rsidRDefault="00A66C00" w:rsidP="00622097">
      <w:pPr>
        <w:pStyle w:val="RRBody"/>
        <w:jc w:val="both"/>
      </w:pPr>
      <w:r>
        <w:t xml:space="preserve">The historical encounter data used for this certification </w:t>
      </w:r>
      <w:r w:rsidR="00D02DA5">
        <w:t xml:space="preserve">was </w:t>
      </w:r>
      <w:r>
        <w:t xml:space="preserve">submitted </w:t>
      </w:r>
      <w:r w:rsidR="00FE0BFD">
        <w:t xml:space="preserve">by </w:t>
      </w:r>
      <w:r w:rsidR="00B541A7">
        <w:t>Neighborhood Health Plan of Rhode Island</w:t>
      </w:r>
      <w:r w:rsidR="00BA23AB">
        <w:t xml:space="preserve">, </w:t>
      </w:r>
      <w:r w:rsidR="00BA23AB" w:rsidRPr="00BA23AB">
        <w:t>Tufts Health Public Plans</w:t>
      </w:r>
      <w:r w:rsidR="00BA23AB">
        <w:t>,</w:t>
      </w:r>
      <w:r w:rsidR="00B541A7">
        <w:t xml:space="preserve"> and UnitedHealthcare of New England</w:t>
      </w:r>
      <w:r>
        <w:t>. Th</w:t>
      </w:r>
      <w:r w:rsidR="003E7BD1">
        <w:t>e encounter</w:t>
      </w:r>
      <w:r>
        <w:t xml:space="preserve"> data</w:t>
      </w:r>
      <w:r w:rsidR="003E7BD1">
        <w:t>, eligibility</w:t>
      </w:r>
      <w:r w:rsidR="001036DE">
        <w:t>,</w:t>
      </w:r>
      <w:r w:rsidR="003E7BD1">
        <w:t xml:space="preserve"> and capitation payment</w:t>
      </w:r>
      <w:r>
        <w:t xml:space="preserve"> </w:t>
      </w:r>
      <w:r w:rsidR="003E7BD1">
        <w:t xml:space="preserve">data was </w:t>
      </w:r>
      <w:r>
        <w:t xml:space="preserve">provided to </w:t>
      </w:r>
      <w:r w:rsidR="00D02DA5">
        <w:t xml:space="preserve">Milliman </w:t>
      </w:r>
      <w:r w:rsidR="00894C19">
        <w:t>by EOHHS</w:t>
      </w:r>
      <w:r>
        <w:t>.</w:t>
      </w:r>
      <w:r w:rsidR="003E7BD1">
        <w:t xml:space="preserve"> </w:t>
      </w:r>
    </w:p>
    <w:p w14:paraId="207C51D0" w14:textId="57F28AB4" w:rsidR="005347A5" w:rsidRPr="005347A5" w:rsidRDefault="003E7BD1" w:rsidP="00622097">
      <w:pPr>
        <w:pStyle w:val="RRBody"/>
        <w:jc w:val="both"/>
        <w:rPr>
          <w:rFonts w:cs="Times New Roman"/>
          <w:color w:val="0E68AB" w:themeColor="text2" w:themeTint="D9"/>
          <w:szCs w:val="18"/>
          <w:highlight w:val="yellow"/>
        </w:rPr>
      </w:pPr>
      <w:r>
        <w:lastRenderedPageBreak/>
        <w:t xml:space="preserve">The </w:t>
      </w:r>
      <w:r w:rsidR="00CF5C8D">
        <w:t>FDCR</w:t>
      </w:r>
      <w:r w:rsidR="00897E55">
        <w:t>s</w:t>
      </w:r>
      <w:r w:rsidR="00CF5C8D">
        <w:t xml:space="preserve"> </w:t>
      </w:r>
      <w:r w:rsidR="00081AC4">
        <w:t xml:space="preserve">and </w:t>
      </w:r>
      <w:r>
        <w:t>MCO Surveys were submitted by the MCOs to EOHHS, and EOHHS transferred this information to Milliman.</w:t>
      </w:r>
    </w:p>
    <w:p w14:paraId="5C5B5EC5" w14:textId="669CCFF4" w:rsidR="00CE2634" w:rsidRDefault="00CE2634" w:rsidP="00622097">
      <w:pPr>
        <w:pStyle w:val="Heading6"/>
        <w:jc w:val="both"/>
      </w:pPr>
      <w:bookmarkStart w:id="137" w:name="_Toc484701164"/>
      <w:bookmarkStart w:id="138" w:name="_Toc504389010"/>
      <w:r w:rsidRPr="00FA46A8">
        <w:t>Sub-capitation</w:t>
      </w:r>
      <w:bookmarkEnd w:id="137"/>
      <w:bookmarkEnd w:id="138"/>
    </w:p>
    <w:p w14:paraId="566208DF" w14:textId="05BA2CAB" w:rsidR="008731B8" w:rsidRPr="00DF73B0" w:rsidRDefault="006C0D1F" w:rsidP="00734AA0">
      <w:pPr>
        <w:pStyle w:val="RRObject"/>
        <w:jc w:val="both"/>
      </w:pPr>
      <w:r>
        <w:t xml:space="preserve">The </w:t>
      </w:r>
      <w:r w:rsidR="00BA23AB">
        <w:t>CY</w:t>
      </w:r>
      <w:r>
        <w:t xml:space="preserve"> </w:t>
      </w:r>
      <w:r w:rsidR="00081AC4">
        <w:t xml:space="preserve">2019 </w:t>
      </w:r>
      <w:r>
        <w:t xml:space="preserve">base encounter data reflects sub-capitated federally qualified health center (FQHC) experience for one MCO. </w:t>
      </w:r>
      <w:r w:rsidR="00A47361">
        <w:t xml:space="preserve">As described later in this report, FQHC prospective payment system (PPS) services were </w:t>
      </w:r>
      <w:r w:rsidR="0034526F">
        <w:t xml:space="preserve">adjusted </w:t>
      </w:r>
      <w:r w:rsidR="00A47361">
        <w:t xml:space="preserve">to the PPS rate since the MCOs are responsible for the full PPS amount effective July 1, </w:t>
      </w:r>
      <w:r w:rsidR="0034526F">
        <w:t>2019</w:t>
      </w:r>
      <w:r w:rsidR="00A47361">
        <w:t xml:space="preserve">. </w:t>
      </w:r>
      <w:r>
        <w:t xml:space="preserve">In addition, encounter experience reflects sub-capitated behavioral health experience for one MCO. </w:t>
      </w:r>
      <w:r w:rsidR="00897E55">
        <w:t>T</w:t>
      </w:r>
      <w:r>
        <w:t xml:space="preserve">he </w:t>
      </w:r>
      <w:r w:rsidR="00897E55">
        <w:t xml:space="preserve">behavioral health </w:t>
      </w:r>
      <w:r>
        <w:t xml:space="preserve">sub-capitated encounters </w:t>
      </w:r>
      <w:r w:rsidR="003E7BD1">
        <w:t>are</w:t>
      </w:r>
      <w:r>
        <w:t xml:space="preserve"> utilized for purposes of the SFY </w:t>
      </w:r>
      <w:r w:rsidR="00BA23AB">
        <w:t xml:space="preserve">2023 </w:t>
      </w:r>
      <w:r>
        <w:t>rate development.</w:t>
      </w:r>
    </w:p>
    <w:p w14:paraId="09FB3BD7" w14:textId="77777777" w:rsidR="00CE2634" w:rsidRPr="000514E6" w:rsidRDefault="00CE2634" w:rsidP="00622097">
      <w:pPr>
        <w:pStyle w:val="Heading5"/>
        <w:jc w:val="both"/>
      </w:pPr>
      <w:bookmarkStart w:id="139" w:name="_Toc484701165"/>
      <w:bookmarkStart w:id="140" w:name="_Toc504389011"/>
      <w:r w:rsidRPr="000514E6">
        <w:t>Availability and quality of the data</w:t>
      </w:r>
      <w:bookmarkEnd w:id="139"/>
      <w:bookmarkEnd w:id="140"/>
    </w:p>
    <w:p w14:paraId="06335F01" w14:textId="77777777" w:rsidR="00CE2634" w:rsidRDefault="00CE2634" w:rsidP="00622097">
      <w:pPr>
        <w:pStyle w:val="Heading6"/>
        <w:numPr>
          <w:ilvl w:val="0"/>
          <w:numId w:val="60"/>
        </w:numPr>
        <w:jc w:val="both"/>
      </w:pPr>
      <w:bookmarkStart w:id="141" w:name="_Toc484701166"/>
      <w:bookmarkStart w:id="142" w:name="_Toc504389012"/>
      <w:r w:rsidRPr="000514E6">
        <w:t>Steps taken to validate the data</w:t>
      </w:r>
      <w:bookmarkEnd w:id="141"/>
      <w:bookmarkEnd w:id="142"/>
    </w:p>
    <w:p w14:paraId="7BD0702B" w14:textId="5DFA8841" w:rsidR="005347A5" w:rsidRPr="005347A5" w:rsidRDefault="00002852" w:rsidP="00622097">
      <w:pPr>
        <w:pStyle w:val="RRBody"/>
        <w:jc w:val="both"/>
        <w:rPr>
          <w:rFonts w:cstheme="minorHAnsi"/>
          <w:b/>
          <w:color w:val="073658" w:themeColor="text2" w:themeShade="BF"/>
          <w:szCs w:val="18"/>
        </w:rPr>
      </w:pPr>
      <w:r w:rsidRPr="00002852">
        <w:t xml:space="preserve">The base experience used in the capitation rates relies on encounter data </w:t>
      </w:r>
      <w:r w:rsidR="006C0D1F">
        <w:t xml:space="preserve">and </w:t>
      </w:r>
      <w:r w:rsidR="00897E55">
        <w:t xml:space="preserve">CY </w:t>
      </w:r>
      <w:r w:rsidR="00BA23AB">
        <w:t xml:space="preserve">2021 Q3 </w:t>
      </w:r>
      <w:r w:rsidR="00842437">
        <w:t>FDCR</w:t>
      </w:r>
      <w:r w:rsidR="006C0D1F">
        <w:t xml:space="preserve">s </w:t>
      </w:r>
      <w:r w:rsidRPr="00002852">
        <w:t xml:space="preserve">submitted to </w:t>
      </w:r>
      <w:r w:rsidR="006C0D1F">
        <w:t>EOHHS</w:t>
      </w:r>
      <w:r w:rsidR="006C0D1F" w:rsidRPr="00002852">
        <w:t xml:space="preserve"> </w:t>
      </w:r>
      <w:r w:rsidRPr="00002852">
        <w:t>by participating MC</w:t>
      </w:r>
      <w:r w:rsidR="006C0D1F">
        <w:t>O</w:t>
      </w:r>
      <w:r w:rsidRPr="00002852">
        <w:t xml:space="preserve">s. Managed care eligibility is maintained by </w:t>
      </w:r>
      <w:r w:rsidR="006C0D1F">
        <w:t>EOHHS</w:t>
      </w:r>
      <w:r w:rsidRPr="00002852">
        <w:t>. The actuary, the MC</w:t>
      </w:r>
      <w:r w:rsidR="006C0D1F">
        <w:t>O</w:t>
      </w:r>
      <w:r w:rsidRPr="00002852">
        <w:t xml:space="preserve">s, and </w:t>
      </w:r>
      <w:r w:rsidR="006C0D1F">
        <w:t>EOHHS</w:t>
      </w:r>
      <w:r w:rsidRPr="00002852">
        <w:t xml:space="preserve"> all play a role in validating the quality of encounter data used in the development of the capitation rates. The MC</w:t>
      </w:r>
      <w:r w:rsidR="006C0D1F">
        <w:t>O</w:t>
      </w:r>
      <w:r w:rsidRPr="00002852">
        <w:t xml:space="preserve">s play the initial role, collecting and summarizing data sent to the state. </w:t>
      </w:r>
      <w:r w:rsidR="006C0D1F">
        <w:t>EOHHS</w:t>
      </w:r>
      <w:r w:rsidRPr="00002852">
        <w:t xml:space="preserve"> focuses on encounter data quality and </w:t>
      </w:r>
      <w:r w:rsidR="002C3D38" w:rsidRPr="00002852">
        <w:t>MC</w:t>
      </w:r>
      <w:r w:rsidR="002C3D38">
        <w:t>O</w:t>
      </w:r>
      <w:r w:rsidR="002C3D38" w:rsidRPr="00002852">
        <w:t xml:space="preserve"> </w:t>
      </w:r>
      <w:r w:rsidRPr="00002852">
        <w:t xml:space="preserve">performance measurement, with measures focused on completeness, accuracy, and comparison between data sources. </w:t>
      </w:r>
      <w:r w:rsidR="00682D13">
        <w:t>In addition</w:t>
      </w:r>
      <w:r w:rsidRPr="00002852">
        <w:t>, we perform independent analysis of encounter data</w:t>
      </w:r>
      <w:r w:rsidR="002C3D38">
        <w:t xml:space="preserve"> and</w:t>
      </w:r>
      <w:r w:rsidRPr="00002852">
        <w:t xml:space="preserve"> </w:t>
      </w:r>
      <w:r w:rsidR="00842437">
        <w:t>FDCR</w:t>
      </w:r>
      <w:r w:rsidR="002C3D38">
        <w:t>s</w:t>
      </w:r>
      <w:r w:rsidRPr="00002852">
        <w:t xml:space="preserve"> to evaluate the quality of the data being used in the rate development process. Below is a summary of measures specific to each quality area.</w:t>
      </w:r>
    </w:p>
    <w:p w14:paraId="066C146A" w14:textId="77777777" w:rsidR="00CE2634" w:rsidRPr="00C32F9D" w:rsidRDefault="00CE2634" w:rsidP="00622097">
      <w:pPr>
        <w:jc w:val="both"/>
        <w:rPr>
          <w:b/>
        </w:rPr>
      </w:pPr>
      <w:bookmarkStart w:id="143" w:name="_Toc484701167"/>
      <w:r w:rsidRPr="00C32F9D">
        <w:rPr>
          <w:b/>
        </w:rPr>
        <w:t>C</w:t>
      </w:r>
      <w:r w:rsidR="005347A5" w:rsidRPr="00C32F9D">
        <w:rPr>
          <w:b/>
        </w:rPr>
        <w:t>ompleteness</w:t>
      </w:r>
    </w:p>
    <w:p w14:paraId="60B15790" w14:textId="142BE5C8" w:rsidR="00F84C08" w:rsidRDefault="00F84C08" w:rsidP="00622097">
      <w:pPr>
        <w:pStyle w:val="RRBody"/>
        <w:jc w:val="both"/>
      </w:pPr>
      <w:r>
        <w:t>The EOHHS Data Quality Team routinely reviews the completeness of the submitted encounter data:</w:t>
      </w:r>
    </w:p>
    <w:p w14:paraId="5C38E3E4" w14:textId="630B19AF" w:rsidR="00F84C08" w:rsidRDefault="00F84C08" w:rsidP="00622097">
      <w:pPr>
        <w:pStyle w:val="RRBullet1"/>
        <w:jc w:val="both"/>
      </w:pPr>
      <w:r>
        <w:t xml:space="preserve">The MCOs are contractually required to submit claims for all billable services provided to Medicaid members.  </w:t>
      </w:r>
    </w:p>
    <w:p w14:paraId="0E790855" w14:textId="16266E69" w:rsidR="00F84C08" w:rsidRDefault="00F84C08" w:rsidP="00622097">
      <w:pPr>
        <w:pStyle w:val="RRBullet1"/>
        <w:jc w:val="both"/>
      </w:pPr>
      <w:r>
        <w:t xml:space="preserve">Plans submit a </w:t>
      </w:r>
      <w:r w:rsidR="009B5111">
        <w:t xml:space="preserve">monthly </w:t>
      </w:r>
      <w:r>
        <w:t xml:space="preserve">Financial Summary Report that is stratified by fiscal year and </w:t>
      </w:r>
      <w:r w:rsidR="009B5111">
        <w:t>population</w:t>
      </w:r>
      <w:r>
        <w:t xml:space="preserve">. This report is required to </w:t>
      </w:r>
      <w:r w:rsidR="00E2431B">
        <w:t>reconcile</w:t>
      </w:r>
      <w:r>
        <w:t xml:space="preserve"> to the </w:t>
      </w:r>
      <w:r w:rsidR="009B5111">
        <w:t xml:space="preserve">MCO’s </w:t>
      </w:r>
      <w:r>
        <w:t xml:space="preserve">financials. The submitted encounter data is then compared to the Financial Summary </w:t>
      </w:r>
      <w:r w:rsidR="00835382">
        <w:t>R</w:t>
      </w:r>
      <w:r>
        <w:t>eport for completeness.</w:t>
      </w:r>
    </w:p>
    <w:p w14:paraId="42CF981B" w14:textId="2CDEE0CB" w:rsidR="00F84C08" w:rsidRDefault="00F84C08" w:rsidP="00622097">
      <w:pPr>
        <w:pStyle w:val="RRBullet1"/>
        <w:jc w:val="both"/>
      </w:pPr>
      <w:r>
        <w:t>MCO’s are contractually required to maintain their files with less than a 2% error rate in any submission cycle.</w:t>
      </w:r>
    </w:p>
    <w:p w14:paraId="75E4D81C" w14:textId="5B666039" w:rsidR="00002852" w:rsidRPr="00002852" w:rsidRDefault="00717B75" w:rsidP="00622097">
      <w:pPr>
        <w:pStyle w:val="RRBody"/>
        <w:jc w:val="both"/>
      </w:pPr>
      <w:r>
        <w:t>In addition</w:t>
      </w:r>
      <w:r w:rsidR="00050563">
        <w:t xml:space="preserve">, </w:t>
      </w:r>
      <w:r w:rsidR="002C3D38">
        <w:t>Milliman</w:t>
      </w:r>
      <w:r w:rsidR="002C3D38" w:rsidRPr="00002852">
        <w:t xml:space="preserve"> </w:t>
      </w:r>
      <w:r w:rsidR="00002852" w:rsidRPr="00002852">
        <w:t>applies several measures to the MC</w:t>
      </w:r>
      <w:r w:rsidR="002C3D38">
        <w:t>O</w:t>
      </w:r>
      <w:r w:rsidR="00002852" w:rsidRPr="00002852">
        <w:t xml:space="preserve">-submitted encounter data </w:t>
      </w:r>
      <w:r w:rsidR="00F84C08">
        <w:t xml:space="preserve">used in rate setting </w:t>
      </w:r>
      <w:r w:rsidR="00002852" w:rsidRPr="00002852">
        <w:t>to evaluate the completeness of the data. A sample of measures focused on the completeness of the data include:</w:t>
      </w:r>
    </w:p>
    <w:p w14:paraId="6743A893" w14:textId="77777777" w:rsidR="00002852" w:rsidRPr="00002852" w:rsidRDefault="00002852" w:rsidP="00622097">
      <w:pPr>
        <w:pStyle w:val="RRBullet1"/>
        <w:jc w:val="both"/>
      </w:pPr>
      <w:r w:rsidRPr="00002852">
        <w:t>Encounter data volume measures by population and service category;</w:t>
      </w:r>
    </w:p>
    <w:p w14:paraId="23558D6A" w14:textId="6F4A06A5" w:rsidR="009B5111" w:rsidRPr="00002852" w:rsidRDefault="009B5111" w:rsidP="009B5111">
      <w:pPr>
        <w:pStyle w:val="RRBullet1"/>
        <w:jc w:val="both"/>
      </w:pPr>
      <w:r>
        <w:t>Comparison against the FDCRs by population and service category</w:t>
      </w:r>
      <w:r w:rsidR="00027779">
        <w:t>;</w:t>
      </w:r>
      <w:r w:rsidR="00027779" w:rsidRPr="00CF7E42">
        <w:t xml:space="preserve"> </w:t>
      </w:r>
      <w:r w:rsidR="00027779">
        <w:t>and,</w:t>
      </w:r>
    </w:p>
    <w:p w14:paraId="0A754707" w14:textId="0B71AC14" w:rsidR="002C3D38" w:rsidRDefault="002C3D38" w:rsidP="00622097">
      <w:pPr>
        <w:pStyle w:val="RRBullet1"/>
        <w:jc w:val="both"/>
      </w:pPr>
      <w:r>
        <w:t xml:space="preserve">Comparison against the </w:t>
      </w:r>
      <w:r w:rsidR="009B70BA">
        <w:t>File Submission Reports</w:t>
      </w:r>
      <w:r>
        <w:t xml:space="preserve"> by population and service category</w:t>
      </w:r>
      <w:r w:rsidR="00027779">
        <w:t>.</w:t>
      </w:r>
    </w:p>
    <w:p w14:paraId="7D361FCE" w14:textId="2697BD93" w:rsidR="00002852" w:rsidRPr="00002852" w:rsidRDefault="00002852" w:rsidP="00622097">
      <w:pPr>
        <w:pStyle w:val="RRBody"/>
        <w:jc w:val="both"/>
      </w:pPr>
      <w:r w:rsidRPr="00002852">
        <w:t xml:space="preserve">We also summarize the encounter data to assess month to month completeness of the encounter data. These measures are applied to identify any months where encounter data volume is unusually large or small, indicating a potential issue with the submitted encounter data.  </w:t>
      </w:r>
    </w:p>
    <w:p w14:paraId="4CFEA122" w14:textId="72ADBC56" w:rsidR="009B5111" w:rsidRDefault="001263E7" w:rsidP="00622097">
      <w:pPr>
        <w:pStyle w:val="RRBody"/>
        <w:jc w:val="both"/>
        <w:rPr>
          <w:b/>
        </w:rPr>
      </w:pPr>
      <w:r>
        <w:t xml:space="preserve">In addition, we </w:t>
      </w:r>
      <w:r w:rsidR="00002852" w:rsidRPr="00002852">
        <w:t xml:space="preserve">reviewed each </w:t>
      </w:r>
      <w:r>
        <w:t xml:space="preserve">submission of the </w:t>
      </w:r>
      <w:r w:rsidR="00842437">
        <w:t>FDCR</w:t>
      </w:r>
      <w:r>
        <w:t xml:space="preserve">s </w:t>
      </w:r>
      <w:r w:rsidR="00002852" w:rsidRPr="00002852">
        <w:t xml:space="preserve">to identify large data variances, incomplete data, and other reporting issues. </w:t>
      </w:r>
      <w:r w:rsidR="005A5C39">
        <w:t>Any identified</w:t>
      </w:r>
      <w:r w:rsidR="005A5C39" w:rsidRPr="00002852">
        <w:t xml:space="preserve"> </w:t>
      </w:r>
      <w:r w:rsidR="00002852" w:rsidRPr="00002852">
        <w:t xml:space="preserve">issues </w:t>
      </w:r>
      <w:r w:rsidR="00C34B72">
        <w:t>were</w:t>
      </w:r>
      <w:r w:rsidR="00C34B72" w:rsidRPr="00002852">
        <w:t xml:space="preserve"> </w:t>
      </w:r>
      <w:r w:rsidR="00002852" w:rsidRPr="00002852">
        <w:t>provided to each MC</w:t>
      </w:r>
      <w:r>
        <w:t>O</w:t>
      </w:r>
      <w:r w:rsidR="00002852" w:rsidRPr="00002852">
        <w:t xml:space="preserve"> by </w:t>
      </w:r>
      <w:r>
        <w:t>EOHHS</w:t>
      </w:r>
      <w:r w:rsidRPr="00002852">
        <w:t xml:space="preserve"> </w:t>
      </w:r>
      <w:r w:rsidR="00002852" w:rsidRPr="00002852">
        <w:t xml:space="preserve">and the </w:t>
      </w:r>
      <w:r w:rsidR="00842437">
        <w:t>FDCR</w:t>
      </w:r>
      <w:r>
        <w:t>s</w:t>
      </w:r>
      <w:r w:rsidR="00002852" w:rsidRPr="00002852">
        <w:t xml:space="preserve"> </w:t>
      </w:r>
      <w:r w:rsidR="005A5C39">
        <w:t xml:space="preserve">were </w:t>
      </w:r>
      <w:r w:rsidR="00002852" w:rsidRPr="00002852">
        <w:t xml:space="preserve">re-submitted to </w:t>
      </w:r>
      <w:r>
        <w:t>EOHHS</w:t>
      </w:r>
      <w:r w:rsidRPr="00002852">
        <w:t xml:space="preserve"> </w:t>
      </w:r>
      <w:r w:rsidR="00002852" w:rsidRPr="00002852">
        <w:t>as necessary.</w:t>
      </w:r>
    </w:p>
    <w:p w14:paraId="30D83666" w14:textId="68246E45" w:rsidR="00002852" w:rsidRPr="00C32F9D" w:rsidRDefault="004E714A" w:rsidP="00622097">
      <w:pPr>
        <w:pStyle w:val="RRBody"/>
        <w:jc w:val="both"/>
        <w:rPr>
          <w:b/>
        </w:rPr>
      </w:pPr>
      <w:r>
        <w:rPr>
          <w:b/>
        </w:rPr>
        <w:br w:type="column"/>
      </w:r>
      <w:r w:rsidR="00002852" w:rsidRPr="00C32F9D">
        <w:rPr>
          <w:b/>
        </w:rPr>
        <w:lastRenderedPageBreak/>
        <w:t>Accuracy</w:t>
      </w:r>
    </w:p>
    <w:p w14:paraId="3752F148" w14:textId="06C184B1" w:rsidR="00F84C08" w:rsidRDefault="00F84C08" w:rsidP="00622097">
      <w:pPr>
        <w:pStyle w:val="RRBody"/>
        <w:jc w:val="both"/>
      </w:pPr>
      <w:r>
        <w:t>The EOHHS Data Quality Team performs multiple edits to ensure the accuracy of the submitted encounter data:</w:t>
      </w:r>
    </w:p>
    <w:p w14:paraId="661725F2" w14:textId="0C0C3956" w:rsidR="00F84C08" w:rsidRDefault="00F84C08" w:rsidP="00622097">
      <w:pPr>
        <w:pStyle w:val="RRBullet1"/>
        <w:jc w:val="both"/>
      </w:pPr>
      <w:r>
        <w:t xml:space="preserve">MCO encounters are required to pass all the edit and load criteria set out in the </w:t>
      </w:r>
      <w:r w:rsidR="00C34B72">
        <w:t>encounter c</w:t>
      </w:r>
      <w:r>
        <w:t xml:space="preserve">ompanion </w:t>
      </w:r>
      <w:r w:rsidR="00C34B72">
        <w:t>g</w:t>
      </w:r>
      <w:r>
        <w:t xml:space="preserve">uide, which are similar to the edits required for </w:t>
      </w:r>
      <w:r w:rsidR="00185E58">
        <w:t xml:space="preserve">fee-for-service </w:t>
      </w:r>
      <w:r>
        <w:t>claims.</w:t>
      </w:r>
    </w:p>
    <w:p w14:paraId="6F5DF9EC" w14:textId="76A217E5" w:rsidR="00F84C08" w:rsidRDefault="00F84C08" w:rsidP="00622097">
      <w:pPr>
        <w:pStyle w:val="RRBullet1"/>
        <w:jc w:val="both"/>
      </w:pPr>
      <w:r>
        <w:t>EOHHS maintains a monthly utilization tracking report that illustrates services provided to Medicaid beneficiaries and tracks trends by utilization category and line of business. This report is used to identify any gaps in MCO submissions.</w:t>
      </w:r>
    </w:p>
    <w:p w14:paraId="7001EAF8" w14:textId="68C0FBB5" w:rsidR="00342615" w:rsidRDefault="00342615" w:rsidP="00622097">
      <w:pPr>
        <w:pStyle w:val="RRBullet1"/>
        <w:jc w:val="both"/>
      </w:pPr>
      <w:r>
        <w:t>The Data Quality Team meets on a bi-weekly basis to identify more nuanced errors in the data, such as encounter submission issues with specific services or for fields not specifically addressed by the automated edits.</w:t>
      </w:r>
    </w:p>
    <w:p w14:paraId="33E1024B" w14:textId="5113CD96" w:rsidR="00897E55" w:rsidRDefault="00002852" w:rsidP="00622097">
      <w:pPr>
        <w:pStyle w:val="RRBody"/>
        <w:jc w:val="both"/>
      </w:pPr>
      <w:r w:rsidRPr="00002852">
        <w:t xml:space="preserve">We review the accuracy of the encounter data by </w:t>
      </w:r>
      <w:r w:rsidR="00C41EDB">
        <w:t>comparing expenditures to outside data sources including</w:t>
      </w:r>
      <w:r w:rsidRPr="00002852">
        <w:t xml:space="preserve"> </w:t>
      </w:r>
      <w:r w:rsidR="00C34B72">
        <w:t xml:space="preserve">the File Submission Reports </w:t>
      </w:r>
      <w:r w:rsidR="00682D13">
        <w:t xml:space="preserve">(FSR) </w:t>
      </w:r>
      <w:r w:rsidR="00C34B72">
        <w:t xml:space="preserve">and </w:t>
      </w:r>
      <w:r w:rsidR="00842437">
        <w:t>FDCR</w:t>
      </w:r>
      <w:r w:rsidR="001263E7">
        <w:t xml:space="preserve"> </w:t>
      </w:r>
      <w:r w:rsidRPr="00002852">
        <w:t>submissions. We summarize the encounter data into an actu</w:t>
      </w:r>
      <w:r w:rsidRPr="000E5BF8">
        <w:t xml:space="preserve">arial cost model format that is </w:t>
      </w:r>
      <w:r w:rsidR="00E13B57">
        <w:t>consistent</w:t>
      </w:r>
      <w:r w:rsidRPr="000E5BF8">
        <w:t xml:space="preserve"> </w:t>
      </w:r>
      <w:r w:rsidR="006A75FA">
        <w:t xml:space="preserve">with </w:t>
      </w:r>
      <w:r w:rsidRPr="000E5BF8">
        <w:t>the format of the base experience illustrated in Appendix 2</w:t>
      </w:r>
      <w:r w:rsidRPr="00002852">
        <w:t>.</w:t>
      </w:r>
      <w:r w:rsidR="00897E55">
        <w:t xml:space="preserve"> The MCOs were provided with their specific experience contributing to the base data in Appendix 2 </w:t>
      </w:r>
      <w:r w:rsidR="00734AA0">
        <w:t xml:space="preserve">to verify </w:t>
      </w:r>
      <w:r w:rsidR="00897E55">
        <w:t>its accuracy.</w:t>
      </w:r>
    </w:p>
    <w:p w14:paraId="6167ED27" w14:textId="6FF82569" w:rsidR="00002852" w:rsidRPr="00002852" w:rsidRDefault="00002852" w:rsidP="00622097">
      <w:pPr>
        <w:pStyle w:val="RRBody"/>
        <w:jc w:val="both"/>
      </w:pPr>
      <w:r w:rsidRPr="00002852">
        <w:t xml:space="preserve">Annual base period data summaries are created to ensure that the data for each service is consistent across the </w:t>
      </w:r>
      <w:r w:rsidR="001263E7">
        <w:t>MCOs</w:t>
      </w:r>
      <w:r w:rsidR="001263E7" w:rsidRPr="00002852">
        <w:t xml:space="preserve"> </w:t>
      </w:r>
      <w:r w:rsidRPr="00002852">
        <w:t xml:space="preserve">and with prior historical periods. Stratification by rate cell facilitates this review, as it minimizes the impact of changes in population mix. This process </w:t>
      </w:r>
      <w:r w:rsidR="008508A5">
        <w:t>is used to review</w:t>
      </w:r>
      <w:r w:rsidR="008508A5" w:rsidRPr="00002852">
        <w:t xml:space="preserve"> </w:t>
      </w:r>
      <w:r w:rsidR="001263E7" w:rsidRPr="00002852">
        <w:t>MC</w:t>
      </w:r>
      <w:r w:rsidR="001263E7">
        <w:t>O</w:t>
      </w:r>
      <w:r w:rsidR="001263E7" w:rsidRPr="00002852">
        <w:t xml:space="preserve"> </w:t>
      </w:r>
      <w:r w:rsidRPr="00002852">
        <w:t>and service category combinations that may have unreasonable reported data.</w:t>
      </w:r>
    </w:p>
    <w:p w14:paraId="061C3D0A" w14:textId="77777777" w:rsidR="00002852" w:rsidRPr="00C32F9D" w:rsidRDefault="00002852" w:rsidP="00622097">
      <w:pPr>
        <w:pStyle w:val="RRBody"/>
        <w:jc w:val="both"/>
        <w:rPr>
          <w:b/>
        </w:rPr>
      </w:pPr>
      <w:r w:rsidRPr="00C32F9D">
        <w:rPr>
          <w:b/>
        </w:rPr>
        <w:t>Consistency of data across data sources</w:t>
      </w:r>
    </w:p>
    <w:p w14:paraId="036E0600" w14:textId="22E31F9C" w:rsidR="00F1262C" w:rsidRDefault="00002852" w:rsidP="00622097">
      <w:pPr>
        <w:pStyle w:val="RRBody"/>
        <w:jc w:val="both"/>
      </w:pPr>
      <w:r w:rsidRPr="00002852">
        <w:t xml:space="preserve">We performed a detailed review of the encounter data used in the development of capitation rates effective </w:t>
      </w:r>
      <w:r w:rsidR="009C467E">
        <w:t>July 1, 202</w:t>
      </w:r>
      <w:r w:rsidR="008508A5">
        <w:t>2</w:t>
      </w:r>
      <w:r w:rsidRPr="00002852">
        <w:t xml:space="preserve">. Assessing the encounter data for consistency with the </w:t>
      </w:r>
      <w:r w:rsidR="009B5111">
        <w:t xml:space="preserve">FDCR </w:t>
      </w:r>
      <w:r w:rsidRPr="00002852">
        <w:t xml:space="preserve">was a </w:t>
      </w:r>
      <w:r w:rsidR="008B5E70">
        <w:t>critical</w:t>
      </w:r>
      <w:r w:rsidR="008B5E70" w:rsidRPr="00002852">
        <w:t xml:space="preserve"> </w:t>
      </w:r>
      <w:r w:rsidRPr="00002852">
        <w:t xml:space="preserve">part of the rate development process. We </w:t>
      </w:r>
      <w:r w:rsidR="00005F0A">
        <w:t xml:space="preserve">also </w:t>
      </w:r>
      <w:r w:rsidRPr="00002852">
        <w:t xml:space="preserve">reviewed </w:t>
      </w:r>
      <w:r w:rsidR="00F1262C">
        <w:t xml:space="preserve">the </w:t>
      </w:r>
      <w:r w:rsidR="00842437">
        <w:t>FDCR</w:t>
      </w:r>
      <w:r w:rsidR="00F1262C">
        <w:t xml:space="preserve"> against the </w:t>
      </w:r>
      <w:r w:rsidR="00682D13">
        <w:t>FSR</w:t>
      </w:r>
      <w:r w:rsidR="00F1262C">
        <w:t xml:space="preserve"> for consistency of expenditures across various data sources. </w:t>
      </w:r>
    </w:p>
    <w:p w14:paraId="30F82741" w14:textId="3AF2182D" w:rsidR="00002852" w:rsidRPr="00002852" w:rsidRDefault="00F1262C" w:rsidP="00622097">
      <w:pPr>
        <w:pStyle w:val="RRBody"/>
        <w:jc w:val="both"/>
      </w:pPr>
      <w:r>
        <w:t>We reviewed enrollment records against capitation payment records</w:t>
      </w:r>
      <w:r w:rsidR="008508A5">
        <w:t xml:space="preserve"> and</w:t>
      </w:r>
      <w:r>
        <w:t xml:space="preserve"> EOHHS internal </w:t>
      </w:r>
      <w:r w:rsidR="008508A5">
        <w:t>summaries</w:t>
      </w:r>
      <w:r>
        <w:t xml:space="preserve">. The enrollment records were determined to be consistent across various data sources. </w:t>
      </w:r>
    </w:p>
    <w:p w14:paraId="3B167CDD" w14:textId="42A17661" w:rsidR="00CE2634" w:rsidRPr="003541BD" w:rsidRDefault="00CE2634" w:rsidP="00622097">
      <w:pPr>
        <w:pStyle w:val="Heading6"/>
        <w:jc w:val="both"/>
      </w:pPr>
      <w:bookmarkStart w:id="144" w:name="_Toc504389013"/>
      <w:r w:rsidRPr="003541BD">
        <w:t>Actuary’s assessment</w:t>
      </w:r>
      <w:bookmarkEnd w:id="143"/>
      <w:bookmarkEnd w:id="144"/>
    </w:p>
    <w:p w14:paraId="68C0EB05" w14:textId="673D13C3" w:rsidR="004431F0" w:rsidRDefault="004431F0" w:rsidP="00622097">
      <w:pPr>
        <w:pStyle w:val="RRBody"/>
        <w:jc w:val="both"/>
      </w:pPr>
      <w:bookmarkStart w:id="145" w:name="_Toc484701168"/>
      <w:r>
        <w:t xml:space="preserve">As required by Actuarial Standard of Practice (ASOP) No. 23, Data Quality, we disclose that Milliman has relied upon certain data and information provided by </w:t>
      </w:r>
      <w:r w:rsidR="00F1262C">
        <w:t xml:space="preserve">EOHHS </w:t>
      </w:r>
      <w:r>
        <w:t xml:space="preserve">and their vendors. The values presented in this letter are dependent upon this reliance. </w:t>
      </w:r>
    </w:p>
    <w:p w14:paraId="4C051C9F" w14:textId="27A06799" w:rsidR="005347A5" w:rsidRPr="00442723" w:rsidRDefault="008508A5" w:rsidP="00622097">
      <w:pPr>
        <w:pStyle w:val="RRBody"/>
        <w:jc w:val="both"/>
        <w:rPr>
          <w:rFonts w:ascii="Calibri" w:hAnsi="Calibri"/>
          <w:sz w:val="2"/>
        </w:rPr>
      </w:pPr>
      <w:r>
        <w:t>We</w:t>
      </w:r>
      <w:r w:rsidR="004431F0">
        <w:t xml:space="preserve"> found the encounter data to be of appropriate quality for developing the </w:t>
      </w:r>
      <w:r w:rsidR="00F1262C">
        <w:t>SF</w:t>
      </w:r>
      <w:r w:rsidR="004431F0">
        <w:t xml:space="preserve">Y </w:t>
      </w:r>
      <w:r w:rsidR="00BA23AB">
        <w:t xml:space="preserve">2023 </w:t>
      </w:r>
      <w:r w:rsidR="004431F0">
        <w:t>capitation rates</w:t>
      </w:r>
      <w:r w:rsidR="00382178">
        <w:t xml:space="preserve">, </w:t>
      </w:r>
      <w:r w:rsidR="00F1262C">
        <w:t>with adjustment for data missing from the EOHHS encounter data warehouse</w:t>
      </w:r>
      <w:r>
        <w:t xml:space="preserve"> as described in Section I</w:t>
      </w:r>
      <w:r w:rsidR="00FF671D">
        <w:t xml:space="preserve">, item </w:t>
      </w:r>
      <w:r>
        <w:t>2.B.iii.a</w:t>
      </w:r>
      <w:r w:rsidR="00F1262C">
        <w:t xml:space="preserve">. </w:t>
      </w:r>
    </w:p>
    <w:p w14:paraId="7B27D8A0" w14:textId="69C0C31D" w:rsidR="00CE2634" w:rsidRPr="00E86763" w:rsidRDefault="00CE2634" w:rsidP="00622097">
      <w:pPr>
        <w:pStyle w:val="Heading6"/>
        <w:jc w:val="both"/>
      </w:pPr>
      <w:bookmarkStart w:id="146" w:name="_Toc504389014"/>
      <w:r w:rsidRPr="00E86763">
        <w:t>Data concerns</w:t>
      </w:r>
      <w:bookmarkEnd w:id="145"/>
      <w:bookmarkEnd w:id="146"/>
    </w:p>
    <w:p w14:paraId="35BCEA7F" w14:textId="11426690" w:rsidR="00BA23AB" w:rsidRDefault="00BA23AB" w:rsidP="00934FE1">
      <w:pPr>
        <w:pStyle w:val="RRBody"/>
        <w:jc w:val="both"/>
      </w:pPr>
      <w:bookmarkStart w:id="147" w:name="_Toc484701170"/>
      <w:r>
        <w:t xml:space="preserve">We compared the encounter data against the FDCR submissions and did not have material concerns </w:t>
      </w:r>
      <w:r w:rsidR="00FC0AE1">
        <w:t xml:space="preserve">regarding the availability or quality of </w:t>
      </w:r>
      <w:r>
        <w:t>the base data utilized for the capitation rate development.</w:t>
      </w:r>
    </w:p>
    <w:p w14:paraId="70520BC3" w14:textId="27A37DF1" w:rsidR="0037462D" w:rsidRPr="000514E6" w:rsidRDefault="0037462D" w:rsidP="004404DC">
      <w:pPr>
        <w:pStyle w:val="Heading5"/>
        <w:spacing w:after="60"/>
        <w:jc w:val="both"/>
      </w:pPr>
      <w:r>
        <w:t>Appropriate data</w:t>
      </w:r>
    </w:p>
    <w:p w14:paraId="40283BC0" w14:textId="77777777" w:rsidR="0037462D" w:rsidRPr="005347A5" w:rsidRDefault="00CD634D" w:rsidP="00622097">
      <w:pPr>
        <w:pStyle w:val="RRBody"/>
        <w:jc w:val="both"/>
        <w:rPr>
          <w:rFonts w:cstheme="minorHAnsi"/>
          <w:szCs w:val="18"/>
        </w:rPr>
      </w:pPr>
      <w:r w:rsidRPr="008B19EC">
        <w:t xml:space="preserve">Managed care encounter data was the primary data source used in the development of the capitation </w:t>
      </w:r>
      <w:r w:rsidRPr="00444945">
        <w:t>rates</w:t>
      </w:r>
      <w:r w:rsidR="00F659F4" w:rsidRPr="00F659F4">
        <w:t>.</w:t>
      </w:r>
    </w:p>
    <w:p w14:paraId="62891DA6" w14:textId="77777777" w:rsidR="0037462D" w:rsidRDefault="0037462D" w:rsidP="004404DC">
      <w:pPr>
        <w:pStyle w:val="Heading5"/>
        <w:spacing w:after="60"/>
        <w:jc w:val="both"/>
      </w:pPr>
      <w:r>
        <w:t>Reliance on a data book</w:t>
      </w:r>
    </w:p>
    <w:bookmarkEnd w:id="147"/>
    <w:p w14:paraId="41434E88" w14:textId="57C99864" w:rsidR="0037462D" w:rsidRPr="008B19EC" w:rsidRDefault="00CD3BD4" w:rsidP="00622097">
      <w:pPr>
        <w:pStyle w:val="RRBody"/>
        <w:jc w:val="both"/>
      </w:pPr>
      <w:r w:rsidRPr="00CD3BD4">
        <w:t>Development of the capitation rates did not rely on a data book or other summarized data source. We were provided with detailed claims data for all covered services and populations.</w:t>
      </w:r>
      <w:r w:rsidR="006E4DF5" w:rsidRPr="008B19EC">
        <w:t xml:space="preserve"> </w:t>
      </w:r>
    </w:p>
    <w:p w14:paraId="4E28A075" w14:textId="77777777" w:rsidR="00CE2634" w:rsidRPr="0027065D" w:rsidRDefault="00CE2634" w:rsidP="004404DC">
      <w:pPr>
        <w:pStyle w:val="Heading4"/>
        <w:spacing w:after="60"/>
      </w:pPr>
      <w:bookmarkStart w:id="148" w:name="_Toc484701173"/>
      <w:bookmarkStart w:id="149" w:name="_Toc504389019"/>
      <w:bookmarkStart w:id="150" w:name="_Toc8985006"/>
      <w:bookmarkStart w:id="151" w:name="_Toc100260702"/>
      <w:r w:rsidRPr="0027065D">
        <w:t>Data adjustments</w:t>
      </w:r>
      <w:bookmarkEnd w:id="148"/>
      <w:bookmarkEnd w:id="149"/>
      <w:bookmarkEnd w:id="150"/>
      <w:bookmarkEnd w:id="151"/>
    </w:p>
    <w:p w14:paraId="194C2CC7" w14:textId="6F144AE9" w:rsidR="00921587" w:rsidRDefault="00F659F4">
      <w:pPr>
        <w:pStyle w:val="RRBody"/>
        <w:jc w:val="both"/>
      </w:pPr>
      <w:bookmarkStart w:id="152" w:name="_Toc484701174"/>
      <w:r w:rsidRPr="00F659F4">
        <w:t xml:space="preserve">Capitation </w:t>
      </w:r>
      <w:r w:rsidR="00BF50F2" w:rsidRPr="008B19EC">
        <w:t xml:space="preserve">rates </w:t>
      </w:r>
      <w:r w:rsidR="00D55184">
        <w:t xml:space="preserve">utilize </w:t>
      </w:r>
      <w:r w:rsidR="00FC0AE1">
        <w:t>CY</w:t>
      </w:r>
      <w:r w:rsidR="007406A3">
        <w:t xml:space="preserve"> </w:t>
      </w:r>
      <w:r w:rsidR="001D579B">
        <w:t>2019</w:t>
      </w:r>
      <w:r w:rsidR="001D579B" w:rsidRPr="008B19EC">
        <w:t xml:space="preserve"> </w:t>
      </w:r>
      <w:r w:rsidR="00BF50F2" w:rsidRPr="008B19EC">
        <w:t>encounter data</w:t>
      </w:r>
      <w:r w:rsidR="00D55184">
        <w:t xml:space="preserve"> as </w:t>
      </w:r>
      <w:r w:rsidR="00682D13">
        <w:t xml:space="preserve">the </w:t>
      </w:r>
      <w:r w:rsidR="00D55184">
        <w:t>base experience</w:t>
      </w:r>
      <w:r w:rsidR="00BF50F2" w:rsidRPr="008B19EC">
        <w:t xml:space="preserve">. Adjustments were made to the base experience for </w:t>
      </w:r>
      <w:r w:rsidR="00BF50F2">
        <w:t xml:space="preserve">data quality, </w:t>
      </w:r>
      <w:r w:rsidR="00BF50F2" w:rsidRPr="008B19EC">
        <w:t xml:space="preserve">completion, </w:t>
      </w:r>
      <w:r w:rsidR="008A2F63">
        <w:t xml:space="preserve">payments not captured in the MCOs’ claim systems, </w:t>
      </w:r>
      <w:r w:rsidR="00E91251">
        <w:t>recoveries</w:t>
      </w:r>
      <w:r w:rsidR="00BF50F2" w:rsidRPr="008B19EC">
        <w:t>, and other program adjustments</w:t>
      </w:r>
      <w:r w:rsidRPr="00F659F4">
        <w:t>.</w:t>
      </w:r>
      <w:r w:rsidR="00785728">
        <w:t xml:space="preserve"> The following sections describe the adjustments made to the base data cost models presented in Appendix 2.</w:t>
      </w:r>
    </w:p>
    <w:p w14:paraId="5F335C13" w14:textId="77777777" w:rsidR="00682D13" w:rsidRDefault="00682D13">
      <w:pPr>
        <w:pStyle w:val="RRBody"/>
        <w:jc w:val="both"/>
      </w:pPr>
    </w:p>
    <w:p w14:paraId="31C11225" w14:textId="77777777" w:rsidR="00CE2634" w:rsidRPr="004273B4" w:rsidRDefault="00CE2634">
      <w:pPr>
        <w:pStyle w:val="Heading5"/>
        <w:jc w:val="both"/>
      </w:pPr>
      <w:bookmarkStart w:id="153" w:name="_Toc504389020"/>
      <w:r w:rsidRPr="004273B4">
        <w:lastRenderedPageBreak/>
        <w:t>Credibility adjustment</w:t>
      </w:r>
      <w:bookmarkEnd w:id="152"/>
      <w:bookmarkEnd w:id="153"/>
    </w:p>
    <w:p w14:paraId="69DE42E4" w14:textId="77777777" w:rsidR="009B6C89" w:rsidRDefault="009B6C89" w:rsidP="008A2F63">
      <w:pPr>
        <w:pStyle w:val="RRSubhead2"/>
        <w:spacing w:line="240" w:lineRule="auto"/>
        <w:contextualSpacing/>
        <w:jc w:val="both"/>
      </w:pPr>
      <w:bookmarkStart w:id="154" w:name="_Toc36127163"/>
      <w:r>
        <w:t>Data Quality Adjustment</w:t>
      </w:r>
      <w:bookmarkEnd w:id="154"/>
    </w:p>
    <w:p w14:paraId="6802E102" w14:textId="72D8D85A" w:rsidR="00FC0AE1" w:rsidRDefault="00FC0AE1" w:rsidP="00027779">
      <w:pPr>
        <w:pStyle w:val="RRBody"/>
        <w:spacing w:before="120"/>
        <w:jc w:val="both"/>
      </w:pPr>
      <w:r>
        <w:t>We reviewed MCO encounter data and FDCR information for</w:t>
      </w:r>
      <w:r w:rsidRPr="003C175D">
        <w:t xml:space="preserve"> </w:t>
      </w:r>
      <w:r>
        <w:t>consistency of reported benefit expense across data sources</w:t>
      </w:r>
      <w:r w:rsidRPr="003C175D">
        <w:t>. Data quality was evaluated at the rate ce</w:t>
      </w:r>
      <w:r>
        <w:t xml:space="preserve">ll and service category level. The data was found to be suitable for capitation rate development purposes, with adjustment for encounter data quality issues. A data quality adjustment was applied at the population and service category level (with professional, ancillary, and LTSS combined) to the base encounter data to account </w:t>
      </w:r>
      <w:r w:rsidR="00382178">
        <w:t xml:space="preserve">for </w:t>
      </w:r>
      <w:r>
        <w:t xml:space="preserve">encounter data quality issues, such as services that were provided by the </w:t>
      </w:r>
      <w:r w:rsidR="00382178">
        <w:t>MCOs</w:t>
      </w:r>
      <w:r>
        <w:t xml:space="preserve"> but were not reported as an encounter at the time of data extraction. </w:t>
      </w:r>
    </w:p>
    <w:p w14:paraId="517EF759" w14:textId="77777777" w:rsidR="00FC0AE1" w:rsidRDefault="00FC0AE1" w:rsidP="00027779">
      <w:pPr>
        <w:pStyle w:val="RRBody"/>
        <w:spacing w:before="120"/>
        <w:jc w:val="both"/>
      </w:pPr>
      <w:r>
        <w:t xml:space="preserve">Certain rate cells and service categories were adjusted at a more granular level to reflect observed issues in the encounter data reporting: </w:t>
      </w:r>
    </w:p>
    <w:p w14:paraId="1E0A8A8E" w14:textId="77777777" w:rsidR="009B6C89" w:rsidRPr="00892350" w:rsidRDefault="009B6C89" w:rsidP="00AA106F">
      <w:pPr>
        <w:pStyle w:val="RRNumberedBullet1"/>
        <w:numPr>
          <w:ilvl w:val="0"/>
          <w:numId w:val="0"/>
        </w:numPr>
        <w:jc w:val="both"/>
        <w:rPr>
          <w:b/>
          <w:bCs/>
        </w:rPr>
      </w:pPr>
      <w:r w:rsidRPr="00394EAF">
        <w:rPr>
          <w:b/>
          <w:bCs/>
        </w:rPr>
        <w:t xml:space="preserve">Rate </w:t>
      </w:r>
      <w:r>
        <w:rPr>
          <w:b/>
          <w:bCs/>
        </w:rPr>
        <w:t>C</w:t>
      </w:r>
      <w:r w:rsidRPr="00394EAF">
        <w:rPr>
          <w:b/>
          <w:bCs/>
        </w:rPr>
        <w:t>ells</w:t>
      </w:r>
      <w:r>
        <w:rPr>
          <w:b/>
          <w:bCs/>
        </w:rPr>
        <w:t xml:space="preserve"> Adjusted Separately</w:t>
      </w:r>
    </w:p>
    <w:p w14:paraId="15721C77" w14:textId="77777777" w:rsidR="009B6C89" w:rsidRDefault="009B6C89" w:rsidP="008A2F63">
      <w:pPr>
        <w:pStyle w:val="RRNumberedBullet1"/>
        <w:spacing w:before="60"/>
        <w:jc w:val="both"/>
        <w:rPr>
          <w:bCs/>
        </w:rPr>
      </w:pPr>
      <w:r w:rsidRPr="00394EAF">
        <w:rPr>
          <w:bCs/>
        </w:rPr>
        <w:t>RIte Care Children &lt;1</w:t>
      </w:r>
    </w:p>
    <w:p w14:paraId="5ED2EF69" w14:textId="77777777" w:rsidR="00FC0AE1" w:rsidRDefault="00FC0AE1" w:rsidP="00FC0AE1">
      <w:pPr>
        <w:pStyle w:val="RRNumberedBullet1"/>
        <w:spacing w:before="60"/>
        <w:rPr>
          <w:bCs/>
        </w:rPr>
      </w:pPr>
      <w:r>
        <w:rPr>
          <w:bCs/>
        </w:rPr>
        <w:t xml:space="preserve">RIte Care SOBRA and Medicaid Expansion SOBRA </w:t>
      </w:r>
    </w:p>
    <w:p w14:paraId="5D377BF0" w14:textId="77777777" w:rsidR="00FC0AE1" w:rsidRDefault="00FC0AE1" w:rsidP="00027779">
      <w:pPr>
        <w:pStyle w:val="RRNumberedBullet1"/>
        <w:numPr>
          <w:ilvl w:val="0"/>
          <w:numId w:val="0"/>
        </w:numPr>
        <w:spacing w:after="120"/>
        <w:rPr>
          <w:bCs/>
        </w:rPr>
      </w:pPr>
      <w:r>
        <w:rPr>
          <w:bCs/>
        </w:rPr>
        <w:t>The data quality adjustment was applied separately to the RIte Care and Medicaid Expansion SOBRA payments, which were then composited into a single rate cell.</w:t>
      </w:r>
    </w:p>
    <w:p w14:paraId="01E9CB4B" w14:textId="77777777" w:rsidR="009B6C89" w:rsidRPr="00394EAF" w:rsidRDefault="009B6C89" w:rsidP="00AA106F">
      <w:pPr>
        <w:pStyle w:val="RRNumberedBullet1"/>
        <w:numPr>
          <w:ilvl w:val="0"/>
          <w:numId w:val="0"/>
        </w:numPr>
        <w:jc w:val="both"/>
        <w:rPr>
          <w:b/>
          <w:bCs/>
        </w:rPr>
      </w:pPr>
      <w:r>
        <w:rPr>
          <w:b/>
          <w:bCs/>
        </w:rPr>
        <w:t>Service Categories</w:t>
      </w:r>
      <w:r w:rsidRPr="006568E0">
        <w:rPr>
          <w:b/>
          <w:bCs/>
        </w:rPr>
        <w:t xml:space="preserve"> </w:t>
      </w:r>
      <w:r>
        <w:rPr>
          <w:b/>
          <w:bCs/>
        </w:rPr>
        <w:t>Adjusted Separately</w:t>
      </w:r>
    </w:p>
    <w:p w14:paraId="0128BDD0" w14:textId="77777777" w:rsidR="009B6C89" w:rsidRDefault="009B6C89" w:rsidP="008A2F63">
      <w:pPr>
        <w:pStyle w:val="RRNumberedBullet1"/>
        <w:spacing w:before="60"/>
        <w:jc w:val="both"/>
      </w:pPr>
      <w:r>
        <w:t>Outpatient Pharmacy</w:t>
      </w:r>
    </w:p>
    <w:p w14:paraId="13068592" w14:textId="77777777" w:rsidR="009B6C89" w:rsidRDefault="009B6C89" w:rsidP="008A2F63">
      <w:pPr>
        <w:pStyle w:val="RRNumberedBullet1"/>
        <w:spacing w:before="60"/>
        <w:jc w:val="both"/>
      </w:pPr>
      <w:r>
        <w:t>Professional Office Administered Drugs</w:t>
      </w:r>
    </w:p>
    <w:p w14:paraId="23AC94A5" w14:textId="7E405AD1" w:rsidR="00FC0AE1" w:rsidRDefault="00FC0AE1">
      <w:pPr>
        <w:pStyle w:val="RRBody"/>
        <w:jc w:val="both"/>
      </w:pPr>
      <w:r w:rsidRPr="00FC0AE1">
        <w:t xml:space="preserve">Non-state plan expenditures were removed </w:t>
      </w:r>
      <w:r w:rsidR="00682D13">
        <w:t xml:space="preserve">as a component of </w:t>
      </w:r>
      <w:r w:rsidRPr="00FC0AE1">
        <w:t>the data quality adjustment. In addition, inpatient expenditures for the RIte Care Extended Family Planning rate cell were excluded in this adjustment. These expenditures were removed to reflect that they are not covered under the Medicaid managed care program.</w:t>
      </w:r>
    </w:p>
    <w:p w14:paraId="758A3159" w14:textId="48B48DE1" w:rsidR="007406A3" w:rsidRDefault="009B6C89">
      <w:pPr>
        <w:pStyle w:val="RRBody"/>
        <w:jc w:val="both"/>
      </w:pPr>
      <w:r>
        <w:t xml:space="preserve">Figure 5 illustrates the PMPM impact of data quality adjustments for each population in </w:t>
      </w:r>
      <w:r w:rsidR="00FC0AE1">
        <w:t>CY</w:t>
      </w:r>
      <w:r>
        <w:t xml:space="preserve"> 2019</w:t>
      </w:r>
      <w:r w:rsidR="007406A3">
        <w:t>.</w:t>
      </w:r>
    </w:p>
    <w:tbl>
      <w:tblPr>
        <w:tblW w:w="5000" w:type="pct"/>
        <w:tblLayout w:type="fixed"/>
        <w:tblLook w:val="04A0" w:firstRow="1" w:lastRow="0" w:firstColumn="1" w:lastColumn="0" w:noHBand="0" w:noVBand="1"/>
      </w:tblPr>
      <w:tblGrid>
        <w:gridCol w:w="3606"/>
        <w:gridCol w:w="1500"/>
        <w:gridCol w:w="1499"/>
        <w:gridCol w:w="1501"/>
        <w:gridCol w:w="1254"/>
      </w:tblGrid>
      <w:tr w:rsidR="00067000" w:rsidRPr="00E122F0" w14:paraId="529ED477" w14:textId="77777777" w:rsidTr="009020E9">
        <w:trPr>
          <w:trHeight w:val="245"/>
        </w:trPr>
        <w:tc>
          <w:tcPr>
            <w:tcW w:w="5000" w:type="pct"/>
            <w:gridSpan w:val="5"/>
            <w:tcBorders>
              <w:top w:val="nil"/>
              <w:left w:val="nil"/>
              <w:bottom w:val="single" w:sz="4" w:space="0" w:color="C6C9CA"/>
              <w:right w:val="nil"/>
            </w:tcBorders>
            <w:shd w:val="clear" w:color="auto" w:fill="auto"/>
            <w:vAlign w:val="center"/>
          </w:tcPr>
          <w:p w14:paraId="2C0B8FF7" w14:textId="78588DFB" w:rsidR="00067000" w:rsidRDefault="00067000" w:rsidP="00067000">
            <w:pPr>
              <w:spacing w:after="0" w:line="240" w:lineRule="auto"/>
              <w:rPr>
                <w:rFonts w:ascii="Arial" w:hAnsi="Arial" w:cs="Arial"/>
                <w:b/>
                <w:bCs/>
                <w:color w:val="39414D"/>
                <w:szCs w:val="18"/>
              </w:rPr>
            </w:pPr>
            <w:r w:rsidRPr="009B6C89">
              <w:rPr>
                <w:rFonts w:ascii="Arial" w:eastAsia="Times New Roman" w:hAnsi="Arial" w:cs="Arial"/>
                <w:b/>
                <w:bCs/>
                <w:color w:val="0081E3"/>
                <w:szCs w:val="18"/>
              </w:rPr>
              <w:t xml:space="preserve">FIGURE 5: </w:t>
            </w:r>
            <w:r w:rsidR="00713C5F">
              <w:rPr>
                <w:rFonts w:ascii="Arial" w:eastAsia="Times New Roman" w:hAnsi="Arial" w:cs="Arial"/>
                <w:b/>
                <w:bCs/>
                <w:color w:val="0081E3"/>
                <w:szCs w:val="18"/>
              </w:rPr>
              <w:t>CALENDAR</w:t>
            </w:r>
            <w:r w:rsidRPr="009B6C89">
              <w:rPr>
                <w:rFonts w:ascii="Arial" w:eastAsia="Times New Roman" w:hAnsi="Arial" w:cs="Arial"/>
                <w:b/>
                <w:bCs/>
                <w:color w:val="0081E3"/>
                <w:szCs w:val="18"/>
              </w:rPr>
              <w:t xml:space="preserve"> YEAR 2019 DATA QUALITY ADJUSTMENT</w:t>
            </w:r>
          </w:p>
        </w:tc>
      </w:tr>
      <w:tr w:rsidR="00067000" w:rsidRPr="00E122F0" w14:paraId="2450AD67" w14:textId="77777777" w:rsidTr="009B6C89">
        <w:trPr>
          <w:trHeight w:val="480"/>
        </w:trPr>
        <w:tc>
          <w:tcPr>
            <w:tcW w:w="1926" w:type="pct"/>
            <w:tcBorders>
              <w:top w:val="nil"/>
              <w:left w:val="nil"/>
              <w:bottom w:val="single" w:sz="4" w:space="0" w:color="C6C9CA"/>
              <w:right w:val="nil"/>
            </w:tcBorders>
            <w:shd w:val="clear" w:color="auto" w:fill="auto"/>
            <w:vAlign w:val="bottom"/>
            <w:hideMark/>
          </w:tcPr>
          <w:p w14:paraId="45B8A33C" w14:textId="77777777" w:rsidR="00067000" w:rsidRPr="00E122F0" w:rsidRDefault="00067000" w:rsidP="00067000">
            <w:pPr>
              <w:spacing w:after="0" w:line="240" w:lineRule="auto"/>
              <w:rPr>
                <w:rFonts w:ascii="Arial" w:eastAsia="Times New Roman" w:hAnsi="Arial" w:cs="Arial"/>
                <w:b/>
                <w:bCs/>
                <w:color w:val="39414D"/>
                <w:szCs w:val="18"/>
              </w:rPr>
            </w:pPr>
            <w:r w:rsidRPr="00E122F0">
              <w:rPr>
                <w:rFonts w:ascii="Arial" w:eastAsia="Times New Roman" w:hAnsi="Arial" w:cs="Arial"/>
                <w:b/>
                <w:bCs/>
                <w:color w:val="39414D"/>
                <w:szCs w:val="18"/>
              </w:rPr>
              <w:t>Population</w:t>
            </w:r>
          </w:p>
        </w:tc>
        <w:tc>
          <w:tcPr>
            <w:tcW w:w="801" w:type="pct"/>
            <w:tcBorders>
              <w:top w:val="nil"/>
              <w:left w:val="nil"/>
              <w:bottom w:val="single" w:sz="4" w:space="0" w:color="C6C9CA"/>
              <w:right w:val="nil"/>
            </w:tcBorders>
            <w:shd w:val="clear" w:color="auto" w:fill="auto"/>
            <w:vAlign w:val="bottom"/>
            <w:hideMark/>
          </w:tcPr>
          <w:p w14:paraId="575B008C" w14:textId="77777777" w:rsidR="00067000" w:rsidRPr="00E122F0" w:rsidRDefault="00067000" w:rsidP="00067000">
            <w:pPr>
              <w:spacing w:after="0" w:line="240" w:lineRule="auto"/>
              <w:jc w:val="center"/>
              <w:rPr>
                <w:rFonts w:ascii="Arial" w:eastAsia="Times New Roman" w:hAnsi="Arial" w:cs="Arial"/>
                <w:b/>
                <w:bCs/>
                <w:color w:val="39414D"/>
                <w:szCs w:val="18"/>
              </w:rPr>
            </w:pPr>
            <w:r w:rsidRPr="00E122F0">
              <w:rPr>
                <w:rFonts w:ascii="Arial" w:eastAsia="Times New Roman" w:hAnsi="Arial" w:cs="Arial"/>
                <w:b/>
                <w:bCs/>
                <w:color w:val="39414D"/>
                <w:szCs w:val="18"/>
              </w:rPr>
              <w:t>Member Months</w:t>
            </w:r>
            <w:r>
              <w:rPr>
                <w:rFonts w:ascii="Arial" w:eastAsia="Times New Roman" w:hAnsi="Arial" w:cs="Arial"/>
                <w:b/>
                <w:bCs/>
                <w:color w:val="39414D"/>
                <w:szCs w:val="18"/>
              </w:rPr>
              <w:t xml:space="preserve"> </w:t>
            </w:r>
            <w:r w:rsidRPr="00E122F0">
              <w:rPr>
                <w:rFonts w:ascii="Arial" w:eastAsia="Times New Roman" w:hAnsi="Arial" w:cs="Arial"/>
                <w:b/>
                <w:bCs/>
                <w:color w:val="39414D"/>
                <w:szCs w:val="18"/>
              </w:rPr>
              <w:t>/</w:t>
            </w:r>
            <w:r>
              <w:rPr>
                <w:rFonts w:ascii="Arial" w:eastAsia="Times New Roman" w:hAnsi="Arial" w:cs="Arial"/>
                <w:b/>
                <w:bCs/>
                <w:color w:val="39414D"/>
                <w:szCs w:val="18"/>
              </w:rPr>
              <w:t xml:space="preserve"> </w:t>
            </w:r>
            <w:r w:rsidRPr="00E122F0">
              <w:rPr>
                <w:rFonts w:ascii="Arial" w:eastAsia="Times New Roman" w:hAnsi="Arial" w:cs="Arial"/>
                <w:b/>
                <w:bCs/>
                <w:color w:val="39414D"/>
                <w:szCs w:val="18"/>
              </w:rPr>
              <w:t>Deliveries</w:t>
            </w:r>
          </w:p>
        </w:tc>
        <w:tc>
          <w:tcPr>
            <w:tcW w:w="801" w:type="pct"/>
            <w:tcBorders>
              <w:top w:val="nil"/>
              <w:left w:val="nil"/>
              <w:bottom w:val="single" w:sz="4" w:space="0" w:color="C6C9CA"/>
              <w:right w:val="nil"/>
            </w:tcBorders>
            <w:shd w:val="clear" w:color="auto" w:fill="auto"/>
            <w:vAlign w:val="bottom"/>
            <w:hideMark/>
          </w:tcPr>
          <w:p w14:paraId="5930ED33" w14:textId="77777777" w:rsidR="00067000" w:rsidRPr="00E122F0" w:rsidRDefault="00067000" w:rsidP="00067000">
            <w:pPr>
              <w:spacing w:after="0" w:line="240" w:lineRule="auto"/>
              <w:jc w:val="center"/>
              <w:rPr>
                <w:rFonts w:ascii="Arial" w:eastAsia="Times New Roman" w:hAnsi="Arial" w:cs="Arial"/>
                <w:b/>
                <w:bCs/>
                <w:color w:val="39414D"/>
                <w:szCs w:val="18"/>
              </w:rPr>
            </w:pPr>
            <w:r w:rsidRPr="00E122F0">
              <w:rPr>
                <w:rFonts w:ascii="Arial" w:eastAsia="Times New Roman" w:hAnsi="Arial" w:cs="Arial"/>
                <w:b/>
                <w:bCs/>
                <w:color w:val="39414D"/>
                <w:szCs w:val="18"/>
              </w:rPr>
              <w:t>Base Encounter Data PMPM</w:t>
            </w:r>
          </w:p>
        </w:tc>
        <w:tc>
          <w:tcPr>
            <w:tcW w:w="802" w:type="pct"/>
            <w:tcBorders>
              <w:top w:val="nil"/>
              <w:left w:val="nil"/>
              <w:bottom w:val="single" w:sz="4" w:space="0" w:color="C6C9CA"/>
              <w:right w:val="nil"/>
            </w:tcBorders>
            <w:shd w:val="clear" w:color="auto" w:fill="auto"/>
            <w:vAlign w:val="bottom"/>
            <w:hideMark/>
          </w:tcPr>
          <w:p w14:paraId="45089E69" w14:textId="77777777" w:rsidR="00067000" w:rsidRPr="00E122F0" w:rsidRDefault="00067000" w:rsidP="00067000">
            <w:pPr>
              <w:spacing w:after="0" w:line="240" w:lineRule="auto"/>
              <w:jc w:val="center"/>
              <w:rPr>
                <w:rFonts w:ascii="Arial" w:eastAsia="Times New Roman" w:hAnsi="Arial" w:cs="Arial"/>
                <w:b/>
                <w:bCs/>
                <w:color w:val="39414D"/>
                <w:szCs w:val="18"/>
              </w:rPr>
            </w:pPr>
            <w:r w:rsidRPr="00E122F0">
              <w:rPr>
                <w:rFonts w:ascii="Arial" w:eastAsia="Times New Roman" w:hAnsi="Arial" w:cs="Arial"/>
                <w:b/>
                <w:bCs/>
                <w:color w:val="39414D"/>
                <w:szCs w:val="18"/>
              </w:rPr>
              <w:t xml:space="preserve">Adjusted for </w:t>
            </w:r>
            <w:r>
              <w:rPr>
                <w:rFonts w:ascii="Arial" w:eastAsia="Times New Roman" w:hAnsi="Arial" w:cs="Arial"/>
                <w:b/>
                <w:bCs/>
                <w:color w:val="39414D"/>
                <w:szCs w:val="18"/>
              </w:rPr>
              <w:t>Data Quality</w:t>
            </w:r>
          </w:p>
        </w:tc>
        <w:tc>
          <w:tcPr>
            <w:tcW w:w="670" w:type="pct"/>
            <w:tcBorders>
              <w:top w:val="nil"/>
              <w:left w:val="nil"/>
              <w:bottom w:val="single" w:sz="4" w:space="0" w:color="C6C9CA"/>
              <w:right w:val="nil"/>
            </w:tcBorders>
            <w:shd w:val="clear" w:color="auto" w:fill="auto"/>
            <w:vAlign w:val="bottom"/>
            <w:hideMark/>
          </w:tcPr>
          <w:p w14:paraId="76B1F6A9" w14:textId="77777777" w:rsidR="00067000" w:rsidRPr="00E122F0" w:rsidRDefault="00067000" w:rsidP="00067000">
            <w:pPr>
              <w:spacing w:after="0" w:line="240" w:lineRule="auto"/>
              <w:jc w:val="center"/>
              <w:rPr>
                <w:rFonts w:ascii="Arial" w:eastAsia="Times New Roman" w:hAnsi="Arial" w:cs="Arial"/>
                <w:b/>
                <w:bCs/>
                <w:color w:val="39414D"/>
                <w:szCs w:val="18"/>
              </w:rPr>
            </w:pPr>
            <w:r w:rsidRPr="00E122F0">
              <w:rPr>
                <w:rFonts w:ascii="Arial" w:eastAsia="Times New Roman" w:hAnsi="Arial" w:cs="Arial"/>
                <w:b/>
                <w:bCs/>
                <w:color w:val="39414D"/>
                <w:szCs w:val="18"/>
              </w:rPr>
              <w:t>Percent Difference</w:t>
            </w:r>
          </w:p>
        </w:tc>
      </w:tr>
      <w:tr w:rsidR="00F825F2" w:rsidRPr="00E122F0" w14:paraId="1AF1D806" w14:textId="77777777" w:rsidTr="00AA106F">
        <w:trPr>
          <w:trHeight w:val="240"/>
        </w:trPr>
        <w:tc>
          <w:tcPr>
            <w:tcW w:w="1926" w:type="pct"/>
            <w:tcBorders>
              <w:top w:val="nil"/>
              <w:left w:val="nil"/>
              <w:bottom w:val="nil"/>
              <w:right w:val="nil"/>
            </w:tcBorders>
            <w:shd w:val="clear" w:color="auto" w:fill="auto"/>
            <w:noWrap/>
            <w:vAlign w:val="center"/>
            <w:hideMark/>
          </w:tcPr>
          <w:p w14:paraId="73F29EE2" w14:textId="784BBFAE" w:rsidR="00F825F2" w:rsidRPr="00E122F0" w:rsidRDefault="00713C5F" w:rsidP="00F825F2">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C</w:t>
            </w:r>
            <w:r w:rsidRPr="00E122F0">
              <w:rPr>
                <w:rFonts w:ascii="Arial" w:eastAsia="Times New Roman" w:hAnsi="Arial" w:cs="Arial"/>
                <w:b/>
                <w:bCs/>
                <w:color w:val="39414D"/>
                <w:szCs w:val="18"/>
              </w:rPr>
              <w:t xml:space="preserve">Y </w:t>
            </w:r>
            <w:r w:rsidR="00F825F2" w:rsidRPr="00E122F0">
              <w:rPr>
                <w:rFonts w:ascii="Arial" w:eastAsia="Times New Roman" w:hAnsi="Arial" w:cs="Arial"/>
                <w:b/>
                <w:bCs/>
                <w:color w:val="39414D"/>
                <w:szCs w:val="18"/>
              </w:rPr>
              <w:t>201</w:t>
            </w:r>
            <w:r w:rsidR="00F825F2">
              <w:rPr>
                <w:rFonts w:ascii="Arial" w:eastAsia="Times New Roman" w:hAnsi="Arial" w:cs="Arial"/>
                <w:b/>
                <w:bCs/>
                <w:color w:val="39414D"/>
                <w:szCs w:val="18"/>
              </w:rPr>
              <w:t>9</w:t>
            </w:r>
          </w:p>
        </w:tc>
        <w:tc>
          <w:tcPr>
            <w:tcW w:w="801" w:type="pct"/>
            <w:tcBorders>
              <w:top w:val="nil"/>
              <w:left w:val="nil"/>
              <w:bottom w:val="nil"/>
              <w:right w:val="nil"/>
            </w:tcBorders>
            <w:shd w:val="clear" w:color="auto" w:fill="auto"/>
            <w:noWrap/>
            <w:vAlign w:val="center"/>
            <w:hideMark/>
          </w:tcPr>
          <w:p w14:paraId="3DC63971" w14:textId="77777777" w:rsidR="00F825F2" w:rsidRPr="00E122F0" w:rsidRDefault="00F825F2" w:rsidP="00F825F2">
            <w:pPr>
              <w:spacing w:after="0" w:line="240" w:lineRule="auto"/>
              <w:jc w:val="right"/>
              <w:rPr>
                <w:rFonts w:ascii="Arial" w:eastAsia="Times New Roman" w:hAnsi="Arial" w:cs="Arial"/>
                <w:b/>
                <w:bCs/>
                <w:color w:val="39414D"/>
                <w:szCs w:val="18"/>
              </w:rPr>
            </w:pPr>
          </w:p>
        </w:tc>
        <w:tc>
          <w:tcPr>
            <w:tcW w:w="801" w:type="pct"/>
            <w:tcBorders>
              <w:top w:val="nil"/>
              <w:left w:val="nil"/>
              <w:bottom w:val="nil"/>
              <w:right w:val="nil"/>
            </w:tcBorders>
            <w:shd w:val="clear" w:color="auto" w:fill="auto"/>
            <w:noWrap/>
            <w:vAlign w:val="center"/>
            <w:hideMark/>
          </w:tcPr>
          <w:p w14:paraId="789668E8" w14:textId="77777777" w:rsidR="00F825F2" w:rsidRPr="00E122F0" w:rsidRDefault="00F825F2" w:rsidP="00F825F2">
            <w:pPr>
              <w:spacing w:after="0" w:line="240" w:lineRule="auto"/>
              <w:jc w:val="right"/>
              <w:rPr>
                <w:rFonts w:ascii="Times New Roman" w:eastAsia="Times New Roman" w:hAnsi="Times New Roman" w:cs="Times New Roman"/>
                <w:sz w:val="20"/>
                <w:szCs w:val="20"/>
              </w:rPr>
            </w:pPr>
          </w:p>
        </w:tc>
        <w:tc>
          <w:tcPr>
            <w:tcW w:w="802" w:type="pct"/>
            <w:tcBorders>
              <w:top w:val="nil"/>
              <w:left w:val="nil"/>
              <w:bottom w:val="nil"/>
              <w:right w:val="nil"/>
            </w:tcBorders>
            <w:shd w:val="clear" w:color="auto" w:fill="auto"/>
            <w:noWrap/>
            <w:vAlign w:val="center"/>
            <w:hideMark/>
          </w:tcPr>
          <w:p w14:paraId="3D4389B6" w14:textId="77777777" w:rsidR="00F825F2" w:rsidRPr="00E122F0" w:rsidRDefault="00F825F2" w:rsidP="00F825F2">
            <w:pPr>
              <w:spacing w:after="0" w:line="240" w:lineRule="auto"/>
              <w:jc w:val="right"/>
              <w:rPr>
                <w:rFonts w:ascii="Times New Roman" w:eastAsia="Times New Roman" w:hAnsi="Times New Roman" w:cs="Times New Roman"/>
                <w:sz w:val="20"/>
                <w:szCs w:val="20"/>
              </w:rPr>
            </w:pPr>
          </w:p>
        </w:tc>
        <w:tc>
          <w:tcPr>
            <w:tcW w:w="670" w:type="pct"/>
            <w:tcBorders>
              <w:top w:val="nil"/>
              <w:left w:val="nil"/>
              <w:bottom w:val="nil"/>
              <w:right w:val="nil"/>
            </w:tcBorders>
            <w:shd w:val="clear" w:color="auto" w:fill="auto"/>
            <w:noWrap/>
            <w:vAlign w:val="center"/>
            <w:hideMark/>
          </w:tcPr>
          <w:p w14:paraId="6306E7A7" w14:textId="77777777" w:rsidR="00F825F2" w:rsidRPr="00E122F0" w:rsidRDefault="00F825F2" w:rsidP="00F825F2">
            <w:pPr>
              <w:spacing w:after="0" w:line="240" w:lineRule="auto"/>
              <w:jc w:val="right"/>
              <w:rPr>
                <w:rFonts w:ascii="Times New Roman" w:eastAsia="Times New Roman" w:hAnsi="Times New Roman" w:cs="Times New Roman"/>
                <w:sz w:val="20"/>
                <w:szCs w:val="20"/>
              </w:rPr>
            </w:pPr>
          </w:p>
        </w:tc>
      </w:tr>
      <w:tr w:rsidR="00D62BB5" w:rsidRPr="00E122F0" w14:paraId="5FDCE1BC" w14:textId="77777777" w:rsidTr="00AA106F">
        <w:trPr>
          <w:trHeight w:val="240"/>
        </w:trPr>
        <w:tc>
          <w:tcPr>
            <w:tcW w:w="1926" w:type="pct"/>
            <w:tcBorders>
              <w:top w:val="nil"/>
              <w:left w:val="nil"/>
              <w:bottom w:val="nil"/>
              <w:right w:val="nil"/>
            </w:tcBorders>
            <w:shd w:val="clear" w:color="000000" w:fill="E8E9E9"/>
            <w:noWrap/>
            <w:vAlign w:val="center"/>
            <w:hideMark/>
          </w:tcPr>
          <w:p w14:paraId="4AF9164D" w14:textId="2461904D"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RIte Care</w:t>
            </w:r>
          </w:p>
        </w:tc>
        <w:tc>
          <w:tcPr>
            <w:tcW w:w="801" w:type="pct"/>
            <w:tcBorders>
              <w:top w:val="nil"/>
              <w:left w:val="nil"/>
              <w:bottom w:val="nil"/>
              <w:right w:val="nil"/>
            </w:tcBorders>
            <w:shd w:val="clear" w:color="000000" w:fill="E8E9E9"/>
            <w:noWrap/>
            <w:vAlign w:val="center"/>
            <w:hideMark/>
          </w:tcPr>
          <w:p w14:paraId="50D963AF" w14:textId="4DE9A50D"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1,831,343 </w:t>
            </w:r>
          </w:p>
        </w:tc>
        <w:tc>
          <w:tcPr>
            <w:tcW w:w="801" w:type="pct"/>
            <w:tcBorders>
              <w:top w:val="nil"/>
              <w:left w:val="nil"/>
              <w:bottom w:val="nil"/>
              <w:right w:val="nil"/>
            </w:tcBorders>
            <w:shd w:val="clear" w:color="000000" w:fill="E8E9E9"/>
            <w:noWrap/>
            <w:vAlign w:val="center"/>
            <w:hideMark/>
          </w:tcPr>
          <w:p w14:paraId="3ED21700" w14:textId="176DBDB7"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$ 216.06 </w:t>
            </w:r>
          </w:p>
        </w:tc>
        <w:tc>
          <w:tcPr>
            <w:tcW w:w="802" w:type="pct"/>
            <w:tcBorders>
              <w:top w:val="nil"/>
              <w:left w:val="nil"/>
              <w:bottom w:val="nil"/>
              <w:right w:val="nil"/>
            </w:tcBorders>
            <w:shd w:val="clear" w:color="000000" w:fill="E8E9E9"/>
            <w:noWrap/>
            <w:vAlign w:val="center"/>
            <w:hideMark/>
          </w:tcPr>
          <w:p w14:paraId="1CC94075" w14:textId="6813CEB9"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$ 224.40 </w:t>
            </w:r>
          </w:p>
        </w:tc>
        <w:tc>
          <w:tcPr>
            <w:tcW w:w="670" w:type="pct"/>
            <w:tcBorders>
              <w:top w:val="nil"/>
              <w:left w:val="nil"/>
              <w:bottom w:val="nil"/>
              <w:right w:val="nil"/>
            </w:tcBorders>
            <w:shd w:val="clear" w:color="000000" w:fill="E8E9E9"/>
            <w:noWrap/>
            <w:vAlign w:val="center"/>
            <w:hideMark/>
          </w:tcPr>
          <w:p w14:paraId="6FBA79BB" w14:textId="5AEE86B7"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3.9% </w:t>
            </w:r>
          </w:p>
        </w:tc>
      </w:tr>
      <w:tr w:rsidR="00D62BB5" w:rsidRPr="00E122F0" w14:paraId="75288A4D" w14:textId="77777777" w:rsidTr="00AA106F">
        <w:trPr>
          <w:trHeight w:val="240"/>
        </w:trPr>
        <w:tc>
          <w:tcPr>
            <w:tcW w:w="1926" w:type="pct"/>
            <w:tcBorders>
              <w:top w:val="nil"/>
              <w:left w:val="nil"/>
              <w:bottom w:val="nil"/>
              <w:right w:val="nil"/>
            </w:tcBorders>
            <w:shd w:val="clear" w:color="auto" w:fill="auto"/>
            <w:noWrap/>
            <w:vAlign w:val="center"/>
            <w:hideMark/>
          </w:tcPr>
          <w:p w14:paraId="37CCCB3B" w14:textId="0BB30FD2"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Children with Special Healthcare Needs</w:t>
            </w:r>
          </w:p>
        </w:tc>
        <w:tc>
          <w:tcPr>
            <w:tcW w:w="801" w:type="pct"/>
            <w:tcBorders>
              <w:top w:val="nil"/>
              <w:left w:val="nil"/>
              <w:bottom w:val="nil"/>
              <w:right w:val="nil"/>
            </w:tcBorders>
            <w:shd w:val="clear" w:color="auto" w:fill="auto"/>
            <w:noWrap/>
            <w:vAlign w:val="center"/>
            <w:hideMark/>
          </w:tcPr>
          <w:p w14:paraId="469D596B" w14:textId="6F72AFFF"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114,092 </w:t>
            </w:r>
          </w:p>
        </w:tc>
        <w:tc>
          <w:tcPr>
            <w:tcW w:w="801" w:type="pct"/>
            <w:tcBorders>
              <w:top w:val="nil"/>
              <w:left w:val="nil"/>
              <w:bottom w:val="nil"/>
              <w:right w:val="nil"/>
            </w:tcBorders>
            <w:shd w:val="clear" w:color="auto" w:fill="auto"/>
            <w:noWrap/>
            <w:vAlign w:val="center"/>
            <w:hideMark/>
          </w:tcPr>
          <w:p w14:paraId="1D7C468C" w14:textId="1DD6B922"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891.84 </w:t>
            </w:r>
          </w:p>
        </w:tc>
        <w:tc>
          <w:tcPr>
            <w:tcW w:w="802" w:type="pct"/>
            <w:tcBorders>
              <w:top w:val="nil"/>
              <w:left w:val="nil"/>
              <w:bottom w:val="nil"/>
              <w:right w:val="nil"/>
            </w:tcBorders>
            <w:shd w:val="clear" w:color="auto" w:fill="auto"/>
            <w:noWrap/>
            <w:vAlign w:val="center"/>
            <w:hideMark/>
          </w:tcPr>
          <w:p w14:paraId="43AB392F" w14:textId="51890B9E"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943.32 </w:t>
            </w:r>
          </w:p>
        </w:tc>
        <w:tc>
          <w:tcPr>
            <w:tcW w:w="670" w:type="pct"/>
            <w:tcBorders>
              <w:top w:val="nil"/>
              <w:left w:val="nil"/>
              <w:bottom w:val="nil"/>
              <w:right w:val="nil"/>
            </w:tcBorders>
            <w:shd w:val="clear" w:color="auto" w:fill="auto"/>
            <w:noWrap/>
            <w:vAlign w:val="center"/>
            <w:hideMark/>
          </w:tcPr>
          <w:p w14:paraId="1ABD8F20" w14:textId="118F8411"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5.8% </w:t>
            </w:r>
          </w:p>
        </w:tc>
      </w:tr>
      <w:tr w:rsidR="00D62BB5" w:rsidRPr="00E122F0" w14:paraId="4ACC960B" w14:textId="77777777" w:rsidTr="00AA106F">
        <w:trPr>
          <w:trHeight w:val="240"/>
        </w:trPr>
        <w:tc>
          <w:tcPr>
            <w:tcW w:w="1926" w:type="pct"/>
            <w:tcBorders>
              <w:top w:val="nil"/>
              <w:left w:val="nil"/>
              <w:bottom w:val="nil"/>
              <w:right w:val="nil"/>
            </w:tcBorders>
            <w:shd w:val="clear" w:color="000000" w:fill="E8E9E9"/>
            <w:noWrap/>
            <w:vAlign w:val="center"/>
            <w:hideMark/>
          </w:tcPr>
          <w:p w14:paraId="2F4E9759" w14:textId="49CA4795"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Medicaid Expansion</w:t>
            </w:r>
          </w:p>
        </w:tc>
        <w:tc>
          <w:tcPr>
            <w:tcW w:w="801" w:type="pct"/>
            <w:tcBorders>
              <w:top w:val="nil"/>
              <w:left w:val="nil"/>
              <w:bottom w:val="nil"/>
              <w:right w:val="nil"/>
            </w:tcBorders>
            <w:shd w:val="clear" w:color="000000" w:fill="E8E9E9"/>
            <w:noWrap/>
            <w:vAlign w:val="center"/>
            <w:hideMark/>
          </w:tcPr>
          <w:p w14:paraId="7510F00B" w14:textId="7028FCF0"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840,364 </w:t>
            </w:r>
          </w:p>
        </w:tc>
        <w:tc>
          <w:tcPr>
            <w:tcW w:w="801" w:type="pct"/>
            <w:tcBorders>
              <w:top w:val="nil"/>
              <w:left w:val="nil"/>
              <w:bottom w:val="nil"/>
              <w:right w:val="nil"/>
            </w:tcBorders>
            <w:shd w:val="clear" w:color="000000" w:fill="E8E9E9"/>
            <w:noWrap/>
            <w:vAlign w:val="center"/>
            <w:hideMark/>
          </w:tcPr>
          <w:p w14:paraId="25D5D779" w14:textId="6F7C6CE9"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493.72 </w:t>
            </w:r>
          </w:p>
        </w:tc>
        <w:tc>
          <w:tcPr>
            <w:tcW w:w="802" w:type="pct"/>
            <w:tcBorders>
              <w:top w:val="nil"/>
              <w:left w:val="nil"/>
              <w:bottom w:val="nil"/>
              <w:right w:val="nil"/>
            </w:tcBorders>
            <w:shd w:val="clear" w:color="000000" w:fill="E8E9E9"/>
            <w:noWrap/>
            <w:vAlign w:val="center"/>
            <w:hideMark/>
          </w:tcPr>
          <w:p w14:paraId="17B81201" w14:textId="136B0BE0"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513.61 </w:t>
            </w:r>
          </w:p>
        </w:tc>
        <w:tc>
          <w:tcPr>
            <w:tcW w:w="670" w:type="pct"/>
            <w:tcBorders>
              <w:top w:val="nil"/>
              <w:left w:val="nil"/>
              <w:bottom w:val="nil"/>
              <w:right w:val="nil"/>
            </w:tcBorders>
            <w:shd w:val="clear" w:color="000000" w:fill="E8E9E9"/>
            <w:noWrap/>
            <w:vAlign w:val="center"/>
            <w:hideMark/>
          </w:tcPr>
          <w:p w14:paraId="0B976A10" w14:textId="0CB35324"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4.0% </w:t>
            </w:r>
          </w:p>
        </w:tc>
      </w:tr>
      <w:tr w:rsidR="00D62BB5" w:rsidRPr="00E122F0" w14:paraId="35BFC7A9" w14:textId="77777777" w:rsidTr="00AA106F">
        <w:trPr>
          <w:trHeight w:val="240"/>
        </w:trPr>
        <w:tc>
          <w:tcPr>
            <w:tcW w:w="1926" w:type="pct"/>
            <w:tcBorders>
              <w:top w:val="nil"/>
              <w:left w:val="nil"/>
              <w:bottom w:val="nil"/>
              <w:right w:val="nil"/>
            </w:tcBorders>
            <w:shd w:val="clear" w:color="auto" w:fill="auto"/>
            <w:noWrap/>
            <w:vAlign w:val="center"/>
            <w:hideMark/>
          </w:tcPr>
          <w:p w14:paraId="25A5009C" w14:textId="5689397C"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Rhody Health Partners</w:t>
            </w:r>
          </w:p>
        </w:tc>
        <w:tc>
          <w:tcPr>
            <w:tcW w:w="801" w:type="pct"/>
            <w:tcBorders>
              <w:top w:val="nil"/>
              <w:left w:val="nil"/>
              <w:bottom w:val="nil"/>
              <w:right w:val="nil"/>
            </w:tcBorders>
            <w:shd w:val="clear" w:color="auto" w:fill="auto"/>
            <w:noWrap/>
            <w:vAlign w:val="center"/>
            <w:hideMark/>
          </w:tcPr>
          <w:p w14:paraId="461527A1" w14:textId="696F26BB"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175,342 </w:t>
            </w:r>
          </w:p>
        </w:tc>
        <w:tc>
          <w:tcPr>
            <w:tcW w:w="801" w:type="pct"/>
            <w:tcBorders>
              <w:top w:val="nil"/>
              <w:left w:val="nil"/>
              <w:bottom w:val="nil"/>
              <w:right w:val="nil"/>
            </w:tcBorders>
            <w:shd w:val="clear" w:color="auto" w:fill="auto"/>
            <w:noWrap/>
            <w:vAlign w:val="center"/>
            <w:hideMark/>
          </w:tcPr>
          <w:p w14:paraId="349E25DA" w14:textId="682DC838"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1,536.15 </w:t>
            </w:r>
          </w:p>
        </w:tc>
        <w:tc>
          <w:tcPr>
            <w:tcW w:w="802" w:type="pct"/>
            <w:tcBorders>
              <w:top w:val="nil"/>
              <w:left w:val="nil"/>
              <w:bottom w:val="nil"/>
              <w:right w:val="nil"/>
            </w:tcBorders>
            <w:shd w:val="clear" w:color="auto" w:fill="auto"/>
            <w:noWrap/>
            <w:vAlign w:val="center"/>
            <w:hideMark/>
          </w:tcPr>
          <w:p w14:paraId="321EF849" w14:textId="3F6708F3"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1,594.00 </w:t>
            </w:r>
          </w:p>
        </w:tc>
        <w:tc>
          <w:tcPr>
            <w:tcW w:w="670" w:type="pct"/>
            <w:tcBorders>
              <w:top w:val="nil"/>
              <w:left w:val="nil"/>
              <w:bottom w:val="nil"/>
              <w:right w:val="nil"/>
            </w:tcBorders>
            <w:shd w:val="clear" w:color="auto" w:fill="auto"/>
            <w:noWrap/>
            <w:vAlign w:val="center"/>
            <w:hideMark/>
          </w:tcPr>
          <w:p w14:paraId="6927C50F" w14:textId="6ECF2EBC"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3.8% </w:t>
            </w:r>
          </w:p>
        </w:tc>
      </w:tr>
      <w:tr w:rsidR="00D62BB5" w:rsidRPr="00E122F0" w14:paraId="0E21E5E5" w14:textId="77777777" w:rsidTr="00AA106F">
        <w:trPr>
          <w:trHeight w:val="240"/>
        </w:trPr>
        <w:tc>
          <w:tcPr>
            <w:tcW w:w="1926" w:type="pct"/>
            <w:tcBorders>
              <w:top w:val="nil"/>
              <w:left w:val="nil"/>
              <w:bottom w:val="nil"/>
              <w:right w:val="nil"/>
            </w:tcBorders>
            <w:shd w:val="clear" w:color="000000" w:fill="E8E9E9"/>
            <w:noWrap/>
            <w:vAlign w:val="center"/>
            <w:hideMark/>
          </w:tcPr>
          <w:p w14:paraId="195B77DD" w14:textId="1D40E80C"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9414D"/>
                <w:szCs w:val="18"/>
              </w:rPr>
              <w:t>SOBRA</w:t>
            </w:r>
          </w:p>
        </w:tc>
        <w:tc>
          <w:tcPr>
            <w:tcW w:w="801" w:type="pct"/>
            <w:tcBorders>
              <w:top w:val="nil"/>
              <w:left w:val="nil"/>
              <w:bottom w:val="nil"/>
              <w:right w:val="nil"/>
            </w:tcBorders>
            <w:shd w:val="clear" w:color="000000" w:fill="E8E9E9"/>
            <w:noWrap/>
            <w:vAlign w:val="center"/>
            <w:hideMark/>
          </w:tcPr>
          <w:p w14:paraId="6512081D" w14:textId="5E12D0AD"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4,671 </w:t>
            </w:r>
          </w:p>
        </w:tc>
        <w:tc>
          <w:tcPr>
            <w:tcW w:w="801" w:type="pct"/>
            <w:tcBorders>
              <w:top w:val="nil"/>
              <w:left w:val="nil"/>
              <w:bottom w:val="nil"/>
              <w:right w:val="nil"/>
            </w:tcBorders>
            <w:shd w:val="clear" w:color="000000" w:fill="E8E9E9"/>
            <w:noWrap/>
            <w:vAlign w:val="center"/>
            <w:hideMark/>
          </w:tcPr>
          <w:p w14:paraId="7FCE2E87" w14:textId="12DC5F28"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11,434.22 </w:t>
            </w:r>
          </w:p>
        </w:tc>
        <w:tc>
          <w:tcPr>
            <w:tcW w:w="802" w:type="pct"/>
            <w:tcBorders>
              <w:top w:val="nil"/>
              <w:left w:val="nil"/>
              <w:bottom w:val="nil"/>
              <w:right w:val="nil"/>
            </w:tcBorders>
            <w:shd w:val="clear" w:color="000000" w:fill="E8E9E9"/>
            <w:noWrap/>
            <w:vAlign w:val="center"/>
            <w:hideMark/>
          </w:tcPr>
          <w:p w14:paraId="23DBE3C3" w14:textId="2B3B40FF"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11,986.58 </w:t>
            </w:r>
          </w:p>
        </w:tc>
        <w:tc>
          <w:tcPr>
            <w:tcW w:w="670" w:type="pct"/>
            <w:tcBorders>
              <w:top w:val="nil"/>
              <w:left w:val="nil"/>
              <w:bottom w:val="nil"/>
              <w:right w:val="nil"/>
            </w:tcBorders>
            <w:shd w:val="clear" w:color="000000" w:fill="E8E9E9"/>
            <w:noWrap/>
            <w:vAlign w:val="center"/>
            <w:hideMark/>
          </w:tcPr>
          <w:p w14:paraId="45BD66EA" w14:textId="1B394AB5"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4.8% </w:t>
            </w:r>
          </w:p>
        </w:tc>
      </w:tr>
    </w:tbl>
    <w:p w14:paraId="1AD2E555" w14:textId="678064DE" w:rsidR="00713C5F" w:rsidRDefault="00EA4D6A" w:rsidP="00713C5F">
      <w:r w:rsidRPr="00537CDB">
        <w:rPr>
          <w:rFonts w:ascii="Arial" w:eastAsia="Times New Roman" w:hAnsi="Arial" w:cs="Arial"/>
          <w:color w:val="727A7D"/>
          <w:sz w:val="16"/>
          <w:szCs w:val="16"/>
        </w:rPr>
        <w:t xml:space="preserve">Note: </w:t>
      </w:r>
      <w:r>
        <w:rPr>
          <w:rFonts w:ascii="Arial" w:eastAsia="Times New Roman" w:hAnsi="Arial" w:cs="Arial"/>
          <w:color w:val="727A7D"/>
          <w:sz w:val="16"/>
          <w:szCs w:val="16"/>
        </w:rPr>
        <w:t>Values have been rounded.</w:t>
      </w:r>
    </w:p>
    <w:p w14:paraId="32CE040A" w14:textId="18E856E8" w:rsidR="00CE2634" w:rsidRDefault="00CE2634" w:rsidP="00622097">
      <w:pPr>
        <w:pStyle w:val="Heading5"/>
        <w:jc w:val="both"/>
      </w:pPr>
      <w:bookmarkStart w:id="155" w:name="_Toc484701175"/>
      <w:bookmarkStart w:id="156" w:name="_Toc504389021"/>
      <w:r w:rsidRPr="00571F67">
        <w:t>Completion adjustment</w:t>
      </w:r>
      <w:bookmarkEnd w:id="155"/>
      <w:bookmarkEnd w:id="156"/>
    </w:p>
    <w:p w14:paraId="0FADD018" w14:textId="02273DFB" w:rsidR="00FA2224" w:rsidRDefault="00FA2224" w:rsidP="008A2F63">
      <w:pPr>
        <w:pStyle w:val="RRSubhead2"/>
        <w:spacing w:line="360" w:lineRule="auto"/>
        <w:contextualSpacing/>
      </w:pPr>
      <w:bookmarkStart w:id="157" w:name="_Toc36127164"/>
      <w:r>
        <w:t>Completion Adjustment</w:t>
      </w:r>
      <w:bookmarkEnd w:id="157"/>
    </w:p>
    <w:p w14:paraId="5D0A74AF" w14:textId="55844C6D" w:rsidR="00EA4D6A" w:rsidRDefault="00FA2224" w:rsidP="00FC0AE1">
      <w:pPr>
        <w:pStyle w:val="RRBody"/>
        <w:jc w:val="both"/>
      </w:pPr>
      <w:r w:rsidRPr="00FA2224">
        <w:t xml:space="preserve">The data submitted by the MCOs </w:t>
      </w:r>
      <w:r w:rsidR="00F92107">
        <w:t xml:space="preserve">was </w:t>
      </w:r>
      <w:r w:rsidRPr="00FA2224">
        <w:t xml:space="preserve">adjusted to reflect claims completion. IBNP adjustments </w:t>
      </w:r>
      <w:r w:rsidR="00415ED4">
        <w:t>were</w:t>
      </w:r>
      <w:r w:rsidRPr="00FA2224">
        <w:t xml:space="preserve"> applied at the population and service category level (with professional, ancillary, and LTSS combined). </w:t>
      </w:r>
    </w:p>
    <w:p w14:paraId="26C6BBCF" w14:textId="2CC30DB8" w:rsidR="00FC0AE1" w:rsidRPr="00271F06" w:rsidRDefault="00FA2224" w:rsidP="00FC0AE1">
      <w:pPr>
        <w:pStyle w:val="RRBody"/>
        <w:jc w:val="both"/>
      </w:pPr>
      <w:r w:rsidRPr="00FA2224">
        <w:t>MCO</w:t>
      </w:r>
      <w:r w:rsidR="00F92107">
        <w:t>-</w:t>
      </w:r>
      <w:r w:rsidRPr="00FA2224">
        <w:t xml:space="preserve">reported IBNP in the FDCR was reviewed and determined to be reasonable for purposes of the SFY </w:t>
      </w:r>
      <w:r w:rsidR="00B9799C" w:rsidRPr="00FA2224">
        <w:t>202</w:t>
      </w:r>
      <w:r w:rsidR="00B9799C">
        <w:t>3</w:t>
      </w:r>
      <w:r w:rsidR="00B9799C" w:rsidRPr="00FA2224">
        <w:t xml:space="preserve"> </w:t>
      </w:r>
      <w:r w:rsidRPr="00FA2224">
        <w:t xml:space="preserve">capitation rate development, and as a result, the MCO reported amounts </w:t>
      </w:r>
      <w:r w:rsidR="00F92107">
        <w:t xml:space="preserve">were </w:t>
      </w:r>
      <w:r w:rsidRPr="00FA2224">
        <w:t xml:space="preserve">utilized for the completion adjustment. Provision for adverse deviation (PAD) </w:t>
      </w:r>
      <w:r w:rsidR="00415ED4">
        <w:t>was</w:t>
      </w:r>
      <w:r w:rsidRPr="00FA2224">
        <w:t xml:space="preserve"> removed from the MCO reported IBNP</w:t>
      </w:r>
      <w:r w:rsidR="00FC0AE1" w:rsidRPr="00FC0AE1">
        <w:t xml:space="preserve"> </w:t>
      </w:r>
      <w:r w:rsidR="00FC0AE1">
        <w:t>to the extent it was reported.</w:t>
      </w:r>
    </w:p>
    <w:p w14:paraId="6BC833E8" w14:textId="1991E7E3" w:rsidR="007406A3" w:rsidRDefault="00A21260" w:rsidP="008A2F63">
      <w:pPr>
        <w:pStyle w:val="RRBody"/>
      </w:pPr>
      <w:r>
        <w:t>Figure</w:t>
      </w:r>
      <w:r w:rsidR="007406A3">
        <w:t xml:space="preserve"> </w:t>
      </w:r>
      <w:r w:rsidR="00785728">
        <w:t>6</w:t>
      </w:r>
      <w:r w:rsidR="007406A3">
        <w:t xml:space="preserve"> illustrates the PMPM impact of </w:t>
      </w:r>
      <w:r w:rsidR="00FA2224">
        <w:t xml:space="preserve">completion </w:t>
      </w:r>
      <w:r w:rsidR="007406A3">
        <w:t xml:space="preserve">adjustment for each population in </w:t>
      </w:r>
      <w:r w:rsidR="00FC0AE1">
        <w:t>CY</w:t>
      </w:r>
      <w:r w:rsidR="007406A3">
        <w:t xml:space="preserve"> </w:t>
      </w:r>
      <w:r w:rsidR="00FA2224">
        <w:t>2019</w:t>
      </w:r>
      <w:r w:rsidR="007406A3">
        <w:t>.</w:t>
      </w:r>
    </w:p>
    <w:p w14:paraId="36BCA716" w14:textId="7E62BD32" w:rsidR="00EA4D6A" w:rsidRDefault="00EA4D6A" w:rsidP="008A2F63">
      <w:pPr>
        <w:pStyle w:val="RRBody"/>
      </w:pPr>
    </w:p>
    <w:p w14:paraId="2D012EF0" w14:textId="217265C3" w:rsidR="00EA4D6A" w:rsidRDefault="00EA4D6A" w:rsidP="008A2F63">
      <w:pPr>
        <w:pStyle w:val="RRBody"/>
      </w:pPr>
    </w:p>
    <w:p w14:paraId="3CB6A2A3" w14:textId="3B34F595" w:rsidR="00EA4D6A" w:rsidRDefault="00EA4D6A" w:rsidP="008A2F63">
      <w:pPr>
        <w:pStyle w:val="RRBody"/>
      </w:pPr>
    </w:p>
    <w:p w14:paraId="79BE1916" w14:textId="77777777" w:rsidR="00EA4D6A" w:rsidRDefault="00EA4D6A" w:rsidP="008A2F63">
      <w:pPr>
        <w:pStyle w:val="RRBody"/>
      </w:pPr>
    </w:p>
    <w:p w14:paraId="5D513CB5" w14:textId="77777777" w:rsidR="00EA4D6A" w:rsidRDefault="00EA4D6A" w:rsidP="008A2F63">
      <w:pPr>
        <w:pStyle w:val="RRBody"/>
      </w:pPr>
    </w:p>
    <w:tbl>
      <w:tblPr>
        <w:tblW w:w="5000" w:type="pct"/>
        <w:tblLayout w:type="fixed"/>
        <w:tblLook w:val="04A0" w:firstRow="1" w:lastRow="0" w:firstColumn="1" w:lastColumn="0" w:noHBand="0" w:noVBand="1"/>
      </w:tblPr>
      <w:tblGrid>
        <w:gridCol w:w="3606"/>
        <w:gridCol w:w="1500"/>
        <w:gridCol w:w="1499"/>
        <w:gridCol w:w="1501"/>
        <w:gridCol w:w="1254"/>
      </w:tblGrid>
      <w:tr w:rsidR="00533A8C" w:rsidRPr="00E122F0" w14:paraId="018D8B6B" w14:textId="77777777" w:rsidTr="008A2F63">
        <w:trPr>
          <w:trHeight w:val="245"/>
        </w:trPr>
        <w:tc>
          <w:tcPr>
            <w:tcW w:w="5000" w:type="pct"/>
            <w:gridSpan w:val="5"/>
            <w:tcBorders>
              <w:top w:val="nil"/>
              <w:left w:val="nil"/>
              <w:bottom w:val="single" w:sz="4" w:space="0" w:color="C6C9CA"/>
              <w:right w:val="nil"/>
            </w:tcBorders>
            <w:shd w:val="clear" w:color="auto" w:fill="auto"/>
            <w:vAlign w:val="center"/>
          </w:tcPr>
          <w:p w14:paraId="0C9314B1" w14:textId="1E27DB9A" w:rsidR="00533A8C" w:rsidRDefault="00533A8C" w:rsidP="008A2F63">
            <w:pPr>
              <w:spacing w:after="0" w:line="240" w:lineRule="auto"/>
              <w:rPr>
                <w:rFonts w:ascii="Arial" w:hAnsi="Arial" w:cs="Arial"/>
                <w:b/>
                <w:bCs/>
                <w:color w:val="39414D"/>
                <w:szCs w:val="18"/>
              </w:rPr>
            </w:pPr>
            <w:r>
              <w:rPr>
                <w:rFonts w:ascii="Arial" w:eastAsia="Times New Roman" w:hAnsi="Arial" w:cs="Arial"/>
                <w:b/>
                <w:bCs/>
                <w:color w:val="0081E3"/>
                <w:szCs w:val="18"/>
              </w:rPr>
              <w:t>FIGURE</w:t>
            </w:r>
            <w:r w:rsidRPr="00E122F0">
              <w:rPr>
                <w:rFonts w:ascii="Arial" w:eastAsia="Times New Roman" w:hAnsi="Arial" w:cs="Arial"/>
                <w:b/>
                <w:bCs/>
                <w:color w:val="0081E3"/>
                <w:szCs w:val="18"/>
              </w:rPr>
              <w:t xml:space="preserve"> </w:t>
            </w:r>
            <w:r>
              <w:rPr>
                <w:rFonts w:ascii="Arial" w:eastAsia="Times New Roman" w:hAnsi="Arial" w:cs="Arial"/>
                <w:b/>
                <w:bCs/>
                <w:color w:val="0081E3"/>
                <w:szCs w:val="18"/>
              </w:rPr>
              <w:t xml:space="preserve">6: </w:t>
            </w:r>
            <w:r w:rsidR="00713C5F">
              <w:rPr>
                <w:rFonts w:ascii="Arial" w:eastAsia="Times New Roman" w:hAnsi="Arial" w:cs="Arial"/>
                <w:b/>
                <w:bCs/>
                <w:color w:val="0081E3"/>
                <w:szCs w:val="18"/>
              </w:rPr>
              <w:t>CALENDAR</w:t>
            </w:r>
            <w:r w:rsidR="00713C5F" w:rsidRPr="009B6C89">
              <w:rPr>
                <w:rFonts w:ascii="Arial" w:eastAsia="Times New Roman" w:hAnsi="Arial" w:cs="Arial"/>
                <w:b/>
                <w:bCs/>
                <w:color w:val="0081E3"/>
                <w:szCs w:val="18"/>
              </w:rPr>
              <w:t xml:space="preserve"> YEAR </w:t>
            </w:r>
            <w:r w:rsidRPr="00E122F0">
              <w:rPr>
                <w:rFonts w:ascii="Arial" w:eastAsia="Times New Roman" w:hAnsi="Arial" w:cs="Arial"/>
                <w:b/>
                <w:bCs/>
                <w:color w:val="0081E3"/>
                <w:szCs w:val="18"/>
              </w:rPr>
              <w:t>201</w:t>
            </w:r>
            <w:r>
              <w:rPr>
                <w:rFonts w:ascii="Arial" w:eastAsia="Times New Roman" w:hAnsi="Arial" w:cs="Arial"/>
                <w:b/>
                <w:bCs/>
                <w:color w:val="0081E3"/>
                <w:szCs w:val="18"/>
              </w:rPr>
              <w:t>9</w:t>
            </w:r>
            <w:r w:rsidRPr="00E122F0">
              <w:rPr>
                <w:rFonts w:ascii="Arial" w:eastAsia="Times New Roman" w:hAnsi="Arial" w:cs="Arial"/>
                <w:b/>
                <w:bCs/>
                <w:color w:val="0081E3"/>
                <w:szCs w:val="18"/>
              </w:rPr>
              <w:t xml:space="preserve"> </w:t>
            </w:r>
            <w:r>
              <w:rPr>
                <w:rFonts w:ascii="Arial" w:eastAsia="Times New Roman" w:hAnsi="Arial" w:cs="Arial"/>
                <w:b/>
                <w:bCs/>
                <w:color w:val="0081E3"/>
                <w:szCs w:val="18"/>
              </w:rPr>
              <w:t>COMPLETION</w:t>
            </w:r>
            <w:r w:rsidRPr="00E122F0">
              <w:rPr>
                <w:rFonts w:ascii="Arial" w:eastAsia="Times New Roman" w:hAnsi="Arial" w:cs="Arial"/>
                <w:b/>
                <w:bCs/>
                <w:color w:val="0081E3"/>
                <w:szCs w:val="18"/>
              </w:rPr>
              <w:t xml:space="preserve"> </w:t>
            </w:r>
            <w:r>
              <w:rPr>
                <w:rFonts w:ascii="Arial" w:eastAsia="Times New Roman" w:hAnsi="Arial" w:cs="Arial"/>
                <w:b/>
                <w:bCs/>
                <w:color w:val="0081E3"/>
                <w:szCs w:val="18"/>
              </w:rPr>
              <w:t>ADJUSTMENT</w:t>
            </w:r>
          </w:p>
        </w:tc>
      </w:tr>
      <w:tr w:rsidR="00533A8C" w:rsidRPr="00E122F0" w14:paraId="55C701C4" w14:textId="77777777" w:rsidTr="00F60167">
        <w:trPr>
          <w:trHeight w:val="480"/>
        </w:trPr>
        <w:tc>
          <w:tcPr>
            <w:tcW w:w="1926" w:type="pct"/>
            <w:tcBorders>
              <w:top w:val="nil"/>
              <w:left w:val="nil"/>
              <w:bottom w:val="single" w:sz="4" w:space="0" w:color="C6C9CA"/>
              <w:right w:val="nil"/>
            </w:tcBorders>
            <w:shd w:val="clear" w:color="auto" w:fill="auto"/>
            <w:vAlign w:val="bottom"/>
            <w:hideMark/>
          </w:tcPr>
          <w:p w14:paraId="79AAA3F3" w14:textId="77777777" w:rsidR="00533A8C" w:rsidRPr="00E122F0" w:rsidRDefault="00533A8C" w:rsidP="00533A8C">
            <w:pPr>
              <w:spacing w:after="0" w:line="240" w:lineRule="auto"/>
              <w:rPr>
                <w:rFonts w:ascii="Arial" w:eastAsia="Times New Roman" w:hAnsi="Arial" w:cs="Arial"/>
                <w:b/>
                <w:bCs/>
                <w:color w:val="39414D"/>
                <w:szCs w:val="18"/>
              </w:rPr>
            </w:pPr>
            <w:r w:rsidRPr="00E122F0">
              <w:rPr>
                <w:rFonts w:ascii="Arial" w:eastAsia="Times New Roman" w:hAnsi="Arial" w:cs="Arial"/>
                <w:b/>
                <w:bCs/>
                <w:color w:val="39414D"/>
                <w:szCs w:val="18"/>
              </w:rPr>
              <w:t>Population</w:t>
            </w:r>
          </w:p>
        </w:tc>
        <w:tc>
          <w:tcPr>
            <w:tcW w:w="801" w:type="pct"/>
            <w:tcBorders>
              <w:top w:val="nil"/>
              <w:left w:val="nil"/>
              <w:bottom w:val="single" w:sz="4" w:space="0" w:color="C6C9CA"/>
              <w:right w:val="nil"/>
            </w:tcBorders>
            <w:shd w:val="clear" w:color="auto" w:fill="auto"/>
            <w:vAlign w:val="bottom"/>
            <w:hideMark/>
          </w:tcPr>
          <w:p w14:paraId="2260A53A" w14:textId="77777777" w:rsidR="00533A8C" w:rsidRPr="00E122F0" w:rsidRDefault="00533A8C" w:rsidP="00533A8C">
            <w:pPr>
              <w:spacing w:after="0" w:line="240" w:lineRule="auto"/>
              <w:jc w:val="center"/>
              <w:rPr>
                <w:rFonts w:ascii="Arial" w:eastAsia="Times New Roman" w:hAnsi="Arial" w:cs="Arial"/>
                <w:b/>
                <w:bCs/>
                <w:color w:val="39414D"/>
                <w:szCs w:val="18"/>
              </w:rPr>
            </w:pPr>
            <w:r>
              <w:rPr>
                <w:rFonts w:ascii="Arial" w:hAnsi="Arial" w:cs="Arial"/>
                <w:b/>
                <w:bCs/>
                <w:color w:val="39414D"/>
                <w:szCs w:val="18"/>
              </w:rPr>
              <w:t>Member Months / Deliveries</w:t>
            </w:r>
          </w:p>
        </w:tc>
        <w:tc>
          <w:tcPr>
            <w:tcW w:w="801" w:type="pct"/>
            <w:tcBorders>
              <w:top w:val="nil"/>
              <w:left w:val="nil"/>
              <w:bottom w:val="single" w:sz="4" w:space="0" w:color="C6C9CA"/>
              <w:right w:val="nil"/>
            </w:tcBorders>
            <w:shd w:val="clear" w:color="auto" w:fill="auto"/>
            <w:vAlign w:val="bottom"/>
            <w:hideMark/>
          </w:tcPr>
          <w:p w14:paraId="70AF76F6" w14:textId="77777777" w:rsidR="00533A8C" w:rsidRPr="00E122F0" w:rsidRDefault="00533A8C" w:rsidP="00533A8C">
            <w:pPr>
              <w:spacing w:after="0" w:line="240" w:lineRule="auto"/>
              <w:jc w:val="center"/>
              <w:rPr>
                <w:rFonts w:ascii="Arial" w:eastAsia="Times New Roman" w:hAnsi="Arial" w:cs="Arial"/>
                <w:b/>
                <w:bCs/>
                <w:color w:val="39414D"/>
                <w:szCs w:val="18"/>
              </w:rPr>
            </w:pPr>
            <w:r>
              <w:rPr>
                <w:rFonts w:ascii="Arial" w:hAnsi="Arial" w:cs="Arial"/>
                <w:b/>
                <w:bCs/>
                <w:color w:val="39414D"/>
                <w:szCs w:val="18"/>
              </w:rPr>
              <w:t>Adjusted for Data Quality</w:t>
            </w:r>
          </w:p>
        </w:tc>
        <w:tc>
          <w:tcPr>
            <w:tcW w:w="802" w:type="pct"/>
            <w:tcBorders>
              <w:top w:val="nil"/>
              <w:left w:val="nil"/>
              <w:bottom w:val="single" w:sz="4" w:space="0" w:color="C6C9CA"/>
              <w:right w:val="nil"/>
            </w:tcBorders>
            <w:shd w:val="clear" w:color="auto" w:fill="auto"/>
            <w:vAlign w:val="bottom"/>
            <w:hideMark/>
          </w:tcPr>
          <w:p w14:paraId="1673B3DB" w14:textId="77777777" w:rsidR="00533A8C" w:rsidRPr="00E122F0" w:rsidRDefault="00533A8C" w:rsidP="00533A8C">
            <w:pPr>
              <w:spacing w:after="0" w:line="240" w:lineRule="auto"/>
              <w:jc w:val="center"/>
              <w:rPr>
                <w:rFonts w:ascii="Arial" w:eastAsia="Times New Roman" w:hAnsi="Arial" w:cs="Arial"/>
                <w:b/>
                <w:bCs/>
                <w:color w:val="39414D"/>
                <w:szCs w:val="18"/>
              </w:rPr>
            </w:pPr>
            <w:r>
              <w:rPr>
                <w:rFonts w:ascii="Arial" w:hAnsi="Arial" w:cs="Arial"/>
                <w:b/>
                <w:bCs/>
                <w:color w:val="39414D"/>
                <w:szCs w:val="18"/>
              </w:rPr>
              <w:t>Adjusted for Completion</w:t>
            </w:r>
          </w:p>
        </w:tc>
        <w:tc>
          <w:tcPr>
            <w:tcW w:w="670" w:type="pct"/>
            <w:tcBorders>
              <w:top w:val="nil"/>
              <w:left w:val="nil"/>
              <w:bottom w:val="single" w:sz="4" w:space="0" w:color="C6C9CA"/>
              <w:right w:val="nil"/>
            </w:tcBorders>
            <w:shd w:val="clear" w:color="auto" w:fill="auto"/>
            <w:vAlign w:val="bottom"/>
            <w:hideMark/>
          </w:tcPr>
          <w:p w14:paraId="6FC78F07" w14:textId="77777777" w:rsidR="00533A8C" w:rsidRPr="00E122F0" w:rsidRDefault="00533A8C" w:rsidP="00533A8C">
            <w:pPr>
              <w:spacing w:after="0" w:line="240" w:lineRule="auto"/>
              <w:jc w:val="center"/>
              <w:rPr>
                <w:rFonts w:ascii="Arial" w:eastAsia="Times New Roman" w:hAnsi="Arial" w:cs="Arial"/>
                <w:b/>
                <w:bCs/>
                <w:color w:val="39414D"/>
                <w:szCs w:val="18"/>
              </w:rPr>
            </w:pPr>
            <w:r>
              <w:rPr>
                <w:rFonts w:ascii="Arial" w:hAnsi="Arial" w:cs="Arial"/>
                <w:b/>
                <w:bCs/>
                <w:color w:val="39414D"/>
                <w:szCs w:val="18"/>
              </w:rPr>
              <w:t>Percent Difference</w:t>
            </w:r>
          </w:p>
        </w:tc>
      </w:tr>
      <w:tr w:rsidR="00F825F2" w:rsidRPr="00E122F0" w14:paraId="1516704C" w14:textId="77777777" w:rsidTr="00AA106F">
        <w:trPr>
          <w:trHeight w:val="240"/>
        </w:trPr>
        <w:tc>
          <w:tcPr>
            <w:tcW w:w="1926" w:type="pct"/>
            <w:tcBorders>
              <w:top w:val="nil"/>
              <w:left w:val="nil"/>
              <w:bottom w:val="nil"/>
              <w:right w:val="nil"/>
            </w:tcBorders>
            <w:shd w:val="clear" w:color="auto" w:fill="auto"/>
            <w:noWrap/>
            <w:vAlign w:val="center"/>
            <w:hideMark/>
          </w:tcPr>
          <w:p w14:paraId="2F6DFF83" w14:textId="7A2060AF" w:rsidR="00F825F2" w:rsidRPr="00E122F0" w:rsidRDefault="00713C5F" w:rsidP="00F825F2">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C</w:t>
            </w:r>
            <w:r w:rsidRPr="00E122F0">
              <w:rPr>
                <w:rFonts w:ascii="Arial" w:eastAsia="Times New Roman" w:hAnsi="Arial" w:cs="Arial"/>
                <w:b/>
                <w:bCs/>
                <w:color w:val="39414D"/>
                <w:szCs w:val="18"/>
              </w:rPr>
              <w:t xml:space="preserve">Y </w:t>
            </w:r>
            <w:r w:rsidR="00F825F2" w:rsidRPr="00E122F0">
              <w:rPr>
                <w:rFonts w:ascii="Arial" w:eastAsia="Times New Roman" w:hAnsi="Arial" w:cs="Arial"/>
                <w:b/>
                <w:bCs/>
                <w:color w:val="39414D"/>
                <w:szCs w:val="18"/>
              </w:rPr>
              <w:t>201</w:t>
            </w:r>
            <w:r w:rsidR="00F825F2">
              <w:rPr>
                <w:rFonts w:ascii="Arial" w:eastAsia="Times New Roman" w:hAnsi="Arial" w:cs="Arial"/>
                <w:b/>
                <w:bCs/>
                <w:color w:val="39414D"/>
                <w:szCs w:val="18"/>
              </w:rPr>
              <w:t>9</w:t>
            </w:r>
          </w:p>
        </w:tc>
        <w:tc>
          <w:tcPr>
            <w:tcW w:w="801" w:type="pct"/>
            <w:tcBorders>
              <w:top w:val="nil"/>
              <w:left w:val="nil"/>
              <w:bottom w:val="nil"/>
              <w:right w:val="nil"/>
            </w:tcBorders>
            <w:shd w:val="clear" w:color="auto" w:fill="auto"/>
            <w:noWrap/>
            <w:vAlign w:val="center"/>
            <w:hideMark/>
          </w:tcPr>
          <w:p w14:paraId="29F00987" w14:textId="77777777" w:rsidR="00F825F2" w:rsidRPr="00E122F0" w:rsidRDefault="00F825F2" w:rsidP="00F825F2">
            <w:pPr>
              <w:spacing w:after="0" w:line="240" w:lineRule="auto"/>
              <w:jc w:val="right"/>
              <w:rPr>
                <w:rFonts w:ascii="Arial" w:eastAsia="Times New Roman" w:hAnsi="Arial" w:cs="Arial"/>
                <w:b/>
                <w:bCs/>
                <w:color w:val="39414D"/>
                <w:szCs w:val="18"/>
              </w:rPr>
            </w:pPr>
          </w:p>
        </w:tc>
        <w:tc>
          <w:tcPr>
            <w:tcW w:w="801" w:type="pct"/>
            <w:tcBorders>
              <w:top w:val="nil"/>
              <w:left w:val="nil"/>
              <w:bottom w:val="nil"/>
              <w:right w:val="nil"/>
            </w:tcBorders>
            <w:shd w:val="clear" w:color="auto" w:fill="auto"/>
            <w:noWrap/>
            <w:vAlign w:val="center"/>
            <w:hideMark/>
          </w:tcPr>
          <w:p w14:paraId="78AA37B6" w14:textId="77777777" w:rsidR="00F825F2" w:rsidRPr="00E122F0" w:rsidRDefault="00F825F2" w:rsidP="00F825F2">
            <w:pPr>
              <w:spacing w:after="0" w:line="240" w:lineRule="auto"/>
              <w:jc w:val="right"/>
              <w:rPr>
                <w:rFonts w:ascii="Times New Roman" w:eastAsia="Times New Roman" w:hAnsi="Times New Roman" w:cs="Times New Roman"/>
                <w:sz w:val="20"/>
                <w:szCs w:val="20"/>
              </w:rPr>
            </w:pPr>
          </w:p>
        </w:tc>
        <w:tc>
          <w:tcPr>
            <w:tcW w:w="802" w:type="pct"/>
            <w:tcBorders>
              <w:top w:val="nil"/>
              <w:left w:val="nil"/>
              <w:bottom w:val="nil"/>
              <w:right w:val="nil"/>
            </w:tcBorders>
            <w:shd w:val="clear" w:color="auto" w:fill="auto"/>
            <w:noWrap/>
            <w:vAlign w:val="center"/>
            <w:hideMark/>
          </w:tcPr>
          <w:p w14:paraId="35283FBF" w14:textId="77777777" w:rsidR="00F825F2" w:rsidRPr="00E122F0" w:rsidRDefault="00F825F2" w:rsidP="00F825F2">
            <w:pPr>
              <w:spacing w:after="0" w:line="240" w:lineRule="auto"/>
              <w:jc w:val="right"/>
              <w:rPr>
                <w:rFonts w:ascii="Times New Roman" w:eastAsia="Times New Roman" w:hAnsi="Times New Roman" w:cs="Times New Roman"/>
                <w:sz w:val="20"/>
                <w:szCs w:val="20"/>
              </w:rPr>
            </w:pPr>
          </w:p>
        </w:tc>
        <w:tc>
          <w:tcPr>
            <w:tcW w:w="670" w:type="pct"/>
            <w:tcBorders>
              <w:top w:val="nil"/>
              <w:left w:val="nil"/>
              <w:bottom w:val="nil"/>
              <w:right w:val="nil"/>
            </w:tcBorders>
            <w:shd w:val="clear" w:color="auto" w:fill="auto"/>
            <w:noWrap/>
            <w:vAlign w:val="center"/>
            <w:hideMark/>
          </w:tcPr>
          <w:p w14:paraId="64225B53" w14:textId="77777777" w:rsidR="00F825F2" w:rsidRPr="00E122F0" w:rsidRDefault="00F825F2" w:rsidP="00F825F2">
            <w:pPr>
              <w:spacing w:after="0" w:line="240" w:lineRule="auto"/>
              <w:jc w:val="right"/>
              <w:rPr>
                <w:rFonts w:ascii="Times New Roman" w:eastAsia="Times New Roman" w:hAnsi="Times New Roman" w:cs="Times New Roman"/>
                <w:sz w:val="20"/>
                <w:szCs w:val="20"/>
              </w:rPr>
            </w:pPr>
          </w:p>
        </w:tc>
      </w:tr>
      <w:tr w:rsidR="00D62BB5" w:rsidRPr="00E122F0" w14:paraId="0D8148D5" w14:textId="77777777" w:rsidTr="00AA106F">
        <w:trPr>
          <w:trHeight w:val="240"/>
        </w:trPr>
        <w:tc>
          <w:tcPr>
            <w:tcW w:w="1926" w:type="pct"/>
            <w:tcBorders>
              <w:top w:val="nil"/>
              <w:left w:val="nil"/>
              <w:bottom w:val="nil"/>
              <w:right w:val="nil"/>
            </w:tcBorders>
            <w:shd w:val="clear" w:color="000000" w:fill="E8E9E9"/>
            <w:noWrap/>
            <w:vAlign w:val="center"/>
            <w:hideMark/>
          </w:tcPr>
          <w:p w14:paraId="18DED1BA" w14:textId="7FF3D3F2"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RIte Care</w:t>
            </w:r>
          </w:p>
        </w:tc>
        <w:tc>
          <w:tcPr>
            <w:tcW w:w="801" w:type="pct"/>
            <w:tcBorders>
              <w:top w:val="nil"/>
              <w:left w:val="nil"/>
              <w:bottom w:val="nil"/>
              <w:right w:val="nil"/>
            </w:tcBorders>
            <w:shd w:val="clear" w:color="000000" w:fill="E8E9E9"/>
            <w:noWrap/>
            <w:vAlign w:val="center"/>
            <w:hideMark/>
          </w:tcPr>
          <w:p w14:paraId="3720964D" w14:textId="4816F515"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1,831,343 </w:t>
            </w:r>
          </w:p>
        </w:tc>
        <w:tc>
          <w:tcPr>
            <w:tcW w:w="801" w:type="pct"/>
            <w:tcBorders>
              <w:top w:val="nil"/>
              <w:left w:val="nil"/>
              <w:bottom w:val="nil"/>
              <w:right w:val="nil"/>
            </w:tcBorders>
            <w:shd w:val="clear" w:color="000000" w:fill="E8E9E9"/>
            <w:noWrap/>
            <w:vAlign w:val="center"/>
            <w:hideMark/>
          </w:tcPr>
          <w:p w14:paraId="7832D79E" w14:textId="33C4FE5F"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$ 224.40 </w:t>
            </w:r>
          </w:p>
        </w:tc>
        <w:tc>
          <w:tcPr>
            <w:tcW w:w="802" w:type="pct"/>
            <w:tcBorders>
              <w:top w:val="nil"/>
              <w:left w:val="nil"/>
              <w:bottom w:val="nil"/>
              <w:right w:val="nil"/>
            </w:tcBorders>
            <w:shd w:val="clear" w:color="000000" w:fill="E8E9E9"/>
            <w:noWrap/>
            <w:vAlign w:val="center"/>
            <w:hideMark/>
          </w:tcPr>
          <w:p w14:paraId="5186CBD2" w14:textId="275F50E3"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$ 224.56 </w:t>
            </w:r>
          </w:p>
        </w:tc>
        <w:tc>
          <w:tcPr>
            <w:tcW w:w="670" w:type="pct"/>
            <w:tcBorders>
              <w:top w:val="nil"/>
              <w:left w:val="nil"/>
              <w:bottom w:val="nil"/>
              <w:right w:val="nil"/>
            </w:tcBorders>
            <w:shd w:val="clear" w:color="000000" w:fill="E8E9E9"/>
            <w:noWrap/>
            <w:vAlign w:val="center"/>
            <w:hideMark/>
          </w:tcPr>
          <w:p w14:paraId="3B462835" w14:textId="0EAEEE28"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0.1% </w:t>
            </w:r>
          </w:p>
        </w:tc>
      </w:tr>
      <w:tr w:rsidR="00D62BB5" w:rsidRPr="00E122F0" w14:paraId="7E5A902B" w14:textId="77777777" w:rsidTr="00AA106F">
        <w:trPr>
          <w:trHeight w:val="240"/>
        </w:trPr>
        <w:tc>
          <w:tcPr>
            <w:tcW w:w="1926" w:type="pct"/>
            <w:tcBorders>
              <w:top w:val="nil"/>
              <w:left w:val="nil"/>
              <w:bottom w:val="nil"/>
              <w:right w:val="nil"/>
            </w:tcBorders>
            <w:shd w:val="clear" w:color="auto" w:fill="auto"/>
            <w:noWrap/>
            <w:vAlign w:val="center"/>
            <w:hideMark/>
          </w:tcPr>
          <w:p w14:paraId="33D3C31C" w14:textId="67F33844"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Children with Special Healthcare Needs</w:t>
            </w:r>
          </w:p>
        </w:tc>
        <w:tc>
          <w:tcPr>
            <w:tcW w:w="801" w:type="pct"/>
            <w:tcBorders>
              <w:top w:val="nil"/>
              <w:left w:val="nil"/>
              <w:bottom w:val="nil"/>
              <w:right w:val="nil"/>
            </w:tcBorders>
            <w:shd w:val="clear" w:color="auto" w:fill="auto"/>
            <w:noWrap/>
            <w:vAlign w:val="center"/>
            <w:hideMark/>
          </w:tcPr>
          <w:p w14:paraId="5DF0D7B2" w14:textId="78C26A55"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114,092 </w:t>
            </w:r>
          </w:p>
        </w:tc>
        <w:tc>
          <w:tcPr>
            <w:tcW w:w="801" w:type="pct"/>
            <w:tcBorders>
              <w:top w:val="nil"/>
              <w:left w:val="nil"/>
              <w:bottom w:val="nil"/>
              <w:right w:val="nil"/>
            </w:tcBorders>
            <w:shd w:val="clear" w:color="auto" w:fill="auto"/>
            <w:noWrap/>
            <w:vAlign w:val="center"/>
            <w:hideMark/>
          </w:tcPr>
          <w:p w14:paraId="7B8FAF49" w14:textId="557632B8"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943.32 </w:t>
            </w:r>
          </w:p>
        </w:tc>
        <w:tc>
          <w:tcPr>
            <w:tcW w:w="802" w:type="pct"/>
            <w:tcBorders>
              <w:top w:val="nil"/>
              <w:left w:val="nil"/>
              <w:bottom w:val="nil"/>
              <w:right w:val="nil"/>
            </w:tcBorders>
            <w:shd w:val="clear" w:color="auto" w:fill="auto"/>
            <w:noWrap/>
            <w:vAlign w:val="center"/>
            <w:hideMark/>
          </w:tcPr>
          <w:p w14:paraId="52448BBD" w14:textId="32848FCA"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943.56 </w:t>
            </w:r>
          </w:p>
        </w:tc>
        <w:tc>
          <w:tcPr>
            <w:tcW w:w="670" w:type="pct"/>
            <w:tcBorders>
              <w:top w:val="nil"/>
              <w:left w:val="nil"/>
              <w:bottom w:val="nil"/>
              <w:right w:val="nil"/>
            </w:tcBorders>
            <w:shd w:val="clear" w:color="auto" w:fill="auto"/>
            <w:noWrap/>
            <w:vAlign w:val="center"/>
            <w:hideMark/>
          </w:tcPr>
          <w:p w14:paraId="2AB1B431" w14:textId="228D1525"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D62BB5" w:rsidRPr="00E122F0" w14:paraId="7B77418E" w14:textId="77777777" w:rsidTr="00AA106F">
        <w:trPr>
          <w:trHeight w:val="240"/>
        </w:trPr>
        <w:tc>
          <w:tcPr>
            <w:tcW w:w="1926" w:type="pct"/>
            <w:tcBorders>
              <w:top w:val="nil"/>
              <w:left w:val="nil"/>
              <w:bottom w:val="nil"/>
              <w:right w:val="nil"/>
            </w:tcBorders>
            <w:shd w:val="clear" w:color="000000" w:fill="E8E9E9"/>
            <w:noWrap/>
            <w:vAlign w:val="center"/>
            <w:hideMark/>
          </w:tcPr>
          <w:p w14:paraId="7359AFB0" w14:textId="19710156"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Medicaid Expansion</w:t>
            </w:r>
          </w:p>
        </w:tc>
        <w:tc>
          <w:tcPr>
            <w:tcW w:w="801" w:type="pct"/>
            <w:tcBorders>
              <w:top w:val="nil"/>
              <w:left w:val="nil"/>
              <w:bottom w:val="nil"/>
              <w:right w:val="nil"/>
            </w:tcBorders>
            <w:shd w:val="clear" w:color="000000" w:fill="E8E9E9"/>
            <w:noWrap/>
            <w:vAlign w:val="center"/>
            <w:hideMark/>
          </w:tcPr>
          <w:p w14:paraId="52B5ECB2" w14:textId="1F4D125E"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840,364 </w:t>
            </w:r>
          </w:p>
        </w:tc>
        <w:tc>
          <w:tcPr>
            <w:tcW w:w="801" w:type="pct"/>
            <w:tcBorders>
              <w:top w:val="nil"/>
              <w:left w:val="nil"/>
              <w:bottom w:val="nil"/>
              <w:right w:val="nil"/>
            </w:tcBorders>
            <w:shd w:val="clear" w:color="000000" w:fill="E8E9E9"/>
            <w:noWrap/>
            <w:vAlign w:val="center"/>
            <w:hideMark/>
          </w:tcPr>
          <w:p w14:paraId="284648F3" w14:textId="6AC6569E"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513.61 </w:t>
            </w:r>
          </w:p>
        </w:tc>
        <w:tc>
          <w:tcPr>
            <w:tcW w:w="802" w:type="pct"/>
            <w:tcBorders>
              <w:top w:val="nil"/>
              <w:left w:val="nil"/>
              <w:bottom w:val="nil"/>
              <w:right w:val="nil"/>
            </w:tcBorders>
            <w:shd w:val="clear" w:color="000000" w:fill="E8E9E9"/>
            <w:noWrap/>
            <w:vAlign w:val="center"/>
            <w:hideMark/>
          </w:tcPr>
          <w:p w14:paraId="2B69556A" w14:textId="55F5ED9F"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513.83 </w:t>
            </w:r>
          </w:p>
        </w:tc>
        <w:tc>
          <w:tcPr>
            <w:tcW w:w="670" w:type="pct"/>
            <w:tcBorders>
              <w:top w:val="nil"/>
              <w:left w:val="nil"/>
              <w:bottom w:val="nil"/>
              <w:right w:val="nil"/>
            </w:tcBorders>
            <w:shd w:val="clear" w:color="000000" w:fill="E8E9E9"/>
            <w:noWrap/>
            <w:vAlign w:val="center"/>
            <w:hideMark/>
          </w:tcPr>
          <w:p w14:paraId="02FE93C3" w14:textId="56A9E146"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D62BB5" w:rsidRPr="00E122F0" w14:paraId="03ED5CD6" w14:textId="77777777" w:rsidTr="00AA106F">
        <w:trPr>
          <w:trHeight w:val="240"/>
        </w:trPr>
        <w:tc>
          <w:tcPr>
            <w:tcW w:w="1926" w:type="pct"/>
            <w:tcBorders>
              <w:top w:val="nil"/>
              <w:left w:val="nil"/>
              <w:bottom w:val="nil"/>
              <w:right w:val="nil"/>
            </w:tcBorders>
            <w:shd w:val="clear" w:color="auto" w:fill="auto"/>
            <w:noWrap/>
            <w:vAlign w:val="center"/>
            <w:hideMark/>
          </w:tcPr>
          <w:p w14:paraId="291ADAC0" w14:textId="4E342594"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Rhody Health Partners</w:t>
            </w:r>
          </w:p>
        </w:tc>
        <w:tc>
          <w:tcPr>
            <w:tcW w:w="801" w:type="pct"/>
            <w:tcBorders>
              <w:top w:val="nil"/>
              <w:left w:val="nil"/>
              <w:bottom w:val="nil"/>
              <w:right w:val="nil"/>
            </w:tcBorders>
            <w:shd w:val="clear" w:color="auto" w:fill="auto"/>
            <w:noWrap/>
            <w:vAlign w:val="center"/>
            <w:hideMark/>
          </w:tcPr>
          <w:p w14:paraId="0646D364" w14:textId="41926EDD"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175,342 </w:t>
            </w:r>
          </w:p>
        </w:tc>
        <w:tc>
          <w:tcPr>
            <w:tcW w:w="801" w:type="pct"/>
            <w:tcBorders>
              <w:top w:val="nil"/>
              <w:left w:val="nil"/>
              <w:bottom w:val="nil"/>
              <w:right w:val="nil"/>
            </w:tcBorders>
            <w:shd w:val="clear" w:color="auto" w:fill="auto"/>
            <w:noWrap/>
            <w:vAlign w:val="center"/>
            <w:hideMark/>
          </w:tcPr>
          <w:p w14:paraId="66285C6C" w14:textId="29B3F4CB"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1,594.00 </w:t>
            </w:r>
          </w:p>
        </w:tc>
        <w:tc>
          <w:tcPr>
            <w:tcW w:w="802" w:type="pct"/>
            <w:tcBorders>
              <w:top w:val="nil"/>
              <w:left w:val="nil"/>
              <w:bottom w:val="nil"/>
              <w:right w:val="nil"/>
            </w:tcBorders>
            <w:shd w:val="clear" w:color="auto" w:fill="auto"/>
            <w:noWrap/>
            <w:vAlign w:val="center"/>
            <w:hideMark/>
          </w:tcPr>
          <w:p w14:paraId="356E84CF" w14:textId="77C2E7C9"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1,595.08 </w:t>
            </w:r>
          </w:p>
        </w:tc>
        <w:tc>
          <w:tcPr>
            <w:tcW w:w="670" w:type="pct"/>
            <w:tcBorders>
              <w:top w:val="nil"/>
              <w:left w:val="nil"/>
              <w:bottom w:val="nil"/>
              <w:right w:val="nil"/>
            </w:tcBorders>
            <w:shd w:val="clear" w:color="auto" w:fill="auto"/>
            <w:noWrap/>
            <w:vAlign w:val="center"/>
            <w:hideMark/>
          </w:tcPr>
          <w:p w14:paraId="6BE9D06A" w14:textId="0B42F445"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0.1% </w:t>
            </w:r>
          </w:p>
        </w:tc>
      </w:tr>
      <w:tr w:rsidR="00D62BB5" w:rsidRPr="00E122F0" w14:paraId="008031D4" w14:textId="77777777" w:rsidTr="00AA106F">
        <w:trPr>
          <w:trHeight w:val="240"/>
        </w:trPr>
        <w:tc>
          <w:tcPr>
            <w:tcW w:w="1926" w:type="pct"/>
            <w:tcBorders>
              <w:top w:val="nil"/>
              <w:left w:val="nil"/>
              <w:bottom w:val="nil"/>
              <w:right w:val="nil"/>
            </w:tcBorders>
            <w:shd w:val="clear" w:color="000000" w:fill="E8E9E9"/>
            <w:noWrap/>
            <w:vAlign w:val="center"/>
            <w:hideMark/>
          </w:tcPr>
          <w:p w14:paraId="440F27A1" w14:textId="22A1C46C"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SOBRA</w:t>
            </w:r>
          </w:p>
        </w:tc>
        <w:tc>
          <w:tcPr>
            <w:tcW w:w="801" w:type="pct"/>
            <w:tcBorders>
              <w:top w:val="nil"/>
              <w:left w:val="nil"/>
              <w:bottom w:val="nil"/>
              <w:right w:val="nil"/>
            </w:tcBorders>
            <w:shd w:val="clear" w:color="000000" w:fill="E8E9E9"/>
            <w:noWrap/>
            <w:vAlign w:val="center"/>
            <w:hideMark/>
          </w:tcPr>
          <w:p w14:paraId="14701393" w14:textId="32F93668"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4,671 </w:t>
            </w:r>
          </w:p>
        </w:tc>
        <w:tc>
          <w:tcPr>
            <w:tcW w:w="801" w:type="pct"/>
            <w:tcBorders>
              <w:top w:val="nil"/>
              <w:left w:val="nil"/>
              <w:bottom w:val="nil"/>
              <w:right w:val="nil"/>
            </w:tcBorders>
            <w:shd w:val="clear" w:color="000000" w:fill="E8E9E9"/>
            <w:noWrap/>
            <w:vAlign w:val="center"/>
            <w:hideMark/>
          </w:tcPr>
          <w:p w14:paraId="2AAB97D7" w14:textId="1DA8FF16"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11,986.58 </w:t>
            </w:r>
          </w:p>
        </w:tc>
        <w:tc>
          <w:tcPr>
            <w:tcW w:w="802" w:type="pct"/>
            <w:tcBorders>
              <w:top w:val="nil"/>
              <w:left w:val="nil"/>
              <w:bottom w:val="nil"/>
              <w:right w:val="nil"/>
            </w:tcBorders>
            <w:shd w:val="clear" w:color="000000" w:fill="E8E9E9"/>
            <w:noWrap/>
            <w:vAlign w:val="center"/>
            <w:hideMark/>
          </w:tcPr>
          <w:p w14:paraId="13ECD7BE" w14:textId="774EB785"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11,994.09 </w:t>
            </w:r>
          </w:p>
        </w:tc>
        <w:tc>
          <w:tcPr>
            <w:tcW w:w="670" w:type="pct"/>
            <w:tcBorders>
              <w:top w:val="nil"/>
              <w:left w:val="nil"/>
              <w:bottom w:val="nil"/>
              <w:right w:val="nil"/>
            </w:tcBorders>
            <w:shd w:val="clear" w:color="000000" w:fill="E8E9E9"/>
            <w:noWrap/>
            <w:vAlign w:val="center"/>
            <w:hideMark/>
          </w:tcPr>
          <w:p w14:paraId="001D5630" w14:textId="21E362ED"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0.1% </w:t>
            </w:r>
          </w:p>
        </w:tc>
      </w:tr>
    </w:tbl>
    <w:p w14:paraId="09D2401B" w14:textId="27258DF8" w:rsidR="00713C5F" w:rsidRPr="00027779" w:rsidRDefault="00EA4D6A" w:rsidP="00027779">
      <w:pPr>
        <w:rPr>
          <w:rFonts w:ascii="Arial" w:eastAsia="Times New Roman" w:hAnsi="Arial" w:cs="Arial"/>
          <w:color w:val="727A7D"/>
          <w:sz w:val="16"/>
          <w:szCs w:val="16"/>
        </w:rPr>
      </w:pPr>
      <w:bookmarkStart w:id="158" w:name="_Hlk71017724"/>
      <w:r w:rsidRPr="00537CDB">
        <w:rPr>
          <w:rFonts w:ascii="Arial" w:eastAsia="Times New Roman" w:hAnsi="Arial" w:cs="Arial"/>
          <w:color w:val="727A7D"/>
          <w:sz w:val="16"/>
          <w:szCs w:val="16"/>
        </w:rPr>
        <w:t xml:space="preserve">Note: </w:t>
      </w:r>
      <w:r>
        <w:rPr>
          <w:rFonts w:ascii="Arial" w:eastAsia="Times New Roman" w:hAnsi="Arial" w:cs="Arial"/>
          <w:color w:val="727A7D"/>
          <w:sz w:val="16"/>
          <w:szCs w:val="16"/>
        </w:rPr>
        <w:t>Values have been rounded.</w:t>
      </w:r>
      <w:bookmarkStart w:id="159" w:name="_Toc36127165"/>
      <w:bookmarkEnd w:id="158"/>
    </w:p>
    <w:p w14:paraId="6B29C3E7" w14:textId="1840D258" w:rsidR="00533A8C" w:rsidRDefault="00533A8C" w:rsidP="008A2F63">
      <w:pPr>
        <w:pStyle w:val="RRSubhead2"/>
        <w:spacing w:line="360" w:lineRule="auto"/>
        <w:contextualSpacing/>
        <w:jc w:val="both"/>
      </w:pPr>
      <w:r>
        <w:t>sub</w:t>
      </w:r>
      <w:r w:rsidR="00F92107">
        <w:t>-</w:t>
      </w:r>
      <w:r>
        <w:t>capitated and Non-Encounterable services Adjustment</w:t>
      </w:r>
      <w:bookmarkEnd w:id="159"/>
    </w:p>
    <w:p w14:paraId="3C4D6623" w14:textId="0BAE3437" w:rsidR="00533A8C" w:rsidRPr="00271F06" w:rsidRDefault="00533A8C" w:rsidP="008A2F63">
      <w:pPr>
        <w:pStyle w:val="RRCalloutSmallMBlue"/>
        <w:spacing w:before="120"/>
        <w:jc w:val="both"/>
        <w:rPr>
          <w:b/>
        </w:rPr>
      </w:pPr>
      <w:r>
        <w:rPr>
          <w:b/>
        </w:rPr>
        <w:t>Sub</w:t>
      </w:r>
      <w:r w:rsidR="00F92107">
        <w:rPr>
          <w:b/>
        </w:rPr>
        <w:t>-</w:t>
      </w:r>
      <w:r>
        <w:rPr>
          <w:b/>
        </w:rPr>
        <w:t>capitated Services</w:t>
      </w:r>
    </w:p>
    <w:p w14:paraId="07C705E7" w14:textId="370C7A22" w:rsidR="00F92107" w:rsidRPr="00DF73B0" w:rsidRDefault="00533A8C" w:rsidP="00D01FC6">
      <w:pPr>
        <w:pStyle w:val="RRBody"/>
        <w:jc w:val="both"/>
      </w:pPr>
      <w:r>
        <w:t xml:space="preserve">The </w:t>
      </w:r>
      <w:r w:rsidR="00EA4D6A">
        <w:t>CY</w:t>
      </w:r>
      <w:r>
        <w:t xml:space="preserve"> 2019 base encounter data reflects sub</w:t>
      </w:r>
      <w:r w:rsidR="00F92107">
        <w:t>-</w:t>
      </w:r>
      <w:r>
        <w:t xml:space="preserve">capitated federally qualified health center (FQHC) experience for one MCO. The base experience </w:t>
      </w:r>
      <w:r w:rsidR="00A47361">
        <w:t xml:space="preserve">was </w:t>
      </w:r>
      <w:r>
        <w:t>adjusted to reflect the actual capitated payments made to the FQHCs, as reported in the FDCR.</w:t>
      </w:r>
      <w:r w:rsidR="00A47361">
        <w:t xml:space="preserve"> </w:t>
      </w:r>
    </w:p>
    <w:p w14:paraId="343E8AF4" w14:textId="77777777" w:rsidR="00533A8C" w:rsidRPr="00271F06" w:rsidRDefault="00533A8C" w:rsidP="00920110">
      <w:pPr>
        <w:pStyle w:val="RRCalloutSmallMBlue"/>
        <w:spacing w:before="120"/>
        <w:jc w:val="both"/>
        <w:rPr>
          <w:b/>
        </w:rPr>
      </w:pPr>
      <w:r w:rsidRPr="00394EAF">
        <w:rPr>
          <w:b/>
        </w:rPr>
        <w:t>Non-</w:t>
      </w:r>
      <w:r w:rsidRPr="007A350E">
        <w:rPr>
          <w:b/>
        </w:rPr>
        <w:t>Encounterable</w:t>
      </w:r>
      <w:r w:rsidRPr="00394EAF">
        <w:rPr>
          <w:b/>
        </w:rPr>
        <w:t xml:space="preserve"> Services</w:t>
      </w:r>
    </w:p>
    <w:p w14:paraId="5E657E8B" w14:textId="2C365CE1" w:rsidR="00533A8C" w:rsidRDefault="00533A8C" w:rsidP="008A2F63">
      <w:pPr>
        <w:pStyle w:val="RRBody"/>
        <w:jc w:val="both"/>
      </w:pPr>
      <w:r>
        <w:t xml:space="preserve">The base data </w:t>
      </w:r>
      <w:r w:rsidR="00D01FC6">
        <w:t xml:space="preserve">was </w:t>
      </w:r>
      <w:r>
        <w:t>adjusted to include benefit expense that is unable to be submitted to the EOHHS encounter data warehouse. These non-encounterable expenses are reported in the FDCR and include</w:t>
      </w:r>
      <w:r w:rsidR="00231482">
        <w:t xml:space="preserve"> (but are not limited to)</w:t>
      </w:r>
      <w:r>
        <w:t xml:space="preserve"> the following:</w:t>
      </w:r>
    </w:p>
    <w:p w14:paraId="76B482CB" w14:textId="77777777" w:rsidR="00533A8C" w:rsidRPr="00394EAF" w:rsidRDefault="00533A8C" w:rsidP="008A2F63">
      <w:pPr>
        <w:pStyle w:val="RRNumberedBullet1"/>
        <w:spacing w:before="60"/>
        <w:jc w:val="both"/>
        <w:rPr>
          <w:bCs/>
        </w:rPr>
      </w:pPr>
      <w:r>
        <w:rPr>
          <w:bCs/>
        </w:rPr>
        <w:t>Services paid outside the MCO’s claims payment system</w:t>
      </w:r>
    </w:p>
    <w:p w14:paraId="060A9FF5" w14:textId="77777777" w:rsidR="00533A8C" w:rsidRPr="00394EAF" w:rsidRDefault="00533A8C" w:rsidP="008A2F63">
      <w:pPr>
        <w:pStyle w:val="RRNumberedBullet1"/>
        <w:spacing w:before="60"/>
        <w:jc w:val="both"/>
        <w:rPr>
          <w:bCs/>
        </w:rPr>
      </w:pPr>
      <w:r w:rsidRPr="00394EAF">
        <w:rPr>
          <w:bCs/>
        </w:rPr>
        <w:t xml:space="preserve">Subrogation </w:t>
      </w:r>
      <w:r>
        <w:rPr>
          <w:bCs/>
        </w:rPr>
        <w:t>e</w:t>
      </w:r>
      <w:r w:rsidRPr="00394EAF">
        <w:rPr>
          <w:bCs/>
        </w:rPr>
        <w:t>xpenses</w:t>
      </w:r>
    </w:p>
    <w:p w14:paraId="60A7375E" w14:textId="77777777" w:rsidR="00533A8C" w:rsidRPr="00394EAF" w:rsidRDefault="00533A8C" w:rsidP="008A2F63">
      <w:pPr>
        <w:pStyle w:val="RRNumberedBullet1"/>
        <w:spacing w:before="60"/>
        <w:jc w:val="both"/>
        <w:rPr>
          <w:bCs/>
        </w:rPr>
      </w:pPr>
      <w:r w:rsidRPr="00394EAF">
        <w:rPr>
          <w:bCs/>
        </w:rPr>
        <w:t xml:space="preserve">Provider settlements </w:t>
      </w:r>
    </w:p>
    <w:p w14:paraId="2616E455" w14:textId="654B3E8D" w:rsidR="00231482" w:rsidRDefault="00231482" w:rsidP="00533A8C">
      <w:pPr>
        <w:jc w:val="both"/>
        <w:rPr>
          <w:szCs w:val="18"/>
        </w:rPr>
      </w:pPr>
      <w:r w:rsidRPr="00231482">
        <w:rPr>
          <w:szCs w:val="18"/>
        </w:rPr>
        <w:t>FQHC Prospective Payment System (PPS) wrap payments reported under non-encounterable expenses were excluded from this adjustment using information submitted in the</w:t>
      </w:r>
      <w:r w:rsidR="00B40BA1">
        <w:rPr>
          <w:szCs w:val="18"/>
        </w:rPr>
        <w:t xml:space="preserve"> FDCRs and</w:t>
      </w:r>
      <w:r w:rsidRPr="00231482">
        <w:rPr>
          <w:szCs w:val="18"/>
        </w:rPr>
        <w:t xml:space="preserve"> MCO survey</w:t>
      </w:r>
      <w:r w:rsidR="00B40BA1">
        <w:rPr>
          <w:szCs w:val="18"/>
        </w:rPr>
        <w:t>s</w:t>
      </w:r>
      <w:r w:rsidRPr="00231482">
        <w:rPr>
          <w:szCs w:val="18"/>
        </w:rPr>
        <w:t xml:space="preserve">. The value of PPS wrap payments (adjusted to a SFY 2023 basis) </w:t>
      </w:r>
      <w:r w:rsidR="00B40BA1">
        <w:rPr>
          <w:szCs w:val="18"/>
        </w:rPr>
        <w:t>is</w:t>
      </w:r>
      <w:r w:rsidRPr="00231482">
        <w:rPr>
          <w:szCs w:val="18"/>
        </w:rPr>
        <w:t xml:space="preserve"> fully reflected in the prospective program adjustments</w:t>
      </w:r>
      <w:r w:rsidR="00B40BA1">
        <w:rPr>
          <w:szCs w:val="18"/>
        </w:rPr>
        <w:t>. Therefore, t</w:t>
      </w:r>
      <w:r w:rsidR="00B40BA1">
        <w:t>he base experience reflects the fee-for-service and capitation payments to FQHCs, while the PPS adjustment (described in Section I</w:t>
      </w:r>
      <w:r w:rsidR="00FF671D">
        <w:t xml:space="preserve">, item </w:t>
      </w:r>
      <w:r w:rsidR="00B40BA1">
        <w:t>3.B.ii) reflects the additional amount of funding included in the managed care program attributable to covering the full FQHC PPS reimbursement in the managed care program.</w:t>
      </w:r>
    </w:p>
    <w:p w14:paraId="39C276EC" w14:textId="5B511B45" w:rsidR="00A05177" w:rsidRPr="00A05177" w:rsidRDefault="00F60167" w:rsidP="00920110">
      <w:pPr>
        <w:jc w:val="both"/>
        <w:rPr>
          <w:sz w:val="2"/>
          <w:szCs w:val="6"/>
        </w:rPr>
      </w:pPr>
      <w:r>
        <w:rPr>
          <w:szCs w:val="18"/>
        </w:rPr>
        <w:t>Figure 7</w:t>
      </w:r>
      <w:r w:rsidR="00533A8C" w:rsidRPr="00394EAF">
        <w:rPr>
          <w:szCs w:val="18"/>
        </w:rPr>
        <w:t xml:space="preserve"> illustrates the PMPM impact of the </w:t>
      </w:r>
      <w:r w:rsidR="00533A8C">
        <w:rPr>
          <w:szCs w:val="18"/>
        </w:rPr>
        <w:t>sub</w:t>
      </w:r>
      <w:r w:rsidR="00F92107">
        <w:rPr>
          <w:szCs w:val="18"/>
        </w:rPr>
        <w:t>-</w:t>
      </w:r>
      <w:r w:rsidR="00533A8C">
        <w:rPr>
          <w:szCs w:val="18"/>
        </w:rPr>
        <w:t>capitated and non-encounterable services</w:t>
      </w:r>
      <w:r w:rsidR="00533A8C" w:rsidRPr="00394EAF">
        <w:rPr>
          <w:szCs w:val="18"/>
        </w:rPr>
        <w:t xml:space="preserve"> for each population in </w:t>
      </w:r>
      <w:r w:rsidR="00231482">
        <w:rPr>
          <w:szCs w:val="18"/>
        </w:rPr>
        <w:t xml:space="preserve">CY </w:t>
      </w:r>
      <w:r w:rsidR="00533A8C" w:rsidRPr="00394EAF">
        <w:rPr>
          <w:szCs w:val="18"/>
        </w:rPr>
        <w:t>2019.</w:t>
      </w:r>
    </w:p>
    <w:tbl>
      <w:tblPr>
        <w:tblW w:w="5000" w:type="pct"/>
        <w:tblLayout w:type="fixed"/>
        <w:tblLook w:val="04A0" w:firstRow="1" w:lastRow="0" w:firstColumn="1" w:lastColumn="0" w:noHBand="0" w:noVBand="1"/>
      </w:tblPr>
      <w:tblGrid>
        <w:gridCol w:w="3606"/>
        <w:gridCol w:w="1500"/>
        <w:gridCol w:w="1499"/>
        <w:gridCol w:w="1501"/>
        <w:gridCol w:w="1254"/>
      </w:tblGrid>
      <w:tr w:rsidR="00533A8C" w:rsidRPr="00E122F0" w14:paraId="0225E62D" w14:textId="77777777" w:rsidTr="00A44F5E">
        <w:trPr>
          <w:trHeight w:val="243"/>
        </w:trPr>
        <w:tc>
          <w:tcPr>
            <w:tcW w:w="5000" w:type="pct"/>
            <w:gridSpan w:val="5"/>
            <w:tcBorders>
              <w:top w:val="nil"/>
              <w:left w:val="nil"/>
              <w:bottom w:val="single" w:sz="4" w:space="0" w:color="C6C9CA"/>
              <w:right w:val="nil"/>
            </w:tcBorders>
            <w:shd w:val="clear" w:color="auto" w:fill="auto"/>
            <w:vAlign w:val="center"/>
          </w:tcPr>
          <w:p w14:paraId="04927883" w14:textId="25789C91" w:rsidR="00533A8C" w:rsidRDefault="00B132DE" w:rsidP="008A2F63">
            <w:pPr>
              <w:spacing w:after="0" w:line="240" w:lineRule="auto"/>
              <w:rPr>
                <w:rFonts w:ascii="Arial" w:hAnsi="Arial" w:cs="Arial"/>
                <w:b/>
                <w:bCs/>
                <w:color w:val="39414D"/>
                <w:szCs w:val="18"/>
              </w:rPr>
            </w:pPr>
            <w:r>
              <w:rPr>
                <w:szCs w:val="18"/>
              </w:rPr>
              <w:br w:type="column"/>
            </w:r>
            <w:r w:rsidR="00533A8C">
              <w:rPr>
                <w:rFonts w:ascii="Arial" w:eastAsia="Times New Roman" w:hAnsi="Arial" w:cs="Arial"/>
                <w:b/>
                <w:bCs/>
                <w:color w:val="0081E3"/>
                <w:szCs w:val="18"/>
              </w:rPr>
              <w:t>FIGURE</w:t>
            </w:r>
            <w:r w:rsidR="00533A8C" w:rsidRPr="00FB6998">
              <w:rPr>
                <w:rFonts w:ascii="Arial" w:eastAsia="Times New Roman" w:hAnsi="Arial" w:cs="Arial"/>
                <w:b/>
                <w:bCs/>
                <w:color w:val="0081E3"/>
                <w:szCs w:val="18"/>
              </w:rPr>
              <w:t xml:space="preserve"> </w:t>
            </w:r>
            <w:r w:rsidR="00533A8C">
              <w:rPr>
                <w:rFonts w:ascii="Arial" w:eastAsia="Times New Roman" w:hAnsi="Arial" w:cs="Arial"/>
                <w:b/>
                <w:bCs/>
                <w:color w:val="0081E3"/>
                <w:szCs w:val="18"/>
              </w:rPr>
              <w:t xml:space="preserve">7: </w:t>
            </w:r>
            <w:r w:rsidR="00713C5F">
              <w:rPr>
                <w:rFonts w:ascii="Arial" w:eastAsia="Times New Roman" w:hAnsi="Arial" w:cs="Arial"/>
                <w:b/>
                <w:bCs/>
                <w:color w:val="0081E3"/>
                <w:szCs w:val="18"/>
              </w:rPr>
              <w:t>CALENDAR</w:t>
            </w:r>
            <w:r w:rsidR="00713C5F" w:rsidRPr="009B6C89">
              <w:rPr>
                <w:rFonts w:ascii="Arial" w:eastAsia="Times New Roman" w:hAnsi="Arial" w:cs="Arial"/>
                <w:b/>
                <w:bCs/>
                <w:color w:val="0081E3"/>
                <w:szCs w:val="18"/>
              </w:rPr>
              <w:t xml:space="preserve"> YEAR </w:t>
            </w:r>
            <w:r w:rsidR="00533A8C" w:rsidRPr="00A21260">
              <w:rPr>
                <w:rFonts w:ascii="Arial" w:eastAsia="Times New Roman" w:hAnsi="Arial" w:cs="Arial"/>
                <w:b/>
                <w:bCs/>
                <w:color w:val="0081E3"/>
                <w:szCs w:val="18"/>
              </w:rPr>
              <w:t>201</w:t>
            </w:r>
            <w:r w:rsidR="00F60167">
              <w:rPr>
                <w:rFonts w:ascii="Arial" w:eastAsia="Times New Roman" w:hAnsi="Arial" w:cs="Arial"/>
                <w:b/>
                <w:bCs/>
                <w:color w:val="0081E3"/>
                <w:szCs w:val="18"/>
              </w:rPr>
              <w:t>9</w:t>
            </w:r>
            <w:r w:rsidR="00533A8C" w:rsidRPr="00A21260">
              <w:rPr>
                <w:rFonts w:ascii="Arial" w:eastAsia="Times New Roman" w:hAnsi="Arial" w:cs="Arial"/>
                <w:b/>
                <w:bCs/>
                <w:color w:val="0081E3"/>
                <w:szCs w:val="18"/>
              </w:rPr>
              <w:t xml:space="preserve"> </w:t>
            </w:r>
            <w:r w:rsidR="00F60167">
              <w:rPr>
                <w:rFonts w:ascii="Arial" w:eastAsia="Times New Roman" w:hAnsi="Arial" w:cs="Arial"/>
                <w:b/>
                <w:bCs/>
                <w:color w:val="0081E3"/>
                <w:szCs w:val="18"/>
              </w:rPr>
              <w:t>NON-ENCOUNTERABLE</w:t>
            </w:r>
            <w:r w:rsidR="00533A8C">
              <w:rPr>
                <w:rFonts w:ascii="Arial" w:eastAsia="Times New Roman" w:hAnsi="Arial" w:cs="Arial"/>
                <w:b/>
                <w:bCs/>
                <w:color w:val="0081E3"/>
                <w:szCs w:val="18"/>
              </w:rPr>
              <w:t xml:space="preserve"> ADJUSTMENT</w:t>
            </w:r>
          </w:p>
        </w:tc>
      </w:tr>
      <w:tr w:rsidR="00533A8C" w:rsidRPr="00E122F0" w14:paraId="3EF9AAF4" w14:textId="77777777" w:rsidTr="00F60167">
        <w:trPr>
          <w:trHeight w:val="480"/>
        </w:trPr>
        <w:tc>
          <w:tcPr>
            <w:tcW w:w="1926" w:type="pct"/>
            <w:tcBorders>
              <w:top w:val="nil"/>
              <w:left w:val="nil"/>
              <w:bottom w:val="single" w:sz="4" w:space="0" w:color="C6C9CA"/>
              <w:right w:val="nil"/>
            </w:tcBorders>
            <w:shd w:val="clear" w:color="auto" w:fill="auto"/>
            <w:vAlign w:val="bottom"/>
            <w:hideMark/>
          </w:tcPr>
          <w:p w14:paraId="23181B1B" w14:textId="77777777" w:rsidR="00533A8C" w:rsidRPr="00E122F0" w:rsidRDefault="00533A8C" w:rsidP="00533A8C">
            <w:pPr>
              <w:spacing w:after="0" w:line="240" w:lineRule="auto"/>
              <w:rPr>
                <w:rFonts w:ascii="Arial" w:eastAsia="Times New Roman" w:hAnsi="Arial" w:cs="Arial"/>
                <w:b/>
                <w:bCs/>
                <w:color w:val="39414D"/>
                <w:szCs w:val="18"/>
              </w:rPr>
            </w:pPr>
            <w:r w:rsidRPr="00E122F0">
              <w:rPr>
                <w:rFonts w:ascii="Arial" w:eastAsia="Times New Roman" w:hAnsi="Arial" w:cs="Arial"/>
                <w:b/>
                <w:bCs/>
                <w:color w:val="39414D"/>
                <w:szCs w:val="18"/>
              </w:rPr>
              <w:t>Population</w:t>
            </w:r>
          </w:p>
        </w:tc>
        <w:tc>
          <w:tcPr>
            <w:tcW w:w="801" w:type="pct"/>
            <w:tcBorders>
              <w:top w:val="nil"/>
              <w:left w:val="nil"/>
              <w:bottom w:val="single" w:sz="4" w:space="0" w:color="C6C9CA"/>
              <w:right w:val="nil"/>
            </w:tcBorders>
            <w:shd w:val="clear" w:color="auto" w:fill="auto"/>
            <w:vAlign w:val="bottom"/>
            <w:hideMark/>
          </w:tcPr>
          <w:p w14:paraId="6ED48DD5" w14:textId="77777777" w:rsidR="00533A8C" w:rsidRPr="00E122F0" w:rsidRDefault="00533A8C" w:rsidP="00533A8C">
            <w:pPr>
              <w:spacing w:after="0" w:line="240" w:lineRule="auto"/>
              <w:jc w:val="center"/>
              <w:rPr>
                <w:rFonts w:ascii="Arial" w:eastAsia="Times New Roman" w:hAnsi="Arial" w:cs="Arial"/>
                <w:b/>
                <w:bCs/>
                <w:color w:val="39414D"/>
                <w:szCs w:val="18"/>
              </w:rPr>
            </w:pPr>
            <w:r>
              <w:rPr>
                <w:rFonts w:ascii="Arial" w:hAnsi="Arial" w:cs="Arial"/>
                <w:b/>
                <w:bCs/>
                <w:color w:val="39414D"/>
                <w:szCs w:val="18"/>
              </w:rPr>
              <w:t>Member Months / Deliveries</w:t>
            </w:r>
          </w:p>
        </w:tc>
        <w:tc>
          <w:tcPr>
            <w:tcW w:w="801" w:type="pct"/>
            <w:tcBorders>
              <w:top w:val="nil"/>
              <w:left w:val="nil"/>
              <w:bottom w:val="single" w:sz="4" w:space="0" w:color="C6C9CA"/>
              <w:right w:val="nil"/>
            </w:tcBorders>
            <w:shd w:val="clear" w:color="auto" w:fill="auto"/>
            <w:vAlign w:val="bottom"/>
            <w:hideMark/>
          </w:tcPr>
          <w:p w14:paraId="6B5218F7" w14:textId="77777777" w:rsidR="00533A8C" w:rsidRPr="00E122F0" w:rsidRDefault="00533A8C" w:rsidP="00533A8C">
            <w:pPr>
              <w:spacing w:after="0" w:line="240" w:lineRule="auto"/>
              <w:jc w:val="center"/>
              <w:rPr>
                <w:rFonts w:ascii="Arial" w:eastAsia="Times New Roman" w:hAnsi="Arial" w:cs="Arial"/>
                <w:b/>
                <w:bCs/>
                <w:color w:val="39414D"/>
                <w:szCs w:val="18"/>
              </w:rPr>
            </w:pPr>
            <w:r>
              <w:rPr>
                <w:rFonts w:ascii="Arial" w:hAnsi="Arial" w:cs="Arial"/>
                <w:b/>
                <w:bCs/>
                <w:color w:val="39414D"/>
                <w:szCs w:val="18"/>
              </w:rPr>
              <w:t>Adjusted for Completion</w:t>
            </w:r>
          </w:p>
        </w:tc>
        <w:tc>
          <w:tcPr>
            <w:tcW w:w="802" w:type="pct"/>
            <w:tcBorders>
              <w:top w:val="nil"/>
              <w:left w:val="nil"/>
              <w:bottom w:val="single" w:sz="4" w:space="0" w:color="C6C9CA"/>
              <w:right w:val="nil"/>
            </w:tcBorders>
            <w:shd w:val="clear" w:color="auto" w:fill="auto"/>
            <w:vAlign w:val="bottom"/>
            <w:hideMark/>
          </w:tcPr>
          <w:p w14:paraId="4794ADD9" w14:textId="2521BCBB" w:rsidR="00533A8C" w:rsidRPr="00E122F0" w:rsidRDefault="00533A8C" w:rsidP="00533A8C">
            <w:pPr>
              <w:spacing w:after="0" w:line="240" w:lineRule="auto"/>
              <w:jc w:val="center"/>
              <w:rPr>
                <w:rFonts w:ascii="Arial" w:eastAsia="Times New Roman" w:hAnsi="Arial" w:cs="Arial"/>
                <w:b/>
                <w:bCs/>
                <w:color w:val="39414D"/>
                <w:szCs w:val="18"/>
              </w:rPr>
            </w:pPr>
            <w:r>
              <w:rPr>
                <w:rFonts w:ascii="Arial" w:hAnsi="Arial" w:cs="Arial"/>
                <w:b/>
                <w:bCs/>
                <w:color w:val="39414D"/>
                <w:szCs w:val="18"/>
              </w:rPr>
              <w:t>Adjusted for Sub</w:t>
            </w:r>
            <w:r w:rsidR="00D01FC6">
              <w:rPr>
                <w:rFonts w:ascii="Arial" w:hAnsi="Arial" w:cs="Arial"/>
                <w:b/>
                <w:bCs/>
                <w:color w:val="39414D"/>
                <w:szCs w:val="18"/>
              </w:rPr>
              <w:t>-</w:t>
            </w:r>
            <w:r>
              <w:rPr>
                <w:rFonts w:ascii="Arial" w:hAnsi="Arial" w:cs="Arial"/>
                <w:b/>
                <w:bCs/>
                <w:color w:val="39414D"/>
                <w:szCs w:val="18"/>
              </w:rPr>
              <w:t>cap / Non-Encounterable</w:t>
            </w:r>
          </w:p>
        </w:tc>
        <w:tc>
          <w:tcPr>
            <w:tcW w:w="670" w:type="pct"/>
            <w:tcBorders>
              <w:top w:val="nil"/>
              <w:left w:val="nil"/>
              <w:bottom w:val="single" w:sz="4" w:space="0" w:color="C6C9CA"/>
              <w:right w:val="nil"/>
            </w:tcBorders>
            <w:shd w:val="clear" w:color="auto" w:fill="auto"/>
            <w:vAlign w:val="bottom"/>
            <w:hideMark/>
          </w:tcPr>
          <w:p w14:paraId="2DDE29E3" w14:textId="77777777" w:rsidR="00533A8C" w:rsidRPr="00E122F0" w:rsidRDefault="00533A8C" w:rsidP="00533A8C">
            <w:pPr>
              <w:spacing w:after="0" w:line="240" w:lineRule="auto"/>
              <w:jc w:val="center"/>
              <w:rPr>
                <w:rFonts w:ascii="Arial" w:eastAsia="Times New Roman" w:hAnsi="Arial" w:cs="Arial"/>
                <w:b/>
                <w:bCs/>
                <w:color w:val="39414D"/>
                <w:szCs w:val="18"/>
              </w:rPr>
            </w:pPr>
            <w:r>
              <w:rPr>
                <w:rFonts w:ascii="Arial" w:hAnsi="Arial" w:cs="Arial"/>
                <w:b/>
                <w:bCs/>
                <w:color w:val="39414D"/>
                <w:szCs w:val="18"/>
              </w:rPr>
              <w:t>Percent Difference</w:t>
            </w:r>
          </w:p>
        </w:tc>
      </w:tr>
      <w:tr w:rsidR="00F825F2" w:rsidRPr="00E122F0" w14:paraId="7ACC8C06" w14:textId="77777777" w:rsidTr="00257D02">
        <w:trPr>
          <w:trHeight w:val="240"/>
        </w:trPr>
        <w:tc>
          <w:tcPr>
            <w:tcW w:w="1926" w:type="pct"/>
            <w:tcBorders>
              <w:top w:val="nil"/>
              <w:left w:val="nil"/>
              <w:bottom w:val="nil"/>
              <w:right w:val="nil"/>
            </w:tcBorders>
            <w:shd w:val="clear" w:color="auto" w:fill="auto"/>
            <w:noWrap/>
            <w:vAlign w:val="center"/>
            <w:hideMark/>
          </w:tcPr>
          <w:p w14:paraId="1A62D923" w14:textId="1F1B1AFA" w:rsidR="00F825F2" w:rsidRPr="00E122F0" w:rsidRDefault="00713C5F" w:rsidP="00F825F2">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C</w:t>
            </w:r>
            <w:r w:rsidRPr="00E122F0">
              <w:rPr>
                <w:rFonts w:ascii="Arial" w:eastAsia="Times New Roman" w:hAnsi="Arial" w:cs="Arial"/>
                <w:b/>
                <w:bCs/>
                <w:color w:val="39414D"/>
                <w:szCs w:val="18"/>
              </w:rPr>
              <w:t xml:space="preserve">Y </w:t>
            </w:r>
            <w:r w:rsidR="00F825F2" w:rsidRPr="00E122F0">
              <w:rPr>
                <w:rFonts w:ascii="Arial" w:eastAsia="Times New Roman" w:hAnsi="Arial" w:cs="Arial"/>
                <w:b/>
                <w:bCs/>
                <w:color w:val="39414D"/>
                <w:szCs w:val="18"/>
              </w:rPr>
              <w:t>201</w:t>
            </w:r>
            <w:r w:rsidR="00F825F2">
              <w:rPr>
                <w:rFonts w:ascii="Arial" w:eastAsia="Times New Roman" w:hAnsi="Arial" w:cs="Arial"/>
                <w:b/>
                <w:bCs/>
                <w:color w:val="39414D"/>
                <w:szCs w:val="18"/>
              </w:rPr>
              <w:t>9</w:t>
            </w:r>
          </w:p>
        </w:tc>
        <w:tc>
          <w:tcPr>
            <w:tcW w:w="801" w:type="pct"/>
            <w:tcBorders>
              <w:top w:val="nil"/>
              <w:left w:val="nil"/>
              <w:bottom w:val="nil"/>
              <w:right w:val="nil"/>
            </w:tcBorders>
            <w:shd w:val="clear" w:color="auto" w:fill="auto"/>
            <w:noWrap/>
            <w:vAlign w:val="center"/>
            <w:hideMark/>
          </w:tcPr>
          <w:p w14:paraId="5D30C192" w14:textId="77777777" w:rsidR="00F825F2" w:rsidRPr="00E122F0" w:rsidRDefault="00F825F2" w:rsidP="00F825F2">
            <w:pPr>
              <w:spacing w:after="0" w:line="240" w:lineRule="auto"/>
              <w:jc w:val="right"/>
              <w:rPr>
                <w:rFonts w:ascii="Arial" w:eastAsia="Times New Roman" w:hAnsi="Arial" w:cs="Arial"/>
                <w:b/>
                <w:bCs/>
                <w:color w:val="39414D"/>
                <w:szCs w:val="18"/>
              </w:rPr>
            </w:pPr>
          </w:p>
        </w:tc>
        <w:tc>
          <w:tcPr>
            <w:tcW w:w="801" w:type="pct"/>
            <w:tcBorders>
              <w:top w:val="nil"/>
              <w:left w:val="nil"/>
              <w:bottom w:val="nil"/>
              <w:right w:val="nil"/>
            </w:tcBorders>
            <w:shd w:val="clear" w:color="auto" w:fill="auto"/>
            <w:noWrap/>
            <w:vAlign w:val="center"/>
            <w:hideMark/>
          </w:tcPr>
          <w:p w14:paraId="327EDE2C" w14:textId="77777777" w:rsidR="00F825F2" w:rsidRPr="00E122F0" w:rsidRDefault="00F825F2" w:rsidP="00F825F2">
            <w:pPr>
              <w:spacing w:after="0" w:line="240" w:lineRule="auto"/>
              <w:jc w:val="right"/>
              <w:rPr>
                <w:rFonts w:ascii="Times New Roman" w:eastAsia="Times New Roman" w:hAnsi="Times New Roman" w:cs="Times New Roman"/>
                <w:sz w:val="20"/>
                <w:szCs w:val="20"/>
              </w:rPr>
            </w:pPr>
          </w:p>
        </w:tc>
        <w:tc>
          <w:tcPr>
            <w:tcW w:w="802" w:type="pct"/>
            <w:tcBorders>
              <w:top w:val="nil"/>
              <w:left w:val="nil"/>
              <w:bottom w:val="nil"/>
              <w:right w:val="nil"/>
            </w:tcBorders>
            <w:shd w:val="clear" w:color="auto" w:fill="auto"/>
            <w:noWrap/>
            <w:vAlign w:val="center"/>
            <w:hideMark/>
          </w:tcPr>
          <w:p w14:paraId="481E198C" w14:textId="77777777" w:rsidR="00F825F2" w:rsidRPr="00E122F0" w:rsidRDefault="00F825F2" w:rsidP="00F825F2">
            <w:pPr>
              <w:spacing w:after="0" w:line="240" w:lineRule="auto"/>
              <w:jc w:val="right"/>
              <w:rPr>
                <w:rFonts w:ascii="Times New Roman" w:eastAsia="Times New Roman" w:hAnsi="Times New Roman" w:cs="Times New Roman"/>
                <w:sz w:val="20"/>
                <w:szCs w:val="20"/>
              </w:rPr>
            </w:pPr>
          </w:p>
        </w:tc>
        <w:tc>
          <w:tcPr>
            <w:tcW w:w="670" w:type="pct"/>
            <w:tcBorders>
              <w:top w:val="nil"/>
              <w:left w:val="nil"/>
              <w:bottom w:val="nil"/>
              <w:right w:val="nil"/>
            </w:tcBorders>
            <w:shd w:val="clear" w:color="auto" w:fill="auto"/>
            <w:noWrap/>
            <w:vAlign w:val="center"/>
            <w:hideMark/>
          </w:tcPr>
          <w:p w14:paraId="45C6E85A" w14:textId="77777777" w:rsidR="00F825F2" w:rsidRPr="00E122F0" w:rsidRDefault="00F825F2" w:rsidP="00F825F2">
            <w:pPr>
              <w:spacing w:after="0" w:line="240" w:lineRule="auto"/>
              <w:jc w:val="right"/>
              <w:rPr>
                <w:rFonts w:ascii="Times New Roman" w:eastAsia="Times New Roman" w:hAnsi="Times New Roman" w:cs="Times New Roman"/>
                <w:sz w:val="20"/>
                <w:szCs w:val="20"/>
              </w:rPr>
            </w:pPr>
          </w:p>
        </w:tc>
      </w:tr>
      <w:tr w:rsidR="00D62BB5" w:rsidRPr="00E122F0" w14:paraId="3966533B" w14:textId="77777777" w:rsidTr="00257D02">
        <w:trPr>
          <w:trHeight w:val="240"/>
        </w:trPr>
        <w:tc>
          <w:tcPr>
            <w:tcW w:w="1926" w:type="pct"/>
            <w:tcBorders>
              <w:top w:val="nil"/>
              <w:left w:val="nil"/>
              <w:bottom w:val="nil"/>
              <w:right w:val="nil"/>
            </w:tcBorders>
            <w:shd w:val="clear" w:color="000000" w:fill="E8E9E9"/>
            <w:noWrap/>
            <w:vAlign w:val="center"/>
            <w:hideMark/>
          </w:tcPr>
          <w:p w14:paraId="1424BF63" w14:textId="2B56F072"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RIte Care</w:t>
            </w:r>
          </w:p>
        </w:tc>
        <w:tc>
          <w:tcPr>
            <w:tcW w:w="801" w:type="pct"/>
            <w:tcBorders>
              <w:top w:val="nil"/>
              <w:left w:val="nil"/>
              <w:bottom w:val="nil"/>
              <w:right w:val="nil"/>
            </w:tcBorders>
            <w:shd w:val="clear" w:color="000000" w:fill="E8E9E9"/>
            <w:noWrap/>
            <w:vAlign w:val="center"/>
            <w:hideMark/>
          </w:tcPr>
          <w:p w14:paraId="60CF0085" w14:textId="415310CB"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1,831,343 </w:t>
            </w:r>
          </w:p>
        </w:tc>
        <w:tc>
          <w:tcPr>
            <w:tcW w:w="801" w:type="pct"/>
            <w:tcBorders>
              <w:top w:val="nil"/>
              <w:left w:val="nil"/>
              <w:bottom w:val="nil"/>
              <w:right w:val="nil"/>
            </w:tcBorders>
            <w:shd w:val="clear" w:color="000000" w:fill="E8E9E9"/>
            <w:noWrap/>
            <w:vAlign w:val="center"/>
            <w:hideMark/>
          </w:tcPr>
          <w:p w14:paraId="0053DA11" w14:textId="2AB80B3F"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$ 224.56 </w:t>
            </w:r>
          </w:p>
        </w:tc>
        <w:tc>
          <w:tcPr>
            <w:tcW w:w="802" w:type="pct"/>
            <w:tcBorders>
              <w:top w:val="nil"/>
              <w:left w:val="nil"/>
              <w:bottom w:val="nil"/>
              <w:right w:val="nil"/>
            </w:tcBorders>
            <w:shd w:val="clear" w:color="000000" w:fill="E8E9E9"/>
            <w:noWrap/>
            <w:vAlign w:val="center"/>
            <w:hideMark/>
          </w:tcPr>
          <w:p w14:paraId="2BE1794C" w14:textId="71943F02"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$ 229.44 </w:t>
            </w:r>
          </w:p>
        </w:tc>
        <w:tc>
          <w:tcPr>
            <w:tcW w:w="670" w:type="pct"/>
            <w:tcBorders>
              <w:top w:val="nil"/>
              <w:left w:val="nil"/>
              <w:bottom w:val="nil"/>
              <w:right w:val="nil"/>
            </w:tcBorders>
            <w:shd w:val="clear" w:color="000000" w:fill="E8E9E9"/>
            <w:noWrap/>
            <w:vAlign w:val="center"/>
            <w:hideMark/>
          </w:tcPr>
          <w:p w14:paraId="03F71827" w14:textId="5F4228BC"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2.2% </w:t>
            </w:r>
          </w:p>
        </w:tc>
      </w:tr>
      <w:tr w:rsidR="00D62BB5" w:rsidRPr="00E122F0" w14:paraId="7F5AD37B" w14:textId="77777777" w:rsidTr="00257D02">
        <w:trPr>
          <w:trHeight w:val="240"/>
        </w:trPr>
        <w:tc>
          <w:tcPr>
            <w:tcW w:w="1926" w:type="pct"/>
            <w:tcBorders>
              <w:top w:val="nil"/>
              <w:left w:val="nil"/>
              <w:bottom w:val="nil"/>
              <w:right w:val="nil"/>
            </w:tcBorders>
            <w:shd w:val="clear" w:color="auto" w:fill="auto"/>
            <w:noWrap/>
            <w:vAlign w:val="center"/>
            <w:hideMark/>
          </w:tcPr>
          <w:p w14:paraId="2593C7B7" w14:textId="08219BA0"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Children with Special Healthcare Needs</w:t>
            </w:r>
          </w:p>
        </w:tc>
        <w:tc>
          <w:tcPr>
            <w:tcW w:w="801" w:type="pct"/>
            <w:tcBorders>
              <w:top w:val="nil"/>
              <w:left w:val="nil"/>
              <w:bottom w:val="nil"/>
              <w:right w:val="nil"/>
            </w:tcBorders>
            <w:shd w:val="clear" w:color="auto" w:fill="auto"/>
            <w:noWrap/>
            <w:vAlign w:val="center"/>
            <w:hideMark/>
          </w:tcPr>
          <w:p w14:paraId="316183AF" w14:textId="0C5C0F1D"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114,092 </w:t>
            </w:r>
          </w:p>
        </w:tc>
        <w:tc>
          <w:tcPr>
            <w:tcW w:w="801" w:type="pct"/>
            <w:tcBorders>
              <w:top w:val="nil"/>
              <w:left w:val="nil"/>
              <w:bottom w:val="nil"/>
              <w:right w:val="nil"/>
            </w:tcBorders>
            <w:shd w:val="clear" w:color="auto" w:fill="auto"/>
            <w:noWrap/>
            <w:vAlign w:val="center"/>
            <w:hideMark/>
          </w:tcPr>
          <w:p w14:paraId="0505A001" w14:textId="42BC71AC"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943.56 </w:t>
            </w:r>
          </w:p>
        </w:tc>
        <w:tc>
          <w:tcPr>
            <w:tcW w:w="802" w:type="pct"/>
            <w:tcBorders>
              <w:top w:val="nil"/>
              <w:left w:val="nil"/>
              <w:bottom w:val="nil"/>
              <w:right w:val="nil"/>
            </w:tcBorders>
            <w:shd w:val="clear" w:color="auto" w:fill="auto"/>
            <w:noWrap/>
            <w:vAlign w:val="center"/>
            <w:hideMark/>
          </w:tcPr>
          <w:p w14:paraId="43D7E828" w14:textId="5261BEC8"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950.69 </w:t>
            </w:r>
          </w:p>
        </w:tc>
        <w:tc>
          <w:tcPr>
            <w:tcW w:w="670" w:type="pct"/>
            <w:tcBorders>
              <w:top w:val="nil"/>
              <w:left w:val="nil"/>
              <w:bottom w:val="nil"/>
              <w:right w:val="nil"/>
            </w:tcBorders>
            <w:shd w:val="clear" w:color="auto" w:fill="auto"/>
            <w:noWrap/>
            <w:vAlign w:val="center"/>
            <w:hideMark/>
          </w:tcPr>
          <w:p w14:paraId="4CF21D4C" w14:textId="0AE0DCB2"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0.8% </w:t>
            </w:r>
          </w:p>
        </w:tc>
      </w:tr>
      <w:tr w:rsidR="00D62BB5" w:rsidRPr="00E122F0" w14:paraId="42CA544C" w14:textId="77777777" w:rsidTr="00257D02">
        <w:trPr>
          <w:trHeight w:val="240"/>
        </w:trPr>
        <w:tc>
          <w:tcPr>
            <w:tcW w:w="1926" w:type="pct"/>
            <w:tcBorders>
              <w:top w:val="nil"/>
              <w:left w:val="nil"/>
              <w:bottom w:val="nil"/>
              <w:right w:val="nil"/>
            </w:tcBorders>
            <w:shd w:val="clear" w:color="000000" w:fill="E8E9E9"/>
            <w:noWrap/>
            <w:vAlign w:val="center"/>
            <w:hideMark/>
          </w:tcPr>
          <w:p w14:paraId="5A7024F2" w14:textId="6F7F4A90"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Medicaid Expansion</w:t>
            </w:r>
          </w:p>
        </w:tc>
        <w:tc>
          <w:tcPr>
            <w:tcW w:w="801" w:type="pct"/>
            <w:tcBorders>
              <w:top w:val="nil"/>
              <w:left w:val="nil"/>
              <w:bottom w:val="nil"/>
              <w:right w:val="nil"/>
            </w:tcBorders>
            <w:shd w:val="clear" w:color="000000" w:fill="E8E9E9"/>
            <w:noWrap/>
            <w:vAlign w:val="center"/>
            <w:hideMark/>
          </w:tcPr>
          <w:p w14:paraId="1B463D25" w14:textId="015C7578"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840,364 </w:t>
            </w:r>
          </w:p>
        </w:tc>
        <w:tc>
          <w:tcPr>
            <w:tcW w:w="801" w:type="pct"/>
            <w:tcBorders>
              <w:top w:val="nil"/>
              <w:left w:val="nil"/>
              <w:bottom w:val="nil"/>
              <w:right w:val="nil"/>
            </w:tcBorders>
            <w:shd w:val="clear" w:color="000000" w:fill="E8E9E9"/>
            <w:noWrap/>
            <w:vAlign w:val="center"/>
            <w:hideMark/>
          </w:tcPr>
          <w:p w14:paraId="70A47720" w14:textId="53133982"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513.83 </w:t>
            </w:r>
          </w:p>
        </w:tc>
        <w:tc>
          <w:tcPr>
            <w:tcW w:w="802" w:type="pct"/>
            <w:tcBorders>
              <w:top w:val="nil"/>
              <w:left w:val="nil"/>
              <w:bottom w:val="nil"/>
              <w:right w:val="nil"/>
            </w:tcBorders>
            <w:shd w:val="clear" w:color="000000" w:fill="E8E9E9"/>
            <w:noWrap/>
            <w:vAlign w:val="center"/>
            <w:hideMark/>
          </w:tcPr>
          <w:p w14:paraId="707AF9CA" w14:textId="239223EB"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515.34 </w:t>
            </w:r>
          </w:p>
        </w:tc>
        <w:tc>
          <w:tcPr>
            <w:tcW w:w="670" w:type="pct"/>
            <w:tcBorders>
              <w:top w:val="nil"/>
              <w:left w:val="nil"/>
              <w:bottom w:val="nil"/>
              <w:right w:val="nil"/>
            </w:tcBorders>
            <w:shd w:val="clear" w:color="000000" w:fill="E8E9E9"/>
            <w:noWrap/>
            <w:vAlign w:val="center"/>
            <w:hideMark/>
          </w:tcPr>
          <w:p w14:paraId="38CD9B44" w14:textId="3878BEB2"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0.3% </w:t>
            </w:r>
          </w:p>
        </w:tc>
      </w:tr>
      <w:tr w:rsidR="00D62BB5" w:rsidRPr="00E122F0" w14:paraId="3BE12C02" w14:textId="77777777" w:rsidTr="00257D02">
        <w:trPr>
          <w:trHeight w:val="240"/>
        </w:trPr>
        <w:tc>
          <w:tcPr>
            <w:tcW w:w="1926" w:type="pct"/>
            <w:tcBorders>
              <w:top w:val="nil"/>
              <w:left w:val="nil"/>
              <w:bottom w:val="nil"/>
              <w:right w:val="nil"/>
            </w:tcBorders>
            <w:shd w:val="clear" w:color="auto" w:fill="auto"/>
            <w:noWrap/>
            <w:vAlign w:val="center"/>
            <w:hideMark/>
          </w:tcPr>
          <w:p w14:paraId="6710C438" w14:textId="0B3881B8"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Rhody Health Partners</w:t>
            </w:r>
          </w:p>
        </w:tc>
        <w:tc>
          <w:tcPr>
            <w:tcW w:w="801" w:type="pct"/>
            <w:tcBorders>
              <w:top w:val="nil"/>
              <w:left w:val="nil"/>
              <w:bottom w:val="nil"/>
              <w:right w:val="nil"/>
            </w:tcBorders>
            <w:shd w:val="clear" w:color="auto" w:fill="auto"/>
            <w:noWrap/>
            <w:vAlign w:val="center"/>
            <w:hideMark/>
          </w:tcPr>
          <w:p w14:paraId="094485AB" w14:textId="11D51529"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175,342 </w:t>
            </w:r>
          </w:p>
        </w:tc>
        <w:tc>
          <w:tcPr>
            <w:tcW w:w="801" w:type="pct"/>
            <w:tcBorders>
              <w:top w:val="nil"/>
              <w:left w:val="nil"/>
              <w:bottom w:val="nil"/>
              <w:right w:val="nil"/>
            </w:tcBorders>
            <w:shd w:val="clear" w:color="auto" w:fill="auto"/>
            <w:noWrap/>
            <w:vAlign w:val="center"/>
            <w:hideMark/>
          </w:tcPr>
          <w:p w14:paraId="24C8A520" w14:textId="36998AE8"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1,595.08 </w:t>
            </w:r>
          </w:p>
        </w:tc>
        <w:tc>
          <w:tcPr>
            <w:tcW w:w="802" w:type="pct"/>
            <w:tcBorders>
              <w:top w:val="nil"/>
              <w:left w:val="nil"/>
              <w:bottom w:val="nil"/>
              <w:right w:val="nil"/>
            </w:tcBorders>
            <w:shd w:val="clear" w:color="auto" w:fill="auto"/>
            <w:noWrap/>
            <w:vAlign w:val="center"/>
            <w:hideMark/>
          </w:tcPr>
          <w:p w14:paraId="40737259" w14:textId="3B72A4EC"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1,600.77 </w:t>
            </w:r>
          </w:p>
        </w:tc>
        <w:tc>
          <w:tcPr>
            <w:tcW w:w="670" w:type="pct"/>
            <w:tcBorders>
              <w:top w:val="nil"/>
              <w:left w:val="nil"/>
              <w:bottom w:val="nil"/>
              <w:right w:val="nil"/>
            </w:tcBorders>
            <w:shd w:val="clear" w:color="auto" w:fill="auto"/>
            <w:noWrap/>
            <w:vAlign w:val="center"/>
            <w:hideMark/>
          </w:tcPr>
          <w:p w14:paraId="27F6A33D" w14:textId="382DC5E1"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0.4% </w:t>
            </w:r>
          </w:p>
        </w:tc>
      </w:tr>
      <w:tr w:rsidR="00D62BB5" w:rsidRPr="00E122F0" w14:paraId="572722B6" w14:textId="77777777" w:rsidTr="00257D02">
        <w:trPr>
          <w:trHeight w:val="240"/>
        </w:trPr>
        <w:tc>
          <w:tcPr>
            <w:tcW w:w="1926" w:type="pct"/>
            <w:tcBorders>
              <w:top w:val="nil"/>
              <w:left w:val="nil"/>
              <w:bottom w:val="nil"/>
              <w:right w:val="nil"/>
            </w:tcBorders>
            <w:shd w:val="clear" w:color="000000" w:fill="E8E9E9"/>
            <w:noWrap/>
            <w:vAlign w:val="center"/>
            <w:hideMark/>
          </w:tcPr>
          <w:p w14:paraId="48622231" w14:textId="4F0D21E7"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SOBRA</w:t>
            </w:r>
          </w:p>
        </w:tc>
        <w:tc>
          <w:tcPr>
            <w:tcW w:w="801" w:type="pct"/>
            <w:tcBorders>
              <w:top w:val="nil"/>
              <w:left w:val="nil"/>
              <w:bottom w:val="nil"/>
              <w:right w:val="nil"/>
            </w:tcBorders>
            <w:shd w:val="clear" w:color="000000" w:fill="E8E9E9"/>
            <w:noWrap/>
            <w:vAlign w:val="center"/>
            <w:hideMark/>
          </w:tcPr>
          <w:p w14:paraId="77C686FE" w14:textId="45DA7A9A"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4,671 </w:t>
            </w:r>
          </w:p>
        </w:tc>
        <w:tc>
          <w:tcPr>
            <w:tcW w:w="801" w:type="pct"/>
            <w:tcBorders>
              <w:top w:val="nil"/>
              <w:left w:val="nil"/>
              <w:bottom w:val="nil"/>
              <w:right w:val="nil"/>
            </w:tcBorders>
            <w:shd w:val="clear" w:color="000000" w:fill="E8E9E9"/>
            <w:noWrap/>
            <w:vAlign w:val="center"/>
            <w:hideMark/>
          </w:tcPr>
          <w:p w14:paraId="1635AC45" w14:textId="699E3E0F"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11,994.09 </w:t>
            </w:r>
          </w:p>
        </w:tc>
        <w:tc>
          <w:tcPr>
            <w:tcW w:w="802" w:type="pct"/>
            <w:tcBorders>
              <w:top w:val="nil"/>
              <w:left w:val="nil"/>
              <w:bottom w:val="nil"/>
              <w:right w:val="nil"/>
            </w:tcBorders>
            <w:shd w:val="clear" w:color="000000" w:fill="E8E9E9"/>
            <w:noWrap/>
            <w:vAlign w:val="center"/>
            <w:hideMark/>
          </w:tcPr>
          <w:p w14:paraId="241E9F6C" w14:textId="76BFB6AA"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12,068.50 </w:t>
            </w:r>
          </w:p>
        </w:tc>
        <w:tc>
          <w:tcPr>
            <w:tcW w:w="670" w:type="pct"/>
            <w:tcBorders>
              <w:top w:val="nil"/>
              <w:left w:val="nil"/>
              <w:bottom w:val="nil"/>
              <w:right w:val="nil"/>
            </w:tcBorders>
            <w:shd w:val="clear" w:color="000000" w:fill="E8E9E9"/>
            <w:noWrap/>
            <w:vAlign w:val="center"/>
            <w:hideMark/>
          </w:tcPr>
          <w:p w14:paraId="45D6A93B" w14:textId="33CF8335"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0.6% </w:t>
            </w:r>
          </w:p>
        </w:tc>
      </w:tr>
    </w:tbl>
    <w:p w14:paraId="58485735" w14:textId="6A4661D2" w:rsidR="00EA4D6A" w:rsidRPr="00920110" w:rsidRDefault="00EA4D6A" w:rsidP="00920110">
      <w:pPr>
        <w:rPr>
          <w:rFonts w:ascii="Arial" w:eastAsia="Times New Roman" w:hAnsi="Arial" w:cs="Arial"/>
          <w:color w:val="727A7D"/>
          <w:sz w:val="16"/>
          <w:szCs w:val="16"/>
        </w:rPr>
      </w:pPr>
      <w:bookmarkStart w:id="160" w:name="_Toc36127166"/>
      <w:bookmarkStart w:id="161" w:name="_Toc484701176"/>
      <w:bookmarkStart w:id="162" w:name="_Toc504389022"/>
      <w:r w:rsidRPr="00537CDB">
        <w:rPr>
          <w:rFonts w:ascii="Arial" w:eastAsia="Times New Roman" w:hAnsi="Arial" w:cs="Arial"/>
          <w:color w:val="727A7D"/>
          <w:sz w:val="16"/>
          <w:szCs w:val="16"/>
        </w:rPr>
        <w:t xml:space="preserve">Note: </w:t>
      </w:r>
      <w:r>
        <w:rPr>
          <w:rFonts w:ascii="Arial" w:eastAsia="Times New Roman" w:hAnsi="Arial" w:cs="Arial"/>
          <w:color w:val="727A7D"/>
          <w:sz w:val="16"/>
          <w:szCs w:val="16"/>
        </w:rPr>
        <w:t>Values have been rounded.</w:t>
      </w:r>
    </w:p>
    <w:p w14:paraId="38AE513A" w14:textId="19806D94" w:rsidR="00533A8C" w:rsidRDefault="00533A8C" w:rsidP="008A2F63">
      <w:pPr>
        <w:pStyle w:val="RRSubhead2"/>
        <w:spacing w:line="360" w:lineRule="auto"/>
        <w:contextualSpacing/>
        <w:jc w:val="both"/>
      </w:pPr>
      <w:r>
        <w:t>Recoveries Adjustment</w:t>
      </w:r>
      <w:bookmarkEnd w:id="160"/>
    </w:p>
    <w:p w14:paraId="126EEF5F" w14:textId="0F8CFA6A" w:rsidR="00533A8C" w:rsidRDefault="00533A8C" w:rsidP="008A2F63">
      <w:pPr>
        <w:pStyle w:val="RRBody"/>
        <w:jc w:val="both"/>
      </w:pPr>
      <w:r>
        <w:t xml:space="preserve">The base experience </w:t>
      </w:r>
      <w:r w:rsidR="00A44F5E">
        <w:t xml:space="preserve">was </w:t>
      </w:r>
      <w:r>
        <w:t>adjusted for recoupments made outside the MCO claims payment system. Individual adjustment items are described below:</w:t>
      </w:r>
    </w:p>
    <w:p w14:paraId="4F4984AC" w14:textId="77777777" w:rsidR="00231482" w:rsidRDefault="00231482" w:rsidP="00920110">
      <w:pPr>
        <w:pStyle w:val="RRNumberedBullet1"/>
        <w:spacing w:before="60"/>
        <w:jc w:val="both"/>
      </w:pPr>
      <w:r>
        <w:rPr>
          <w:b/>
        </w:rPr>
        <w:lastRenderedPageBreak/>
        <w:t>Reinsurance Premiums Paid and Reinsurance Recoveries:</w:t>
      </w:r>
      <w:r>
        <w:t xml:space="preserve"> MCOs participating in the managed care program are required to carry reinsurance for high-cost claimants. We adjusted encounter data expenses in the base data period for the net cost of coverage (premiums less recoveries) as reported in the CY 2021 Q3 FDCR</w:t>
      </w:r>
      <w:r w:rsidRPr="00946FFC">
        <w:t>.</w:t>
      </w:r>
      <w:r>
        <w:t xml:space="preserve"> </w:t>
      </w:r>
    </w:p>
    <w:p w14:paraId="52738AE2" w14:textId="77777777" w:rsidR="00231482" w:rsidRPr="007A350E" w:rsidRDefault="00231482" w:rsidP="00920110">
      <w:pPr>
        <w:pStyle w:val="RRNumberedBullet1"/>
        <w:spacing w:before="60"/>
        <w:jc w:val="both"/>
      </w:pPr>
      <w:r>
        <w:rPr>
          <w:b/>
        </w:rPr>
        <w:t>Other Overpayments:</w:t>
      </w:r>
      <w:r>
        <w:rPr>
          <w:bCs/>
        </w:rPr>
        <w:t xml:space="preserve"> An adjustment was made for provider overpayments recouped outside the MCO’s claims payment system as reported in the </w:t>
      </w:r>
      <w:r>
        <w:t xml:space="preserve">CY 2021 Q3 </w:t>
      </w:r>
      <w:r>
        <w:rPr>
          <w:bCs/>
        </w:rPr>
        <w:t>FDCR.</w:t>
      </w:r>
    </w:p>
    <w:p w14:paraId="7DC3B8A4" w14:textId="3F9FA9CE" w:rsidR="001E3A9E" w:rsidRDefault="001E3A9E" w:rsidP="00734AA0">
      <w:r>
        <w:t xml:space="preserve">No adjustments </w:t>
      </w:r>
      <w:r w:rsidR="00AB488F">
        <w:t>were</w:t>
      </w:r>
      <w:r>
        <w:t xml:space="preserve"> made for the early intervention, skilled nursing facility, hepatitis C, and transplant stop loss programs. The early intervention and skilled nursing facility stop loss programs were </w:t>
      </w:r>
      <w:r w:rsidR="00B5251E">
        <w:t xml:space="preserve">sunset on </w:t>
      </w:r>
      <w:r>
        <w:t>July 1, 2018</w:t>
      </w:r>
      <w:r w:rsidR="00AB488F">
        <w:t>,</w:t>
      </w:r>
      <w:r>
        <w:t xml:space="preserve"> and the hepatitis C and transplant stop loss programs </w:t>
      </w:r>
      <w:r w:rsidR="00470181">
        <w:t xml:space="preserve">were </w:t>
      </w:r>
      <w:r w:rsidR="00B5251E">
        <w:t xml:space="preserve">sunset </w:t>
      </w:r>
      <w:r>
        <w:t xml:space="preserve">effective </w:t>
      </w:r>
      <w:r w:rsidR="009C467E">
        <w:t xml:space="preserve">July 1, </w:t>
      </w:r>
      <w:r w:rsidR="00470181">
        <w:t>2021</w:t>
      </w:r>
      <w:r>
        <w:t>.</w:t>
      </w:r>
    </w:p>
    <w:p w14:paraId="4AE5FC64" w14:textId="37B65193" w:rsidR="00533A8C" w:rsidRDefault="00F60167" w:rsidP="00734AA0">
      <w:r>
        <w:t>Figure 8</w:t>
      </w:r>
      <w:r w:rsidR="00533A8C">
        <w:t xml:space="preserve"> illustrates the PMPM impact of the recoveries adjustment for each population in </w:t>
      </w:r>
      <w:r w:rsidR="008A6EB7">
        <w:t>CY</w:t>
      </w:r>
      <w:r w:rsidR="00533A8C">
        <w:t xml:space="preserve"> 2019.</w:t>
      </w:r>
    </w:p>
    <w:tbl>
      <w:tblPr>
        <w:tblW w:w="5000" w:type="pct"/>
        <w:tblLayout w:type="fixed"/>
        <w:tblLook w:val="04A0" w:firstRow="1" w:lastRow="0" w:firstColumn="1" w:lastColumn="0" w:noHBand="0" w:noVBand="1"/>
      </w:tblPr>
      <w:tblGrid>
        <w:gridCol w:w="3606"/>
        <w:gridCol w:w="1500"/>
        <w:gridCol w:w="1499"/>
        <w:gridCol w:w="1501"/>
        <w:gridCol w:w="1254"/>
      </w:tblGrid>
      <w:tr w:rsidR="00533A8C" w:rsidRPr="00E122F0" w14:paraId="192159C3" w14:textId="77777777" w:rsidTr="00F60167">
        <w:trPr>
          <w:trHeight w:val="240"/>
        </w:trPr>
        <w:tc>
          <w:tcPr>
            <w:tcW w:w="5000" w:type="pct"/>
            <w:gridSpan w:val="5"/>
            <w:tcBorders>
              <w:top w:val="nil"/>
              <w:left w:val="nil"/>
              <w:bottom w:val="nil"/>
              <w:right w:val="nil"/>
            </w:tcBorders>
            <w:shd w:val="clear" w:color="auto" w:fill="auto"/>
            <w:noWrap/>
            <w:vAlign w:val="bottom"/>
            <w:hideMark/>
          </w:tcPr>
          <w:p w14:paraId="1AADD06B" w14:textId="0EC5C380" w:rsidR="00533A8C" w:rsidRPr="00E122F0" w:rsidRDefault="00F60167" w:rsidP="008A2F63">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Pr="00FB6998">
              <w:rPr>
                <w:rFonts w:ascii="Arial" w:eastAsia="Times New Roman" w:hAnsi="Arial" w:cs="Arial"/>
                <w:b/>
                <w:bCs/>
                <w:color w:val="0081E3"/>
                <w:szCs w:val="18"/>
              </w:rPr>
              <w:t xml:space="preserve"> </w:t>
            </w:r>
            <w:r>
              <w:rPr>
                <w:rFonts w:ascii="Arial" w:eastAsia="Times New Roman" w:hAnsi="Arial" w:cs="Arial"/>
                <w:b/>
                <w:bCs/>
                <w:color w:val="0081E3"/>
                <w:szCs w:val="18"/>
              </w:rPr>
              <w:t xml:space="preserve">8: </w:t>
            </w:r>
            <w:r w:rsidR="00713C5F">
              <w:rPr>
                <w:rFonts w:ascii="Arial" w:eastAsia="Times New Roman" w:hAnsi="Arial" w:cs="Arial"/>
                <w:b/>
                <w:bCs/>
                <w:color w:val="0081E3"/>
                <w:szCs w:val="18"/>
              </w:rPr>
              <w:t>CALENDAR</w:t>
            </w:r>
            <w:r w:rsidR="00713C5F" w:rsidRPr="009B6C89">
              <w:rPr>
                <w:rFonts w:ascii="Arial" w:eastAsia="Times New Roman" w:hAnsi="Arial" w:cs="Arial"/>
                <w:b/>
                <w:bCs/>
                <w:color w:val="0081E3"/>
                <w:szCs w:val="18"/>
              </w:rPr>
              <w:t xml:space="preserve"> YEAR</w:t>
            </w:r>
            <w:r w:rsidR="00713C5F" w:rsidDel="00713C5F">
              <w:rPr>
                <w:rFonts w:ascii="Arial" w:eastAsia="Times New Roman" w:hAnsi="Arial" w:cs="Arial"/>
                <w:b/>
                <w:bCs/>
                <w:color w:val="0081E3"/>
                <w:szCs w:val="18"/>
              </w:rPr>
              <w:t xml:space="preserve"> </w:t>
            </w:r>
            <w:r w:rsidRPr="00FB6998">
              <w:rPr>
                <w:rFonts w:ascii="Arial" w:eastAsia="Times New Roman" w:hAnsi="Arial" w:cs="Arial"/>
                <w:b/>
                <w:bCs/>
                <w:color w:val="0081E3"/>
                <w:szCs w:val="18"/>
              </w:rPr>
              <w:t>201</w:t>
            </w:r>
            <w:r>
              <w:rPr>
                <w:rFonts w:ascii="Arial" w:eastAsia="Times New Roman" w:hAnsi="Arial" w:cs="Arial"/>
                <w:b/>
                <w:bCs/>
                <w:color w:val="0081E3"/>
                <w:szCs w:val="18"/>
              </w:rPr>
              <w:t>9</w:t>
            </w:r>
            <w:r w:rsidRPr="00FB6998">
              <w:rPr>
                <w:rFonts w:ascii="Arial" w:eastAsia="Times New Roman" w:hAnsi="Arial" w:cs="Arial"/>
                <w:b/>
                <w:bCs/>
                <w:color w:val="0081E3"/>
                <w:szCs w:val="18"/>
              </w:rPr>
              <w:t xml:space="preserve"> </w:t>
            </w:r>
            <w:r>
              <w:rPr>
                <w:rFonts w:ascii="Arial" w:eastAsia="Times New Roman" w:hAnsi="Arial" w:cs="Arial"/>
                <w:b/>
                <w:bCs/>
                <w:color w:val="0081E3"/>
                <w:szCs w:val="18"/>
              </w:rPr>
              <w:t>RECOVERIES ADJUSTMENT</w:t>
            </w:r>
          </w:p>
        </w:tc>
      </w:tr>
      <w:tr w:rsidR="00533A8C" w:rsidRPr="00E122F0" w14:paraId="4221927A" w14:textId="77777777" w:rsidTr="00F60167">
        <w:trPr>
          <w:trHeight w:val="480"/>
        </w:trPr>
        <w:tc>
          <w:tcPr>
            <w:tcW w:w="1926" w:type="pct"/>
            <w:tcBorders>
              <w:top w:val="nil"/>
              <w:left w:val="nil"/>
              <w:bottom w:val="single" w:sz="4" w:space="0" w:color="C6C9CA"/>
              <w:right w:val="nil"/>
            </w:tcBorders>
            <w:shd w:val="clear" w:color="auto" w:fill="auto"/>
            <w:vAlign w:val="bottom"/>
            <w:hideMark/>
          </w:tcPr>
          <w:p w14:paraId="2F7D4CDB" w14:textId="77777777" w:rsidR="00533A8C" w:rsidRPr="00E122F0" w:rsidRDefault="00533A8C" w:rsidP="00F60167">
            <w:pPr>
              <w:spacing w:after="0" w:line="240" w:lineRule="auto"/>
              <w:rPr>
                <w:rFonts w:ascii="Arial" w:eastAsia="Times New Roman" w:hAnsi="Arial" w:cs="Arial"/>
                <w:b/>
                <w:bCs/>
                <w:color w:val="39414D"/>
                <w:szCs w:val="18"/>
              </w:rPr>
            </w:pPr>
            <w:r w:rsidRPr="00E122F0">
              <w:rPr>
                <w:rFonts w:ascii="Arial" w:eastAsia="Times New Roman" w:hAnsi="Arial" w:cs="Arial"/>
                <w:b/>
                <w:bCs/>
                <w:color w:val="39414D"/>
                <w:szCs w:val="18"/>
              </w:rPr>
              <w:t>Population</w:t>
            </w:r>
          </w:p>
        </w:tc>
        <w:tc>
          <w:tcPr>
            <w:tcW w:w="801" w:type="pct"/>
            <w:tcBorders>
              <w:top w:val="nil"/>
              <w:left w:val="nil"/>
              <w:bottom w:val="single" w:sz="4" w:space="0" w:color="C6C9CA"/>
              <w:right w:val="nil"/>
            </w:tcBorders>
            <w:shd w:val="clear" w:color="auto" w:fill="auto"/>
            <w:vAlign w:val="bottom"/>
            <w:hideMark/>
          </w:tcPr>
          <w:p w14:paraId="74FA3E2E" w14:textId="77777777" w:rsidR="00533A8C" w:rsidRPr="00E122F0" w:rsidRDefault="00533A8C" w:rsidP="00F60167">
            <w:pPr>
              <w:spacing w:after="0" w:line="240" w:lineRule="auto"/>
              <w:jc w:val="center"/>
              <w:rPr>
                <w:rFonts w:ascii="Arial" w:eastAsia="Times New Roman" w:hAnsi="Arial" w:cs="Arial"/>
                <w:b/>
                <w:bCs/>
                <w:color w:val="39414D"/>
                <w:szCs w:val="18"/>
              </w:rPr>
            </w:pPr>
            <w:r>
              <w:rPr>
                <w:rFonts w:ascii="Arial" w:hAnsi="Arial" w:cs="Arial"/>
                <w:b/>
                <w:bCs/>
                <w:color w:val="39414D"/>
                <w:szCs w:val="18"/>
              </w:rPr>
              <w:t>Member Months / Deliveries</w:t>
            </w:r>
          </w:p>
        </w:tc>
        <w:tc>
          <w:tcPr>
            <w:tcW w:w="801" w:type="pct"/>
            <w:tcBorders>
              <w:top w:val="nil"/>
              <w:left w:val="nil"/>
              <w:bottom w:val="single" w:sz="4" w:space="0" w:color="C6C9CA"/>
              <w:right w:val="nil"/>
            </w:tcBorders>
            <w:shd w:val="clear" w:color="auto" w:fill="auto"/>
            <w:vAlign w:val="bottom"/>
            <w:hideMark/>
          </w:tcPr>
          <w:p w14:paraId="3F3055A2" w14:textId="54CA6933" w:rsidR="00533A8C" w:rsidRPr="00E122F0" w:rsidRDefault="00533A8C" w:rsidP="00F60167">
            <w:pPr>
              <w:spacing w:after="0" w:line="240" w:lineRule="auto"/>
              <w:jc w:val="center"/>
              <w:rPr>
                <w:rFonts w:ascii="Arial" w:eastAsia="Times New Roman" w:hAnsi="Arial" w:cs="Arial"/>
                <w:b/>
                <w:bCs/>
                <w:color w:val="39414D"/>
                <w:szCs w:val="18"/>
              </w:rPr>
            </w:pPr>
            <w:r>
              <w:rPr>
                <w:rFonts w:ascii="Arial" w:hAnsi="Arial" w:cs="Arial"/>
                <w:b/>
                <w:bCs/>
                <w:color w:val="39414D"/>
                <w:szCs w:val="18"/>
              </w:rPr>
              <w:t>Adjusted for Sub</w:t>
            </w:r>
            <w:r w:rsidR="00D01FC6">
              <w:rPr>
                <w:rFonts w:ascii="Arial" w:hAnsi="Arial" w:cs="Arial"/>
                <w:b/>
                <w:bCs/>
                <w:color w:val="39414D"/>
                <w:szCs w:val="18"/>
              </w:rPr>
              <w:t>-</w:t>
            </w:r>
            <w:r>
              <w:rPr>
                <w:rFonts w:ascii="Arial" w:hAnsi="Arial" w:cs="Arial"/>
                <w:b/>
                <w:bCs/>
                <w:color w:val="39414D"/>
                <w:szCs w:val="18"/>
              </w:rPr>
              <w:t>cap / Non-Encounterable</w:t>
            </w:r>
          </w:p>
        </w:tc>
        <w:tc>
          <w:tcPr>
            <w:tcW w:w="802" w:type="pct"/>
            <w:tcBorders>
              <w:top w:val="nil"/>
              <w:left w:val="nil"/>
              <w:bottom w:val="single" w:sz="4" w:space="0" w:color="C6C9CA"/>
              <w:right w:val="nil"/>
            </w:tcBorders>
            <w:shd w:val="clear" w:color="auto" w:fill="auto"/>
            <w:vAlign w:val="bottom"/>
            <w:hideMark/>
          </w:tcPr>
          <w:p w14:paraId="3C52097C" w14:textId="77777777" w:rsidR="00533A8C" w:rsidRPr="00E122F0" w:rsidRDefault="00533A8C" w:rsidP="00F60167">
            <w:pPr>
              <w:spacing w:after="0" w:line="240" w:lineRule="auto"/>
              <w:jc w:val="center"/>
              <w:rPr>
                <w:rFonts w:ascii="Arial" w:eastAsia="Times New Roman" w:hAnsi="Arial" w:cs="Arial"/>
                <w:b/>
                <w:bCs/>
                <w:color w:val="39414D"/>
                <w:szCs w:val="18"/>
              </w:rPr>
            </w:pPr>
            <w:r>
              <w:rPr>
                <w:rFonts w:ascii="Arial" w:hAnsi="Arial" w:cs="Arial"/>
                <w:b/>
                <w:bCs/>
                <w:color w:val="39414D"/>
                <w:szCs w:val="18"/>
              </w:rPr>
              <w:t>Adjusted for Recoveries</w:t>
            </w:r>
          </w:p>
        </w:tc>
        <w:tc>
          <w:tcPr>
            <w:tcW w:w="670" w:type="pct"/>
            <w:tcBorders>
              <w:top w:val="nil"/>
              <w:left w:val="nil"/>
              <w:bottom w:val="single" w:sz="4" w:space="0" w:color="C6C9CA"/>
              <w:right w:val="nil"/>
            </w:tcBorders>
            <w:shd w:val="clear" w:color="auto" w:fill="auto"/>
            <w:vAlign w:val="bottom"/>
            <w:hideMark/>
          </w:tcPr>
          <w:p w14:paraId="3242A786" w14:textId="77777777" w:rsidR="00533A8C" w:rsidRPr="00E122F0" w:rsidRDefault="00533A8C" w:rsidP="00F60167">
            <w:pPr>
              <w:spacing w:after="0" w:line="240" w:lineRule="auto"/>
              <w:jc w:val="center"/>
              <w:rPr>
                <w:rFonts w:ascii="Arial" w:eastAsia="Times New Roman" w:hAnsi="Arial" w:cs="Arial"/>
                <w:b/>
                <w:bCs/>
                <w:color w:val="39414D"/>
                <w:szCs w:val="18"/>
              </w:rPr>
            </w:pPr>
            <w:r>
              <w:rPr>
                <w:rFonts w:ascii="Arial" w:hAnsi="Arial" w:cs="Arial"/>
                <w:b/>
                <w:bCs/>
                <w:color w:val="39414D"/>
                <w:szCs w:val="18"/>
              </w:rPr>
              <w:t>Percent Difference</w:t>
            </w:r>
          </w:p>
        </w:tc>
      </w:tr>
      <w:tr w:rsidR="0083798A" w:rsidRPr="00E122F0" w14:paraId="7AB6F7B8" w14:textId="77777777" w:rsidTr="00257D02">
        <w:trPr>
          <w:trHeight w:val="240"/>
        </w:trPr>
        <w:tc>
          <w:tcPr>
            <w:tcW w:w="1926" w:type="pct"/>
            <w:tcBorders>
              <w:top w:val="nil"/>
              <w:left w:val="nil"/>
              <w:bottom w:val="nil"/>
              <w:right w:val="nil"/>
            </w:tcBorders>
            <w:shd w:val="clear" w:color="auto" w:fill="auto"/>
            <w:noWrap/>
            <w:vAlign w:val="center"/>
            <w:hideMark/>
          </w:tcPr>
          <w:p w14:paraId="73595A21" w14:textId="53E9B262" w:rsidR="0083798A" w:rsidRPr="00E122F0" w:rsidRDefault="00713C5F" w:rsidP="0083798A">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C</w:t>
            </w:r>
            <w:r w:rsidRPr="00E122F0">
              <w:rPr>
                <w:rFonts w:ascii="Arial" w:eastAsia="Times New Roman" w:hAnsi="Arial" w:cs="Arial"/>
                <w:b/>
                <w:bCs/>
                <w:color w:val="39414D"/>
                <w:szCs w:val="18"/>
              </w:rPr>
              <w:t xml:space="preserve">Y </w:t>
            </w:r>
            <w:r w:rsidR="0083798A" w:rsidRPr="00E122F0">
              <w:rPr>
                <w:rFonts w:ascii="Arial" w:eastAsia="Times New Roman" w:hAnsi="Arial" w:cs="Arial"/>
                <w:b/>
                <w:bCs/>
                <w:color w:val="39414D"/>
                <w:szCs w:val="18"/>
              </w:rPr>
              <w:t>201</w:t>
            </w:r>
            <w:r w:rsidR="0083798A">
              <w:rPr>
                <w:rFonts w:ascii="Arial" w:eastAsia="Times New Roman" w:hAnsi="Arial" w:cs="Arial"/>
                <w:b/>
                <w:bCs/>
                <w:color w:val="39414D"/>
                <w:szCs w:val="18"/>
              </w:rPr>
              <w:t>9</w:t>
            </w:r>
          </w:p>
        </w:tc>
        <w:tc>
          <w:tcPr>
            <w:tcW w:w="801" w:type="pct"/>
            <w:tcBorders>
              <w:top w:val="nil"/>
              <w:left w:val="nil"/>
              <w:bottom w:val="nil"/>
              <w:right w:val="nil"/>
            </w:tcBorders>
            <w:shd w:val="clear" w:color="auto" w:fill="auto"/>
            <w:noWrap/>
            <w:vAlign w:val="center"/>
            <w:hideMark/>
          </w:tcPr>
          <w:p w14:paraId="45E39A00" w14:textId="77777777" w:rsidR="0083798A" w:rsidRPr="00E122F0" w:rsidRDefault="0083798A" w:rsidP="0083798A">
            <w:pPr>
              <w:spacing w:after="0" w:line="240" w:lineRule="auto"/>
              <w:jc w:val="right"/>
              <w:rPr>
                <w:rFonts w:ascii="Arial" w:eastAsia="Times New Roman" w:hAnsi="Arial" w:cs="Arial"/>
                <w:b/>
                <w:bCs/>
                <w:color w:val="39414D"/>
                <w:szCs w:val="18"/>
              </w:rPr>
            </w:pPr>
          </w:p>
        </w:tc>
        <w:tc>
          <w:tcPr>
            <w:tcW w:w="801" w:type="pct"/>
            <w:tcBorders>
              <w:top w:val="nil"/>
              <w:left w:val="nil"/>
              <w:bottom w:val="nil"/>
              <w:right w:val="nil"/>
            </w:tcBorders>
            <w:shd w:val="clear" w:color="auto" w:fill="auto"/>
            <w:noWrap/>
            <w:vAlign w:val="center"/>
            <w:hideMark/>
          </w:tcPr>
          <w:p w14:paraId="4797CF23" w14:textId="77777777" w:rsidR="0083798A" w:rsidRPr="00E122F0" w:rsidRDefault="0083798A" w:rsidP="0083798A">
            <w:pPr>
              <w:spacing w:after="0" w:line="240" w:lineRule="auto"/>
              <w:jc w:val="right"/>
              <w:rPr>
                <w:rFonts w:ascii="Times New Roman" w:eastAsia="Times New Roman" w:hAnsi="Times New Roman" w:cs="Times New Roman"/>
                <w:sz w:val="20"/>
                <w:szCs w:val="20"/>
              </w:rPr>
            </w:pPr>
          </w:p>
        </w:tc>
        <w:tc>
          <w:tcPr>
            <w:tcW w:w="802" w:type="pct"/>
            <w:tcBorders>
              <w:top w:val="nil"/>
              <w:left w:val="nil"/>
              <w:bottom w:val="nil"/>
              <w:right w:val="nil"/>
            </w:tcBorders>
            <w:shd w:val="clear" w:color="auto" w:fill="auto"/>
            <w:noWrap/>
            <w:vAlign w:val="center"/>
            <w:hideMark/>
          </w:tcPr>
          <w:p w14:paraId="25F24317" w14:textId="77777777" w:rsidR="0083798A" w:rsidRPr="00E122F0" w:rsidRDefault="0083798A" w:rsidP="0083798A">
            <w:pPr>
              <w:spacing w:after="0" w:line="240" w:lineRule="auto"/>
              <w:jc w:val="right"/>
              <w:rPr>
                <w:rFonts w:ascii="Times New Roman" w:eastAsia="Times New Roman" w:hAnsi="Times New Roman" w:cs="Times New Roman"/>
                <w:sz w:val="20"/>
                <w:szCs w:val="20"/>
              </w:rPr>
            </w:pPr>
          </w:p>
        </w:tc>
        <w:tc>
          <w:tcPr>
            <w:tcW w:w="670" w:type="pct"/>
            <w:tcBorders>
              <w:top w:val="nil"/>
              <w:left w:val="nil"/>
              <w:bottom w:val="nil"/>
              <w:right w:val="nil"/>
            </w:tcBorders>
            <w:shd w:val="clear" w:color="auto" w:fill="auto"/>
            <w:noWrap/>
            <w:vAlign w:val="center"/>
            <w:hideMark/>
          </w:tcPr>
          <w:p w14:paraId="5A0486DF" w14:textId="77777777" w:rsidR="0083798A" w:rsidRPr="00E122F0" w:rsidRDefault="0083798A" w:rsidP="0083798A">
            <w:pPr>
              <w:spacing w:after="0" w:line="240" w:lineRule="auto"/>
              <w:jc w:val="right"/>
              <w:rPr>
                <w:rFonts w:ascii="Times New Roman" w:eastAsia="Times New Roman" w:hAnsi="Times New Roman" w:cs="Times New Roman"/>
                <w:sz w:val="20"/>
                <w:szCs w:val="20"/>
              </w:rPr>
            </w:pPr>
          </w:p>
        </w:tc>
      </w:tr>
      <w:tr w:rsidR="00D62BB5" w:rsidRPr="00E122F0" w14:paraId="772980F1" w14:textId="77777777" w:rsidTr="00257D02">
        <w:trPr>
          <w:trHeight w:val="240"/>
        </w:trPr>
        <w:tc>
          <w:tcPr>
            <w:tcW w:w="1926" w:type="pct"/>
            <w:tcBorders>
              <w:top w:val="nil"/>
              <w:left w:val="nil"/>
              <w:bottom w:val="nil"/>
              <w:right w:val="nil"/>
            </w:tcBorders>
            <w:shd w:val="clear" w:color="000000" w:fill="E8E9E9"/>
            <w:noWrap/>
            <w:vAlign w:val="center"/>
            <w:hideMark/>
          </w:tcPr>
          <w:p w14:paraId="584A3E76" w14:textId="3AE94E03"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RIte Care</w:t>
            </w:r>
          </w:p>
        </w:tc>
        <w:tc>
          <w:tcPr>
            <w:tcW w:w="801" w:type="pct"/>
            <w:tcBorders>
              <w:top w:val="nil"/>
              <w:left w:val="nil"/>
              <w:bottom w:val="nil"/>
              <w:right w:val="nil"/>
            </w:tcBorders>
            <w:shd w:val="clear" w:color="000000" w:fill="E8E9E9"/>
            <w:noWrap/>
            <w:vAlign w:val="center"/>
            <w:hideMark/>
          </w:tcPr>
          <w:p w14:paraId="334B0F02" w14:textId="2362A70D"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1,831,343 </w:t>
            </w:r>
          </w:p>
        </w:tc>
        <w:tc>
          <w:tcPr>
            <w:tcW w:w="801" w:type="pct"/>
            <w:tcBorders>
              <w:top w:val="nil"/>
              <w:left w:val="nil"/>
              <w:bottom w:val="nil"/>
              <w:right w:val="nil"/>
            </w:tcBorders>
            <w:shd w:val="clear" w:color="000000" w:fill="E8E9E9"/>
            <w:noWrap/>
            <w:vAlign w:val="center"/>
            <w:hideMark/>
          </w:tcPr>
          <w:p w14:paraId="618B86E8" w14:textId="1AAF6F06"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$ 229.44 </w:t>
            </w:r>
          </w:p>
        </w:tc>
        <w:tc>
          <w:tcPr>
            <w:tcW w:w="802" w:type="pct"/>
            <w:tcBorders>
              <w:top w:val="nil"/>
              <w:left w:val="nil"/>
              <w:bottom w:val="nil"/>
              <w:right w:val="nil"/>
            </w:tcBorders>
            <w:shd w:val="clear" w:color="000000" w:fill="E8E9E9"/>
            <w:noWrap/>
            <w:vAlign w:val="center"/>
            <w:hideMark/>
          </w:tcPr>
          <w:p w14:paraId="40C3618D" w14:textId="5742EFBA"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$ 230.08 </w:t>
            </w:r>
          </w:p>
        </w:tc>
        <w:tc>
          <w:tcPr>
            <w:tcW w:w="670" w:type="pct"/>
            <w:tcBorders>
              <w:top w:val="nil"/>
              <w:left w:val="nil"/>
              <w:bottom w:val="nil"/>
              <w:right w:val="nil"/>
            </w:tcBorders>
            <w:shd w:val="clear" w:color="000000" w:fill="E8E9E9"/>
            <w:noWrap/>
            <w:vAlign w:val="center"/>
            <w:hideMark/>
          </w:tcPr>
          <w:p w14:paraId="22822DF3" w14:textId="3DF39567"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0.3% </w:t>
            </w:r>
          </w:p>
        </w:tc>
      </w:tr>
      <w:tr w:rsidR="00D62BB5" w:rsidRPr="00E122F0" w14:paraId="4A76089E" w14:textId="77777777" w:rsidTr="00257D02">
        <w:trPr>
          <w:trHeight w:val="240"/>
        </w:trPr>
        <w:tc>
          <w:tcPr>
            <w:tcW w:w="1926" w:type="pct"/>
            <w:tcBorders>
              <w:top w:val="nil"/>
              <w:left w:val="nil"/>
              <w:bottom w:val="nil"/>
              <w:right w:val="nil"/>
            </w:tcBorders>
            <w:shd w:val="clear" w:color="auto" w:fill="auto"/>
            <w:noWrap/>
            <w:vAlign w:val="center"/>
            <w:hideMark/>
          </w:tcPr>
          <w:p w14:paraId="0E448A33" w14:textId="44B75A4C"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Children with Special Healthcare Needs</w:t>
            </w:r>
          </w:p>
        </w:tc>
        <w:tc>
          <w:tcPr>
            <w:tcW w:w="801" w:type="pct"/>
            <w:tcBorders>
              <w:top w:val="nil"/>
              <w:left w:val="nil"/>
              <w:bottom w:val="nil"/>
              <w:right w:val="nil"/>
            </w:tcBorders>
            <w:shd w:val="clear" w:color="auto" w:fill="auto"/>
            <w:noWrap/>
            <w:vAlign w:val="center"/>
            <w:hideMark/>
          </w:tcPr>
          <w:p w14:paraId="767688B0" w14:textId="490FF332"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114,092 </w:t>
            </w:r>
          </w:p>
        </w:tc>
        <w:tc>
          <w:tcPr>
            <w:tcW w:w="801" w:type="pct"/>
            <w:tcBorders>
              <w:top w:val="nil"/>
              <w:left w:val="nil"/>
              <w:bottom w:val="nil"/>
              <w:right w:val="nil"/>
            </w:tcBorders>
            <w:shd w:val="clear" w:color="auto" w:fill="auto"/>
            <w:noWrap/>
            <w:vAlign w:val="center"/>
            <w:hideMark/>
          </w:tcPr>
          <w:p w14:paraId="3C66B0B0" w14:textId="03F199FD"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950.69 </w:t>
            </w:r>
          </w:p>
        </w:tc>
        <w:tc>
          <w:tcPr>
            <w:tcW w:w="802" w:type="pct"/>
            <w:tcBorders>
              <w:top w:val="nil"/>
              <w:left w:val="nil"/>
              <w:bottom w:val="nil"/>
              <w:right w:val="nil"/>
            </w:tcBorders>
            <w:shd w:val="clear" w:color="auto" w:fill="auto"/>
            <w:noWrap/>
            <w:vAlign w:val="center"/>
            <w:hideMark/>
          </w:tcPr>
          <w:p w14:paraId="4A952761" w14:textId="66AD23B3"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951.76 </w:t>
            </w:r>
          </w:p>
        </w:tc>
        <w:tc>
          <w:tcPr>
            <w:tcW w:w="670" w:type="pct"/>
            <w:tcBorders>
              <w:top w:val="nil"/>
              <w:left w:val="nil"/>
              <w:bottom w:val="nil"/>
              <w:right w:val="nil"/>
            </w:tcBorders>
            <w:shd w:val="clear" w:color="auto" w:fill="auto"/>
            <w:noWrap/>
            <w:vAlign w:val="center"/>
            <w:hideMark/>
          </w:tcPr>
          <w:p w14:paraId="57148D1A" w14:textId="1B3F6AFD"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0.1% </w:t>
            </w:r>
          </w:p>
        </w:tc>
      </w:tr>
      <w:tr w:rsidR="00D62BB5" w:rsidRPr="00E122F0" w14:paraId="21390CD4" w14:textId="77777777" w:rsidTr="00257D02">
        <w:trPr>
          <w:trHeight w:val="240"/>
        </w:trPr>
        <w:tc>
          <w:tcPr>
            <w:tcW w:w="1926" w:type="pct"/>
            <w:tcBorders>
              <w:top w:val="nil"/>
              <w:left w:val="nil"/>
              <w:bottom w:val="nil"/>
              <w:right w:val="nil"/>
            </w:tcBorders>
            <w:shd w:val="clear" w:color="000000" w:fill="E8E9E9"/>
            <w:noWrap/>
            <w:vAlign w:val="center"/>
            <w:hideMark/>
          </w:tcPr>
          <w:p w14:paraId="2D357E00" w14:textId="6AF82108"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Medicaid Expansion</w:t>
            </w:r>
          </w:p>
        </w:tc>
        <w:tc>
          <w:tcPr>
            <w:tcW w:w="801" w:type="pct"/>
            <w:tcBorders>
              <w:top w:val="nil"/>
              <w:left w:val="nil"/>
              <w:bottom w:val="nil"/>
              <w:right w:val="nil"/>
            </w:tcBorders>
            <w:shd w:val="clear" w:color="000000" w:fill="E8E9E9"/>
            <w:noWrap/>
            <w:vAlign w:val="center"/>
            <w:hideMark/>
          </w:tcPr>
          <w:p w14:paraId="782F8F5A" w14:textId="4C1827CB"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840,364 </w:t>
            </w:r>
          </w:p>
        </w:tc>
        <w:tc>
          <w:tcPr>
            <w:tcW w:w="801" w:type="pct"/>
            <w:tcBorders>
              <w:top w:val="nil"/>
              <w:left w:val="nil"/>
              <w:bottom w:val="nil"/>
              <w:right w:val="nil"/>
            </w:tcBorders>
            <w:shd w:val="clear" w:color="000000" w:fill="E8E9E9"/>
            <w:noWrap/>
            <w:vAlign w:val="center"/>
            <w:hideMark/>
          </w:tcPr>
          <w:p w14:paraId="539B693A" w14:textId="55BB6233"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515.34 </w:t>
            </w:r>
          </w:p>
        </w:tc>
        <w:tc>
          <w:tcPr>
            <w:tcW w:w="802" w:type="pct"/>
            <w:tcBorders>
              <w:top w:val="nil"/>
              <w:left w:val="nil"/>
              <w:bottom w:val="nil"/>
              <w:right w:val="nil"/>
            </w:tcBorders>
            <w:shd w:val="clear" w:color="000000" w:fill="E8E9E9"/>
            <w:noWrap/>
            <w:vAlign w:val="center"/>
            <w:hideMark/>
          </w:tcPr>
          <w:p w14:paraId="0C20C7E4" w14:textId="10B314FF"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516.53 </w:t>
            </w:r>
          </w:p>
        </w:tc>
        <w:tc>
          <w:tcPr>
            <w:tcW w:w="670" w:type="pct"/>
            <w:tcBorders>
              <w:top w:val="nil"/>
              <w:left w:val="nil"/>
              <w:bottom w:val="nil"/>
              <w:right w:val="nil"/>
            </w:tcBorders>
            <w:shd w:val="clear" w:color="000000" w:fill="E8E9E9"/>
            <w:noWrap/>
            <w:vAlign w:val="center"/>
            <w:hideMark/>
          </w:tcPr>
          <w:p w14:paraId="60A125EE" w14:textId="413945A4"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0.2% </w:t>
            </w:r>
          </w:p>
        </w:tc>
      </w:tr>
      <w:tr w:rsidR="00D62BB5" w:rsidRPr="00E122F0" w14:paraId="76263D43" w14:textId="77777777" w:rsidTr="00257D02">
        <w:trPr>
          <w:trHeight w:val="240"/>
        </w:trPr>
        <w:tc>
          <w:tcPr>
            <w:tcW w:w="1926" w:type="pct"/>
            <w:tcBorders>
              <w:top w:val="nil"/>
              <w:left w:val="nil"/>
              <w:bottom w:val="nil"/>
              <w:right w:val="nil"/>
            </w:tcBorders>
            <w:shd w:val="clear" w:color="auto" w:fill="auto"/>
            <w:noWrap/>
            <w:vAlign w:val="center"/>
            <w:hideMark/>
          </w:tcPr>
          <w:p w14:paraId="24ADF40A" w14:textId="4D317799"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Rhody Health Partners</w:t>
            </w:r>
          </w:p>
        </w:tc>
        <w:tc>
          <w:tcPr>
            <w:tcW w:w="801" w:type="pct"/>
            <w:tcBorders>
              <w:top w:val="nil"/>
              <w:left w:val="nil"/>
              <w:bottom w:val="nil"/>
              <w:right w:val="nil"/>
            </w:tcBorders>
            <w:shd w:val="clear" w:color="auto" w:fill="auto"/>
            <w:noWrap/>
            <w:vAlign w:val="center"/>
            <w:hideMark/>
          </w:tcPr>
          <w:p w14:paraId="4077E100" w14:textId="7DC60C4F"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175,342 </w:t>
            </w:r>
          </w:p>
        </w:tc>
        <w:tc>
          <w:tcPr>
            <w:tcW w:w="801" w:type="pct"/>
            <w:tcBorders>
              <w:top w:val="nil"/>
              <w:left w:val="nil"/>
              <w:bottom w:val="nil"/>
              <w:right w:val="nil"/>
            </w:tcBorders>
            <w:shd w:val="clear" w:color="auto" w:fill="auto"/>
            <w:noWrap/>
            <w:vAlign w:val="center"/>
            <w:hideMark/>
          </w:tcPr>
          <w:p w14:paraId="51FF8DC6" w14:textId="31D329D6"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1,600.77 </w:t>
            </w:r>
          </w:p>
        </w:tc>
        <w:tc>
          <w:tcPr>
            <w:tcW w:w="802" w:type="pct"/>
            <w:tcBorders>
              <w:top w:val="nil"/>
              <w:left w:val="nil"/>
              <w:bottom w:val="nil"/>
              <w:right w:val="nil"/>
            </w:tcBorders>
            <w:shd w:val="clear" w:color="auto" w:fill="auto"/>
            <w:noWrap/>
            <w:vAlign w:val="center"/>
            <w:hideMark/>
          </w:tcPr>
          <w:p w14:paraId="53EEB76D" w14:textId="0CF8C964"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1,603.09 </w:t>
            </w:r>
          </w:p>
        </w:tc>
        <w:tc>
          <w:tcPr>
            <w:tcW w:w="670" w:type="pct"/>
            <w:tcBorders>
              <w:top w:val="nil"/>
              <w:left w:val="nil"/>
              <w:bottom w:val="nil"/>
              <w:right w:val="nil"/>
            </w:tcBorders>
            <w:shd w:val="clear" w:color="auto" w:fill="auto"/>
            <w:noWrap/>
            <w:vAlign w:val="center"/>
            <w:hideMark/>
          </w:tcPr>
          <w:p w14:paraId="07FFA9EA" w14:textId="3F52C237"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0.1% </w:t>
            </w:r>
          </w:p>
        </w:tc>
      </w:tr>
      <w:tr w:rsidR="00D62BB5" w:rsidRPr="00E122F0" w14:paraId="0F55ACDF" w14:textId="77777777" w:rsidTr="00257D02">
        <w:trPr>
          <w:trHeight w:val="240"/>
        </w:trPr>
        <w:tc>
          <w:tcPr>
            <w:tcW w:w="1926" w:type="pct"/>
            <w:tcBorders>
              <w:top w:val="nil"/>
              <w:left w:val="nil"/>
              <w:bottom w:val="nil"/>
              <w:right w:val="nil"/>
            </w:tcBorders>
            <w:shd w:val="clear" w:color="000000" w:fill="E8E9E9"/>
            <w:noWrap/>
            <w:vAlign w:val="center"/>
            <w:hideMark/>
          </w:tcPr>
          <w:p w14:paraId="34092994" w14:textId="64F19D5B" w:rsidR="00D62BB5" w:rsidRPr="00E122F0" w:rsidRDefault="00D62BB5" w:rsidP="00D62BB5">
            <w:pPr>
              <w:spacing w:after="0" w:line="240" w:lineRule="auto"/>
              <w:ind w:firstLineChars="100" w:firstLine="180"/>
              <w:rPr>
                <w:rFonts w:ascii="Arial" w:eastAsia="Times New Roman" w:hAnsi="Arial" w:cs="Arial"/>
                <w:color w:val="39414D"/>
                <w:szCs w:val="18"/>
              </w:rPr>
            </w:pPr>
            <w:r>
              <w:rPr>
                <w:rFonts w:ascii="Arial" w:hAnsi="Arial" w:cs="Arial"/>
                <w:color w:val="333333"/>
                <w:szCs w:val="18"/>
              </w:rPr>
              <w:t>SOBRA</w:t>
            </w:r>
          </w:p>
        </w:tc>
        <w:tc>
          <w:tcPr>
            <w:tcW w:w="801" w:type="pct"/>
            <w:tcBorders>
              <w:top w:val="nil"/>
              <w:left w:val="nil"/>
              <w:bottom w:val="nil"/>
              <w:right w:val="nil"/>
            </w:tcBorders>
            <w:shd w:val="clear" w:color="000000" w:fill="E8E9E9"/>
            <w:noWrap/>
            <w:vAlign w:val="center"/>
            <w:hideMark/>
          </w:tcPr>
          <w:p w14:paraId="5E8CDE84" w14:textId="242EA30C"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4,671 </w:t>
            </w:r>
          </w:p>
        </w:tc>
        <w:tc>
          <w:tcPr>
            <w:tcW w:w="801" w:type="pct"/>
            <w:tcBorders>
              <w:top w:val="nil"/>
              <w:left w:val="nil"/>
              <w:bottom w:val="nil"/>
              <w:right w:val="nil"/>
            </w:tcBorders>
            <w:shd w:val="clear" w:color="000000" w:fill="E8E9E9"/>
            <w:noWrap/>
            <w:vAlign w:val="center"/>
            <w:hideMark/>
          </w:tcPr>
          <w:p w14:paraId="5D41604B" w14:textId="2C31C7EC"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12,068.50 </w:t>
            </w:r>
          </w:p>
        </w:tc>
        <w:tc>
          <w:tcPr>
            <w:tcW w:w="802" w:type="pct"/>
            <w:tcBorders>
              <w:top w:val="nil"/>
              <w:left w:val="nil"/>
              <w:bottom w:val="nil"/>
              <w:right w:val="nil"/>
            </w:tcBorders>
            <w:shd w:val="clear" w:color="000000" w:fill="E8E9E9"/>
            <w:noWrap/>
            <w:vAlign w:val="center"/>
            <w:hideMark/>
          </w:tcPr>
          <w:p w14:paraId="3017FE21" w14:textId="0CCF63EE"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 xml:space="preserve">12,064.73 </w:t>
            </w:r>
          </w:p>
        </w:tc>
        <w:tc>
          <w:tcPr>
            <w:tcW w:w="670" w:type="pct"/>
            <w:tcBorders>
              <w:top w:val="nil"/>
              <w:left w:val="nil"/>
              <w:bottom w:val="nil"/>
              <w:right w:val="nil"/>
            </w:tcBorders>
            <w:shd w:val="clear" w:color="000000" w:fill="E8E9E9"/>
            <w:noWrap/>
            <w:vAlign w:val="center"/>
            <w:hideMark/>
          </w:tcPr>
          <w:p w14:paraId="237D0C82" w14:textId="0B3967F9" w:rsidR="00D62BB5" w:rsidRPr="00E122F0" w:rsidRDefault="00D62BB5" w:rsidP="00D62BB5">
            <w:pPr>
              <w:spacing w:after="0" w:line="240" w:lineRule="auto"/>
              <w:jc w:val="right"/>
              <w:rPr>
                <w:rFonts w:ascii="Arial" w:eastAsia="Times New Roman" w:hAnsi="Arial" w:cs="Arial"/>
                <w:color w:val="39414D"/>
                <w:szCs w:val="18"/>
              </w:rPr>
            </w:pPr>
            <w:r>
              <w:rPr>
                <w:rFonts w:ascii="Arial" w:hAnsi="Arial" w:cs="Arial"/>
                <w:color w:val="39414D"/>
                <w:szCs w:val="18"/>
              </w:rPr>
              <w:t>(0.0%)</w:t>
            </w:r>
          </w:p>
        </w:tc>
      </w:tr>
    </w:tbl>
    <w:p w14:paraId="240DBC96" w14:textId="5094D0FD" w:rsidR="00713C5F" w:rsidRPr="00920110" w:rsidRDefault="00EA4D6A" w:rsidP="00920110">
      <w:pPr>
        <w:rPr>
          <w:rFonts w:ascii="Arial" w:eastAsia="Times New Roman" w:hAnsi="Arial" w:cs="Arial"/>
          <w:color w:val="727A7D"/>
          <w:sz w:val="16"/>
          <w:szCs w:val="16"/>
        </w:rPr>
      </w:pPr>
      <w:bookmarkStart w:id="163" w:name="_Hlk100391071"/>
      <w:r w:rsidRPr="00537CDB">
        <w:rPr>
          <w:rFonts w:ascii="Arial" w:eastAsia="Times New Roman" w:hAnsi="Arial" w:cs="Arial"/>
          <w:color w:val="727A7D"/>
          <w:sz w:val="16"/>
          <w:szCs w:val="16"/>
        </w:rPr>
        <w:t xml:space="preserve">Note: </w:t>
      </w:r>
      <w:r>
        <w:rPr>
          <w:rFonts w:ascii="Arial" w:eastAsia="Times New Roman" w:hAnsi="Arial" w:cs="Arial"/>
          <w:color w:val="727A7D"/>
          <w:sz w:val="16"/>
          <w:szCs w:val="16"/>
        </w:rPr>
        <w:t>Values have been rounded.</w:t>
      </w:r>
      <w:bookmarkEnd w:id="163"/>
    </w:p>
    <w:p w14:paraId="30E66015" w14:textId="700FAA86" w:rsidR="006A71B2" w:rsidRPr="00E86763" w:rsidRDefault="00CE2634" w:rsidP="0095741D">
      <w:pPr>
        <w:pStyle w:val="Heading5"/>
        <w:spacing w:before="120"/>
      </w:pPr>
      <w:r w:rsidRPr="00E86763">
        <w:t>Errors found in the dat</w:t>
      </w:r>
      <w:bookmarkEnd w:id="161"/>
      <w:bookmarkEnd w:id="162"/>
      <w:r w:rsidR="006A71B2" w:rsidRPr="00E86763">
        <w:t>a</w:t>
      </w:r>
    </w:p>
    <w:p w14:paraId="1B63D51E" w14:textId="53CE4348" w:rsidR="00BF50F2" w:rsidRPr="00BF50F2" w:rsidRDefault="00196973" w:rsidP="008A2F63">
      <w:pPr>
        <w:pStyle w:val="RRBody"/>
        <w:jc w:val="both"/>
      </w:pPr>
      <w:r>
        <w:t>We did not find significant errors in the data</w:t>
      </w:r>
      <w:r w:rsidR="00E86763">
        <w:t xml:space="preserve"> other than the issues previously described</w:t>
      </w:r>
      <w:r>
        <w:t>.</w:t>
      </w:r>
    </w:p>
    <w:p w14:paraId="5FF39DDD" w14:textId="77777777" w:rsidR="006A71B2" w:rsidRPr="006A71B2" w:rsidRDefault="006A71B2">
      <w:pPr>
        <w:pStyle w:val="Heading5"/>
        <w:jc w:val="both"/>
      </w:pPr>
      <w:r>
        <w:t>Program change adjustments</w:t>
      </w:r>
    </w:p>
    <w:p w14:paraId="31B11BCE" w14:textId="41EA726C" w:rsidR="00C61CB6" w:rsidRDefault="00C61CB6" w:rsidP="008A2F63">
      <w:pPr>
        <w:pStyle w:val="RRSubhead2"/>
        <w:spacing w:line="360" w:lineRule="auto"/>
        <w:contextualSpacing/>
        <w:jc w:val="both"/>
      </w:pPr>
      <w:bookmarkStart w:id="164" w:name="_Toc484701177"/>
      <w:bookmarkStart w:id="165" w:name="_Toc504389023"/>
      <w:r>
        <w:t>Retrospective Program Adjustments</w:t>
      </w:r>
    </w:p>
    <w:p w14:paraId="560D1114" w14:textId="72DE02D0" w:rsidR="009A33C9" w:rsidRDefault="009A33C9" w:rsidP="00622097">
      <w:pPr>
        <w:pStyle w:val="RRBody"/>
        <w:jc w:val="both"/>
      </w:pPr>
      <w:r>
        <w:t xml:space="preserve">Due to the nature of the data adjustments described thus far, the adjustments were applied directly to the base data and not illustrated as separate adjustments. The </w:t>
      </w:r>
      <w:r w:rsidR="008A6EB7">
        <w:t>CY</w:t>
      </w:r>
      <w:r>
        <w:t xml:space="preserve"> </w:t>
      </w:r>
      <w:r w:rsidR="00A2494E">
        <w:t xml:space="preserve">2019 </w:t>
      </w:r>
      <w:r>
        <w:t xml:space="preserve">data included in Appendix </w:t>
      </w:r>
      <w:r w:rsidR="008508A5">
        <w:t xml:space="preserve">2 </w:t>
      </w:r>
      <w:r>
        <w:t xml:space="preserve">illustrate the base data after the application of the above-described adjustments. The remainder of the certification describes the adjustments applied to the base data. </w:t>
      </w:r>
    </w:p>
    <w:p w14:paraId="19893EC0" w14:textId="09F1F7AD" w:rsidR="00A21260" w:rsidRDefault="00196973" w:rsidP="008A2F63">
      <w:pPr>
        <w:pStyle w:val="RRBody"/>
        <w:jc w:val="both"/>
      </w:pPr>
      <w:r>
        <w:t xml:space="preserve">Adjustments in this section represent program changes that occurred during the </w:t>
      </w:r>
      <w:r w:rsidR="008A6EB7">
        <w:t>CY</w:t>
      </w:r>
      <w:r>
        <w:t xml:space="preserve"> </w:t>
      </w:r>
      <w:r w:rsidR="00A2494E">
        <w:t xml:space="preserve">2019 </w:t>
      </w:r>
      <w:r>
        <w:t xml:space="preserve">base data period that </w:t>
      </w:r>
      <w:r w:rsidR="002E2516">
        <w:t xml:space="preserve">were </w:t>
      </w:r>
      <w:r>
        <w:t xml:space="preserve">considered when developing the </w:t>
      </w:r>
      <w:r w:rsidRPr="00F44CE2">
        <w:t xml:space="preserve">SFY </w:t>
      </w:r>
      <w:r w:rsidR="008A6EB7" w:rsidRPr="00F44CE2">
        <w:t>202</w:t>
      </w:r>
      <w:r w:rsidR="008A6EB7">
        <w:t>3</w:t>
      </w:r>
      <w:r w:rsidR="008A6EB7" w:rsidRPr="00F44CE2">
        <w:t xml:space="preserve"> </w:t>
      </w:r>
      <w:r>
        <w:t>adjusted base data</w:t>
      </w:r>
      <w:r w:rsidRPr="00F44CE2">
        <w:t>.</w:t>
      </w:r>
      <w:r w:rsidR="009A33C9">
        <w:t xml:space="preserve"> </w:t>
      </w:r>
      <w:r w:rsidR="00A21260">
        <w:t>Figure</w:t>
      </w:r>
      <w:r w:rsidR="009A33C9">
        <w:t xml:space="preserve"> </w:t>
      </w:r>
      <w:r w:rsidR="008A6EB7">
        <w:t xml:space="preserve">9 </w:t>
      </w:r>
      <w:r w:rsidR="009A33C9">
        <w:t>illustrates the fiscal impact of the</w:t>
      </w:r>
      <w:r w:rsidR="00816BFF">
        <w:t xml:space="preserve"> retrospe</w:t>
      </w:r>
      <w:r w:rsidR="00816BFF" w:rsidRPr="00816BFF">
        <w:t>ctive</w:t>
      </w:r>
      <w:r w:rsidR="009A33C9" w:rsidRPr="00816BFF">
        <w:t xml:space="preserve"> program change</w:t>
      </w:r>
      <w:r w:rsidR="00816BFF" w:rsidRPr="00816BFF">
        <w:t xml:space="preserve">s </w:t>
      </w:r>
      <w:r w:rsidR="008F293C">
        <w:t xml:space="preserve">and is followed by a description </w:t>
      </w:r>
      <w:r w:rsidR="00470181">
        <w:t>the</w:t>
      </w:r>
      <w:r w:rsidR="008F293C">
        <w:t xml:space="preserve"> adjustment</w:t>
      </w:r>
      <w:r w:rsidR="00816BFF" w:rsidRPr="00816BFF">
        <w:t>.</w:t>
      </w:r>
      <w:r w:rsidR="008F293C">
        <w:t xml:space="preserve"> </w:t>
      </w:r>
    </w:p>
    <w:tbl>
      <w:tblPr>
        <w:tblW w:w="9756" w:type="dxa"/>
        <w:tblLayout w:type="fixed"/>
        <w:tblLook w:val="04A0" w:firstRow="1" w:lastRow="0" w:firstColumn="1" w:lastColumn="0" w:noHBand="0" w:noVBand="1"/>
      </w:tblPr>
      <w:tblGrid>
        <w:gridCol w:w="1980"/>
        <w:gridCol w:w="1296"/>
        <w:gridCol w:w="1296"/>
        <w:gridCol w:w="1296"/>
        <w:gridCol w:w="1296"/>
        <w:gridCol w:w="1296"/>
        <w:gridCol w:w="1260"/>
        <w:gridCol w:w="36"/>
      </w:tblGrid>
      <w:tr w:rsidR="0045035A" w:rsidRPr="00695CC9" w14:paraId="3126BD63" w14:textId="77777777" w:rsidTr="00920110">
        <w:trPr>
          <w:gridAfter w:val="1"/>
          <w:wAfter w:w="36" w:type="dxa"/>
          <w:trHeight w:val="255"/>
        </w:trPr>
        <w:tc>
          <w:tcPr>
            <w:tcW w:w="9720" w:type="dxa"/>
            <w:gridSpan w:val="7"/>
            <w:tcBorders>
              <w:top w:val="single" w:sz="4" w:space="0" w:color="E8E9E9"/>
              <w:left w:val="nil"/>
              <w:bottom w:val="nil"/>
              <w:right w:val="nil"/>
            </w:tcBorders>
            <w:shd w:val="clear" w:color="auto" w:fill="auto"/>
            <w:noWrap/>
            <w:vAlign w:val="bottom"/>
            <w:hideMark/>
          </w:tcPr>
          <w:p w14:paraId="10412C03" w14:textId="53FC2401" w:rsidR="0045035A" w:rsidRPr="008F293C" w:rsidRDefault="0045035A" w:rsidP="00A21260">
            <w:pPr>
              <w:spacing w:after="0" w:line="240" w:lineRule="auto"/>
              <w:rPr>
                <w:rFonts w:ascii="Arial" w:eastAsia="Times New Roman" w:hAnsi="Arial" w:cs="Arial"/>
                <w:b/>
                <w:bCs/>
                <w:color w:val="0081E3"/>
                <w:szCs w:val="18"/>
              </w:rPr>
            </w:pPr>
            <w:r w:rsidRPr="00A2494E">
              <w:rPr>
                <w:rFonts w:ascii="Arial" w:eastAsia="Times New Roman" w:hAnsi="Arial" w:cs="Arial"/>
                <w:b/>
                <w:bCs/>
                <w:color w:val="0081E3"/>
                <w:szCs w:val="18"/>
              </w:rPr>
              <w:t xml:space="preserve">FIGURE </w:t>
            </w:r>
            <w:r>
              <w:rPr>
                <w:rFonts w:ascii="Arial" w:eastAsia="Times New Roman" w:hAnsi="Arial" w:cs="Arial"/>
                <w:b/>
                <w:bCs/>
                <w:color w:val="0081E3"/>
                <w:szCs w:val="18"/>
              </w:rPr>
              <w:t>9</w:t>
            </w:r>
            <w:r w:rsidRPr="00A2494E">
              <w:rPr>
                <w:rFonts w:ascii="Arial" w:eastAsia="Times New Roman" w:hAnsi="Arial" w:cs="Arial"/>
                <w:b/>
                <w:bCs/>
                <w:color w:val="0081E3"/>
                <w:szCs w:val="18"/>
              </w:rPr>
              <w:t xml:space="preserve">: </w:t>
            </w:r>
            <w:r>
              <w:rPr>
                <w:rFonts w:ascii="Arial" w:eastAsia="Times New Roman" w:hAnsi="Arial" w:cs="Arial"/>
                <w:b/>
                <w:bCs/>
                <w:color w:val="0081E3"/>
                <w:szCs w:val="18"/>
              </w:rPr>
              <w:t>CALENDAR</w:t>
            </w:r>
            <w:r w:rsidRPr="009B6C89">
              <w:rPr>
                <w:rFonts w:ascii="Arial" w:eastAsia="Times New Roman" w:hAnsi="Arial" w:cs="Arial"/>
                <w:b/>
                <w:bCs/>
                <w:color w:val="0081E3"/>
                <w:szCs w:val="18"/>
              </w:rPr>
              <w:t xml:space="preserve"> YEAR</w:t>
            </w:r>
            <w:r w:rsidDel="00713C5F">
              <w:rPr>
                <w:rFonts w:ascii="Arial" w:eastAsia="Times New Roman" w:hAnsi="Arial" w:cs="Arial"/>
                <w:b/>
                <w:bCs/>
                <w:color w:val="0081E3"/>
                <w:szCs w:val="18"/>
              </w:rPr>
              <w:t xml:space="preserve"> </w:t>
            </w:r>
            <w:r w:rsidRPr="00A2494E">
              <w:rPr>
                <w:rFonts w:ascii="Arial" w:eastAsia="Times New Roman" w:hAnsi="Arial" w:cs="Arial"/>
                <w:b/>
                <w:bCs/>
                <w:color w:val="0081E3"/>
                <w:szCs w:val="18"/>
              </w:rPr>
              <w:t>2019 RETROSPECTIVE PROGRAM ADJUSTMENTS</w:t>
            </w:r>
          </w:p>
        </w:tc>
      </w:tr>
      <w:tr w:rsidR="00D62BB5" w:rsidRPr="00695CC9" w14:paraId="5FE58E04" w14:textId="77777777" w:rsidTr="00D37360">
        <w:trPr>
          <w:trHeight w:val="576"/>
        </w:trPr>
        <w:tc>
          <w:tcPr>
            <w:tcW w:w="1980" w:type="dxa"/>
            <w:tcBorders>
              <w:top w:val="nil"/>
              <w:left w:val="nil"/>
              <w:bottom w:val="single" w:sz="4" w:space="0" w:color="C6C9CA"/>
              <w:right w:val="nil"/>
            </w:tcBorders>
            <w:shd w:val="clear" w:color="auto" w:fill="auto"/>
            <w:vAlign w:val="bottom"/>
            <w:hideMark/>
          </w:tcPr>
          <w:p w14:paraId="5AFEB63D" w14:textId="293FC41F" w:rsidR="00D62BB5" w:rsidRPr="00A2494E" w:rsidRDefault="00D62BB5" w:rsidP="00D62BB5">
            <w:pPr>
              <w:spacing w:after="0" w:line="240" w:lineRule="auto"/>
              <w:rPr>
                <w:rFonts w:asciiTheme="majorHAnsi" w:eastAsia="Times New Roman" w:hAnsiTheme="majorHAnsi" w:cstheme="majorHAnsi"/>
                <w:b/>
                <w:bCs/>
                <w:color w:val="39414D"/>
                <w:sz w:val="16"/>
                <w:szCs w:val="16"/>
              </w:rPr>
            </w:pPr>
            <w:r w:rsidRPr="00A2494E">
              <w:rPr>
                <w:rFonts w:asciiTheme="majorHAnsi" w:hAnsiTheme="majorHAnsi" w:cstheme="majorHAnsi"/>
                <w:b/>
                <w:bCs/>
                <w:color w:val="39414D"/>
                <w:sz w:val="16"/>
                <w:szCs w:val="16"/>
              </w:rPr>
              <w:t>Program Change</w:t>
            </w:r>
          </w:p>
        </w:tc>
        <w:tc>
          <w:tcPr>
            <w:tcW w:w="1296" w:type="dxa"/>
            <w:tcBorders>
              <w:top w:val="nil"/>
              <w:left w:val="nil"/>
              <w:bottom w:val="single" w:sz="4" w:space="0" w:color="C6C9CA"/>
              <w:right w:val="nil"/>
            </w:tcBorders>
            <w:shd w:val="clear" w:color="auto" w:fill="auto"/>
            <w:vAlign w:val="bottom"/>
            <w:hideMark/>
          </w:tcPr>
          <w:p w14:paraId="78A22836" w14:textId="36A13C74" w:rsidR="00D62BB5" w:rsidRPr="00A2494E" w:rsidRDefault="00D62BB5" w:rsidP="00D62BB5">
            <w:pPr>
              <w:spacing w:after="0" w:line="240" w:lineRule="auto"/>
              <w:jc w:val="center"/>
              <w:rPr>
                <w:rFonts w:asciiTheme="majorHAnsi" w:eastAsia="Times New Roman" w:hAnsiTheme="majorHAnsi" w:cstheme="majorHAnsi"/>
                <w:b/>
                <w:bCs/>
                <w:color w:val="39414D"/>
                <w:sz w:val="16"/>
                <w:szCs w:val="16"/>
              </w:rPr>
            </w:pPr>
            <w:r w:rsidRPr="00A2494E">
              <w:rPr>
                <w:rFonts w:asciiTheme="majorHAnsi" w:hAnsiTheme="majorHAnsi" w:cstheme="majorHAnsi"/>
                <w:b/>
                <w:bCs/>
                <w:color w:val="39414D"/>
                <w:sz w:val="16"/>
                <w:szCs w:val="16"/>
              </w:rPr>
              <w:t>Category of Service Impacted</w:t>
            </w:r>
          </w:p>
        </w:tc>
        <w:tc>
          <w:tcPr>
            <w:tcW w:w="1296" w:type="dxa"/>
            <w:tcBorders>
              <w:top w:val="nil"/>
              <w:left w:val="nil"/>
              <w:bottom w:val="single" w:sz="4" w:space="0" w:color="C6C9CA"/>
              <w:right w:val="nil"/>
            </w:tcBorders>
            <w:shd w:val="clear" w:color="auto" w:fill="auto"/>
            <w:vAlign w:val="bottom"/>
            <w:hideMark/>
          </w:tcPr>
          <w:p w14:paraId="7FED8897" w14:textId="34566C03" w:rsidR="00D62BB5" w:rsidRPr="00D62BB5" w:rsidRDefault="00D62BB5">
            <w:pPr>
              <w:spacing w:after="0" w:line="240" w:lineRule="auto"/>
              <w:jc w:val="center"/>
              <w:rPr>
                <w:rFonts w:asciiTheme="majorHAnsi" w:eastAsia="Times New Roman" w:hAnsiTheme="majorHAnsi" w:cstheme="majorHAnsi"/>
                <w:b/>
                <w:bCs/>
                <w:color w:val="39414D"/>
                <w:sz w:val="16"/>
                <w:szCs w:val="16"/>
              </w:rPr>
            </w:pPr>
            <w:r w:rsidRPr="00D37360">
              <w:rPr>
                <w:rFonts w:ascii="Arial" w:hAnsi="Arial" w:cs="Arial"/>
                <w:b/>
                <w:bCs/>
                <w:color w:val="39414D"/>
                <w:sz w:val="16"/>
                <w:szCs w:val="16"/>
              </w:rPr>
              <w:t>% Impact</w:t>
            </w:r>
            <w:r w:rsidRPr="00D37360">
              <w:rPr>
                <w:rFonts w:ascii="Arial" w:hAnsi="Arial" w:cs="Arial"/>
                <w:b/>
                <w:bCs/>
                <w:color w:val="39414D"/>
                <w:sz w:val="16"/>
                <w:szCs w:val="16"/>
              </w:rPr>
              <w:br/>
              <w:t>RIte Care</w:t>
            </w:r>
          </w:p>
        </w:tc>
        <w:tc>
          <w:tcPr>
            <w:tcW w:w="1296" w:type="dxa"/>
            <w:tcBorders>
              <w:top w:val="nil"/>
              <w:left w:val="nil"/>
              <w:bottom w:val="single" w:sz="4" w:space="0" w:color="C6C9CA"/>
              <w:right w:val="nil"/>
            </w:tcBorders>
            <w:shd w:val="clear" w:color="auto" w:fill="auto"/>
            <w:vAlign w:val="bottom"/>
            <w:hideMark/>
          </w:tcPr>
          <w:p w14:paraId="569DF520" w14:textId="727A7D89" w:rsidR="00D62BB5" w:rsidRPr="00D62BB5" w:rsidRDefault="00D62BB5">
            <w:pPr>
              <w:spacing w:after="0" w:line="240" w:lineRule="auto"/>
              <w:jc w:val="center"/>
              <w:rPr>
                <w:rFonts w:asciiTheme="majorHAnsi" w:eastAsia="Times New Roman" w:hAnsiTheme="majorHAnsi" w:cstheme="majorHAnsi"/>
                <w:b/>
                <w:bCs/>
                <w:color w:val="39414D"/>
                <w:sz w:val="16"/>
                <w:szCs w:val="16"/>
              </w:rPr>
            </w:pPr>
            <w:r w:rsidRPr="00D37360">
              <w:rPr>
                <w:rFonts w:ascii="Arial" w:hAnsi="Arial" w:cs="Arial"/>
                <w:b/>
                <w:bCs/>
                <w:color w:val="39414D"/>
                <w:sz w:val="16"/>
                <w:szCs w:val="16"/>
              </w:rPr>
              <w:t>% Impact</w:t>
            </w:r>
            <w:r w:rsidRPr="00D37360">
              <w:rPr>
                <w:rFonts w:ascii="Arial" w:hAnsi="Arial" w:cs="Arial"/>
                <w:b/>
                <w:bCs/>
                <w:color w:val="39414D"/>
                <w:sz w:val="16"/>
                <w:szCs w:val="16"/>
              </w:rPr>
              <w:br/>
              <w:t>CSHCN</w:t>
            </w:r>
          </w:p>
        </w:tc>
        <w:tc>
          <w:tcPr>
            <w:tcW w:w="1296" w:type="dxa"/>
            <w:tcBorders>
              <w:top w:val="nil"/>
              <w:left w:val="nil"/>
              <w:bottom w:val="single" w:sz="4" w:space="0" w:color="C6C9CA"/>
              <w:right w:val="nil"/>
            </w:tcBorders>
            <w:shd w:val="clear" w:color="auto" w:fill="auto"/>
            <w:vAlign w:val="bottom"/>
            <w:hideMark/>
          </w:tcPr>
          <w:p w14:paraId="04D1B89A" w14:textId="718AB664" w:rsidR="00D62BB5" w:rsidRPr="0045035A" w:rsidRDefault="00D62BB5" w:rsidP="00D62BB5">
            <w:pPr>
              <w:spacing w:after="0" w:line="240" w:lineRule="auto"/>
              <w:jc w:val="center"/>
              <w:rPr>
                <w:rFonts w:asciiTheme="majorHAnsi" w:eastAsia="Times New Roman" w:hAnsiTheme="majorHAnsi" w:cstheme="majorHAnsi"/>
                <w:b/>
                <w:bCs/>
                <w:color w:val="39414D"/>
                <w:sz w:val="16"/>
                <w:szCs w:val="16"/>
              </w:rPr>
            </w:pPr>
            <w:r w:rsidRPr="00920110">
              <w:rPr>
                <w:rFonts w:ascii="Arial" w:hAnsi="Arial" w:cs="Arial"/>
                <w:b/>
                <w:bCs/>
                <w:color w:val="39414D"/>
                <w:sz w:val="16"/>
                <w:szCs w:val="16"/>
              </w:rPr>
              <w:t>% Impact</w:t>
            </w:r>
            <w:r w:rsidRPr="00920110">
              <w:rPr>
                <w:rFonts w:ascii="Arial" w:hAnsi="Arial" w:cs="Arial"/>
                <w:b/>
                <w:bCs/>
                <w:color w:val="39414D"/>
                <w:sz w:val="16"/>
                <w:szCs w:val="16"/>
              </w:rPr>
              <w:br/>
              <w:t>Medicaid Expansion</w:t>
            </w:r>
          </w:p>
        </w:tc>
        <w:tc>
          <w:tcPr>
            <w:tcW w:w="1296" w:type="dxa"/>
            <w:tcBorders>
              <w:top w:val="nil"/>
              <w:left w:val="nil"/>
              <w:bottom w:val="single" w:sz="4" w:space="0" w:color="C6C9CA"/>
              <w:right w:val="nil"/>
            </w:tcBorders>
            <w:shd w:val="clear" w:color="auto" w:fill="auto"/>
            <w:vAlign w:val="bottom"/>
            <w:hideMark/>
          </w:tcPr>
          <w:p w14:paraId="7CA3959A" w14:textId="71841D00" w:rsidR="00D62BB5" w:rsidRPr="0045035A" w:rsidRDefault="00D62BB5" w:rsidP="00D62BB5">
            <w:pPr>
              <w:spacing w:after="0" w:line="240" w:lineRule="auto"/>
              <w:jc w:val="center"/>
              <w:rPr>
                <w:rFonts w:asciiTheme="majorHAnsi" w:eastAsia="Times New Roman" w:hAnsiTheme="majorHAnsi" w:cstheme="majorHAnsi"/>
                <w:b/>
                <w:bCs/>
                <w:color w:val="39414D"/>
                <w:sz w:val="16"/>
                <w:szCs w:val="16"/>
              </w:rPr>
            </w:pPr>
            <w:r w:rsidRPr="00920110">
              <w:rPr>
                <w:rFonts w:ascii="Arial" w:hAnsi="Arial" w:cs="Arial"/>
                <w:b/>
                <w:bCs/>
                <w:color w:val="39414D"/>
                <w:sz w:val="16"/>
                <w:szCs w:val="16"/>
              </w:rPr>
              <w:t>% Impact</w:t>
            </w:r>
            <w:r w:rsidRPr="00920110">
              <w:rPr>
                <w:rFonts w:ascii="Arial" w:hAnsi="Arial" w:cs="Arial"/>
                <w:b/>
                <w:bCs/>
                <w:color w:val="39414D"/>
                <w:sz w:val="16"/>
                <w:szCs w:val="16"/>
              </w:rPr>
              <w:br/>
              <w:t>Rhody Health Partners</w:t>
            </w:r>
          </w:p>
        </w:tc>
        <w:tc>
          <w:tcPr>
            <w:tcW w:w="1296" w:type="dxa"/>
            <w:gridSpan w:val="2"/>
            <w:tcBorders>
              <w:top w:val="nil"/>
              <w:left w:val="nil"/>
              <w:bottom w:val="single" w:sz="4" w:space="0" w:color="C6C9CA"/>
              <w:right w:val="nil"/>
            </w:tcBorders>
            <w:shd w:val="clear" w:color="auto" w:fill="auto"/>
            <w:vAlign w:val="bottom"/>
            <w:hideMark/>
          </w:tcPr>
          <w:p w14:paraId="2AAF34D9" w14:textId="6D6D36E4" w:rsidR="00D62BB5" w:rsidRPr="0045035A" w:rsidRDefault="00D62BB5" w:rsidP="00D62BB5">
            <w:pPr>
              <w:spacing w:after="0" w:line="240" w:lineRule="auto"/>
              <w:jc w:val="center"/>
              <w:rPr>
                <w:rFonts w:asciiTheme="majorHAnsi" w:eastAsia="Times New Roman" w:hAnsiTheme="majorHAnsi" w:cstheme="majorHAnsi"/>
                <w:b/>
                <w:bCs/>
                <w:color w:val="39414D"/>
                <w:sz w:val="16"/>
                <w:szCs w:val="16"/>
              </w:rPr>
            </w:pPr>
            <w:r w:rsidRPr="00920110">
              <w:rPr>
                <w:rFonts w:ascii="Arial" w:hAnsi="Arial" w:cs="Arial"/>
                <w:b/>
                <w:bCs/>
                <w:color w:val="39414D"/>
                <w:sz w:val="16"/>
                <w:szCs w:val="16"/>
              </w:rPr>
              <w:t>% Impact</w:t>
            </w:r>
            <w:r w:rsidRPr="00920110">
              <w:rPr>
                <w:rFonts w:ascii="Arial" w:hAnsi="Arial" w:cs="Arial"/>
                <w:b/>
                <w:bCs/>
                <w:color w:val="39414D"/>
                <w:sz w:val="16"/>
                <w:szCs w:val="16"/>
              </w:rPr>
              <w:br/>
              <w:t>SOBRA</w:t>
            </w:r>
          </w:p>
        </w:tc>
      </w:tr>
      <w:tr w:rsidR="00D62BB5" w:rsidRPr="00695CC9" w14:paraId="15568668" w14:textId="77777777" w:rsidTr="00920110">
        <w:trPr>
          <w:trHeight w:val="255"/>
        </w:trPr>
        <w:tc>
          <w:tcPr>
            <w:tcW w:w="1980" w:type="dxa"/>
            <w:tcBorders>
              <w:top w:val="nil"/>
              <w:left w:val="nil"/>
              <w:bottom w:val="nil"/>
              <w:right w:val="nil"/>
            </w:tcBorders>
            <w:shd w:val="clear" w:color="auto" w:fill="auto"/>
            <w:noWrap/>
            <w:vAlign w:val="center"/>
            <w:hideMark/>
          </w:tcPr>
          <w:p w14:paraId="3B66E44E" w14:textId="76FB3B2E" w:rsidR="00D62BB5" w:rsidRPr="002829E2" w:rsidRDefault="00D62BB5" w:rsidP="00D62BB5">
            <w:pPr>
              <w:spacing w:after="0" w:line="240" w:lineRule="auto"/>
              <w:rPr>
                <w:rFonts w:asciiTheme="majorHAnsi" w:eastAsia="Times New Roman" w:hAnsiTheme="majorHAnsi" w:cstheme="majorHAnsi"/>
                <w:color w:val="39414D"/>
                <w:sz w:val="16"/>
                <w:szCs w:val="16"/>
              </w:rPr>
            </w:pPr>
            <w:r w:rsidRPr="00AA106F">
              <w:rPr>
                <w:rFonts w:ascii="Arial" w:hAnsi="Arial" w:cs="Arial"/>
                <w:color w:val="39414D"/>
                <w:sz w:val="16"/>
                <w:szCs w:val="16"/>
              </w:rPr>
              <w:t>Recoveries Adjustment</w:t>
            </w:r>
          </w:p>
        </w:tc>
        <w:tc>
          <w:tcPr>
            <w:tcW w:w="1296" w:type="dxa"/>
            <w:tcBorders>
              <w:top w:val="nil"/>
              <w:left w:val="nil"/>
              <w:bottom w:val="nil"/>
              <w:right w:val="nil"/>
            </w:tcBorders>
            <w:shd w:val="clear" w:color="auto" w:fill="auto"/>
            <w:noWrap/>
            <w:vAlign w:val="center"/>
            <w:hideMark/>
          </w:tcPr>
          <w:p w14:paraId="75515BED" w14:textId="1F1A593C" w:rsidR="00D62BB5" w:rsidRPr="002829E2" w:rsidRDefault="00D62BB5" w:rsidP="00D62BB5">
            <w:pPr>
              <w:spacing w:after="0" w:line="240" w:lineRule="auto"/>
              <w:jc w:val="center"/>
              <w:rPr>
                <w:rFonts w:asciiTheme="majorHAnsi" w:eastAsia="Times New Roman" w:hAnsiTheme="majorHAnsi" w:cstheme="majorHAnsi"/>
                <w:color w:val="39414D"/>
                <w:sz w:val="16"/>
                <w:szCs w:val="16"/>
              </w:rPr>
            </w:pPr>
            <w:r w:rsidRPr="00AA106F">
              <w:rPr>
                <w:rFonts w:ascii="Arial" w:hAnsi="Arial" w:cs="Arial"/>
                <w:color w:val="39414D"/>
                <w:sz w:val="16"/>
                <w:szCs w:val="16"/>
              </w:rPr>
              <w:t>All</w:t>
            </w:r>
          </w:p>
        </w:tc>
        <w:tc>
          <w:tcPr>
            <w:tcW w:w="1296" w:type="dxa"/>
            <w:tcBorders>
              <w:top w:val="nil"/>
              <w:left w:val="nil"/>
              <w:bottom w:val="nil"/>
              <w:right w:val="nil"/>
            </w:tcBorders>
            <w:shd w:val="clear" w:color="auto" w:fill="auto"/>
            <w:noWrap/>
            <w:vAlign w:val="center"/>
            <w:hideMark/>
          </w:tcPr>
          <w:p w14:paraId="4D4079E6" w14:textId="602EF7CA" w:rsidR="00D62BB5" w:rsidRPr="00D62BB5" w:rsidRDefault="00D62BB5" w:rsidP="00D62BB5">
            <w:pPr>
              <w:spacing w:after="0" w:line="240" w:lineRule="auto"/>
              <w:jc w:val="center"/>
              <w:rPr>
                <w:rFonts w:asciiTheme="majorHAnsi" w:eastAsia="Times New Roman" w:hAnsiTheme="majorHAnsi" w:cstheme="majorHAnsi"/>
                <w:color w:val="39414D"/>
                <w:sz w:val="16"/>
                <w:szCs w:val="16"/>
              </w:rPr>
            </w:pPr>
            <w:r w:rsidRPr="00D37360">
              <w:rPr>
                <w:rFonts w:ascii="Arial" w:hAnsi="Arial" w:cs="Arial"/>
                <w:color w:val="39414D"/>
                <w:sz w:val="16"/>
                <w:szCs w:val="16"/>
              </w:rPr>
              <w:t>(1.3%)</w:t>
            </w:r>
          </w:p>
        </w:tc>
        <w:tc>
          <w:tcPr>
            <w:tcW w:w="1296" w:type="dxa"/>
            <w:tcBorders>
              <w:top w:val="nil"/>
              <w:left w:val="nil"/>
              <w:bottom w:val="nil"/>
              <w:right w:val="nil"/>
            </w:tcBorders>
            <w:shd w:val="clear" w:color="auto" w:fill="auto"/>
            <w:noWrap/>
            <w:vAlign w:val="center"/>
            <w:hideMark/>
          </w:tcPr>
          <w:p w14:paraId="3D914E7D" w14:textId="04E4E684" w:rsidR="00D62BB5" w:rsidRPr="00D62BB5" w:rsidRDefault="00D62BB5" w:rsidP="00D62BB5">
            <w:pPr>
              <w:spacing w:after="0" w:line="240" w:lineRule="auto"/>
              <w:jc w:val="center"/>
              <w:rPr>
                <w:rFonts w:asciiTheme="majorHAnsi" w:eastAsia="Times New Roman" w:hAnsiTheme="majorHAnsi" w:cstheme="majorHAnsi"/>
                <w:color w:val="39414D"/>
                <w:sz w:val="16"/>
                <w:szCs w:val="16"/>
              </w:rPr>
            </w:pPr>
            <w:r w:rsidRPr="00D37360">
              <w:rPr>
                <w:rFonts w:ascii="Arial" w:hAnsi="Arial" w:cs="Arial"/>
                <w:color w:val="39414D"/>
                <w:sz w:val="16"/>
                <w:szCs w:val="16"/>
              </w:rPr>
              <w:t>(0.6%)</w:t>
            </w:r>
          </w:p>
        </w:tc>
        <w:tc>
          <w:tcPr>
            <w:tcW w:w="1296" w:type="dxa"/>
            <w:tcBorders>
              <w:top w:val="nil"/>
              <w:left w:val="nil"/>
              <w:bottom w:val="nil"/>
              <w:right w:val="nil"/>
            </w:tcBorders>
            <w:shd w:val="clear" w:color="auto" w:fill="auto"/>
            <w:noWrap/>
            <w:vAlign w:val="center"/>
            <w:hideMark/>
          </w:tcPr>
          <w:p w14:paraId="0A7CD466" w14:textId="5C6BF92B" w:rsidR="00D62BB5" w:rsidRPr="00D62BB5" w:rsidRDefault="00D62BB5" w:rsidP="00D62BB5">
            <w:pPr>
              <w:spacing w:after="0" w:line="240" w:lineRule="auto"/>
              <w:jc w:val="center"/>
              <w:rPr>
                <w:rFonts w:asciiTheme="majorHAnsi" w:eastAsia="Times New Roman" w:hAnsiTheme="majorHAnsi" w:cstheme="majorHAnsi"/>
                <w:color w:val="39414D"/>
                <w:sz w:val="16"/>
                <w:szCs w:val="16"/>
              </w:rPr>
            </w:pPr>
            <w:r w:rsidRPr="00D37360">
              <w:rPr>
                <w:rFonts w:ascii="Arial" w:hAnsi="Arial" w:cs="Arial"/>
                <w:color w:val="39414D"/>
                <w:sz w:val="16"/>
                <w:szCs w:val="16"/>
              </w:rPr>
              <w:t>(1.7%)</w:t>
            </w:r>
          </w:p>
        </w:tc>
        <w:tc>
          <w:tcPr>
            <w:tcW w:w="1296" w:type="dxa"/>
            <w:tcBorders>
              <w:top w:val="nil"/>
              <w:left w:val="nil"/>
              <w:bottom w:val="nil"/>
              <w:right w:val="nil"/>
            </w:tcBorders>
            <w:shd w:val="clear" w:color="auto" w:fill="auto"/>
            <w:noWrap/>
            <w:vAlign w:val="center"/>
            <w:hideMark/>
          </w:tcPr>
          <w:p w14:paraId="71ED0F5D" w14:textId="3542CEB3" w:rsidR="00D62BB5" w:rsidRPr="00D62BB5" w:rsidRDefault="00D62BB5" w:rsidP="00D62BB5">
            <w:pPr>
              <w:spacing w:after="0" w:line="240" w:lineRule="auto"/>
              <w:jc w:val="center"/>
              <w:rPr>
                <w:rFonts w:asciiTheme="majorHAnsi" w:eastAsia="Times New Roman" w:hAnsiTheme="majorHAnsi" w:cstheme="majorHAnsi"/>
                <w:color w:val="39414D"/>
                <w:sz w:val="16"/>
                <w:szCs w:val="16"/>
              </w:rPr>
            </w:pPr>
            <w:r w:rsidRPr="00D37360">
              <w:rPr>
                <w:rFonts w:ascii="Arial" w:hAnsi="Arial" w:cs="Arial"/>
                <w:color w:val="39414D"/>
                <w:sz w:val="16"/>
                <w:szCs w:val="16"/>
              </w:rPr>
              <w:t>(1.5%)</w:t>
            </w:r>
          </w:p>
        </w:tc>
        <w:tc>
          <w:tcPr>
            <w:tcW w:w="1296" w:type="dxa"/>
            <w:gridSpan w:val="2"/>
            <w:tcBorders>
              <w:top w:val="nil"/>
              <w:left w:val="nil"/>
              <w:bottom w:val="nil"/>
              <w:right w:val="nil"/>
            </w:tcBorders>
            <w:shd w:val="clear" w:color="auto" w:fill="auto"/>
            <w:noWrap/>
            <w:vAlign w:val="center"/>
            <w:hideMark/>
          </w:tcPr>
          <w:p w14:paraId="2E735979" w14:textId="2DA15EC0" w:rsidR="00D62BB5" w:rsidRPr="00D62BB5" w:rsidRDefault="00D62BB5" w:rsidP="00D62BB5">
            <w:pPr>
              <w:spacing w:after="0" w:line="240" w:lineRule="auto"/>
              <w:jc w:val="center"/>
              <w:rPr>
                <w:rFonts w:asciiTheme="majorHAnsi" w:eastAsia="Times New Roman" w:hAnsiTheme="majorHAnsi" w:cstheme="majorHAnsi"/>
                <w:color w:val="39414D"/>
                <w:sz w:val="16"/>
                <w:szCs w:val="16"/>
              </w:rPr>
            </w:pPr>
            <w:r w:rsidRPr="00D37360">
              <w:rPr>
                <w:rFonts w:ascii="Arial" w:hAnsi="Arial" w:cs="Arial"/>
                <w:color w:val="39414D"/>
                <w:sz w:val="16"/>
                <w:szCs w:val="16"/>
              </w:rPr>
              <w:t>(0.5%)</w:t>
            </w:r>
          </w:p>
        </w:tc>
      </w:tr>
    </w:tbl>
    <w:p w14:paraId="2A03CD39" w14:textId="66092180" w:rsidR="008F4601" w:rsidRPr="00920110" w:rsidRDefault="00456286" w:rsidP="00920110">
      <w:pPr>
        <w:rPr>
          <w:rFonts w:ascii="Arial" w:eastAsia="Times New Roman" w:hAnsi="Arial" w:cs="Arial"/>
          <w:color w:val="727A7D"/>
          <w:sz w:val="16"/>
          <w:szCs w:val="16"/>
        </w:rPr>
      </w:pPr>
      <w:r w:rsidRPr="00920110">
        <w:rPr>
          <w:rFonts w:ascii="Arial" w:eastAsia="Times New Roman" w:hAnsi="Arial" w:cs="Arial"/>
          <w:color w:val="727A7D"/>
          <w:sz w:val="16"/>
          <w:szCs w:val="16"/>
        </w:rPr>
        <w:t>Note: The percentages illustrated are specific to the category of service impacted.</w:t>
      </w:r>
    </w:p>
    <w:p w14:paraId="54204E1F" w14:textId="5FDCE1F1" w:rsidR="00A2494E" w:rsidRDefault="00A2494E" w:rsidP="00304B08">
      <w:pPr>
        <w:pStyle w:val="RRNumberedBullet1"/>
        <w:numPr>
          <w:ilvl w:val="0"/>
          <w:numId w:val="50"/>
        </w:numPr>
        <w:spacing w:before="60"/>
        <w:ind w:left="360"/>
        <w:jc w:val="both"/>
        <w:rPr>
          <w:b/>
        </w:rPr>
      </w:pPr>
      <w:r w:rsidRPr="00A2494E">
        <w:rPr>
          <w:b/>
        </w:rPr>
        <w:t>Recoveries Adjustment</w:t>
      </w:r>
      <w:r w:rsidR="003D38DB" w:rsidRPr="00A2494E">
        <w:rPr>
          <w:b/>
        </w:rPr>
        <w:t xml:space="preserve">: </w:t>
      </w:r>
      <w:r w:rsidR="002332F3">
        <w:t xml:space="preserve">The </w:t>
      </w:r>
      <w:r w:rsidR="008A6EB7">
        <w:t>CY</w:t>
      </w:r>
      <w:r w:rsidR="002332F3">
        <w:t xml:space="preserve"> 2019 base data was reduced for third-part</w:t>
      </w:r>
      <w:r w:rsidR="002E2516">
        <w:t>y</w:t>
      </w:r>
      <w:r w:rsidR="002332F3">
        <w:t xml:space="preserve"> liability recoveries and pharmacy rebate recoveries</w:t>
      </w:r>
      <w:r w:rsidR="003D38DB">
        <w:t>.</w:t>
      </w:r>
      <w:bookmarkEnd w:id="164"/>
      <w:bookmarkEnd w:id="165"/>
      <w:r w:rsidR="002E2516">
        <w:t xml:space="preserve"> These recovery types were developed as targeted amounts and therefore not removed during the base data development process. These adjustments were developed with consideration of historical experience as well as the interaction with related adjustments, such as managed care </w:t>
      </w:r>
      <w:r w:rsidR="007A0D52">
        <w:t xml:space="preserve">efficiencies </w:t>
      </w:r>
      <w:r w:rsidR="002E2516">
        <w:t xml:space="preserve">and targeted pharmacy reimbursement adjustments. </w:t>
      </w:r>
    </w:p>
    <w:p w14:paraId="32CFB8B8" w14:textId="0CEB45F3" w:rsidR="003533B5" w:rsidRPr="003533B5" w:rsidRDefault="003533B5" w:rsidP="00AA106F">
      <w:pPr>
        <w:pStyle w:val="RRNumberedBullet1"/>
        <w:numPr>
          <w:ilvl w:val="0"/>
          <w:numId w:val="0"/>
        </w:numPr>
        <w:spacing w:before="60"/>
        <w:jc w:val="both"/>
        <w:rPr>
          <w:bCs/>
        </w:rPr>
      </w:pPr>
      <w:r w:rsidRPr="00AA106F">
        <w:rPr>
          <w:bCs/>
        </w:rPr>
        <w:t>Further detail of the impact of the</w:t>
      </w:r>
      <w:r w:rsidR="007A0D52">
        <w:rPr>
          <w:bCs/>
        </w:rPr>
        <w:t xml:space="preserve"> recoveries</w:t>
      </w:r>
      <w:r w:rsidRPr="00AA106F">
        <w:rPr>
          <w:bCs/>
        </w:rPr>
        <w:t xml:space="preserve"> adjustments on the </w:t>
      </w:r>
      <w:r w:rsidR="008A6EB7">
        <w:rPr>
          <w:bCs/>
        </w:rPr>
        <w:t>CY</w:t>
      </w:r>
      <w:r w:rsidRPr="00AA106F">
        <w:rPr>
          <w:bCs/>
        </w:rPr>
        <w:t xml:space="preserve"> 2019 experience is illustrated in Appendix 2.</w:t>
      </w:r>
    </w:p>
    <w:p w14:paraId="2C1C4D8F" w14:textId="1758038F" w:rsidR="00C57C2E" w:rsidRDefault="00C57C2E" w:rsidP="00622097">
      <w:pPr>
        <w:pStyle w:val="Heading5"/>
        <w:jc w:val="both"/>
      </w:pPr>
      <w:r>
        <w:t>Exclusion of payments or services from the data</w:t>
      </w:r>
    </w:p>
    <w:p w14:paraId="5B850A25" w14:textId="702C25A5" w:rsidR="00041418" w:rsidRPr="00EA2254" w:rsidRDefault="008F293C" w:rsidP="00622097">
      <w:pPr>
        <w:jc w:val="both"/>
      </w:pPr>
      <w:r>
        <w:t xml:space="preserve">Non-state plan services </w:t>
      </w:r>
      <w:r w:rsidR="006A75FA">
        <w:t>were</w:t>
      </w:r>
      <w:r>
        <w:t xml:space="preserve"> excluded from the base data</w:t>
      </w:r>
      <w:r w:rsidR="00196973">
        <w:t>.</w:t>
      </w:r>
      <w:r>
        <w:t xml:space="preserve"> </w:t>
      </w:r>
      <w:r w:rsidR="0034654D">
        <w:t>The MCOs report non-state plan expenditures separately from state plan services in the FDCR submissions.</w:t>
      </w:r>
    </w:p>
    <w:p w14:paraId="49691233" w14:textId="0957D1FC" w:rsidR="00541C09" w:rsidRPr="00C57C2E" w:rsidRDefault="00196973" w:rsidP="00622097">
      <w:pPr>
        <w:pStyle w:val="RRBody"/>
        <w:jc w:val="both"/>
      </w:pPr>
      <w:r>
        <w:t xml:space="preserve"> </w:t>
      </w:r>
      <w:bookmarkStart w:id="166" w:name="_Toc475969312"/>
      <w:bookmarkStart w:id="167" w:name="_Toc504389025"/>
      <w:r w:rsidR="00541C09" w:rsidRPr="00C57C2E">
        <w:br w:type="page"/>
      </w:r>
    </w:p>
    <w:p w14:paraId="5EEC1DDF" w14:textId="62780589" w:rsidR="00CE2634" w:rsidRPr="001D7F4A" w:rsidRDefault="00CE2634" w:rsidP="00622097">
      <w:pPr>
        <w:pStyle w:val="Heading2"/>
        <w:jc w:val="both"/>
      </w:pPr>
      <w:bookmarkStart w:id="168" w:name="_Toc8985007"/>
      <w:bookmarkStart w:id="169" w:name="_Toc100260703"/>
      <w:r w:rsidRPr="001D7F4A">
        <w:lastRenderedPageBreak/>
        <w:t>Projected benefit cost and trends</w:t>
      </w:r>
      <w:bookmarkEnd w:id="166"/>
      <w:bookmarkEnd w:id="167"/>
      <w:bookmarkEnd w:id="168"/>
      <w:bookmarkEnd w:id="169"/>
    </w:p>
    <w:p w14:paraId="2342CAB5" w14:textId="2C5A8371" w:rsidR="00CE2634" w:rsidRPr="00541C09" w:rsidRDefault="00ED0297" w:rsidP="00622097">
      <w:pPr>
        <w:jc w:val="both"/>
      </w:pPr>
      <w:r>
        <w:t>This</w:t>
      </w:r>
      <w:r w:rsidRPr="00ED0297">
        <w:t xml:space="preserve"> section provides information on the development of projected benefit costs in the capitation rates.</w:t>
      </w:r>
      <w:r w:rsidR="00CE2634" w:rsidRPr="00541C09">
        <w:t xml:space="preserve"> </w:t>
      </w:r>
      <w:r w:rsidR="00907850">
        <w:t xml:space="preserve">The development of the projected benefit costs </w:t>
      </w:r>
      <w:r w:rsidR="004404B1">
        <w:t>is</w:t>
      </w:r>
      <w:r w:rsidR="00907850">
        <w:t xml:space="preserve"> illustrated in Appendix </w:t>
      </w:r>
      <w:r w:rsidR="0082724D">
        <w:t>3</w:t>
      </w:r>
      <w:r w:rsidR="00907850">
        <w:t>.</w:t>
      </w:r>
    </w:p>
    <w:p w14:paraId="54673B4C" w14:textId="77777777" w:rsidR="00CE2634" w:rsidRPr="00D705D5" w:rsidRDefault="00CE2634" w:rsidP="00622097">
      <w:pPr>
        <w:pStyle w:val="Heading3"/>
        <w:numPr>
          <w:ilvl w:val="1"/>
          <w:numId w:val="29"/>
        </w:numPr>
        <w:jc w:val="both"/>
      </w:pPr>
      <w:bookmarkStart w:id="170" w:name="_Toc484701180"/>
      <w:bookmarkStart w:id="171" w:name="_Toc504389026"/>
      <w:bookmarkStart w:id="172" w:name="_Toc8985008"/>
      <w:bookmarkStart w:id="173" w:name="_Toc100260704"/>
      <w:bookmarkStart w:id="174" w:name="_Toc466028068"/>
      <w:r w:rsidRPr="00D705D5">
        <w:t>Rate Development Standards</w:t>
      </w:r>
      <w:bookmarkEnd w:id="170"/>
      <w:bookmarkEnd w:id="171"/>
      <w:bookmarkEnd w:id="172"/>
      <w:bookmarkEnd w:id="173"/>
    </w:p>
    <w:p w14:paraId="175ABFA2" w14:textId="3E0E55C9" w:rsidR="00CE2634" w:rsidRPr="0027065D" w:rsidRDefault="00CE2634" w:rsidP="00622097">
      <w:pPr>
        <w:pStyle w:val="Heading4"/>
      </w:pPr>
      <w:bookmarkStart w:id="175" w:name="_Toc484701181"/>
      <w:bookmarkStart w:id="176" w:name="_Toc504389027"/>
      <w:bookmarkStart w:id="177" w:name="_Toc8985009"/>
      <w:bookmarkStart w:id="178" w:name="_Toc100260705"/>
      <w:r w:rsidRPr="0027065D">
        <w:t>Final Capitation Rate Compliance</w:t>
      </w:r>
      <w:bookmarkEnd w:id="174"/>
      <w:bookmarkEnd w:id="175"/>
      <w:bookmarkEnd w:id="176"/>
      <w:bookmarkEnd w:id="177"/>
      <w:bookmarkEnd w:id="178"/>
      <w:r w:rsidRPr="0027065D">
        <w:t xml:space="preserve"> </w:t>
      </w:r>
    </w:p>
    <w:p w14:paraId="74C5A5C0" w14:textId="2C37DDD1" w:rsidR="001E21B5" w:rsidRPr="0076558C" w:rsidRDefault="007C2BF1" w:rsidP="00622097">
      <w:pPr>
        <w:pStyle w:val="RRBody"/>
        <w:jc w:val="both"/>
      </w:pPr>
      <w:r w:rsidRPr="0076558C">
        <w:t xml:space="preserve">The final capitation rates are in compliance with 42 CFR 438.4(b)(6) and are only based on services outlined in 42 CFR 438.3(c)(1)(ii) and 438.3(e). Non-state plan services provided by the </w:t>
      </w:r>
      <w:r w:rsidR="007B4D73" w:rsidRPr="0076558C">
        <w:t>MC</w:t>
      </w:r>
      <w:r w:rsidR="007B4D73">
        <w:t>O</w:t>
      </w:r>
      <w:r w:rsidR="007B4D73" w:rsidRPr="0076558C">
        <w:t xml:space="preserve">s </w:t>
      </w:r>
      <w:r w:rsidRPr="0076558C">
        <w:t>have been excluded from the capitation rate development process.</w:t>
      </w:r>
      <w:bookmarkStart w:id="179" w:name="_Toc484701183"/>
      <w:bookmarkStart w:id="180" w:name="_Toc504389029"/>
    </w:p>
    <w:p w14:paraId="5D74BC0C" w14:textId="77777777" w:rsidR="00CE2634" w:rsidRPr="00883B06" w:rsidRDefault="00CE2634" w:rsidP="00622097">
      <w:pPr>
        <w:pStyle w:val="Heading4"/>
      </w:pPr>
      <w:bookmarkStart w:id="181" w:name="_Toc8985011"/>
      <w:bookmarkStart w:id="182" w:name="_Toc100260706"/>
      <w:r w:rsidRPr="00883B06">
        <w:t>Benefit Cost Trend Assumptions</w:t>
      </w:r>
      <w:bookmarkEnd w:id="179"/>
      <w:bookmarkEnd w:id="180"/>
      <w:bookmarkEnd w:id="181"/>
      <w:bookmarkEnd w:id="182"/>
    </w:p>
    <w:p w14:paraId="625EF797" w14:textId="76455B83" w:rsidR="00CE2634" w:rsidRPr="00541C09" w:rsidRDefault="007C2BF1" w:rsidP="00622097">
      <w:pPr>
        <w:pStyle w:val="RRBody"/>
        <w:jc w:val="both"/>
        <w:rPr>
          <w:rFonts w:cstheme="minorHAnsi"/>
          <w:szCs w:val="18"/>
        </w:rPr>
      </w:pPr>
      <w:r>
        <w:t xml:space="preserve">Projected benefit cost trend assumptions </w:t>
      </w:r>
      <w:r w:rsidR="00B7108E">
        <w:t xml:space="preserve">were </w:t>
      </w:r>
      <w:r>
        <w:t xml:space="preserve">developed in accordance with generally accepted actuarial principles and practices. </w:t>
      </w:r>
      <w:r w:rsidRPr="0076558C">
        <w:t xml:space="preserve">The primary data used to develop benefit cost trends </w:t>
      </w:r>
      <w:r w:rsidR="00B7108E">
        <w:t>was</w:t>
      </w:r>
      <w:r w:rsidR="00B7108E" w:rsidRPr="0076558C">
        <w:t xml:space="preserve"> </w:t>
      </w:r>
      <w:r w:rsidRPr="0076558C">
        <w:t xml:space="preserve">historical claims and </w:t>
      </w:r>
      <w:r>
        <w:t>enrollment</w:t>
      </w:r>
      <w:r w:rsidRPr="0076558C">
        <w:t xml:space="preserve"> from the covered populations</w:t>
      </w:r>
      <w:r>
        <w:t xml:space="preserve">. </w:t>
      </w:r>
      <w:r w:rsidR="003E7616">
        <w:t>In addition</w:t>
      </w:r>
      <w:r>
        <w:t>, consideration of other factors and data sources appropriate for benefit cost trend development is further documented in Section I, item 3.B.iii</w:t>
      </w:r>
      <w:r w:rsidR="00ED0297" w:rsidRPr="00ED0297">
        <w:t>.</w:t>
      </w:r>
    </w:p>
    <w:p w14:paraId="704D56E3" w14:textId="77777777" w:rsidR="00CE2634" w:rsidRPr="00883B06" w:rsidRDefault="00CE2634" w:rsidP="00622097">
      <w:pPr>
        <w:pStyle w:val="Heading4"/>
      </w:pPr>
      <w:bookmarkStart w:id="183" w:name="_Toc484701184"/>
      <w:bookmarkStart w:id="184" w:name="_Toc504389030"/>
      <w:bookmarkStart w:id="185" w:name="_Toc8985012"/>
      <w:bookmarkStart w:id="186" w:name="_Toc100260707"/>
      <w:r w:rsidRPr="00883B06">
        <w:t>In</w:t>
      </w:r>
      <w:r w:rsidR="00FB6775">
        <w:t xml:space="preserve"> </w:t>
      </w:r>
      <w:r w:rsidRPr="00883B06">
        <w:t>Lieu</w:t>
      </w:r>
      <w:r w:rsidR="00FB6775">
        <w:t xml:space="preserve"> </w:t>
      </w:r>
      <w:r w:rsidRPr="00883B06">
        <w:t>Of Services</w:t>
      </w:r>
      <w:bookmarkEnd w:id="183"/>
      <w:bookmarkEnd w:id="184"/>
      <w:bookmarkEnd w:id="185"/>
      <w:bookmarkEnd w:id="186"/>
    </w:p>
    <w:p w14:paraId="099968A2" w14:textId="60F40F1C" w:rsidR="00CF0B4D" w:rsidRPr="00541C09" w:rsidRDefault="00F14C8A" w:rsidP="00622097">
      <w:pPr>
        <w:pStyle w:val="RRBody"/>
        <w:jc w:val="both"/>
        <w:rPr>
          <w:rFonts w:cstheme="minorHAnsi"/>
          <w:szCs w:val="18"/>
        </w:rPr>
      </w:pPr>
      <w:bookmarkStart w:id="187" w:name="_Toc484701186"/>
      <w:r>
        <w:t xml:space="preserve">The projected benefit costs include costs for in-lieu-of services defined at 42 CFR </w:t>
      </w:r>
      <w:r w:rsidRPr="00F14C8A">
        <w:t>§</w:t>
      </w:r>
      <w:r>
        <w:t xml:space="preserve"> 438.3(e)(2) using the utilization and unit costs of the in-lieu-of services. Further information on in-lieu-of services is provided in Section I, item 3.B.v</w:t>
      </w:r>
      <w:r w:rsidR="00717289">
        <w:t>.</w:t>
      </w:r>
    </w:p>
    <w:p w14:paraId="286A01C6" w14:textId="45390A6A" w:rsidR="00CE2634" w:rsidRPr="00883B06" w:rsidRDefault="00CE2634" w:rsidP="00622097">
      <w:pPr>
        <w:pStyle w:val="Heading4"/>
      </w:pPr>
      <w:bookmarkStart w:id="188" w:name="_Toc504389032"/>
      <w:bookmarkStart w:id="189" w:name="_Toc8985013"/>
      <w:bookmarkStart w:id="190" w:name="_Toc100260708"/>
      <w:r w:rsidRPr="00883B06">
        <w:t>IMDs as an in</w:t>
      </w:r>
      <w:r w:rsidR="00717289">
        <w:t>-</w:t>
      </w:r>
      <w:r w:rsidRPr="00883B06">
        <w:t>lieu</w:t>
      </w:r>
      <w:r w:rsidR="00717289">
        <w:t>-</w:t>
      </w:r>
      <w:r w:rsidRPr="00883B06">
        <w:t>of service provider</w:t>
      </w:r>
      <w:bookmarkEnd w:id="187"/>
      <w:bookmarkEnd w:id="188"/>
      <w:bookmarkEnd w:id="189"/>
      <w:bookmarkEnd w:id="190"/>
    </w:p>
    <w:p w14:paraId="21E6ABC4" w14:textId="0EF03B80" w:rsidR="00804A79" w:rsidRDefault="00717289" w:rsidP="00622097">
      <w:pPr>
        <w:pStyle w:val="RRBody"/>
        <w:jc w:val="both"/>
      </w:pPr>
      <w:r>
        <w:t xml:space="preserve">The Rhode Island Medicaid managed care program </w:t>
      </w:r>
      <w:r w:rsidR="00BF6E73">
        <w:t xml:space="preserve">primarily uses </w:t>
      </w:r>
      <w:r>
        <w:t xml:space="preserve">institutions of mental disease (IMDs) as an in-lieu-of service provider of substance use disorder services. </w:t>
      </w:r>
      <w:r w:rsidR="00CF0B4D">
        <w:t>EOHHS obtained a</w:t>
      </w:r>
      <w:r>
        <w:t>n 1115</w:t>
      </w:r>
      <w:r w:rsidR="00CF0B4D">
        <w:t xml:space="preserve"> waiver of the IMD exclusion in section 1905(a)(29)(B) of the Social Security Act to allow Medicaid coverage and federal financial participation for residential treatment services for Medicaid-eligible individuals who have substance use disorders </w:t>
      </w:r>
      <w:r w:rsidR="00D874AB">
        <w:t>(SUD)</w:t>
      </w:r>
      <w:r w:rsidR="00CF0B4D">
        <w:t xml:space="preserve"> and are participating in residential treatment programs with a census of 16 or more beds that are considered IMDs.</w:t>
      </w:r>
      <w:r>
        <w:t xml:space="preserve"> Since these services are covered under the 1115 waiver, the amount paid to the IMDs </w:t>
      </w:r>
      <w:r w:rsidR="00804A79">
        <w:t xml:space="preserve">for substance use disorder services </w:t>
      </w:r>
      <w:r>
        <w:t xml:space="preserve">in the base period was utilized for the SFY </w:t>
      </w:r>
      <w:r w:rsidR="0082724D">
        <w:t xml:space="preserve">2023 </w:t>
      </w:r>
      <w:r>
        <w:t>capitation rate development.</w:t>
      </w:r>
      <w:r w:rsidR="00342E1E">
        <w:t xml:space="preserve"> </w:t>
      </w:r>
    </w:p>
    <w:p w14:paraId="3A621042" w14:textId="5DD5EFC6" w:rsidR="00804A79" w:rsidRDefault="00804A79" w:rsidP="00622097">
      <w:pPr>
        <w:pStyle w:val="RRBody"/>
        <w:jc w:val="both"/>
      </w:pPr>
      <w:r>
        <w:t xml:space="preserve">EOHHS identified a limited number of psychiatric services provided </w:t>
      </w:r>
      <w:r w:rsidR="00B2289C">
        <w:t xml:space="preserve">to members ages 21 through 64 </w:t>
      </w:r>
      <w:r>
        <w:t>at a</w:t>
      </w:r>
      <w:r w:rsidR="00651448">
        <w:t>n</w:t>
      </w:r>
      <w:r>
        <w:t xml:space="preserve"> IMD. IMD psychiatric stays </w:t>
      </w:r>
      <w:r w:rsidR="00B2289C">
        <w:t xml:space="preserve">for these members </w:t>
      </w:r>
      <w:r>
        <w:t xml:space="preserve">up to 15 days per month were repriced to </w:t>
      </w:r>
      <w:r w:rsidR="00651448">
        <w:t xml:space="preserve">an </w:t>
      </w:r>
      <w:bookmarkStart w:id="191" w:name="_Hlk104754862"/>
      <w:r w:rsidR="00B2289C">
        <w:t>estimated</w:t>
      </w:r>
      <w:r>
        <w:t xml:space="preserve"> </w:t>
      </w:r>
      <w:bookmarkEnd w:id="191"/>
      <w:r>
        <w:t>per diem rate</w:t>
      </w:r>
      <w:r w:rsidR="00651448">
        <w:t xml:space="preserve"> through the use of the </w:t>
      </w:r>
      <w:r w:rsidR="00783C4E">
        <w:t xml:space="preserve">Rhode Island </w:t>
      </w:r>
      <w:r w:rsidR="00651448">
        <w:t>Medicaid APR-DRG Pricing Calculator</w:t>
      </w:r>
      <w:r w:rsidR="00651448">
        <w:rPr>
          <w:rStyle w:val="FootnoteReference"/>
        </w:rPr>
        <w:footnoteReference w:id="3"/>
      </w:r>
      <w:r>
        <w:t xml:space="preserve">. Member months and services incurred during psychiatric IMD stays exceeding 15 days in a month (including non-IMD expenditures) were removed from the </w:t>
      </w:r>
      <w:r w:rsidR="008F2D9F">
        <w:t xml:space="preserve">capitation </w:t>
      </w:r>
      <w:r>
        <w:t xml:space="preserve">rate </w:t>
      </w:r>
      <w:r w:rsidR="008F2D9F">
        <w:t xml:space="preserve">development </w:t>
      </w:r>
      <w:r>
        <w:t>process.</w:t>
      </w:r>
      <w:r w:rsidR="008F2D9F">
        <w:t xml:space="preserve"> </w:t>
      </w:r>
      <w:r>
        <w:t xml:space="preserve">The estimated impact of the repricing </w:t>
      </w:r>
      <w:r w:rsidR="008F2D9F">
        <w:t xml:space="preserve">psychiatric IMD </w:t>
      </w:r>
      <w:r>
        <w:t>stays less than 15 days and removing expenditures and exposures for stays over 15 days is illustrated in Figure 10 and applied in Appendix 3.</w:t>
      </w:r>
    </w:p>
    <w:p w14:paraId="299559FF" w14:textId="0012994B" w:rsidR="00CE2634" w:rsidRPr="00D705D5" w:rsidRDefault="00CE2634" w:rsidP="00622097">
      <w:pPr>
        <w:pStyle w:val="Heading3"/>
        <w:jc w:val="both"/>
      </w:pPr>
      <w:bookmarkStart w:id="192" w:name="_Toc484701187"/>
      <w:bookmarkStart w:id="193" w:name="_Toc504389033"/>
      <w:bookmarkStart w:id="194" w:name="_Toc8985014"/>
      <w:bookmarkStart w:id="195" w:name="_Toc100260709"/>
      <w:r w:rsidRPr="00D705D5">
        <w:t>Appropriate Documentation</w:t>
      </w:r>
      <w:bookmarkEnd w:id="192"/>
      <w:bookmarkEnd w:id="193"/>
      <w:bookmarkEnd w:id="194"/>
      <w:bookmarkEnd w:id="195"/>
    </w:p>
    <w:p w14:paraId="61AA4914" w14:textId="77777777" w:rsidR="00CE2634" w:rsidRPr="00883B06" w:rsidRDefault="00CE2634" w:rsidP="00622097">
      <w:pPr>
        <w:pStyle w:val="Heading4"/>
      </w:pPr>
      <w:bookmarkStart w:id="196" w:name="_Toc484701188"/>
      <w:bookmarkStart w:id="197" w:name="_Toc504389034"/>
      <w:bookmarkStart w:id="198" w:name="_Toc8985015"/>
      <w:bookmarkStart w:id="199" w:name="_Toc100260710"/>
      <w:r w:rsidRPr="00883B06">
        <w:t>Projected Benefit Costs</w:t>
      </w:r>
      <w:bookmarkEnd w:id="196"/>
      <w:bookmarkEnd w:id="197"/>
      <w:bookmarkEnd w:id="198"/>
      <w:bookmarkEnd w:id="199"/>
    </w:p>
    <w:p w14:paraId="5CC25C01" w14:textId="3F755AE5" w:rsidR="002D5AEE" w:rsidRDefault="00ED0297" w:rsidP="00622097">
      <w:pPr>
        <w:pStyle w:val="RRBody"/>
        <w:jc w:val="both"/>
      </w:pPr>
      <w:bookmarkStart w:id="200" w:name="_Toc484701189"/>
      <w:bookmarkStart w:id="201" w:name="_Toc504389035"/>
      <w:r w:rsidRPr="00ED0297">
        <w:t>This section provides the documentation of the methodology utilized to develop the benefit cost component of the capitation rates at the rate cell level.</w:t>
      </w:r>
    </w:p>
    <w:p w14:paraId="200A1FDE" w14:textId="411C89B0" w:rsidR="001E21B5" w:rsidRPr="002D5AEE" w:rsidRDefault="001E21B5" w:rsidP="00622097">
      <w:pPr>
        <w:pStyle w:val="RRBody"/>
        <w:jc w:val="both"/>
        <w:rPr>
          <w:sz w:val="2"/>
          <w:szCs w:val="6"/>
        </w:rPr>
      </w:pPr>
    </w:p>
    <w:p w14:paraId="2750871A" w14:textId="77777777" w:rsidR="00CE2634" w:rsidRPr="00883B06" w:rsidRDefault="00CE2634" w:rsidP="00622097">
      <w:pPr>
        <w:pStyle w:val="Heading4"/>
      </w:pPr>
      <w:bookmarkStart w:id="202" w:name="_Toc8985016"/>
      <w:bookmarkStart w:id="203" w:name="_Toc100260711"/>
      <w:r w:rsidRPr="00883B06">
        <w:t>Development of Projected Benefit Costs</w:t>
      </w:r>
      <w:bookmarkEnd w:id="200"/>
      <w:bookmarkEnd w:id="201"/>
      <w:bookmarkEnd w:id="202"/>
      <w:bookmarkEnd w:id="203"/>
    </w:p>
    <w:p w14:paraId="575BCA22" w14:textId="77777777" w:rsidR="00CE2634" w:rsidRPr="00DA62EE" w:rsidRDefault="00CE2634" w:rsidP="00622097">
      <w:pPr>
        <w:pStyle w:val="Heading5"/>
        <w:jc w:val="both"/>
      </w:pPr>
      <w:bookmarkStart w:id="204" w:name="_Toc466028071"/>
      <w:bookmarkStart w:id="205" w:name="_Toc484701190"/>
      <w:bookmarkStart w:id="206" w:name="_Toc504389036"/>
      <w:r w:rsidRPr="00DA62EE">
        <w:t>Description of the data, assumptions, and methodologies</w:t>
      </w:r>
      <w:bookmarkEnd w:id="204"/>
      <w:bookmarkEnd w:id="205"/>
      <w:bookmarkEnd w:id="206"/>
    </w:p>
    <w:p w14:paraId="77666472" w14:textId="3B52296D" w:rsidR="00CE2634" w:rsidRDefault="00342DA6" w:rsidP="00622097">
      <w:pPr>
        <w:pStyle w:val="RRBody"/>
        <w:jc w:val="both"/>
      </w:pPr>
      <w:r w:rsidRPr="00342DA6">
        <w:t>This section of the report outlines the data, assumptions, and methodology used to project the benefit costs to the rating period. The baseline benefit costs were developed using the following steps:</w:t>
      </w:r>
    </w:p>
    <w:p w14:paraId="5A0C1B41" w14:textId="4CD1A43D" w:rsidR="00F63AD9" w:rsidRDefault="00F63AD9" w:rsidP="00622097">
      <w:pPr>
        <w:pStyle w:val="RRBody"/>
        <w:jc w:val="both"/>
      </w:pPr>
    </w:p>
    <w:p w14:paraId="3D99BB29" w14:textId="6B4209E4" w:rsidR="00B92939" w:rsidRPr="007414F2" w:rsidRDefault="00B92939" w:rsidP="00622097">
      <w:pPr>
        <w:pStyle w:val="RRCalloutSmallMBlue"/>
        <w:spacing w:before="240"/>
        <w:jc w:val="both"/>
        <w:rPr>
          <w:b/>
        </w:rPr>
      </w:pPr>
      <w:r w:rsidRPr="007414F2">
        <w:rPr>
          <w:b/>
        </w:rPr>
        <w:lastRenderedPageBreak/>
        <w:t xml:space="preserve">Step 1: Create per member per month cost summaries </w:t>
      </w:r>
    </w:p>
    <w:p w14:paraId="3B3D9736" w14:textId="49E6E5C2" w:rsidR="006B6835" w:rsidRDefault="006B6835" w:rsidP="00622097">
      <w:pPr>
        <w:jc w:val="both"/>
      </w:pPr>
      <w:r w:rsidRPr="003D0595">
        <w:t>The capitation rates w</w:t>
      </w:r>
      <w:r>
        <w:t>ere</w:t>
      </w:r>
      <w:r w:rsidRPr="003D0595">
        <w:t xml:space="preserve"> developed from historical claims and enrollment data from the enrolled populations</w:t>
      </w:r>
      <w:r w:rsidR="00A558B4">
        <w:t xml:space="preserve"> as described in Section I.2.B.ii of this report. </w:t>
      </w:r>
    </w:p>
    <w:p w14:paraId="70465BF6" w14:textId="3EA008F5" w:rsidR="00B92939" w:rsidRPr="007414F2" w:rsidRDefault="00B92939" w:rsidP="00911EB9">
      <w:pPr>
        <w:pStyle w:val="RRCalloutSmallMBlue"/>
        <w:spacing w:before="120"/>
        <w:jc w:val="both"/>
        <w:rPr>
          <w:b/>
        </w:rPr>
      </w:pPr>
      <w:r w:rsidRPr="007414F2">
        <w:rPr>
          <w:b/>
        </w:rPr>
        <w:t>Step 2: Apply data adjustments</w:t>
      </w:r>
    </w:p>
    <w:p w14:paraId="5642ED05" w14:textId="29B54732" w:rsidR="00B92939" w:rsidRDefault="00B92939" w:rsidP="00622097">
      <w:pPr>
        <w:pStyle w:val="RRBody"/>
        <w:jc w:val="both"/>
      </w:pPr>
      <w:bookmarkStart w:id="207" w:name="_Hlk4704524"/>
      <w:r w:rsidRPr="003D0595">
        <w:t>We appl</w:t>
      </w:r>
      <w:r>
        <w:t>ied</w:t>
      </w:r>
      <w:r w:rsidRPr="003D0595">
        <w:t xml:space="preserve"> data </w:t>
      </w:r>
      <w:r>
        <w:t xml:space="preserve">adjustments to the </w:t>
      </w:r>
      <w:r w:rsidR="0082724D">
        <w:t>CY</w:t>
      </w:r>
      <w:r>
        <w:t xml:space="preserve"> </w:t>
      </w:r>
      <w:r w:rsidR="00B7048C">
        <w:t>2019</w:t>
      </w:r>
      <w:r w:rsidR="00B7048C" w:rsidRPr="003D0595">
        <w:t xml:space="preserve"> </w:t>
      </w:r>
      <w:r w:rsidRPr="003D0595">
        <w:t>incurred enc</w:t>
      </w:r>
      <w:r>
        <w:t xml:space="preserve">ounter data </w:t>
      </w:r>
      <w:bookmarkEnd w:id="207"/>
      <w:r>
        <w:t>as described in Section I.2.B.iii of this report. This includes historical program adjustments and data exclusions.</w:t>
      </w:r>
    </w:p>
    <w:p w14:paraId="1A652F04" w14:textId="66392D7F" w:rsidR="00B92939" w:rsidRPr="007414F2" w:rsidRDefault="00B92939" w:rsidP="00920110">
      <w:pPr>
        <w:pStyle w:val="RRCalloutSmallMBlue"/>
        <w:spacing w:before="120"/>
        <w:jc w:val="both"/>
        <w:rPr>
          <w:b/>
        </w:rPr>
      </w:pPr>
      <w:r>
        <w:rPr>
          <w:b/>
        </w:rPr>
        <w:t xml:space="preserve">Step </w:t>
      </w:r>
      <w:r w:rsidR="0045035A">
        <w:rPr>
          <w:b/>
        </w:rPr>
        <w:t>3</w:t>
      </w:r>
      <w:r>
        <w:rPr>
          <w:b/>
        </w:rPr>
        <w:t>:</w:t>
      </w:r>
      <w:r w:rsidRPr="007414F2">
        <w:rPr>
          <w:b/>
        </w:rPr>
        <w:t xml:space="preserve"> Adjust for prospective program and policy changes</w:t>
      </w:r>
      <w:r w:rsidR="004414B9">
        <w:rPr>
          <w:b/>
        </w:rPr>
        <w:t xml:space="preserve"> </w:t>
      </w:r>
    </w:p>
    <w:p w14:paraId="60F3380C" w14:textId="77AC319F" w:rsidR="00D0379C" w:rsidRDefault="00B92939" w:rsidP="007F6C0B">
      <w:pPr>
        <w:pStyle w:val="RRBody"/>
        <w:jc w:val="both"/>
      </w:pPr>
      <w:r>
        <w:t xml:space="preserve">The </w:t>
      </w:r>
      <w:r w:rsidR="0082724D">
        <w:t>CY</w:t>
      </w:r>
      <w:r>
        <w:t xml:space="preserve"> </w:t>
      </w:r>
      <w:r w:rsidR="009554AD">
        <w:t>2019</w:t>
      </w:r>
      <w:r w:rsidR="009554AD" w:rsidRPr="003D0595">
        <w:t xml:space="preserve"> </w:t>
      </w:r>
      <w:r w:rsidRPr="003D0595">
        <w:t xml:space="preserve">base experience </w:t>
      </w:r>
      <w:r w:rsidR="0040703E">
        <w:t>was</w:t>
      </w:r>
      <w:r w:rsidRPr="003D0595">
        <w:t xml:space="preserve"> adjusted for known policy and program changes that </w:t>
      </w:r>
      <w:r w:rsidR="00C356F5">
        <w:t xml:space="preserve">were implemented and </w:t>
      </w:r>
      <w:r w:rsidRPr="003D0595">
        <w:t>are expected to be im</w:t>
      </w:r>
      <w:r>
        <w:t xml:space="preserve">plemented </w:t>
      </w:r>
      <w:r w:rsidR="0082724D">
        <w:t>between the base data period and the rating period</w:t>
      </w:r>
      <w:r w:rsidRPr="003D0595">
        <w:t xml:space="preserve">. </w:t>
      </w:r>
    </w:p>
    <w:p w14:paraId="64A9EB3A" w14:textId="23F8932E" w:rsidR="0063749B" w:rsidRPr="007414F2" w:rsidRDefault="0063749B" w:rsidP="00911EB9">
      <w:pPr>
        <w:pStyle w:val="RRCalloutSmallMBlue"/>
        <w:spacing w:before="120"/>
        <w:jc w:val="both"/>
        <w:rPr>
          <w:b/>
        </w:rPr>
      </w:pPr>
      <w:r>
        <w:rPr>
          <w:b/>
        </w:rPr>
        <w:t xml:space="preserve">Step </w:t>
      </w:r>
      <w:r w:rsidR="0045035A">
        <w:rPr>
          <w:b/>
        </w:rPr>
        <w:t>4</w:t>
      </w:r>
      <w:r>
        <w:rPr>
          <w:b/>
        </w:rPr>
        <w:t>:</w:t>
      </w:r>
      <w:r w:rsidRPr="007414F2">
        <w:rPr>
          <w:b/>
        </w:rPr>
        <w:t xml:space="preserve"> Adjust for </w:t>
      </w:r>
      <w:r>
        <w:rPr>
          <w:b/>
        </w:rPr>
        <w:t>managed care efficiencies</w:t>
      </w:r>
    </w:p>
    <w:p w14:paraId="223CC8D3" w14:textId="5F8269A9" w:rsidR="009554AD" w:rsidRDefault="0063749B" w:rsidP="00622097">
      <w:pPr>
        <w:pStyle w:val="RRBody"/>
        <w:jc w:val="both"/>
      </w:pPr>
      <w:r>
        <w:t>W</w:t>
      </w:r>
      <w:r w:rsidRPr="003D0595">
        <w:t>e target</w:t>
      </w:r>
      <w:r>
        <w:t>ed</w:t>
      </w:r>
      <w:r w:rsidRPr="003D0595">
        <w:t xml:space="preserve"> improvements in managed care efficiency </w:t>
      </w:r>
      <w:r w:rsidR="00B5251E">
        <w:t>when developing</w:t>
      </w:r>
      <w:r w:rsidRPr="003D0595">
        <w:t xml:space="preserve"> projected </w:t>
      </w:r>
      <w:r>
        <w:t xml:space="preserve">SFY </w:t>
      </w:r>
      <w:r w:rsidR="0082724D">
        <w:t>2023</w:t>
      </w:r>
      <w:r w:rsidR="0082724D" w:rsidRPr="003D0595">
        <w:t xml:space="preserve"> </w:t>
      </w:r>
      <w:r w:rsidRPr="003D0595">
        <w:t xml:space="preserve">benefit expense. </w:t>
      </w:r>
    </w:p>
    <w:p w14:paraId="67F615B2" w14:textId="16CB1D02" w:rsidR="0063749B" w:rsidRPr="007414F2" w:rsidRDefault="0063749B" w:rsidP="00911EB9">
      <w:pPr>
        <w:pStyle w:val="RRCalloutSmallMBlue"/>
        <w:spacing w:before="120"/>
        <w:jc w:val="both"/>
        <w:rPr>
          <w:b/>
        </w:rPr>
      </w:pPr>
      <w:r>
        <w:rPr>
          <w:b/>
        </w:rPr>
        <w:t xml:space="preserve">Step </w:t>
      </w:r>
      <w:r w:rsidR="0045035A">
        <w:rPr>
          <w:b/>
        </w:rPr>
        <w:t>5</w:t>
      </w:r>
      <w:r>
        <w:rPr>
          <w:b/>
        </w:rPr>
        <w:t>:</w:t>
      </w:r>
      <w:r w:rsidRPr="007414F2">
        <w:rPr>
          <w:b/>
        </w:rPr>
        <w:t xml:space="preserve"> </w:t>
      </w:r>
      <w:r>
        <w:rPr>
          <w:b/>
        </w:rPr>
        <w:t>Trend to SFY 2020</w:t>
      </w:r>
    </w:p>
    <w:p w14:paraId="66AB2EC5" w14:textId="09249DA9" w:rsidR="0063749B" w:rsidRDefault="0063749B" w:rsidP="00622097">
      <w:pPr>
        <w:pStyle w:val="RRBody"/>
        <w:jc w:val="both"/>
      </w:pPr>
      <w:r w:rsidRPr="003D0595">
        <w:t xml:space="preserve">The adjusted PMPM values from the base experience period </w:t>
      </w:r>
      <w:r w:rsidR="00365D8D">
        <w:t>were</w:t>
      </w:r>
      <w:r w:rsidRPr="003D0595">
        <w:t xml:space="preserve"> trended forward to the midpoint of t</w:t>
      </w:r>
      <w:r>
        <w:t>he contract period (January 1, </w:t>
      </w:r>
      <w:r w:rsidR="00A82A00">
        <w:t>2023</w:t>
      </w:r>
      <w:r w:rsidRPr="003D0595">
        <w:t>).</w:t>
      </w:r>
      <w:r w:rsidRPr="0063749B">
        <w:t xml:space="preserve"> </w:t>
      </w:r>
      <w:r w:rsidRPr="003D0595">
        <w:t>The resulting PMPMs establish the adjusted claim cost by population rate cell for the contract period.</w:t>
      </w:r>
    </w:p>
    <w:p w14:paraId="4CE8B6A9" w14:textId="195210F9" w:rsidR="0063749B" w:rsidRDefault="0063749B" w:rsidP="00622097">
      <w:pPr>
        <w:pStyle w:val="RRBody"/>
        <w:jc w:val="both"/>
      </w:pPr>
      <w:r>
        <w:t xml:space="preserve">The remainder of this section outlines the adjustments described in Step </w:t>
      </w:r>
      <w:r w:rsidR="0082724D">
        <w:t xml:space="preserve">3 </w:t>
      </w:r>
      <w:r>
        <w:t xml:space="preserve">through Step </w:t>
      </w:r>
      <w:r w:rsidR="0082724D">
        <w:t>5</w:t>
      </w:r>
      <w:r>
        <w:t>.</w:t>
      </w:r>
    </w:p>
    <w:p w14:paraId="1D04D67D" w14:textId="30858FD4" w:rsidR="0063749B" w:rsidRDefault="00C9109D" w:rsidP="00622097">
      <w:pPr>
        <w:pStyle w:val="RRCalloutSmallMBlue"/>
        <w:jc w:val="both"/>
      </w:pPr>
      <w:r>
        <w:t>Prospective Program and Policy Adjustments</w:t>
      </w:r>
    </w:p>
    <w:p w14:paraId="6078190F" w14:textId="2D928F34" w:rsidR="00F33BCC" w:rsidRDefault="00A21260" w:rsidP="00622097">
      <w:pPr>
        <w:pStyle w:val="RRBody"/>
        <w:jc w:val="both"/>
      </w:pPr>
      <w:r>
        <w:t>Figure</w:t>
      </w:r>
      <w:r w:rsidR="004414B9">
        <w:t xml:space="preserve"> </w:t>
      </w:r>
      <w:r w:rsidR="0045035A">
        <w:t xml:space="preserve">10 </w:t>
      </w:r>
      <w:r w:rsidR="004414B9">
        <w:t xml:space="preserve">illustrates the fiscal impact of the </w:t>
      </w:r>
      <w:r w:rsidR="001D16B7">
        <w:t>prospective</w:t>
      </w:r>
      <w:r w:rsidR="001D16B7" w:rsidRPr="00816BFF">
        <w:t xml:space="preserve"> </w:t>
      </w:r>
      <w:r w:rsidR="004414B9" w:rsidRPr="00816BFF">
        <w:t>program changes</w:t>
      </w:r>
      <w:r w:rsidR="007F6C0B">
        <w:t xml:space="preserve"> applied in Appendix </w:t>
      </w:r>
      <w:r w:rsidR="0082724D">
        <w:t>3</w:t>
      </w:r>
      <w:r w:rsidR="0082724D" w:rsidRPr="00816BFF">
        <w:t xml:space="preserve"> </w:t>
      </w:r>
      <w:r w:rsidR="007F6C0B">
        <w:t xml:space="preserve">of the rate development </w:t>
      </w:r>
      <w:r w:rsidR="004414B9">
        <w:t>and is followed by a description of each adjustment</w:t>
      </w:r>
      <w:r w:rsidR="004414B9" w:rsidRPr="00816BFF">
        <w:t>.</w:t>
      </w:r>
      <w:r w:rsidR="004414B9">
        <w:t xml:space="preserve"> </w:t>
      </w:r>
      <w:r w:rsidR="00A24E21">
        <w:t xml:space="preserve">The </w:t>
      </w:r>
      <w:r w:rsidR="0065119F">
        <w:t xml:space="preserve">rate adjustments for the </w:t>
      </w:r>
      <w:r w:rsidR="00A24E21">
        <w:t xml:space="preserve">personal care </w:t>
      </w:r>
      <w:r w:rsidR="0065119F">
        <w:t xml:space="preserve">shift differential and personal care behavioral health certification state </w:t>
      </w:r>
      <w:r w:rsidR="00A24E21">
        <w:t>directed payment</w:t>
      </w:r>
      <w:r w:rsidR="0065119F">
        <w:t>s</w:t>
      </w:r>
      <w:r w:rsidR="00A24E21">
        <w:t xml:space="preserve"> </w:t>
      </w:r>
      <w:r w:rsidR="0065119F">
        <w:t>are</w:t>
      </w:r>
      <w:r w:rsidR="00A24E21">
        <w:t xml:space="preserve"> illustrated in Appendix 4.</w:t>
      </w:r>
    </w:p>
    <w:tbl>
      <w:tblPr>
        <w:tblW w:w="9540" w:type="dxa"/>
        <w:tblLayout w:type="fixed"/>
        <w:tblLook w:val="04A0" w:firstRow="1" w:lastRow="0" w:firstColumn="1" w:lastColumn="0" w:noHBand="0" w:noVBand="1"/>
      </w:tblPr>
      <w:tblGrid>
        <w:gridCol w:w="1890"/>
        <w:gridCol w:w="1890"/>
        <w:gridCol w:w="1152"/>
        <w:gridCol w:w="1152"/>
        <w:gridCol w:w="1152"/>
        <w:gridCol w:w="1152"/>
        <w:gridCol w:w="1152"/>
      </w:tblGrid>
      <w:tr w:rsidR="00F33BCC" w:rsidRPr="00695CC9" w14:paraId="58F8C00D" w14:textId="77777777" w:rsidTr="00920110">
        <w:trPr>
          <w:trHeight w:val="255"/>
        </w:trPr>
        <w:tc>
          <w:tcPr>
            <w:tcW w:w="9540" w:type="dxa"/>
            <w:gridSpan w:val="7"/>
            <w:tcBorders>
              <w:top w:val="single" w:sz="4" w:space="0" w:color="E8E9E9"/>
              <w:left w:val="nil"/>
              <w:bottom w:val="nil"/>
              <w:right w:val="nil"/>
            </w:tcBorders>
            <w:shd w:val="clear" w:color="auto" w:fill="auto"/>
            <w:noWrap/>
            <w:vAlign w:val="bottom"/>
            <w:hideMark/>
          </w:tcPr>
          <w:p w14:paraId="782FB326" w14:textId="1D18D1F6" w:rsidR="00F33BCC" w:rsidRPr="00651448" w:rsidRDefault="00A21260" w:rsidP="00A21260">
            <w:pPr>
              <w:spacing w:after="0" w:line="240" w:lineRule="auto"/>
              <w:rPr>
                <w:rFonts w:ascii="Arial" w:eastAsia="Times New Roman" w:hAnsi="Arial" w:cs="Arial"/>
                <w:b/>
                <w:bCs/>
                <w:color w:val="0081E3"/>
                <w:sz w:val="16"/>
                <w:szCs w:val="16"/>
              </w:rPr>
            </w:pPr>
            <w:r w:rsidRPr="00651448">
              <w:rPr>
                <w:rFonts w:ascii="Arial" w:eastAsia="Times New Roman" w:hAnsi="Arial" w:cs="Arial"/>
                <w:b/>
                <w:bCs/>
                <w:color w:val="0081E3"/>
                <w:sz w:val="16"/>
                <w:szCs w:val="16"/>
              </w:rPr>
              <w:t>FIGURE</w:t>
            </w:r>
            <w:r w:rsidR="00F33BCC" w:rsidRPr="00651448">
              <w:rPr>
                <w:rFonts w:ascii="Arial" w:eastAsia="Times New Roman" w:hAnsi="Arial" w:cs="Arial"/>
                <w:b/>
                <w:bCs/>
                <w:color w:val="0081E3"/>
                <w:sz w:val="16"/>
                <w:szCs w:val="16"/>
              </w:rPr>
              <w:t xml:space="preserve"> </w:t>
            </w:r>
            <w:r w:rsidR="0045035A" w:rsidRPr="00651448">
              <w:rPr>
                <w:rFonts w:ascii="Arial" w:eastAsia="Times New Roman" w:hAnsi="Arial" w:cs="Arial"/>
                <w:b/>
                <w:bCs/>
                <w:color w:val="0081E3"/>
                <w:sz w:val="16"/>
                <w:szCs w:val="16"/>
              </w:rPr>
              <w:t>10</w:t>
            </w:r>
            <w:r w:rsidRPr="00651448">
              <w:rPr>
                <w:rFonts w:ascii="Arial" w:eastAsia="Times New Roman" w:hAnsi="Arial" w:cs="Arial"/>
                <w:b/>
                <w:bCs/>
                <w:color w:val="0081E3"/>
                <w:sz w:val="16"/>
                <w:szCs w:val="16"/>
              </w:rPr>
              <w:t>:</w:t>
            </w:r>
            <w:r w:rsidRPr="00651448">
              <w:rPr>
                <w:rFonts w:ascii="Arial" w:hAnsi="Arial" w:cs="Arial"/>
                <w:b/>
                <w:bCs/>
                <w:color w:val="0081E3"/>
                <w:sz w:val="16"/>
                <w:szCs w:val="16"/>
              </w:rPr>
              <w:t xml:space="preserve"> PROSPECTIVE PROGRAM ADJUSTMENTS</w:t>
            </w:r>
          </w:p>
        </w:tc>
      </w:tr>
      <w:tr w:rsidR="00074255" w:rsidRPr="00695CC9" w14:paraId="57FB6B20" w14:textId="77777777" w:rsidTr="00783C4E">
        <w:trPr>
          <w:trHeight w:val="711"/>
        </w:trPr>
        <w:tc>
          <w:tcPr>
            <w:tcW w:w="1890" w:type="dxa"/>
            <w:tcBorders>
              <w:top w:val="nil"/>
              <w:left w:val="nil"/>
              <w:bottom w:val="single" w:sz="4" w:space="0" w:color="C6C9CA"/>
              <w:right w:val="nil"/>
            </w:tcBorders>
            <w:shd w:val="clear" w:color="auto" w:fill="auto"/>
            <w:vAlign w:val="bottom"/>
            <w:hideMark/>
          </w:tcPr>
          <w:p w14:paraId="3711D524" w14:textId="2BF1F4B5" w:rsidR="00074255" w:rsidRPr="002564F0" w:rsidRDefault="00074255" w:rsidP="00074255">
            <w:pPr>
              <w:spacing w:after="0" w:line="240" w:lineRule="auto"/>
              <w:rPr>
                <w:rFonts w:ascii="Arial" w:eastAsia="Times New Roman" w:hAnsi="Arial" w:cs="Arial"/>
                <w:b/>
                <w:bCs/>
                <w:color w:val="39414D"/>
                <w:sz w:val="16"/>
                <w:szCs w:val="16"/>
              </w:rPr>
            </w:pPr>
            <w:r w:rsidRPr="00651448">
              <w:rPr>
                <w:rFonts w:ascii="Arial" w:hAnsi="Arial" w:cs="Arial"/>
                <w:b/>
                <w:bCs/>
                <w:color w:val="39414D"/>
                <w:sz w:val="16"/>
                <w:szCs w:val="16"/>
              </w:rPr>
              <w:t>Program Change</w:t>
            </w:r>
          </w:p>
        </w:tc>
        <w:tc>
          <w:tcPr>
            <w:tcW w:w="1890" w:type="dxa"/>
            <w:tcBorders>
              <w:top w:val="nil"/>
              <w:left w:val="nil"/>
              <w:bottom w:val="single" w:sz="4" w:space="0" w:color="C6C9CA"/>
              <w:right w:val="nil"/>
            </w:tcBorders>
            <w:shd w:val="clear" w:color="auto" w:fill="auto"/>
            <w:vAlign w:val="bottom"/>
            <w:hideMark/>
          </w:tcPr>
          <w:p w14:paraId="422A8DB6" w14:textId="11FB8D17" w:rsidR="00074255" w:rsidRPr="002564F0" w:rsidRDefault="00074255" w:rsidP="00074255">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Category of Service Impacted</w:t>
            </w:r>
          </w:p>
        </w:tc>
        <w:tc>
          <w:tcPr>
            <w:tcW w:w="1152" w:type="dxa"/>
            <w:tcBorders>
              <w:top w:val="nil"/>
              <w:left w:val="nil"/>
              <w:bottom w:val="single" w:sz="4" w:space="0" w:color="C6C9CA"/>
              <w:right w:val="nil"/>
            </w:tcBorders>
            <w:shd w:val="clear" w:color="auto" w:fill="auto"/>
            <w:vAlign w:val="bottom"/>
            <w:hideMark/>
          </w:tcPr>
          <w:p w14:paraId="7BDB17F3" w14:textId="22BCB46F" w:rsidR="00074255" w:rsidRPr="002564F0" w:rsidRDefault="00074255">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 Impact</w:t>
            </w:r>
            <w:r w:rsidRPr="00651448">
              <w:rPr>
                <w:rFonts w:ascii="Arial" w:hAnsi="Arial" w:cs="Arial"/>
                <w:b/>
                <w:bCs/>
                <w:color w:val="39414D"/>
                <w:sz w:val="16"/>
                <w:szCs w:val="16"/>
              </w:rPr>
              <w:br/>
            </w:r>
            <w:r w:rsidR="00D62BB5" w:rsidRPr="00651448">
              <w:rPr>
                <w:rFonts w:ascii="Arial" w:hAnsi="Arial" w:cs="Arial"/>
                <w:b/>
                <w:bCs/>
                <w:color w:val="39414D"/>
                <w:sz w:val="16"/>
                <w:szCs w:val="16"/>
              </w:rPr>
              <w:t>RIte Care</w:t>
            </w:r>
          </w:p>
        </w:tc>
        <w:tc>
          <w:tcPr>
            <w:tcW w:w="1152" w:type="dxa"/>
            <w:tcBorders>
              <w:top w:val="nil"/>
              <w:left w:val="nil"/>
              <w:bottom w:val="single" w:sz="4" w:space="0" w:color="C6C9CA"/>
              <w:right w:val="nil"/>
            </w:tcBorders>
            <w:shd w:val="clear" w:color="auto" w:fill="auto"/>
            <w:vAlign w:val="bottom"/>
            <w:hideMark/>
          </w:tcPr>
          <w:p w14:paraId="1F32D212" w14:textId="3C62C125" w:rsidR="00074255" w:rsidRPr="002564F0" w:rsidRDefault="00074255">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 Impact</w:t>
            </w:r>
            <w:r w:rsidRPr="00651448">
              <w:rPr>
                <w:rFonts w:ascii="Arial" w:hAnsi="Arial" w:cs="Arial"/>
                <w:b/>
                <w:bCs/>
                <w:color w:val="39414D"/>
                <w:sz w:val="16"/>
                <w:szCs w:val="16"/>
              </w:rPr>
              <w:br/>
            </w:r>
            <w:r w:rsidR="00D62BB5" w:rsidRPr="00651448">
              <w:rPr>
                <w:rFonts w:ascii="Arial" w:hAnsi="Arial" w:cs="Arial"/>
                <w:b/>
                <w:bCs/>
                <w:color w:val="39414D"/>
                <w:sz w:val="16"/>
                <w:szCs w:val="16"/>
              </w:rPr>
              <w:t>CSHCN</w:t>
            </w:r>
          </w:p>
        </w:tc>
        <w:tc>
          <w:tcPr>
            <w:tcW w:w="1152" w:type="dxa"/>
            <w:tcBorders>
              <w:top w:val="nil"/>
              <w:left w:val="nil"/>
              <w:bottom w:val="single" w:sz="4" w:space="0" w:color="C6C9CA"/>
              <w:right w:val="nil"/>
            </w:tcBorders>
            <w:shd w:val="clear" w:color="auto" w:fill="auto"/>
            <w:vAlign w:val="bottom"/>
            <w:hideMark/>
          </w:tcPr>
          <w:p w14:paraId="7BB1BBB3" w14:textId="7E5D4873" w:rsidR="00074255" w:rsidRPr="002564F0" w:rsidRDefault="00074255">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 Impact</w:t>
            </w:r>
            <w:r w:rsidRPr="00651448">
              <w:rPr>
                <w:rFonts w:ascii="Arial" w:hAnsi="Arial" w:cs="Arial"/>
                <w:b/>
                <w:bCs/>
                <w:color w:val="39414D"/>
                <w:sz w:val="16"/>
                <w:szCs w:val="16"/>
              </w:rPr>
              <w:br/>
              <w:t>Medicaid Expansion</w:t>
            </w:r>
          </w:p>
        </w:tc>
        <w:tc>
          <w:tcPr>
            <w:tcW w:w="1152" w:type="dxa"/>
            <w:tcBorders>
              <w:top w:val="nil"/>
              <w:left w:val="nil"/>
              <w:bottom w:val="single" w:sz="4" w:space="0" w:color="C6C9CA"/>
              <w:right w:val="nil"/>
            </w:tcBorders>
            <w:shd w:val="clear" w:color="auto" w:fill="auto"/>
            <w:vAlign w:val="bottom"/>
            <w:hideMark/>
          </w:tcPr>
          <w:p w14:paraId="6C7AC6F3" w14:textId="5BB15704" w:rsidR="00074255" w:rsidRPr="002564F0" w:rsidRDefault="00074255">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 Impact</w:t>
            </w:r>
            <w:r w:rsidRPr="00651448">
              <w:rPr>
                <w:rFonts w:ascii="Arial" w:hAnsi="Arial" w:cs="Arial"/>
                <w:b/>
                <w:bCs/>
                <w:color w:val="39414D"/>
                <w:sz w:val="16"/>
                <w:szCs w:val="16"/>
              </w:rPr>
              <w:br/>
              <w:t>Rhody Health Partners</w:t>
            </w:r>
          </w:p>
        </w:tc>
        <w:tc>
          <w:tcPr>
            <w:tcW w:w="1152" w:type="dxa"/>
            <w:tcBorders>
              <w:top w:val="nil"/>
              <w:left w:val="nil"/>
              <w:bottom w:val="single" w:sz="4" w:space="0" w:color="C6C9CA"/>
              <w:right w:val="nil"/>
            </w:tcBorders>
            <w:shd w:val="clear" w:color="auto" w:fill="auto"/>
            <w:vAlign w:val="bottom"/>
            <w:hideMark/>
          </w:tcPr>
          <w:p w14:paraId="3D2F3B1C" w14:textId="3D641C61" w:rsidR="00074255" w:rsidRPr="002564F0" w:rsidRDefault="00074255">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 Impact</w:t>
            </w:r>
            <w:r w:rsidRPr="00651448">
              <w:rPr>
                <w:rFonts w:ascii="Arial" w:hAnsi="Arial" w:cs="Arial"/>
                <w:b/>
                <w:bCs/>
                <w:color w:val="39414D"/>
                <w:sz w:val="16"/>
                <w:szCs w:val="16"/>
              </w:rPr>
              <w:br/>
              <w:t>SOBRA</w:t>
            </w:r>
          </w:p>
        </w:tc>
      </w:tr>
      <w:tr w:rsidR="00AD0A75" w:rsidRPr="00695CC9" w14:paraId="06F3BC94" w14:textId="77777777" w:rsidTr="00920110">
        <w:trPr>
          <w:trHeight w:val="255"/>
        </w:trPr>
        <w:tc>
          <w:tcPr>
            <w:tcW w:w="1890" w:type="dxa"/>
            <w:tcBorders>
              <w:top w:val="nil"/>
              <w:left w:val="nil"/>
              <w:bottom w:val="nil"/>
              <w:right w:val="nil"/>
            </w:tcBorders>
            <w:shd w:val="clear" w:color="auto" w:fill="auto"/>
            <w:noWrap/>
            <w:vAlign w:val="center"/>
          </w:tcPr>
          <w:p w14:paraId="2B03068E" w14:textId="049BE836" w:rsidR="00AD0A75" w:rsidRPr="00651448" w:rsidRDefault="00AD0A75" w:rsidP="00AD0A75">
            <w:pPr>
              <w:spacing w:after="0" w:line="240" w:lineRule="auto"/>
              <w:rPr>
                <w:rFonts w:ascii="Arial" w:hAnsi="Arial" w:cs="Arial"/>
                <w:color w:val="39414D"/>
                <w:sz w:val="16"/>
                <w:szCs w:val="16"/>
              </w:rPr>
            </w:pPr>
            <w:r w:rsidRPr="00651448">
              <w:rPr>
                <w:rFonts w:ascii="Arial" w:hAnsi="Arial" w:cs="Arial"/>
                <w:color w:val="39414D"/>
                <w:sz w:val="16"/>
                <w:szCs w:val="16"/>
              </w:rPr>
              <w:t>Respite Care</w:t>
            </w:r>
          </w:p>
        </w:tc>
        <w:tc>
          <w:tcPr>
            <w:tcW w:w="1890" w:type="dxa"/>
            <w:tcBorders>
              <w:top w:val="nil"/>
              <w:left w:val="nil"/>
              <w:bottom w:val="nil"/>
              <w:right w:val="nil"/>
            </w:tcBorders>
            <w:shd w:val="clear" w:color="auto" w:fill="auto"/>
            <w:noWrap/>
            <w:vAlign w:val="center"/>
          </w:tcPr>
          <w:p w14:paraId="2E1F2CE2" w14:textId="6C28012F" w:rsidR="00AD0A75" w:rsidRPr="00651448" w:rsidRDefault="00AD0A75" w:rsidP="00AD0A75">
            <w:pPr>
              <w:spacing w:after="0" w:line="240" w:lineRule="auto"/>
              <w:rPr>
                <w:rFonts w:ascii="Arial" w:hAnsi="Arial" w:cs="Arial"/>
                <w:color w:val="39414D"/>
                <w:sz w:val="16"/>
                <w:szCs w:val="16"/>
              </w:rPr>
            </w:pPr>
            <w:r w:rsidRPr="00651448">
              <w:rPr>
                <w:rFonts w:ascii="Arial" w:hAnsi="Arial" w:cs="Arial"/>
                <w:color w:val="39414D"/>
                <w:sz w:val="16"/>
                <w:szCs w:val="16"/>
              </w:rPr>
              <w:t>LTSS</w:t>
            </w:r>
          </w:p>
        </w:tc>
        <w:tc>
          <w:tcPr>
            <w:tcW w:w="1152" w:type="dxa"/>
            <w:tcBorders>
              <w:top w:val="nil"/>
              <w:left w:val="nil"/>
              <w:bottom w:val="nil"/>
              <w:right w:val="nil"/>
            </w:tcBorders>
            <w:shd w:val="clear" w:color="auto" w:fill="auto"/>
            <w:noWrap/>
            <w:vAlign w:val="center"/>
          </w:tcPr>
          <w:p w14:paraId="7D09B5E3" w14:textId="582E142C"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1.1% </w:t>
            </w:r>
          </w:p>
        </w:tc>
        <w:tc>
          <w:tcPr>
            <w:tcW w:w="1152" w:type="dxa"/>
            <w:tcBorders>
              <w:top w:val="nil"/>
              <w:left w:val="nil"/>
              <w:bottom w:val="nil"/>
              <w:right w:val="nil"/>
            </w:tcBorders>
            <w:shd w:val="clear" w:color="auto" w:fill="auto"/>
            <w:noWrap/>
            <w:vAlign w:val="center"/>
          </w:tcPr>
          <w:p w14:paraId="7893B2DB" w14:textId="7AC8C82D"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2.0% </w:t>
            </w:r>
          </w:p>
        </w:tc>
        <w:tc>
          <w:tcPr>
            <w:tcW w:w="1152" w:type="dxa"/>
            <w:tcBorders>
              <w:top w:val="nil"/>
              <w:left w:val="nil"/>
              <w:bottom w:val="nil"/>
              <w:right w:val="nil"/>
            </w:tcBorders>
            <w:shd w:val="clear" w:color="auto" w:fill="auto"/>
            <w:noWrap/>
            <w:vAlign w:val="center"/>
          </w:tcPr>
          <w:p w14:paraId="55418341" w14:textId="03B471A5"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0.0% </w:t>
            </w:r>
          </w:p>
        </w:tc>
        <w:tc>
          <w:tcPr>
            <w:tcW w:w="1152" w:type="dxa"/>
            <w:tcBorders>
              <w:top w:val="nil"/>
              <w:left w:val="nil"/>
              <w:bottom w:val="nil"/>
              <w:right w:val="nil"/>
            </w:tcBorders>
            <w:shd w:val="clear" w:color="auto" w:fill="auto"/>
            <w:noWrap/>
            <w:vAlign w:val="center"/>
          </w:tcPr>
          <w:p w14:paraId="4D552CA7" w14:textId="3C786DD4"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0.0% </w:t>
            </w:r>
          </w:p>
        </w:tc>
        <w:tc>
          <w:tcPr>
            <w:tcW w:w="1152" w:type="dxa"/>
            <w:tcBorders>
              <w:top w:val="nil"/>
              <w:left w:val="nil"/>
              <w:bottom w:val="nil"/>
              <w:right w:val="nil"/>
            </w:tcBorders>
            <w:shd w:val="clear" w:color="auto" w:fill="auto"/>
            <w:noWrap/>
            <w:vAlign w:val="center"/>
          </w:tcPr>
          <w:p w14:paraId="579EECEA" w14:textId="731A4244"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0.0% </w:t>
            </w:r>
          </w:p>
        </w:tc>
      </w:tr>
      <w:tr w:rsidR="00AD0A75" w:rsidRPr="00695CC9" w14:paraId="794ED85A" w14:textId="77777777" w:rsidTr="00920110">
        <w:trPr>
          <w:trHeight w:val="255"/>
        </w:trPr>
        <w:tc>
          <w:tcPr>
            <w:tcW w:w="1890" w:type="dxa"/>
            <w:tcBorders>
              <w:top w:val="nil"/>
              <w:left w:val="nil"/>
              <w:bottom w:val="nil"/>
              <w:right w:val="nil"/>
            </w:tcBorders>
            <w:shd w:val="clear" w:color="auto" w:fill="E8E9E9" w:themeFill="accent2" w:themeFillTint="66"/>
            <w:noWrap/>
            <w:vAlign w:val="center"/>
            <w:hideMark/>
          </w:tcPr>
          <w:p w14:paraId="63498F2D" w14:textId="74F9D80A" w:rsidR="00AD0A75" w:rsidRPr="002564F0" w:rsidRDefault="00AD0A75" w:rsidP="00AD0A75">
            <w:pPr>
              <w:spacing w:after="0" w:line="240" w:lineRule="auto"/>
              <w:rPr>
                <w:rFonts w:ascii="Arial" w:eastAsia="Times New Roman" w:hAnsi="Arial" w:cs="Arial"/>
                <w:color w:val="39414D"/>
                <w:sz w:val="16"/>
                <w:szCs w:val="16"/>
              </w:rPr>
            </w:pPr>
            <w:r w:rsidRPr="00651448">
              <w:rPr>
                <w:rFonts w:ascii="Arial" w:hAnsi="Arial" w:cs="Arial"/>
                <w:color w:val="39414D"/>
                <w:sz w:val="16"/>
                <w:szCs w:val="16"/>
              </w:rPr>
              <w:t>COVID Testing</w:t>
            </w:r>
          </w:p>
        </w:tc>
        <w:tc>
          <w:tcPr>
            <w:tcW w:w="1890" w:type="dxa"/>
            <w:tcBorders>
              <w:top w:val="nil"/>
              <w:left w:val="nil"/>
              <w:bottom w:val="nil"/>
              <w:right w:val="nil"/>
            </w:tcBorders>
            <w:shd w:val="clear" w:color="auto" w:fill="E8E9E9" w:themeFill="accent2" w:themeFillTint="66"/>
            <w:noWrap/>
            <w:vAlign w:val="center"/>
            <w:hideMark/>
          </w:tcPr>
          <w:p w14:paraId="1806A869" w14:textId="2FE1F8A9" w:rsidR="00AD0A75" w:rsidRPr="002564F0" w:rsidRDefault="00AD0A75" w:rsidP="00AD0A75">
            <w:pPr>
              <w:spacing w:after="0" w:line="240" w:lineRule="auto"/>
              <w:rPr>
                <w:rFonts w:ascii="Arial" w:eastAsia="Times New Roman" w:hAnsi="Arial" w:cs="Arial"/>
                <w:color w:val="39414D"/>
                <w:sz w:val="16"/>
                <w:szCs w:val="16"/>
              </w:rPr>
            </w:pPr>
            <w:r w:rsidRPr="00651448">
              <w:rPr>
                <w:rFonts w:ascii="Arial" w:hAnsi="Arial" w:cs="Arial"/>
                <w:color w:val="39414D"/>
                <w:sz w:val="16"/>
                <w:szCs w:val="16"/>
              </w:rPr>
              <w:t>Outpatient Hospital / Professional</w:t>
            </w:r>
          </w:p>
        </w:tc>
        <w:tc>
          <w:tcPr>
            <w:tcW w:w="1152" w:type="dxa"/>
            <w:tcBorders>
              <w:top w:val="nil"/>
              <w:left w:val="nil"/>
              <w:bottom w:val="nil"/>
              <w:right w:val="nil"/>
            </w:tcBorders>
            <w:shd w:val="clear" w:color="auto" w:fill="E8E9E9" w:themeFill="accent2" w:themeFillTint="66"/>
            <w:noWrap/>
            <w:vAlign w:val="center"/>
            <w:hideMark/>
          </w:tcPr>
          <w:p w14:paraId="4FCF96EB" w14:textId="516D2C41" w:rsidR="00AD0A75" w:rsidRPr="00AD0A75" w:rsidRDefault="00AD0A75" w:rsidP="00AD0A75">
            <w:pPr>
              <w:spacing w:after="0" w:line="240" w:lineRule="auto"/>
              <w:jc w:val="right"/>
              <w:rPr>
                <w:rFonts w:ascii="Arial" w:eastAsia="Times New Roman" w:hAnsi="Arial" w:cs="Arial"/>
                <w:color w:val="39414D"/>
                <w:sz w:val="16"/>
                <w:szCs w:val="16"/>
              </w:rPr>
            </w:pPr>
            <w:r w:rsidRPr="00651448">
              <w:rPr>
                <w:rFonts w:ascii="Arial" w:hAnsi="Arial" w:cs="Arial"/>
                <w:color w:val="39414D"/>
                <w:sz w:val="16"/>
                <w:szCs w:val="16"/>
              </w:rPr>
              <w:t xml:space="preserve">1.6% </w:t>
            </w:r>
          </w:p>
        </w:tc>
        <w:tc>
          <w:tcPr>
            <w:tcW w:w="1152" w:type="dxa"/>
            <w:tcBorders>
              <w:top w:val="nil"/>
              <w:left w:val="nil"/>
              <w:bottom w:val="nil"/>
              <w:right w:val="nil"/>
            </w:tcBorders>
            <w:shd w:val="clear" w:color="auto" w:fill="E8E9E9" w:themeFill="accent2" w:themeFillTint="66"/>
            <w:noWrap/>
            <w:vAlign w:val="center"/>
            <w:hideMark/>
          </w:tcPr>
          <w:p w14:paraId="69DDA29D" w14:textId="644795B3" w:rsidR="00AD0A75" w:rsidRPr="00AD0A75" w:rsidRDefault="00AD0A75" w:rsidP="00AD0A75">
            <w:pPr>
              <w:spacing w:after="0" w:line="240" w:lineRule="auto"/>
              <w:jc w:val="right"/>
              <w:rPr>
                <w:rFonts w:ascii="Arial" w:eastAsia="Times New Roman" w:hAnsi="Arial" w:cs="Arial"/>
                <w:color w:val="39414D"/>
                <w:sz w:val="16"/>
                <w:szCs w:val="16"/>
              </w:rPr>
            </w:pPr>
            <w:r w:rsidRPr="00651448">
              <w:rPr>
                <w:rFonts w:ascii="Arial" w:hAnsi="Arial" w:cs="Arial"/>
                <w:color w:val="39414D"/>
                <w:sz w:val="16"/>
                <w:szCs w:val="16"/>
              </w:rPr>
              <w:t xml:space="preserve">0.6% </w:t>
            </w:r>
          </w:p>
        </w:tc>
        <w:tc>
          <w:tcPr>
            <w:tcW w:w="1152" w:type="dxa"/>
            <w:tcBorders>
              <w:top w:val="nil"/>
              <w:left w:val="nil"/>
              <w:bottom w:val="nil"/>
              <w:right w:val="nil"/>
            </w:tcBorders>
            <w:shd w:val="clear" w:color="auto" w:fill="E8E9E9" w:themeFill="accent2" w:themeFillTint="66"/>
            <w:noWrap/>
            <w:vAlign w:val="center"/>
            <w:hideMark/>
          </w:tcPr>
          <w:p w14:paraId="76B45ACA" w14:textId="2946D6EF" w:rsidR="00AD0A75" w:rsidRPr="00AD0A75" w:rsidRDefault="00AD0A75" w:rsidP="00AD0A75">
            <w:pPr>
              <w:spacing w:after="0" w:line="240" w:lineRule="auto"/>
              <w:jc w:val="right"/>
              <w:rPr>
                <w:rFonts w:ascii="Arial" w:eastAsia="Times New Roman" w:hAnsi="Arial" w:cs="Arial"/>
                <w:color w:val="39414D"/>
                <w:sz w:val="16"/>
                <w:szCs w:val="16"/>
              </w:rPr>
            </w:pPr>
            <w:r w:rsidRPr="00651448">
              <w:rPr>
                <w:rFonts w:ascii="Arial" w:hAnsi="Arial" w:cs="Arial"/>
                <w:color w:val="39414D"/>
                <w:sz w:val="16"/>
                <w:szCs w:val="16"/>
              </w:rPr>
              <w:t xml:space="preserve">0.9% </w:t>
            </w:r>
          </w:p>
        </w:tc>
        <w:tc>
          <w:tcPr>
            <w:tcW w:w="1152" w:type="dxa"/>
            <w:tcBorders>
              <w:top w:val="nil"/>
              <w:left w:val="nil"/>
              <w:bottom w:val="nil"/>
              <w:right w:val="nil"/>
            </w:tcBorders>
            <w:shd w:val="clear" w:color="auto" w:fill="E8E9E9" w:themeFill="accent2" w:themeFillTint="66"/>
            <w:noWrap/>
            <w:vAlign w:val="center"/>
            <w:hideMark/>
          </w:tcPr>
          <w:p w14:paraId="000BFDF5" w14:textId="1DB05FAD" w:rsidR="00AD0A75" w:rsidRPr="00AD0A75" w:rsidRDefault="00AD0A75" w:rsidP="00AD0A75">
            <w:pPr>
              <w:spacing w:after="0" w:line="240" w:lineRule="auto"/>
              <w:jc w:val="right"/>
              <w:rPr>
                <w:rFonts w:ascii="Arial" w:eastAsia="Times New Roman" w:hAnsi="Arial" w:cs="Arial"/>
                <w:color w:val="39414D"/>
                <w:sz w:val="16"/>
                <w:szCs w:val="16"/>
              </w:rPr>
            </w:pPr>
            <w:r w:rsidRPr="00651448">
              <w:rPr>
                <w:rFonts w:ascii="Arial" w:hAnsi="Arial" w:cs="Arial"/>
                <w:color w:val="39414D"/>
                <w:sz w:val="16"/>
                <w:szCs w:val="16"/>
              </w:rPr>
              <w:t xml:space="preserve">0.3% </w:t>
            </w:r>
          </w:p>
        </w:tc>
        <w:tc>
          <w:tcPr>
            <w:tcW w:w="1152" w:type="dxa"/>
            <w:tcBorders>
              <w:top w:val="nil"/>
              <w:left w:val="nil"/>
              <w:bottom w:val="nil"/>
              <w:right w:val="nil"/>
            </w:tcBorders>
            <w:shd w:val="clear" w:color="auto" w:fill="E8E9E9" w:themeFill="accent2" w:themeFillTint="66"/>
            <w:noWrap/>
            <w:vAlign w:val="center"/>
            <w:hideMark/>
          </w:tcPr>
          <w:p w14:paraId="671A5C2B" w14:textId="125322F4" w:rsidR="00AD0A75" w:rsidRPr="00AD0A75" w:rsidRDefault="00AD0A75" w:rsidP="00AD0A75">
            <w:pPr>
              <w:spacing w:after="0" w:line="240" w:lineRule="auto"/>
              <w:jc w:val="right"/>
              <w:rPr>
                <w:rFonts w:ascii="Arial" w:eastAsia="Times New Roman" w:hAnsi="Arial" w:cs="Arial"/>
                <w:color w:val="39414D"/>
                <w:sz w:val="16"/>
                <w:szCs w:val="16"/>
              </w:rPr>
            </w:pPr>
            <w:r w:rsidRPr="00651448">
              <w:rPr>
                <w:rFonts w:ascii="Arial" w:hAnsi="Arial" w:cs="Arial"/>
                <w:color w:val="39414D"/>
                <w:sz w:val="16"/>
                <w:szCs w:val="16"/>
              </w:rPr>
              <w:t xml:space="preserve">0.0% </w:t>
            </w:r>
          </w:p>
        </w:tc>
      </w:tr>
      <w:tr w:rsidR="00AD0A75" w:rsidRPr="00695CC9" w14:paraId="0F8FCF2C" w14:textId="77777777" w:rsidTr="00920110">
        <w:trPr>
          <w:trHeight w:val="255"/>
        </w:trPr>
        <w:tc>
          <w:tcPr>
            <w:tcW w:w="1890" w:type="dxa"/>
            <w:tcBorders>
              <w:top w:val="nil"/>
              <w:left w:val="nil"/>
              <w:bottom w:val="nil"/>
              <w:right w:val="nil"/>
            </w:tcBorders>
            <w:shd w:val="clear" w:color="auto" w:fill="auto"/>
            <w:noWrap/>
            <w:vAlign w:val="center"/>
            <w:hideMark/>
          </w:tcPr>
          <w:p w14:paraId="60CEF066" w14:textId="1720E3A9" w:rsidR="00AD0A75" w:rsidRPr="002564F0" w:rsidRDefault="00AD0A75" w:rsidP="00AD0A75">
            <w:pPr>
              <w:spacing w:after="0" w:line="240" w:lineRule="auto"/>
              <w:rPr>
                <w:rFonts w:ascii="Arial" w:eastAsia="Times New Roman" w:hAnsi="Arial" w:cs="Arial"/>
                <w:color w:val="39414D"/>
                <w:sz w:val="16"/>
                <w:szCs w:val="16"/>
              </w:rPr>
            </w:pPr>
            <w:r w:rsidRPr="00651448">
              <w:rPr>
                <w:rFonts w:ascii="Arial" w:hAnsi="Arial" w:cs="Arial"/>
                <w:color w:val="39414D"/>
                <w:sz w:val="16"/>
                <w:szCs w:val="16"/>
              </w:rPr>
              <w:t>Doula Service Addition</w:t>
            </w:r>
          </w:p>
        </w:tc>
        <w:tc>
          <w:tcPr>
            <w:tcW w:w="1890" w:type="dxa"/>
            <w:tcBorders>
              <w:top w:val="nil"/>
              <w:left w:val="nil"/>
              <w:bottom w:val="nil"/>
              <w:right w:val="nil"/>
            </w:tcBorders>
            <w:shd w:val="clear" w:color="auto" w:fill="auto"/>
            <w:noWrap/>
            <w:vAlign w:val="center"/>
            <w:hideMark/>
          </w:tcPr>
          <w:p w14:paraId="7DE9750F" w14:textId="63CA7A6C" w:rsidR="00AD0A75" w:rsidRPr="002564F0" w:rsidRDefault="00AD0A75" w:rsidP="00AD0A75">
            <w:pPr>
              <w:spacing w:after="0" w:line="240" w:lineRule="auto"/>
              <w:rPr>
                <w:rFonts w:ascii="Arial" w:eastAsia="Times New Roman" w:hAnsi="Arial" w:cs="Arial"/>
                <w:color w:val="39414D"/>
                <w:sz w:val="16"/>
                <w:szCs w:val="16"/>
              </w:rPr>
            </w:pPr>
            <w:r w:rsidRPr="00651448">
              <w:rPr>
                <w:rFonts w:ascii="Arial" w:hAnsi="Arial" w:cs="Arial"/>
                <w:color w:val="39414D"/>
                <w:sz w:val="16"/>
                <w:szCs w:val="16"/>
              </w:rPr>
              <w:t>Professional</w:t>
            </w:r>
          </w:p>
        </w:tc>
        <w:tc>
          <w:tcPr>
            <w:tcW w:w="1152" w:type="dxa"/>
            <w:tcBorders>
              <w:top w:val="nil"/>
              <w:left w:val="nil"/>
              <w:bottom w:val="nil"/>
              <w:right w:val="nil"/>
            </w:tcBorders>
            <w:shd w:val="clear" w:color="auto" w:fill="auto"/>
            <w:noWrap/>
            <w:vAlign w:val="center"/>
            <w:hideMark/>
          </w:tcPr>
          <w:p w14:paraId="338151F8" w14:textId="1A709979" w:rsidR="00AD0A75" w:rsidRPr="00AD0A75" w:rsidRDefault="00AD0A75" w:rsidP="00AD0A75">
            <w:pPr>
              <w:spacing w:after="0" w:line="240" w:lineRule="auto"/>
              <w:jc w:val="right"/>
              <w:rPr>
                <w:rFonts w:ascii="Arial" w:eastAsia="Times New Roman" w:hAnsi="Arial" w:cs="Arial"/>
                <w:color w:val="39414D"/>
                <w:sz w:val="16"/>
                <w:szCs w:val="16"/>
              </w:rPr>
            </w:pPr>
            <w:r w:rsidRPr="00651448">
              <w:rPr>
                <w:rFonts w:ascii="Arial" w:hAnsi="Arial" w:cs="Arial"/>
                <w:color w:val="39414D"/>
                <w:sz w:val="16"/>
                <w:szCs w:val="16"/>
              </w:rPr>
              <w:t xml:space="preserve">0.0% </w:t>
            </w:r>
          </w:p>
        </w:tc>
        <w:tc>
          <w:tcPr>
            <w:tcW w:w="1152" w:type="dxa"/>
            <w:tcBorders>
              <w:top w:val="nil"/>
              <w:left w:val="nil"/>
              <w:bottom w:val="nil"/>
              <w:right w:val="nil"/>
            </w:tcBorders>
            <w:shd w:val="clear" w:color="auto" w:fill="auto"/>
            <w:noWrap/>
            <w:vAlign w:val="center"/>
            <w:hideMark/>
          </w:tcPr>
          <w:p w14:paraId="03325E48" w14:textId="6CBC7E96" w:rsidR="00AD0A75" w:rsidRPr="00AD0A75" w:rsidRDefault="00AD0A75" w:rsidP="00AD0A75">
            <w:pPr>
              <w:spacing w:after="0" w:line="240" w:lineRule="auto"/>
              <w:jc w:val="right"/>
              <w:rPr>
                <w:rFonts w:ascii="Arial" w:eastAsia="Times New Roman" w:hAnsi="Arial" w:cs="Arial"/>
                <w:color w:val="39414D"/>
                <w:sz w:val="16"/>
                <w:szCs w:val="16"/>
              </w:rPr>
            </w:pPr>
            <w:r w:rsidRPr="00651448">
              <w:rPr>
                <w:rFonts w:ascii="Arial" w:hAnsi="Arial" w:cs="Arial"/>
                <w:color w:val="39414D"/>
                <w:sz w:val="16"/>
                <w:szCs w:val="16"/>
              </w:rPr>
              <w:t xml:space="preserve">0.0% </w:t>
            </w:r>
          </w:p>
        </w:tc>
        <w:tc>
          <w:tcPr>
            <w:tcW w:w="1152" w:type="dxa"/>
            <w:tcBorders>
              <w:top w:val="nil"/>
              <w:left w:val="nil"/>
              <w:bottom w:val="nil"/>
              <w:right w:val="nil"/>
            </w:tcBorders>
            <w:shd w:val="clear" w:color="auto" w:fill="auto"/>
            <w:noWrap/>
            <w:vAlign w:val="center"/>
            <w:hideMark/>
          </w:tcPr>
          <w:p w14:paraId="3E57A116" w14:textId="16513336" w:rsidR="00AD0A75" w:rsidRPr="00AD0A75" w:rsidRDefault="00AD0A75" w:rsidP="00AD0A75">
            <w:pPr>
              <w:spacing w:after="0" w:line="240" w:lineRule="auto"/>
              <w:jc w:val="right"/>
              <w:rPr>
                <w:rFonts w:ascii="Arial" w:eastAsia="Times New Roman" w:hAnsi="Arial" w:cs="Arial"/>
                <w:color w:val="39414D"/>
                <w:sz w:val="16"/>
                <w:szCs w:val="16"/>
              </w:rPr>
            </w:pPr>
            <w:r w:rsidRPr="00651448">
              <w:rPr>
                <w:rFonts w:ascii="Arial" w:hAnsi="Arial" w:cs="Arial"/>
                <w:color w:val="39414D"/>
                <w:sz w:val="16"/>
                <w:szCs w:val="16"/>
              </w:rPr>
              <w:t xml:space="preserve">0.0% </w:t>
            </w:r>
          </w:p>
        </w:tc>
        <w:tc>
          <w:tcPr>
            <w:tcW w:w="1152" w:type="dxa"/>
            <w:tcBorders>
              <w:top w:val="nil"/>
              <w:left w:val="nil"/>
              <w:bottom w:val="nil"/>
              <w:right w:val="nil"/>
            </w:tcBorders>
            <w:shd w:val="clear" w:color="auto" w:fill="auto"/>
            <w:noWrap/>
            <w:vAlign w:val="center"/>
            <w:hideMark/>
          </w:tcPr>
          <w:p w14:paraId="42CB93EC" w14:textId="442655B1" w:rsidR="00AD0A75" w:rsidRPr="00AD0A75" w:rsidRDefault="00AD0A75" w:rsidP="00AD0A75">
            <w:pPr>
              <w:spacing w:after="0" w:line="240" w:lineRule="auto"/>
              <w:jc w:val="right"/>
              <w:rPr>
                <w:rFonts w:ascii="Arial" w:eastAsia="Times New Roman" w:hAnsi="Arial" w:cs="Arial"/>
                <w:color w:val="39414D"/>
                <w:sz w:val="16"/>
                <w:szCs w:val="16"/>
              </w:rPr>
            </w:pPr>
            <w:r w:rsidRPr="00651448">
              <w:rPr>
                <w:rFonts w:ascii="Arial" w:hAnsi="Arial" w:cs="Arial"/>
                <w:color w:val="39414D"/>
                <w:sz w:val="16"/>
                <w:szCs w:val="16"/>
              </w:rPr>
              <w:t xml:space="preserve">0.0% </w:t>
            </w:r>
          </w:p>
        </w:tc>
        <w:tc>
          <w:tcPr>
            <w:tcW w:w="1152" w:type="dxa"/>
            <w:tcBorders>
              <w:top w:val="nil"/>
              <w:left w:val="nil"/>
              <w:bottom w:val="nil"/>
              <w:right w:val="nil"/>
            </w:tcBorders>
            <w:shd w:val="clear" w:color="auto" w:fill="auto"/>
            <w:noWrap/>
            <w:vAlign w:val="center"/>
            <w:hideMark/>
          </w:tcPr>
          <w:p w14:paraId="16F6A7CB" w14:textId="0DB22E30" w:rsidR="00AD0A75" w:rsidRPr="00AD0A75" w:rsidRDefault="00AD0A75" w:rsidP="00AD0A75">
            <w:pPr>
              <w:spacing w:after="0" w:line="240" w:lineRule="auto"/>
              <w:jc w:val="right"/>
              <w:rPr>
                <w:rFonts w:ascii="Arial" w:eastAsia="Times New Roman" w:hAnsi="Arial" w:cs="Arial"/>
                <w:color w:val="39414D"/>
                <w:sz w:val="16"/>
                <w:szCs w:val="16"/>
              </w:rPr>
            </w:pPr>
            <w:r w:rsidRPr="00651448">
              <w:rPr>
                <w:rFonts w:ascii="Arial" w:hAnsi="Arial" w:cs="Arial"/>
                <w:color w:val="39414D"/>
                <w:sz w:val="16"/>
                <w:szCs w:val="16"/>
              </w:rPr>
              <w:t xml:space="preserve">6.1% </w:t>
            </w:r>
          </w:p>
        </w:tc>
      </w:tr>
      <w:tr w:rsidR="00AD0A75" w:rsidRPr="00695CC9" w14:paraId="4B2D7C46" w14:textId="77777777" w:rsidTr="00920110">
        <w:trPr>
          <w:trHeight w:val="255"/>
        </w:trPr>
        <w:tc>
          <w:tcPr>
            <w:tcW w:w="1890" w:type="dxa"/>
            <w:tcBorders>
              <w:top w:val="nil"/>
              <w:left w:val="nil"/>
              <w:bottom w:val="nil"/>
              <w:right w:val="nil"/>
            </w:tcBorders>
            <w:shd w:val="clear" w:color="auto" w:fill="E8E9E9" w:themeFill="accent2" w:themeFillTint="66"/>
            <w:noWrap/>
            <w:vAlign w:val="center"/>
          </w:tcPr>
          <w:p w14:paraId="5347C66B" w14:textId="03269FCE" w:rsidR="00AD0A75" w:rsidRPr="00651448" w:rsidRDefault="00AD0A75" w:rsidP="00AD0A75">
            <w:pPr>
              <w:spacing w:after="0" w:line="240" w:lineRule="auto"/>
              <w:rPr>
                <w:rFonts w:ascii="Arial" w:hAnsi="Arial" w:cs="Arial"/>
                <w:color w:val="39414D"/>
                <w:sz w:val="16"/>
                <w:szCs w:val="16"/>
              </w:rPr>
            </w:pPr>
            <w:r>
              <w:rPr>
                <w:rFonts w:ascii="Arial" w:hAnsi="Arial" w:cs="Arial"/>
                <w:color w:val="39414D"/>
                <w:sz w:val="16"/>
                <w:szCs w:val="16"/>
              </w:rPr>
              <w:t xml:space="preserve">Psychiatric </w:t>
            </w:r>
            <w:r w:rsidRPr="00651448">
              <w:rPr>
                <w:rFonts w:ascii="Arial" w:hAnsi="Arial" w:cs="Arial"/>
                <w:color w:val="39414D"/>
                <w:sz w:val="16"/>
                <w:szCs w:val="16"/>
              </w:rPr>
              <w:t xml:space="preserve">IMD </w:t>
            </w:r>
          </w:p>
        </w:tc>
        <w:tc>
          <w:tcPr>
            <w:tcW w:w="1890" w:type="dxa"/>
            <w:tcBorders>
              <w:top w:val="nil"/>
              <w:left w:val="nil"/>
              <w:bottom w:val="nil"/>
              <w:right w:val="nil"/>
            </w:tcBorders>
            <w:shd w:val="clear" w:color="auto" w:fill="E8E9E9" w:themeFill="accent2" w:themeFillTint="66"/>
            <w:noWrap/>
            <w:vAlign w:val="center"/>
          </w:tcPr>
          <w:p w14:paraId="0393CA0C" w14:textId="7BCD5E00" w:rsidR="00AD0A75" w:rsidRPr="00651448" w:rsidRDefault="00AD0A75" w:rsidP="00AD0A75">
            <w:pPr>
              <w:spacing w:after="0" w:line="240" w:lineRule="auto"/>
              <w:rPr>
                <w:rFonts w:ascii="Arial" w:hAnsi="Arial" w:cs="Arial"/>
                <w:color w:val="39414D"/>
                <w:sz w:val="16"/>
                <w:szCs w:val="16"/>
              </w:rPr>
            </w:pPr>
            <w:r w:rsidRPr="00651448">
              <w:rPr>
                <w:rFonts w:ascii="Arial" w:hAnsi="Arial" w:cs="Arial"/>
                <w:color w:val="39414D"/>
                <w:sz w:val="16"/>
                <w:szCs w:val="16"/>
              </w:rPr>
              <w:t>All Service Categories</w:t>
            </w:r>
          </w:p>
        </w:tc>
        <w:tc>
          <w:tcPr>
            <w:tcW w:w="1152" w:type="dxa"/>
            <w:tcBorders>
              <w:top w:val="nil"/>
              <w:left w:val="nil"/>
              <w:bottom w:val="nil"/>
              <w:right w:val="nil"/>
            </w:tcBorders>
            <w:shd w:val="clear" w:color="auto" w:fill="E8E9E9" w:themeFill="accent2" w:themeFillTint="66"/>
            <w:noWrap/>
            <w:vAlign w:val="center"/>
          </w:tcPr>
          <w:p w14:paraId="57BAD34C" w14:textId="109C20BD"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0.0% </w:t>
            </w:r>
          </w:p>
        </w:tc>
        <w:tc>
          <w:tcPr>
            <w:tcW w:w="1152" w:type="dxa"/>
            <w:tcBorders>
              <w:top w:val="nil"/>
              <w:left w:val="nil"/>
              <w:bottom w:val="nil"/>
              <w:right w:val="nil"/>
            </w:tcBorders>
            <w:shd w:val="clear" w:color="auto" w:fill="E8E9E9" w:themeFill="accent2" w:themeFillTint="66"/>
            <w:noWrap/>
            <w:vAlign w:val="center"/>
          </w:tcPr>
          <w:p w14:paraId="3548F981" w14:textId="50A0AB15"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(0.0%)</w:t>
            </w:r>
          </w:p>
        </w:tc>
        <w:tc>
          <w:tcPr>
            <w:tcW w:w="1152" w:type="dxa"/>
            <w:tcBorders>
              <w:top w:val="nil"/>
              <w:left w:val="nil"/>
              <w:bottom w:val="nil"/>
              <w:right w:val="nil"/>
            </w:tcBorders>
            <w:shd w:val="clear" w:color="auto" w:fill="E8E9E9" w:themeFill="accent2" w:themeFillTint="66"/>
            <w:noWrap/>
            <w:vAlign w:val="center"/>
          </w:tcPr>
          <w:p w14:paraId="4B989D1C" w14:textId="3ED015DA"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(0.0%)</w:t>
            </w:r>
          </w:p>
        </w:tc>
        <w:tc>
          <w:tcPr>
            <w:tcW w:w="1152" w:type="dxa"/>
            <w:tcBorders>
              <w:top w:val="nil"/>
              <w:left w:val="nil"/>
              <w:bottom w:val="nil"/>
              <w:right w:val="nil"/>
            </w:tcBorders>
            <w:shd w:val="clear" w:color="auto" w:fill="E8E9E9" w:themeFill="accent2" w:themeFillTint="66"/>
            <w:noWrap/>
            <w:vAlign w:val="center"/>
          </w:tcPr>
          <w:p w14:paraId="38D00D72" w14:textId="4FE32223"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(0.3%)</w:t>
            </w:r>
          </w:p>
        </w:tc>
        <w:tc>
          <w:tcPr>
            <w:tcW w:w="1152" w:type="dxa"/>
            <w:tcBorders>
              <w:top w:val="nil"/>
              <w:left w:val="nil"/>
              <w:bottom w:val="nil"/>
              <w:right w:val="nil"/>
            </w:tcBorders>
            <w:shd w:val="clear" w:color="auto" w:fill="E8E9E9" w:themeFill="accent2" w:themeFillTint="66"/>
            <w:noWrap/>
            <w:vAlign w:val="center"/>
          </w:tcPr>
          <w:p w14:paraId="20A092D3" w14:textId="57A17FAA"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0.0% </w:t>
            </w:r>
          </w:p>
        </w:tc>
      </w:tr>
      <w:tr w:rsidR="00AD0A75" w:rsidRPr="00695CC9" w14:paraId="5425AFCA" w14:textId="77777777" w:rsidTr="00920110">
        <w:trPr>
          <w:trHeight w:val="255"/>
        </w:trPr>
        <w:tc>
          <w:tcPr>
            <w:tcW w:w="1890" w:type="dxa"/>
            <w:tcBorders>
              <w:top w:val="nil"/>
              <w:left w:val="nil"/>
              <w:bottom w:val="nil"/>
              <w:right w:val="nil"/>
            </w:tcBorders>
            <w:shd w:val="clear" w:color="auto" w:fill="auto"/>
            <w:noWrap/>
            <w:vAlign w:val="center"/>
          </w:tcPr>
          <w:p w14:paraId="7880A6BC" w14:textId="69AB8CA0" w:rsidR="00AD0A75" w:rsidRPr="00651448" w:rsidRDefault="00AD0A75" w:rsidP="00AD0A75">
            <w:pPr>
              <w:spacing w:after="0" w:line="240" w:lineRule="auto"/>
              <w:rPr>
                <w:rFonts w:ascii="Arial" w:hAnsi="Arial" w:cs="Arial"/>
                <w:color w:val="39414D"/>
                <w:sz w:val="16"/>
                <w:szCs w:val="16"/>
              </w:rPr>
            </w:pPr>
            <w:r w:rsidRPr="00651448">
              <w:rPr>
                <w:rFonts w:ascii="Arial" w:hAnsi="Arial" w:cs="Arial"/>
                <w:color w:val="39414D"/>
                <w:sz w:val="16"/>
                <w:szCs w:val="16"/>
              </w:rPr>
              <w:t>Pharmacy Repricing</w:t>
            </w:r>
          </w:p>
        </w:tc>
        <w:tc>
          <w:tcPr>
            <w:tcW w:w="1890" w:type="dxa"/>
            <w:tcBorders>
              <w:top w:val="nil"/>
              <w:left w:val="nil"/>
              <w:bottom w:val="nil"/>
              <w:right w:val="nil"/>
            </w:tcBorders>
            <w:shd w:val="clear" w:color="auto" w:fill="auto"/>
            <w:noWrap/>
            <w:vAlign w:val="center"/>
          </w:tcPr>
          <w:p w14:paraId="7A897A59" w14:textId="753EB73B" w:rsidR="00AD0A75" w:rsidRPr="00651448" w:rsidRDefault="00AD0A75" w:rsidP="00AD0A75">
            <w:pPr>
              <w:spacing w:after="0" w:line="240" w:lineRule="auto"/>
              <w:rPr>
                <w:rFonts w:ascii="Arial" w:hAnsi="Arial" w:cs="Arial"/>
                <w:color w:val="39414D"/>
                <w:sz w:val="16"/>
                <w:szCs w:val="16"/>
              </w:rPr>
            </w:pPr>
            <w:r w:rsidRPr="00651448">
              <w:rPr>
                <w:rFonts w:ascii="Arial" w:hAnsi="Arial" w:cs="Arial"/>
                <w:color w:val="39414D"/>
                <w:sz w:val="16"/>
                <w:szCs w:val="16"/>
              </w:rPr>
              <w:t>Retail Pharmacy</w:t>
            </w:r>
          </w:p>
        </w:tc>
        <w:tc>
          <w:tcPr>
            <w:tcW w:w="1152" w:type="dxa"/>
            <w:tcBorders>
              <w:top w:val="nil"/>
              <w:left w:val="nil"/>
              <w:bottom w:val="nil"/>
              <w:right w:val="nil"/>
            </w:tcBorders>
            <w:shd w:val="clear" w:color="auto" w:fill="auto"/>
            <w:noWrap/>
            <w:vAlign w:val="center"/>
          </w:tcPr>
          <w:p w14:paraId="07279282" w14:textId="02083BDD"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(6.3%)</w:t>
            </w:r>
          </w:p>
        </w:tc>
        <w:tc>
          <w:tcPr>
            <w:tcW w:w="1152" w:type="dxa"/>
            <w:tcBorders>
              <w:top w:val="nil"/>
              <w:left w:val="nil"/>
              <w:bottom w:val="nil"/>
              <w:right w:val="nil"/>
            </w:tcBorders>
            <w:shd w:val="clear" w:color="auto" w:fill="auto"/>
            <w:noWrap/>
            <w:vAlign w:val="center"/>
          </w:tcPr>
          <w:p w14:paraId="142C478B" w14:textId="10ED3048"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(2.8%)</w:t>
            </w:r>
          </w:p>
        </w:tc>
        <w:tc>
          <w:tcPr>
            <w:tcW w:w="1152" w:type="dxa"/>
            <w:tcBorders>
              <w:top w:val="nil"/>
              <w:left w:val="nil"/>
              <w:bottom w:val="nil"/>
              <w:right w:val="nil"/>
            </w:tcBorders>
            <w:shd w:val="clear" w:color="auto" w:fill="auto"/>
            <w:noWrap/>
            <w:vAlign w:val="center"/>
          </w:tcPr>
          <w:p w14:paraId="01C14976" w14:textId="7661E6F6"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(2.8%)</w:t>
            </w:r>
          </w:p>
        </w:tc>
        <w:tc>
          <w:tcPr>
            <w:tcW w:w="1152" w:type="dxa"/>
            <w:tcBorders>
              <w:top w:val="nil"/>
              <w:left w:val="nil"/>
              <w:bottom w:val="nil"/>
              <w:right w:val="nil"/>
            </w:tcBorders>
            <w:shd w:val="clear" w:color="auto" w:fill="auto"/>
            <w:noWrap/>
            <w:vAlign w:val="center"/>
          </w:tcPr>
          <w:p w14:paraId="6F2BDC8D" w14:textId="24E6740A"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(1.8%)</w:t>
            </w:r>
          </w:p>
        </w:tc>
        <w:tc>
          <w:tcPr>
            <w:tcW w:w="1152" w:type="dxa"/>
            <w:tcBorders>
              <w:top w:val="nil"/>
              <w:left w:val="nil"/>
              <w:bottom w:val="nil"/>
              <w:right w:val="nil"/>
            </w:tcBorders>
            <w:shd w:val="clear" w:color="auto" w:fill="auto"/>
            <w:noWrap/>
            <w:vAlign w:val="center"/>
          </w:tcPr>
          <w:p w14:paraId="00B8FF45" w14:textId="37FE6319"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0.0% </w:t>
            </w:r>
          </w:p>
        </w:tc>
      </w:tr>
      <w:tr w:rsidR="00AD0A75" w:rsidRPr="00695CC9" w14:paraId="7B856D74" w14:textId="77777777" w:rsidTr="00920110">
        <w:trPr>
          <w:trHeight w:val="255"/>
        </w:trPr>
        <w:tc>
          <w:tcPr>
            <w:tcW w:w="1890" w:type="dxa"/>
            <w:tcBorders>
              <w:top w:val="nil"/>
              <w:left w:val="nil"/>
              <w:bottom w:val="nil"/>
              <w:right w:val="nil"/>
            </w:tcBorders>
            <w:shd w:val="clear" w:color="auto" w:fill="E8E9E9"/>
            <w:noWrap/>
            <w:vAlign w:val="center"/>
          </w:tcPr>
          <w:p w14:paraId="45ACEA7D" w14:textId="352C8A27" w:rsidR="00AD0A75" w:rsidRPr="00651448" w:rsidRDefault="00AD0A75" w:rsidP="00AD0A75">
            <w:pPr>
              <w:spacing w:after="0" w:line="240" w:lineRule="auto"/>
              <w:rPr>
                <w:rFonts w:ascii="Arial" w:hAnsi="Arial" w:cs="Arial"/>
                <w:color w:val="39414D"/>
                <w:sz w:val="16"/>
                <w:szCs w:val="16"/>
              </w:rPr>
            </w:pPr>
            <w:r w:rsidRPr="00651448">
              <w:rPr>
                <w:rFonts w:ascii="Arial" w:hAnsi="Arial" w:cs="Arial"/>
                <w:color w:val="39414D"/>
                <w:sz w:val="16"/>
                <w:szCs w:val="16"/>
              </w:rPr>
              <w:t>FQHC Adjustment</w:t>
            </w:r>
          </w:p>
        </w:tc>
        <w:tc>
          <w:tcPr>
            <w:tcW w:w="1890" w:type="dxa"/>
            <w:tcBorders>
              <w:top w:val="nil"/>
              <w:left w:val="nil"/>
              <w:bottom w:val="nil"/>
              <w:right w:val="nil"/>
            </w:tcBorders>
            <w:shd w:val="clear" w:color="auto" w:fill="E8E9E9"/>
            <w:noWrap/>
            <w:vAlign w:val="center"/>
          </w:tcPr>
          <w:p w14:paraId="15AC9B99" w14:textId="08BCCC5E" w:rsidR="00AD0A75" w:rsidRPr="00651448" w:rsidRDefault="00AD0A75" w:rsidP="00AD0A75">
            <w:pPr>
              <w:spacing w:after="0" w:line="240" w:lineRule="auto"/>
              <w:rPr>
                <w:rFonts w:ascii="Arial" w:hAnsi="Arial" w:cs="Arial"/>
                <w:color w:val="39414D"/>
                <w:sz w:val="16"/>
                <w:szCs w:val="16"/>
              </w:rPr>
            </w:pPr>
            <w:r w:rsidRPr="00651448">
              <w:rPr>
                <w:rFonts w:ascii="Arial" w:hAnsi="Arial" w:cs="Arial"/>
                <w:color w:val="39414D"/>
                <w:sz w:val="16"/>
                <w:szCs w:val="16"/>
              </w:rPr>
              <w:t>Professional / LTSS</w:t>
            </w:r>
          </w:p>
        </w:tc>
        <w:tc>
          <w:tcPr>
            <w:tcW w:w="1152" w:type="dxa"/>
            <w:tcBorders>
              <w:top w:val="nil"/>
              <w:left w:val="nil"/>
              <w:bottom w:val="nil"/>
              <w:right w:val="nil"/>
            </w:tcBorders>
            <w:shd w:val="clear" w:color="auto" w:fill="E8E9E9"/>
            <w:noWrap/>
            <w:vAlign w:val="center"/>
          </w:tcPr>
          <w:p w14:paraId="19D9FC6C" w14:textId="4DF8EF97"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16.7% </w:t>
            </w:r>
          </w:p>
        </w:tc>
        <w:tc>
          <w:tcPr>
            <w:tcW w:w="1152" w:type="dxa"/>
            <w:tcBorders>
              <w:top w:val="nil"/>
              <w:left w:val="nil"/>
              <w:bottom w:val="nil"/>
              <w:right w:val="nil"/>
            </w:tcBorders>
            <w:shd w:val="clear" w:color="auto" w:fill="E8E9E9"/>
            <w:noWrap/>
            <w:vAlign w:val="center"/>
          </w:tcPr>
          <w:p w14:paraId="5AB58BC8" w14:textId="620C4B98"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3.6% </w:t>
            </w:r>
          </w:p>
        </w:tc>
        <w:tc>
          <w:tcPr>
            <w:tcW w:w="1152" w:type="dxa"/>
            <w:tcBorders>
              <w:top w:val="nil"/>
              <w:left w:val="nil"/>
              <w:bottom w:val="nil"/>
              <w:right w:val="nil"/>
            </w:tcBorders>
            <w:shd w:val="clear" w:color="auto" w:fill="E8E9E9"/>
            <w:noWrap/>
            <w:vAlign w:val="center"/>
          </w:tcPr>
          <w:p w14:paraId="01C05B9D" w14:textId="0CBCFAF6"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13.7% </w:t>
            </w:r>
          </w:p>
        </w:tc>
        <w:tc>
          <w:tcPr>
            <w:tcW w:w="1152" w:type="dxa"/>
            <w:tcBorders>
              <w:top w:val="nil"/>
              <w:left w:val="nil"/>
              <w:bottom w:val="nil"/>
              <w:right w:val="nil"/>
            </w:tcBorders>
            <w:shd w:val="clear" w:color="auto" w:fill="E8E9E9"/>
            <w:noWrap/>
            <w:vAlign w:val="center"/>
          </w:tcPr>
          <w:p w14:paraId="4B875559" w14:textId="48F462B1"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7.8% </w:t>
            </w:r>
          </w:p>
        </w:tc>
        <w:tc>
          <w:tcPr>
            <w:tcW w:w="1152" w:type="dxa"/>
            <w:tcBorders>
              <w:top w:val="nil"/>
              <w:left w:val="nil"/>
              <w:bottom w:val="nil"/>
              <w:right w:val="nil"/>
            </w:tcBorders>
            <w:shd w:val="clear" w:color="auto" w:fill="E8E9E9"/>
            <w:noWrap/>
            <w:vAlign w:val="center"/>
          </w:tcPr>
          <w:p w14:paraId="21E223D5" w14:textId="627B0A66"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13.2% </w:t>
            </w:r>
          </w:p>
        </w:tc>
      </w:tr>
      <w:tr w:rsidR="00AD0A75" w:rsidRPr="00695CC9" w14:paraId="339B3A0D" w14:textId="77777777" w:rsidTr="00651448">
        <w:trPr>
          <w:trHeight w:val="255"/>
        </w:trPr>
        <w:tc>
          <w:tcPr>
            <w:tcW w:w="1890" w:type="dxa"/>
            <w:tcBorders>
              <w:top w:val="nil"/>
              <w:left w:val="nil"/>
              <w:bottom w:val="nil"/>
              <w:right w:val="nil"/>
            </w:tcBorders>
            <w:shd w:val="clear" w:color="auto" w:fill="auto"/>
            <w:noWrap/>
            <w:vAlign w:val="center"/>
          </w:tcPr>
          <w:p w14:paraId="4817BE8E" w14:textId="07B1EE76" w:rsidR="00AD0A75" w:rsidRPr="00651448" w:rsidRDefault="00AD0A75" w:rsidP="00AD0A75">
            <w:pPr>
              <w:spacing w:after="0" w:line="240" w:lineRule="auto"/>
              <w:rPr>
                <w:rFonts w:ascii="Arial" w:hAnsi="Arial" w:cs="Arial"/>
                <w:color w:val="39414D"/>
                <w:sz w:val="16"/>
                <w:szCs w:val="16"/>
              </w:rPr>
            </w:pPr>
            <w:r w:rsidRPr="00651448">
              <w:rPr>
                <w:rFonts w:ascii="Arial" w:hAnsi="Arial" w:cs="Arial"/>
                <w:color w:val="39414D"/>
                <w:sz w:val="16"/>
                <w:szCs w:val="16"/>
              </w:rPr>
              <w:t>Level IV Detoxification</w:t>
            </w:r>
          </w:p>
        </w:tc>
        <w:tc>
          <w:tcPr>
            <w:tcW w:w="1890" w:type="dxa"/>
            <w:tcBorders>
              <w:top w:val="nil"/>
              <w:left w:val="nil"/>
              <w:bottom w:val="nil"/>
              <w:right w:val="nil"/>
            </w:tcBorders>
            <w:shd w:val="clear" w:color="auto" w:fill="auto"/>
            <w:noWrap/>
            <w:vAlign w:val="center"/>
          </w:tcPr>
          <w:p w14:paraId="51F63609" w14:textId="5015CC34" w:rsidR="00AD0A75" w:rsidRPr="00651448" w:rsidRDefault="00AD0A75" w:rsidP="00AD0A75">
            <w:pPr>
              <w:spacing w:after="0" w:line="240" w:lineRule="auto"/>
              <w:rPr>
                <w:rFonts w:ascii="Arial" w:hAnsi="Arial" w:cs="Arial"/>
                <w:color w:val="39414D"/>
                <w:sz w:val="16"/>
                <w:szCs w:val="16"/>
              </w:rPr>
            </w:pPr>
            <w:r w:rsidRPr="00651448">
              <w:rPr>
                <w:rFonts w:ascii="Arial" w:hAnsi="Arial" w:cs="Arial"/>
                <w:color w:val="39414D"/>
                <w:sz w:val="16"/>
                <w:szCs w:val="16"/>
              </w:rPr>
              <w:t>Inpatient Hospital</w:t>
            </w:r>
          </w:p>
        </w:tc>
        <w:tc>
          <w:tcPr>
            <w:tcW w:w="1152" w:type="dxa"/>
            <w:tcBorders>
              <w:top w:val="nil"/>
              <w:left w:val="nil"/>
              <w:bottom w:val="nil"/>
              <w:right w:val="nil"/>
            </w:tcBorders>
            <w:shd w:val="clear" w:color="auto" w:fill="auto"/>
            <w:noWrap/>
            <w:vAlign w:val="center"/>
          </w:tcPr>
          <w:p w14:paraId="6D83D90C" w14:textId="37C6E1D5"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0.1% </w:t>
            </w:r>
          </w:p>
        </w:tc>
        <w:tc>
          <w:tcPr>
            <w:tcW w:w="1152" w:type="dxa"/>
            <w:tcBorders>
              <w:top w:val="nil"/>
              <w:left w:val="nil"/>
              <w:bottom w:val="nil"/>
              <w:right w:val="nil"/>
            </w:tcBorders>
            <w:shd w:val="clear" w:color="auto" w:fill="auto"/>
            <w:noWrap/>
            <w:vAlign w:val="center"/>
          </w:tcPr>
          <w:p w14:paraId="762AA322" w14:textId="1A343A0D"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0.0% </w:t>
            </w:r>
          </w:p>
        </w:tc>
        <w:tc>
          <w:tcPr>
            <w:tcW w:w="1152" w:type="dxa"/>
            <w:tcBorders>
              <w:top w:val="nil"/>
              <w:left w:val="nil"/>
              <w:bottom w:val="nil"/>
              <w:right w:val="nil"/>
            </w:tcBorders>
            <w:shd w:val="clear" w:color="auto" w:fill="auto"/>
            <w:noWrap/>
            <w:vAlign w:val="center"/>
          </w:tcPr>
          <w:p w14:paraId="5CC14044" w14:textId="034BB4CD"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0.8% </w:t>
            </w:r>
          </w:p>
        </w:tc>
        <w:tc>
          <w:tcPr>
            <w:tcW w:w="1152" w:type="dxa"/>
            <w:tcBorders>
              <w:top w:val="nil"/>
              <w:left w:val="nil"/>
              <w:bottom w:val="nil"/>
              <w:right w:val="nil"/>
            </w:tcBorders>
            <w:shd w:val="clear" w:color="auto" w:fill="auto"/>
            <w:noWrap/>
            <w:vAlign w:val="center"/>
          </w:tcPr>
          <w:p w14:paraId="7CCB66B6" w14:textId="2F1CB242"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0.4% </w:t>
            </w:r>
          </w:p>
        </w:tc>
        <w:tc>
          <w:tcPr>
            <w:tcW w:w="1152" w:type="dxa"/>
            <w:tcBorders>
              <w:top w:val="nil"/>
              <w:left w:val="nil"/>
              <w:bottom w:val="nil"/>
              <w:right w:val="nil"/>
            </w:tcBorders>
            <w:shd w:val="clear" w:color="auto" w:fill="auto"/>
            <w:noWrap/>
            <w:vAlign w:val="center"/>
          </w:tcPr>
          <w:p w14:paraId="2230578B" w14:textId="4CEFB850" w:rsidR="00AD0A75" w:rsidRPr="00651448" w:rsidRDefault="00AD0A75" w:rsidP="00AD0A75">
            <w:pPr>
              <w:spacing w:after="0" w:line="240" w:lineRule="auto"/>
              <w:jc w:val="right"/>
              <w:rPr>
                <w:rFonts w:ascii="Arial" w:hAnsi="Arial" w:cs="Arial"/>
                <w:color w:val="39414D"/>
                <w:sz w:val="16"/>
                <w:szCs w:val="16"/>
              </w:rPr>
            </w:pPr>
            <w:r w:rsidRPr="00651448">
              <w:rPr>
                <w:rFonts w:ascii="Arial" w:hAnsi="Arial" w:cs="Arial"/>
                <w:color w:val="39414D"/>
                <w:sz w:val="16"/>
                <w:szCs w:val="16"/>
              </w:rPr>
              <w:t xml:space="preserve">0.0% </w:t>
            </w:r>
          </w:p>
        </w:tc>
      </w:tr>
    </w:tbl>
    <w:p w14:paraId="52482B55" w14:textId="01DEBA8B" w:rsidR="00456286" w:rsidRPr="00920110" w:rsidRDefault="00456286" w:rsidP="00456286">
      <w:pPr>
        <w:pStyle w:val="RRNumberedBullet1"/>
        <w:numPr>
          <w:ilvl w:val="0"/>
          <w:numId w:val="0"/>
        </w:numPr>
        <w:spacing w:before="120" w:after="120"/>
        <w:ind w:left="360" w:hanging="360"/>
        <w:jc w:val="both"/>
        <w:rPr>
          <w:sz w:val="16"/>
          <w:szCs w:val="20"/>
        </w:rPr>
      </w:pPr>
      <w:r w:rsidRPr="00920110">
        <w:rPr>
          <w:rFonts w:ascii="Arial" w:eastAsia="Times New Roman" w:hAnsi="Arial" w:cs="Arial"/>
          <w:color w:val="727A7D"/>
          <w:sz w:val="16"/>
          <w:szCs w:val="16"/>
        </w:rPr>
        <w:t>Note: The percentages illustrated are specific to the category of service impacted.</w:t>
      </w:r>
    </w:p>
    <w:p w14:paraId="4479E1EC" w14:textId="741E5F0A" w:rsidR="00886B3B" w:rsidRPr="00920110" w:rsidRDefault="00886B3B" w:rsidP="00886B3B">
      <w:pPr>
        <w:pStyle w:val="RRNumberedBullet1"/>
        <w:numPr>
          <w:ilvl w:val="0"/>
          <w:numId w:val="52"/>
        </w:numPr>
        <w:spacing w:before="60" w:after="120"/>
        <w:jc w:val="both"/>
        <w:rPr>
          <w:b/>
        </w:rPr>
      </w:pPr>
      <w:r>
        <w:rPr>
          <w:b/>
        </w:rPr>
        <w:t xml:space="preserve">Respite Care: </w:t>
      </w:r>
      <w:r w:rsidRPr="00B85270">
        <w:rPr>
          <w:bCs/>
        </w:rPr>
        <w:t>EO</w:t>
      </w:r>
      <w:r>
        <w:rPr>
          <w:bCs/>
        </w:rPr>
        <w:t xml:space="preserve">HHS doubled the number of hours of respite care available to the CSHCN </w:t>
      </w:r>
      <w:r w:rsidR="0082724D">
        <w:rPr>
          <w:bCs/>
        </w:rPr>
        <w:t xml:space="preserve">and RIte Care </w:t>
      </w:r>
      <w:r>
        <w:rPr>
          <w:bCs/>
        </w:rPr>
        <w:t>population</w:t>
      </w:r>
      <w:r w:rsidR="0082724D">
        <w:rPr>
          <w:bCs/>
        </w:rPr>
        <w:t>s</w:t>
      </w:r>
      <w:r>
        <w:rPr>
          <w:bCs/>
        </w:rPr>
        <w:t>. This change was made in response to COVID</w:t>
      </w:r>
      <w:r w:rsidR="00A44713">
        <w:rPr>
          <w:bCs/>
        </w:rPr>
        <w:t>-19</w:t>
      </w:r>
      <w:r>
        <w:rPr>
          <w:bCs/>
        </w:rPr>
        <w:t xml:space="preserve"> and will continue in the SFY </w:t>
      </w:r>
      <w:r w:rsidR="0082724D">
        <w:rPr>
          <w:bCs/>
        </w:rPr>
        <w:t xml:space="preserve">2023 </w:t>
      </w:r>
      <w:r>
        <w:rPr>
          <w:bCs/>
        </w:rPr>
        <w:t xml:space="preserve">rating period. We </w:t>
      </w:r>
      <w:r w:rsidR="00A44713">
        <w:rPr>
          <w:bCs/>
        </w:rPr>
        <w:t xml:space="preserve">developed </w:t>
      </w:r>
      <w:r>
        <w:rPr>
          <w:bCs/>
        </w:rPr>
        <w:t xml:space="preserve">the adjustment based on the </w:t>
      </w:r>
      <w:r w:rsidR="00A44713">
        <w:rPr>
          <w:bCs/>
        </w:rPr>
        <w:t xml:space="preserve">additional respite care </w:t>
      </w:r>
      <w:r>
        <w:rPr>
          <w:bCs/>
        </w:rPr>
        <w:t xml:space="preserve">cost </w:t>
      </w:r>
      <w:r w:rsidR="00A44713">
        <w:rPr>
          <w:bCs/>
        </w:rPr>
        <w:t xml:space="preserve">estimate </w:t>
      </w:r>
      <w:r>
        <w:rPr>
          <w:bCs/>
        </w:rPr>
        <w:t>provided by EOHHS. This resulted in a</w:t>
      </w:r>
      <w:r w:rsidR="00A82A00">
        <w:rPr>
          <w:bCs/>
        </w:rPr>
        <w:t xml:space="preserve"> LTSS service cost </w:t>
      </w:r>
      <w:r>
        <w:rPr>
          <w:bCs/>
        </w:rPr>
        <w:t xml:space="preserve">increase of </w:t>
      </w:r>
      <w:r w:rsidR="006927A0">
        <w:rPr>
          <w:bCs/>
        </w:rPr>
        <w:t>2.0</w:t>
      </w:r>
      <w:r w:rsidR="00A02328">
        <w:rPr>
          <w:bCs/>
        </w:rPr>
        <w:t>%</w:t>
      </w:r>
      <w:r>
        <w:rPr>
          <w:bCs/>
        </w:rPr>
        <w:t xml:space="preserve"> for the CSHCN population</w:t>
      </w:r>
      <w:r w:rsidR="0082724D">
        <w:rPr>
          <w:bCs/>
        </w:rPr>
        <w:t xml:space="preserve"> and an increase of </w:t>
      </w:r>
      <w:r w:rsidR="006927A0">
        <w:rPr>
          <w:bCs/>
        </w:rPr>
        <w:t>1.1</w:t>
      </w:r>
      <w:r w:rsidR="0082724D">
        <w:rPr>
          <w:bCs/>
        </w:rPr>
        <w:t>% for the RIte Care population</w:t>
      </w:r>
      <w:r>
        <w:rPr>
          <w:bCs/>
        </w:rPr>
        <w:t>.</w:t>
      </w:r>
    </w:p>
    <w:p w14:paraId="7FACD729" w14:textId="047C58DB" w:rsidR="00C40967" w:rsidRDefault="0082724D" w:rsidP="0082724D">
      <w:pPr>
        <w:pStyle w:val="RRNumberedBullet1"/>
        <w:numPr>
          <w:ilvl w:val="0"/>
          <w:numId w:val="52"/>
        </w:numPr>
        <w:spacing w:before="60"/>
        <w:jc w:val="both"/>
      </w:pPr>
      <w:r w:rsidRPr="00F63AAD">
        <w:rPr>
          <w:b/>
        </w:rPr>
        <w:t xml:space="preserve">COVID-19 Testing Adjustment: </w:t>
      </w:r>
      <w:r>
        <w:t xml:space="preserve">An adjustment was included to reflect the additional cost of COVID-19 testing incurred by the MCOs in SFY 2023. We </w:t>
      </w:r>
      <w:r w:rsidR="00DE2E70">
        <w:t xml:space="preserve">considered historical and emerging </w:t>
      </w:r>
      <w:r>
        <w:t>COVID-19 testing levels</w:t>
      </w:r>
      <w:r w:rsidR="00A82A00">
        <w:t xml:space="preserve">, </w:t>
      </w:r>
      <w:r w:rsidR="00DE2E70">
        <w:t xml:space="preserve">the impact of COVID-19 vaccines and prevalence rates, and </w:t>
      </w:r>
      <w:r w:rsidR="00A82A00">
        <w:t xml:space="preserve">the impact of over-the-counter testing </w:t>
      </w:r>
      <w:r w:rsidR="00DE2E70">
        <w:t xml:space="preserve">utilization </w:t>
      </w:r>
      <w:r>
        <w:t>to estimate the SFY 202</w:t>
      </w:r>
      <w:r w:rsidR="00DE2E70">
        <w:t>3</w:t>
      </w:r>
      <w:r>
        <w:t xml:space="preserve"> COVID-19 testing cost. </w:t>
      </w:r>
      <w:r w:rsidRPr="00E54F84">
        <w:t>Additional</w:t>
      </w:r>
      <w:r>
        <w:t xml:space="preserve"> consideration of COVID-19 impacts is discussed in Section I.3.B.iii, Projected Benefit Cost Trends.</w:t>
      </w:r>
    </w:p>
    <w:p w14:paraId="54171150" w14:textId="77777777" w:rsidR="00F67BC5" w:rsidRDefault="00C40967" w:rsidP="00920110">
      <w:pPr>
        <w:pStyle w:val="RRNumberedBullet1"/>
        <w:numPr>
          <w:ilvl w:val="0"/>
          <w:numId w:val="52"/>
        </w:numPr>
        <w:jc w:val="both"/>
      </w:pPr>
      <w:r w:rsidRPr="00CC5932">
        <w:rPr>
          <w:b/>
        </w:rPr>
        <w:t>Doula Service</w:t>
      </w:r>
      <w:r>
        <w:rPr>
          <w:b/>
        </w:rPr>
        <w:t xml:space="preserve"> Addition</w:t>
      </w:r>
      <w:r w:rsidRPr="00CC5932">
        <w:rPr>
          <w:b/>
        </w:rPr>
        <w:t>:</w:t>
      </w:r>
      <w:r w:rsidRPr="00D00FAA">
        <w:t xml:space="preserve"> </w:t>
      </w:r>
      <w:r>
        <w:t xml:space="preserve">EOHHS </w:t>
      </w:r>
      <w:r w:rsidR="00DE2E70">
        <w:t>submitted</w:t>
      </w:r>
      <w:r>
        <w:t xml:space="preserve"> a state plan amendment to add coverage for doula services to the managed care benefit package effective July 1, 202</w:t>
      </w:r>
      <w:r w:rsidR="00DE2E70">
        <w:t>1</w:t>
      </w:r>
      <w:r>
        <w:t xml:space="preserve">. </w:t>
      </w:r>
    </w:p>
    <w:p w14:paraId="1C111712" w14:textId="14001F41" w:rsidR="0082724D" w:rsidRPr="00920110" w:rsidRDefault="00F67BC5" w:rsidP="00F67BC5">
      <w:pPr>
        <w:pStyle w:val="RRNumberedBullet1"/>
        <w:numPr>
          <w:ilvl w:val="0"/>
          <w:numId w:val="0"/>
        </w:numPr>
        <w:ind w:left="360"/>
        <w:jc w:val="both"/>
      </w:pPr>
      <w:r>
        <w:br w:type="column"/>
      </w:r>
      <w:r w:rsidR="00C40967">
        <w:lastRenderedPageBreak/>
        <w:t>Doula services will be reimbursed on a fee-for-service basis at an amount not to exceed $1,500 per pregnancy. We estimated 10% of maternity deliveries would include the use of doula services.</w:t>
      </w:r>
    </w:p>
    <w:p w14:paraId="7049874A" w14:textId="735C6760" w:rsidR="00F645F2" w:rsidRPr="005B5634" w:rsidRDefault="00C66314" w:rsidP="00E54F84">
      <w:pPr>
        <w:pStyle w:val="RRNumberedBullet1"/>
        <w:numPr>
          <w:ilvl w:val="0"/>
          <w:numId w:val="52"/>
        </w:numPr>
        <w:spacing w:before="60"/>
        <w:jc w:val="both"/>
      </w:pPr>
      <w:r>
        <w:rPr>
          <w:b/>
          <w:bCs/>
        </w:rPr>
        <w:t xml:space="preserve">Psychiatric </w:t>
      </w:r>
      <w:r w:rsidR="00F645F2" w:rsidRPr="005B5634">
        <w:rPr>
          <w:b/>
          <w:bCs/>
        </w:rPr>
        <w:t>IMD:</w:t>
      </w:r>
      <w:r w:rsidR="00F645F2">
        <w:t xml:space="preserve"> </w:t>
      </w:r>
      <w:r>
        <w:t>P</w:t>
      </w:r>
      <w:r w:rsidRPr="00C66314">
        <w:t xml:space="preserve">sychiatric IMD stays for members </w:t>
      </w:r>
      <w:r>
        <w:t xml:space="preserve">ages 21 through 64 </w:t>
      </w:r>
      <w:r w:rsidRPr="00C66314">
        <w:t>up to 15 days per month were repriced to the EOHHS inpatient hospital APR-DRG estimated per diem rate. Member months and services incurred during psychiatric IMD stays exceeding 15 days in a month (including non-IMD expenditures) were removed</w:t>
      </w:r>
      <w:r w:rsidR="00F645F2" w:rsidRPr="00F645F2">
        <w:t>.</w:t>
      </w:r>
      <w:r>
        <w:t xml:space="preserve"> The </w:t>
      </w:r>
      <w:r w:rsidR="005B5634">
        <w:t xml:space="preserve">psychiatric </w:t>
      </w:r>
      <w:r>
        <w:t xml:space="preserve">IMD adjustment reflects the net impact of these two </w:t>
      </w:r>
      <w:r w:rsidR="005B5634">
        <w:t>items.</w:t>
      </w:r>
    </w:p>
    <w:p w14:paraId="5EEE9117" w14:textId="63AC9E80" w:rsidR="001B7845" w:rsidRDefault="00FF01B5" w:rsidP="00E54F84">
      <w:pPr>
        <w:pStyle w:val="RRNumberedBullet1"/>
        <w:numPr>
          <w:ilvl w:val="0"/>
          <w:numId w:val="52"/>
        </w:numPr>
        <w:spacing w:before="60"/>
        <w:jc w:val="both"/>
      </w:pPr>
      <w:r w:rsidRPr="007E04B3">
        <w:rPr>
          <w:b/>
          <w:bCs/>
        </w:rPr>
        <w:t>Pharmacy Spread and Targeted Reimbursement</w:t>
      </w:r>
      <w:r w:rsidR="00FA2449" w:rsidRPr="007E04B3">
        <w:rPr>
          <w:b/>
        </w:rPr>
        <w:t xml:space="preserve">: </w:t>
      </w:r>
      <w:r w:rsidR="001B7845">
        <w:t>P</w:t>
      </w:r>
      <w:r>
        <w:t xml:space="preserve">harmacy experience </w:t>
      </w:r>
      <w:r w:rsidR="008D6D12">
        <w:t>was</w:t>
      </w:r>
      <w:r>
        <w:t xml:space="preserve"> re-priced to </w:t>
      </w:r>
      <w:r w:rsidRPr="00A56D25">
        <w:t>benchmarks relative to average wholesale price (AWP)</w:t>
      </w:r>
      <w:r>
        <w:t xml:space="preserve">. The target </w:t>
      </w:r>
      <w:r w:rsidR="008D6D12">
        <w:t>was</w:t>
      </w:r>
      <w:r>
        <w:t xml:space="preserve"> based on our review of the </w:t>
      </w:r>
      <w:r w:rsidR="001B7845">
        <w:t xml:space="preserve">AWP discounts in the </w:t>
      </w:r>
      <w:r>
        <w:t xml:space="preserve">Rhode Island Medicaid managed care and other state markets. </w:t>
      </w:r>
      <w:r w:rsidR="007F6C0B">
        <w:t xml:space="preserve">Figure </w:t>
      </w:r>
      <w:r w:rsidR="00C40967">
        <w:t xml:space="preserve">11 </w:t>
      </w:r>
      <w:r w:rsidR="007F6C0B">
        <w:t xml:space="preserve">illustrates the targeted AWP discount utilized for brand and generic drugs. </w:t>
      </w:r>
      <w:r w:rsidR="00710758" w:rsidRPr="00710758">
        <w:t>Pharmacy experience was categorized as brand or generic based on national drug code (NDC) level definitions contained in Medi-span reference data sets, with trademarked single-source and multi-source brand drugs being classified as brand</w:t>
      </w:r>
      <w:r w:rsidR="00154D66">
        <w:t xml:space="preserve">. </w:t>
      </w:r>
      <w:r w:rsidR="007F6C0B">
        <w:t>Targets were developed separately for children and adults, which was determined at the rate cell level (RIte Care children in the age 15-44 rate cells were included with the adult group).</w:t>
      </w:r>
    </w:p>
    <w:tbl>
      <w:tblPr>
        <w:tblW w:w="3690" w:type="dxa"/>
        <w:tblInd w:w="360" w:type="dxa"/>
        <w:tblLook w:val="04A0" w:firstRow="1" w:lastRow="0" w:firstColumn="1" w:lastColumn="0" w:noHBand="0" w:noVBand="1"/>
      </w:tblPr>
      <w:tblGrid>
        <w:gridCol w:w="1620"/>
        <w:gridCol w:w="1080"/>
        <w:gridCol w:w="990"/>
      </w:tblGrid>
      <w:tr w:rsidR="001B7845" w:rsidRPr="00805CB3" w14:paraId="15ED2E3A" w14:textId="77777777" w:rsidTr="00A02328">
        <w:trPr>
          <w:trHeight w:val="240"/>
        </w:trPr>
        <w:tc>
          <w:tcPr>
            <w:tcW w:w="3690" w:type="dxa"/>
            <w:gridSpan w:val="3"/>
            <w:tcBorders>
              <w:top w:val="single" w:sz="4" w:space="0" w:color="E8E9E9"/>
              <w:left w:val="nil"/>
              <w:bottom w:val="nil"/>
              <w:right w:val="nil"/>
            </w:tcBorders>
            <w:shd w:val="clear" w:color="auto" w:fill="auto"/>
            <w:noWrap/>
            <w:vAlign w:val="bottom"/>
            <w:hideMark/>
          </w:tcPr>
          <w:p w14:paraId="4E0733E7" w14:textId="5E9297A7" w:rsidR="001B7845" w:rsidRPr="00805CB3" w:rsidRDefault="001B7845" w:rsidP="008E437D">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Pr="00805CB3">
              <w:rPr>
                <w:rFonts w:ascii="Arial" w:eastAsia="Times New Roman" w:hAnsi="Arial" w:cs="Arial"/>
                <w:b/>
                <w:bCs/>
                <w:color w:val="0081E3"/>
                <w:szCs w:val="18"/>
              </w:rPr>
              <w:t xml:space="preserve"> </w:t>
            </w:r>
            <w:r w:rsidR="00074255">
              <w:rPr>
                <w:rFonts w:ascii="Arial" w:eastAsia="Times New Roman" w:hAnsi="Arial" w:cs="Arial"/>
                <w:b/>
                <w:bCs/>
                <w:color w:val="0081E3"/>
                <w:szCs w:val="18"/>
              </w:rPr>
              <w:t>11</w:t>
            </w:r>
            <w:r>
              <w:rPr>
                <w:rFonts w:ascii="Arial" w:eastAsia="Times New Roman" w:hAnsi="Arial" w:cs="Arial"/>
                <w:b/>
                <w:bCs/>
                <w:color w:val="0081E3"/>
                <w:szCs w:val="18"/>
              </w:rPr>
              <w:t xml:space="preserve">: </w:t>
            </w:r>
            <w:r w:rsidR="007F6C0B">
              <w:rPr>
                <w:rFonts w:ascii="Arial" w:eastAsia="Times New Roman" w:hAnsi="Arial" w:cs="Arial"/>
                <w:b/>
                <w:bCs/>
                <w:color w:val="0081E3"/>
                <w:szCs w:val="18"/>
              </w:rPr>
              <w:t xml:space="preserve">AWP </w:t>
            </w:r>
            <w:r w:rsidR="007F6C0B" w:rsidRPr="00562515">
              <w:rPr>
                <w:rFonts w:ascii="Arial" w:eastAsia="Times New Roman" w:hAnsi="Arial" w:cs="Arial"/>
                <w:b/>
                <w:bCs/>
                <w:caps/>
                <w:color w:val="0081E3"/>
                <w:szCs w:val="18"/>
              </w:rPr>
              <w:t>Discount Target</w:t>
            </w:r>
          </w:p>
        </w:tc>
      </w:tr>
      <w:tr w:rsidR="001B7845" w:rsidRPr="00805CB3" w14:paraId="6C3A298B" w14:textId="77777777" w:rsidTr="00A02328">
        <w:trPr>
          <w:trHeight w:val="342"/>
        </w:trPr>
        <w:tc>
          <w:tcPr>
            <w:tcW w:w="1620" w:type="dxa"/>
            <w:tcBorders>
              <w:top w:val="nil"/>
              <w:left w:val="nil"/>
              <w:bottom w:val="single" w:sz="4" w:space="0" w:color="C6C9CA"/>
              <w:right w:val="nil"/>
            </w:tcBorders>
            <w:shd w:val="clear" w:color="auto" w:fill="auto"/>
            <w:vAlign w:val="bottom"/>
            <w:hideMark/>
          </w:tcPr>
          <w:p w14:paraId="471325B6" w14:textId="77777777" w:rsidR="001B7845" w:rsidRPr="00805CB3" w:rsidRDefault="001B7845" w:rsidP="008E437D">
            <w:pPr>
              <w:spacing w:after="0" w:line="240" w:lineRule="auto"/>
              <w:rPr>
                <w:rFonts w:ascii="Arial" w:eastAsia="Times New Roman" w:hAnsi="Arial" w:cs="Arial"/>
                <w:b/>
                <w:bCs/>
                <w:color w:val="39414D"/>
                <w:szCs w:val="18"/>
              </w:rPr>
            </w:pPr>
            <w:r>
              <w:rPr>
                <w:rFonts w:ascii="Arial" w:hAnsi="Arial" w:cs="Arial"/>
                <w:b/>
                <w:bCs/>
                <w:color w:val="39414D"/>
                <w:szCs w:val="18"/>
              </w:rPr>
              <w:t>Population</w:t>
            </w:r>
          </w:p>
        </w:tc>
        <w:tc>
          <w:tcPr>
            <w:tcW w:w="1080" w:type="dxa"/>
            <w:tcBorders>
              <w:top w:val="nil"/>
              <w:left w:val="nil"/>
              <w:bottom w:val="single" w:sz="4" w:space="0" w:color="C6C9CA"/>
              <w:right w:val="nil"/>
            </w:tcBorders>
            <w:shd w:val="clear" w:color="auto" w:fill="auto"/>
            <w:vAlign w:val="bottom"/>
            <w:hideMark/>
          </w:tcPr>
          <w:p w14:paraId="449A8B43" w14:textId="57E0B160" w:rsidR="001B7845" w:rsidRPr="00805CB3" w:rsidRDefault="007F6C0B" w:rsidP="008E437D">
            <w:pPr>
              <w:spacing w:after="0" w:line="240" w:lineRule="auto"/>
              <w:jc w:val="center"/>
              <w:rPr>
                <w:rFonts w:ascii="Arial" w:eastAsia="Times New Roman" w:hAnsi="Arial" w:cs="Arial"/>
                <w:b/>
                <w:bCs/>
                <w:color w:val="39414D"/>
                <w:szCs w:val="18"/>
              </w:rPr>
            </w:pPr>
            <w:r>
              <w:rPr>
                <w:rFonts w:ascii="Arial" w:hAnsi="Arial" w:cs="Arial"/>
                <w:b/>
                <w:bCs/>
                <w:color w:val="39414D"/>
                <w:szCs w:val="18"/>
              </w:rPr>
              <w:t>Generic</w:t>
            </w:r>
          </w:p>
        </w:tc>
        <w:tc>
          <w:tcPr>
            <w:tcW w:w="990" w:type="dxa"/>
            <w:tcBorders>
              <w:top w:val="nil"/>
              <w:left w:val="nil"/>
              <w:bottom w:val="single" w:sz="4" w:space="0" w:color="C6C9CA"/>
              <w:right w:val="nil"/>
            </w:tcBorders>
            <w:shd w:val="clear" w:color="auto" w:fill="auto"/>
            <w:vAlign w:val="bottom"/>
            <w:hideMark/>
          </w:tcPr>
          <w:p w14:paraId="77DD6280" w14:textId="43CF86B3" w:rsidR="001B7845" w:rsidRPr="00805CB3" w:rsidRDefault="007F6C0B" w:rsidP="0018234E">
            <w:pPr>
              <w:spacing w:after="0" w:line="240" w:lineRule="auto"/>
              <w:jc w:val="center"/>
              <w:rPr>
                <w:rFonts w:ascii="Arial" w:eastAsia="Times New Roman" w:hAnsi="Arial" w:cs="Arial"/>
                <w:b/>
                <w:bCs/>
                <w:color w:val="39414D"/>
                <w:szCs w:val="18"/>
              </w:rPr>
            </w:pPr>
            <w:r>
              <w:rPr>
                <w:rFonts w:ascii="Arial" w:hAnsi="Arial" w:cs="Arial"/>
                <w:b/>
                <w:bCs/>
                <w:color w:val="39414D"/>
                <w:szCs w:val="18"/>
              </w:rPr>
              <w:t>Brand</w:t>
            </w:r>
          </w:p>
        </w:tc>
      </w:tr>
      <w:tr w:rsidR="00010C28" w:rsidRPr="00805CB3" w14:paraId="505B4DBA" w14:textId="77777777" w:rsidTr="00A02328">
        <w:trPr>
          <w:trHeight w:val="240"/>
        </w:trPr>
        <w:tc>
          <w:tcPr>
            <w:tcW w:w="1620" w:type="dxa"/>
            <w:tcBorders>
              <w:top w:val="nil"/>
              <w:left w:val="nil"/>
              <w:bottom w:val="nil"/>
              <w:right w:val="nil"/>
            </w:tcBorders>
            <w:shd w:val="clear" w:color="auto" w:fill="auto"/>
            <w:noWrap/>
            <w:vAlign w:val="center"/>
            <w:hideMark/>
          </w:tcPr>
          <w:p w14:paraId="0E58B7D4" w14:textId="0A3C38BE" w:rsidR="00010C28" w:rsidRPr="00805CB3" w:rsidRDefault="00010C28">
            <w:pPr>
              <w:spacing w:after="0" w:line="240" w:lineRule="auto"/>
              <w:rPr>
                <w:rFonts w:ascii="Arial" w:eastAsia="Times New Roman" w:hAnsi="Arial" w:cs="Arial"/>
                <w:color w:val="39414D"/>
                <w:szCs w:val="18"/>
              </w:rPr>
            </w:pPr>
            <w:r>
              <w:rPr>
                <w:rFonts w:ascii="Arial" w:hAnsi="Arial" w:cs="Arial"/>
                <w:color w:val="39414D"/>
                <w:szCs w:val="18"/>
              </w:rPr>
              <w:t>Child</w:t>
            </w:r>
          </w:p>
        </w:tc>
        <w:tc>
          <w:tcPr>
            <w:tcW w:w="1080" w:type="dxa"/>
            <w:tcBorders>
              <w:top w:val="nil"/>
              <w:left w:val="nil"/>
              <w:bottom w:val="nil"/>
              <w:right w:val="nil"/>
            </w:tcBorders>
            <w:shd w:val="clear" w:color="auto" w:fill="auto"/>
            <w:noWrap/>
            <w:vAlign w:val="center"/>
            <w:hideMark/>
          </w:tcPr>
          <w:p w14:paraId="7C90FD14" w14:textId="3B06B847" w:rsidR="00010C28" w:rsidRPr="00805CB3" w:rsidRDefault="00010C28" w:rsidP="00010C28">
            <w:pPr>
              <w:spacing w:after="0" w:line="240" w:lineRule="auto"/>
              <w:jc w:val="right"/>
              <w:rPr>
                <w:rFonts w:ascii="Arial" w:eastAsia="Times New Roman" w:hAnsi="Arial" w:cs="Arial"/>
                <w:color w:val="39414D"/>
                <w:szCs w:val="18"/>
              </w:rPr>
            </w:pPr>
            <w:r>
              <w:rPr>
                <w:rFonts w:ascii="Arial" w:hAnsi="Arial" w:cs="Arial"/>
                <w:color w:val="000000"/>
                <w:szCs w:val="18"/>
              </w:rPr>
              <w:t>7</w:t>
            </w:r>
            <w:r w:rsidR="00DE2E70">
              <w:rPr>
                <w:rFonts w:ascii="Arial" w:hAnsi="Arial" w:cs="Arial"/>
                <w:color w:val="000000"/>
                <w:szCs w:val="18"/>
              </w:rPr>
              <w:t>5</w:t>
            </w:r>
            <w:r>
              <w:rPr>
                <w:rFonts w:ascii="Arial" w:hAnsi="Arial" w:cs="Arial"/>
                <w:color w:val="000000"/>
                <w:szCs w:val="18"/>
              </w:rPr>
              <w:t>.</w:t>
            </w:r>
            <w:r w:rsidR="00DE2E70">
              <w:rPr>
                <w:rFonts w:ascii="Arial" w:hAnsi="Arial" w:cs="Arial"/>
                <w:color w:val="000000"/>
                <w:szCs w:val="18"/>
              </w:rPr>
              <w:t>0</w:t>
            </w:r>
            <w:r w:rsidR="00690F8F">
              <w:rPr>
                <w:rFonts w:ascii="Arial" w:hAnsi="Arial" w:cs="Arial"/>
                <w:color w:val="000000"/>
                <w:szCs w:val="18"/>
              </w:rPr>
              <w:t>0</w:t>
            </w:r>
            <w:r>
              <w:rPr>
                <w:rFonts w:ascii="Arial" w:hAnsi="Arial" w:cs="Arial"/>
                <w:color w:val="000000"/>
                <w:szCs w:val="18"/>
              </w:rPr>
              <w:t xml:space="preserve">% </w:t>
            </w:r>
          </w:p>
        </w:tc>
        <w:tc>
          <w:tcPr>
            <w:tcW w:w="990" w:type="dxa"/>
            <w:tcBorders>
              <w:top w:val="nil"/>
              <w:left w:val="nil"/>
              <w:bottom w:val="nil"/>
              <w:right w:val="nil"/>
            </w:tcBorders>
            <w:shd w:val="clear" w:color="auto" w:fill="auto"/>
            <w:noWrap/>
            <w:vAlign w:val="center"/>
            <w:hideMark/>
          </w:tcPr>
          <w:p w14:paraId="6149E9E4" w14:textId="2BCA0106" w:rsidR="00010C28" w:rsidRPr="00805CB3" w:rsidRDefault="00010C28" w:rsidP="00010C28">
            <w:pPr>
              <w:spacing w:after="0" w:line="240" w:lineRule="auto"/>
              <w:jc w:val="right"/>
              <w:rPr>
                <w:rFonts w:ascii="Arial" w:eastAsia="Times New Roman" w:hAnsi="Arial" w:cs="Arial"/>
                <w:color w:val="39414D"/>
                <w:szCs w:val="18"/>
              </w:rPr>
            </w:pPr>
            <w:r>
              <w:rPr>
                <w:rFonts w:ascii="Arial" w:hAnsi="Arial" w:cs="Arial"/>
                <w:color w:val="000000"/>
                <w:szCs w:val="18"/>
              </w:rPr>
              <w:t>18.5</w:t>
            </w:r>
            <w:r w:rsidR="00690F8F">
              <w:rPr>
                <w:rFonts w:ascii="Arial" w:hAnsi="Arial" w:cs="Arial"/>
                <w:color w:val="000000"/>
                <w:szCs w:val="18"/>
              </w:rPr>
              <w:t>0</w:t>
            </w:r>
            <w:r>
              <w:rPr>
                <w:rFonts w:ascii="Arial" w:hAnsi="Arial" w:cs="Arial"/>
                <w:color w:val="000000"/>
                <w:szCs w:val="18"/>
              </w:rPr>
              <w:t xml:space="preserve">% </w:t>
            </w:r>
          </w:p>
        </w:tc>
      </w:tr>
      <w:tr w:rsidR="00010C28" w:rsidRPr="00805CB3" w14:paraId="70979034" w14:textId="77777777" w:rsidTr="00A02328">
        <w:trPr>
          <w:trHeight w:val="240"/>
        </w:trPr>
        <w:tc>
          <w:tcPr>
            <w:tcW w:w="1620" w:type="dxa"/>
            <w:tcBorders>
              <w:top w:val="nil"/>
              <w:left w:val="nil"/>
              <w:bottom w:val="nil"/>
              <w:right w:val="nil"/>
            </w:tcBorders>
            <w:shd w:val="clear" w:color="000000" w:fill="E8E9E9"/>
            <w:noWrap/>
            <w:vAlign w:val="center"/>
            <w:hideMark/>
          </w:tcPr>
          <w:p w14:paraId="59C1BCD3" w14:textId="530FF380" w:rsidR="00010C28" w:rsidRPr="00805CB3" w:rsidRDefault="00010C28">
            <w:pPr>
              <w:spacing w:after="0" w:line="240" w:lineRule="auto"/>
              <w:rPr>
                <w:rFonts w:ascii="Arial" w:eastAsia="Times New Roman" w:hAnsi="Arial" w:cs="Arial"/>
                <w:color w:val="39414D"/>
                <w:szCs w:val="18"/>
              </w:rPr>
            </w:pPr>
            <w:r>
              <w:rPr>
                <w:rFonts w:ascii="Arial" w:hAnsi="Arial" w:cs="Arial"/>
                <w:color w:val="39414D"/>
                <w:szCs w:val="18"/>
              </w:rPr>
              <w:t>Adult</w:t>
            </w:r>
          </w:p>
        </w:tc>
        <w:tc>
          <w:tcPr>
            <w:tcW w:w="1080" w:type="dxa"/>
            <w:tcBorders>
              <w:top w:val="nil"/>
              <w:left w:val="nil"/>
              <w:bottom w:val="nil"/>
              <w:right w:val="nil"/>
            </w:tcBorders>
            <w:shd w:val="clear" w:color="000000" w:fill="E8E9E9"/>
            <w:noWrap/>
            <w:vAlign w:val="center"/>
            <w:hideMark/>
          </w:tcPr>
          <w:p w14:paraId="7875C5D6" w14:textId="0BD854E3" w:rsidR="00010C28" w:rsidRPr="00805CB3" w:rsidRDefault="00541BF8" w:rsidP="00010C28">
            <w:pPr>
              <w:spacing w:after="0" w:line="240" w:lineRule="auto"/>
              <w:jc w:val="right"/>
              <w:rPr>
                <w:rFonts w:ascii="Arial" w:eastAsia="Times New Roman" w:hAnsi="Arial" w:cs="Arial"/>
                <w:color w:val="39414D"/>
                <w:szCs w:val="18"/>
              </w:rPr>
            </w:pPr>
            <w:r>
              <w:rPr>
                <w:rFonts w:ascii="Arial" w:hAnsi="Arial" w:cs="Arial"/>
                <w:color w:val="000000"/>
                <w:szCs w:val="18"/>
              </w:rPr>
              <w:t>8</w:t>
            </w:r>
            <w:r w:rsidR="00DE2E70">
              <w:rPr>
                <w:rFonts w:ascii="Arial" w:hAnsi="Arial" w:cs="Arial"/>
                <w:color w:val="000000"/>
                <w:szCs w:val="18"/>
              </w:rPr>
              <w:t>5</w:t>
            </w:r>
            <w:r w:rsidR="00010C28">
              <w:rPr>
                <w:rFonts w:ascii="Arial" w:hAnsi="Arial" w:cs="Arial"/>
                <w:color w:val="000000"/>
                <w:szCs w:val="18"/>
              </w:rPr>
              <w:t>.</w:t>
            </w:r>
            <w:r>
              <w:rPr>
                <w:rFonts w:ascii="Arial" w:hAnsi="Arial" w:cs="Arial"/>
                <w:color w:val="000000"/>
                <w:szCs w:val="18"/>
              </w:rPr>
              <w:t>00</w:t>
            </w:r>
            <w:r w:rsidR="00010C28">
              <w:rPr>
                <w:rFonts w:ascii="Arial" w:hAnsi="Arial" w:cs="Arial"/>
                <w:color w:val="000000"/>
                <w:szCs w:val="18"/>
              </w:rPr>
              <w:t xml:space="preserve">% </w:t>
            </w:r>
          </w:p>
        </w:tc>
        <w:tc>
          <w:tcPr>
            <w:tcW w:w="990" w:type="dxa"/>
            <w:tcBorders>
              <w:top w:val="nil"/>
              <w:left w:val="nil"/>
              <w:bottom w:val="nil"/>
              <w:right w:val="nil"/>
            </w:tcBorders>
            <w:shd w:val="clear" w:color="000000" w:fill="E8E9E9"/>
            <w:noWrap/>
            <w:vAlign w:val="center"/>
            <w:hideMark/>
          </w:tcPr>
          <w:p w14:paraId="5933A51E" w14:textId="053D3AD2" w:rsidR="00010C28" w:rsidRPr="00805CB3" w:rsidRDefault="00010C28" w:rsidP="00010C28">
            <w:pPr>
              <w:spacing w:after="0" w:line="240" w:lineRule="auto"/>
              <w:jc w:val="right"/>
              <w:rPr>
                <w:rFonts w:ascii="Arial" w:eastAsia="Times New Roman" w:hAnsi="Arial" w:cs="Arial"/>
                <w:color w:val="39414D"/>
                <w:szCs w:val="18"/>
              </w:rPr>
            </w:pPr>
            <w:r>
              <w:rPr>
                <w:rFonts w:ascii="Arial" w:hAnsi="Arial" w:cs="Arial"/>
                <w:color w:val="000000"/>
                <w:szCs w:val="18"/>
              </w:rPr>
              <w:t>18.</w:t>
            </w:r>
            <w:r w:rsidR="00DE2E70">
              <w:rPr>
                <w:rFonts w:ascii="Arial" w:hAnsi="Arial" w:cs="Arial"/>
                <w:color w:val="000000"/>
                <w:szCs w:val="18"/>
              </w:rPr>
              <w:t>5</w:t>
            </w:r>
            <w:r w:rsidR="00690F8F">
              <w:rPr>
                <w:rFonts w:ascii="Arial" w:hAnsi="Arial" w:cs="Arial"/>
                <w:color w:val="000000"/>
                <w:szCs w:val="18"/>
              </w:rPr>
              <w:t>0</w:t>
            </w:r>
            <w:r>
              <w:rPr>
                <w:rFonts w:ascii="Arial" w:hAnsi="Arial" w:cs="Arial"/>
                <w:color w:val="000000"/>
                <w:szCs w:val="18"/>
              </w:rPr>
              <w:t xml:space="preserve">% </w:t>
            </w:r>
          </w:p>
        </w:tc>
      </w:tr>
    </w:tbl>
    <w:p w14:paraId="1AB4CD07" w14:textId="1FD855BD" w:rsidR="001B7845" w:rsidRDefault="001B7845" w:rsidP="00DA77A3">
      <w:pPr>
        <w:pStyle w:val="RRNumberedBullet1"/>
        <w:numPr>
          <w:ilvl w:val="0"/>
          <w:numId w:val="0"/>
        </w:numPr>
        <w:spacing w:before="120"/>
        <w:ind w:left="360"/>
        <w:jc w:val="both"/>
      </w:pPr>
      <w:r>
        <w:t xml:space="preserve">No provision for </w:t>
      </w:r>
      <w:r w:rsidR="00777952">
        <w:t xml:space="preserve">pharmacy </w:t>
      </w:r>
      <w:r>
        <w:t xml:space="preserve">administrative spread was included in the AWP targets illustrated above. </w:t>
      </w:r>
      <w:r w:rsidR="00FF01B5">
        <w:t xml:space="preserve">Administrative amounts attributable to spread pricing </w:t>
      </w:r>
      <w:r w:rsidR="008D6D12">
        <w:t>were</w:t>
      </w:r>
      <w:r w:rsidR="00FF01B5">
        <w:t xml:space="preserve"> </w:t>
      </w:r>
      <w:r w:rsidR="00777952">
        <w:t xml:space="preserve">excluded from pharmacy claims cost </w:t>
      </w:r>
      <w:r w:rsidR="00477861">
        <w:t>and</w:t>
      </w:r>
      <w:r w:rsidR="00FF01B5">
        <w:t xml:space="preserve"> considered in the administrative load development.</w:t>
      </w:r>
      <w:r w:rsidR="008D6D12">
        <w:t xml:space="preserve"> </w:t>
      </w:r>
      <w:r w:rsidR="007F6C0B">
        <w:t>Supplemental rebate targets</w:t>
      </w:r>
      <w:r w:rsidR="00FF671D">
        <w:t xml:space="preserve"> as described in </w:t>
      </w:r>
      <w:r w:rsidR="00FF671D" w:rsidRPr="00FF671D">
        <w:t>Section I, item 2.B.iii.d</w:t>
      </w:r>
      <w:r w:rsidR="007F6C0B">
        <w:t xml:space="preserve"> </w:t>
      </w:r>
      <w:r w:rsidR="00477861">
        <w:t>were</w:t>
      </w:r>
      <w:r w:rsidR="007F6C0B">
        <w:t xml:space="preserve"> </w:t>
      </w:r>
      <w:r w:rsidR="002E5700">
        <w:t>considered</w:t>
      </w:r>
      <w:r w:rsidR="007F6C0B">
        <w:t xml:space="preserve"> in the factors illustrated in </w:t>
      </w:r>
      <w:r w:rsidR="008E437D">
        <w:t xml:space="preserve">Figure </w:t>
      </w:r>
      <w:r w:rsidR="00C40967">
        <w:t>11</w:t>
      </w:r>
      <w:r w:rsidR="004D31F0">
        <w:t>. T</w:t>
      </w:r>
      <w:r w:rsidR="0018234E">
        <w:t xml:space="preserve">hese targets are </w:t>
      </w:r>
      <w:r w:rsidR="00777952">
        <w:t xml:space="preserve">generally </w:t>
      </w:r>
      <w:r w:rsidR="0018234E">
        <w:t>consistent with historical supplemental rebate experience of the MCOs reported in the FDCR submissions</w:t>
      </w:r>
      <w:r w:rsidR="004D31F0">
        <w:t xml:space="preserve"> and were developed with consideration for the AWP discount target assumptions</w:t>
      </w:r>
      <w:r w:rsidR="0018234E">
        <w:t>.</w:t>
      </w:r>
    </w:p>
    <w:p w14:paraId="284B3EFF" w14:textId="38C8FD62" w:rsidR="008E437D" w:rsidRPr="00EA3A73" w:rsidRDefault="008023E0" w:rsidP="00622097">
      <w:pPr>
        <w:pStyle w:val="RRNumberedBullet1"/>
        <w:numPr>
          <w:ilvl w:val="0"/>
          <w:numId w:val="52"/>
        </w:numPr>
        <w:spacing w:before="60"/>
        <w:jc w:val="both"/>
      </w:pPr>
      <w:r>
        <w:rPr>
          <w:b/>
        </w:rPr>
        <w:t xml:space="preserve">Federally Qualified Health Center (FQHC) Prospective Payment System (PPS) In-Plan: </w:t>
      </w:r>
      <w:r w:rsidR="000B3A1A">
        <w:t xml:space="preserve">Effective July 1, 2019, MCOs are required to pay </w:t>
      </w:r>
      <w:r w:rsidR="00DB2966">
        <w:t xml:space="preserve">the </w:t>
      </w:r>
      <w:r w:rsidR="000B3A1A">
        <w:t xml:space="preserve">PPS rate to FQHCs. Prior to July 1, 2019, the MCOs paid FQHCs according to their negotiated rates (or </w:t>
      </w:r>
      <w:r w:rsidR="00FF01B5">
        <w:t>sub</w:t>
      </w:r>
      <w:r w:rsidR="00D01FC6">
        <w:t>-</w:t>
      </w:r>
      <w:r w:rsidR="000B3A1A">
        <w:t xml:space="preserve">capitation arrangements), and EOHHS paid the FQHCs a wrap-around payment </w:t>
      </w:r>
      <w:r w:rsidR="00BC3E0C">
        <w:t>for</w:t>
      </w:r>
      <w:r w:rsidR="000B3A1A">
        <w:t xml:space="preserve"> the difference between the PPS rate and the MCO reimbursement </w:t>
      </w:r>
      <w:r w:rsidR="00FF01B5">
        <w:t>rate</w:t>
      </w:r>
      <w:r w:rsidR="000B3A1A">
        <w:t>.</w:t>
      </w:r>
      <w:r w:rsidR="00FF01B5">
        <w:rPr>
          <w:bCs/>
        </w:rPr>
        <w:t xml:space="preserve"> </w:t>
      </w:r>
      <w:r w:rsidR="00FF671D">
        <w:rPr>
          <w:bCs/>
        </w:rPr>
        <w:t>As previously described, the CY 2019 base experience does not include the PPS wrap payments paid for services incurred between July 1, 2019 and December 31, 2019.</w:t>
      </w:r>
    </w:p>
    <w:p w14:paraId="11AD77C3" w14:textId="09EA1429" w:rsidR="00881D17" w:rsidRPr="00920110" w:rsidRDefault="00881D17" w:rsidP="00920110">
      <w:pPr>
        <w:pStyle w:val="RRNumberedBullet1"/>
        <w:numPr>
          <w:ilvl w:val="0"/>
          <w:numId w:val="0"/>
        </w:numPr>
        <w:spacing w:before="60"/>
        <w:ind w:left="360"/>
        <w:jc w:val="both"/>
      </w:pPr>
      <w:r>
        <w:rPr>
          <w:bCs/>
        </w:rPr>
        <w:t xml:space="preserve">To estimate the additional cost of the PPS reimbursement in SFY 2023, the CY 2019 base encounter experience was repriced to the SFY 2023 PPS rate. An adjustment was applied to the base FQHC service utilization consistent with the encounter data quality and </w:t>
      </w:r>
      <w:r w:rsidR="0008195D">
        <w:rPr>
          <w:bCs/>
        </w:rPr>
        <w:t>IBNP</w:t>
      </w:r>
      <w:r w:rsidR="00B5251E">
        <w:rPr>
          <w:bCs/>
        </w:rPr>
        <w:t xml:space="preserve"> </w:t>
      </w:r>
      <w:r>
        <w:rPr>
          <w:bCs/>
        </w:rPr>
        <w:t xml:space="preserve">adjustments described in Section I.2.B.iii. In addition, a 10% utilization increase adjustment factor was estimated and applied to reflect </w:t>
      </w:r>
      <w:r w:rsidR="002A77A8">
        <w:rPr>
          <w:bCs/>
        </w:rPr>
        <w:t xml:space="preserve">observed </w:t>
      </w:r>
      <w:r>
        <w:rPr>
          <w:bCs/>
        </w:rPr>
        <w:t>FQHC utilization growth beyond the estimated non-FQHC professional utilization trends.</w:t>
      </w:r>
    </w:p>
    <w:p w14:paraId="4B209D36" w14:textId="40929FD6" w:rsidR="00EF14A0" w:rsidRDefault="0098126C">
      <w:pPr>
        <w:pStyle w:val="RRNumberedBullet1"/>
        <w:numPr>
          <w:ilvl w:val="0"/>
          <w:numId w:val="52"/>
        </w:numPr>
        <w:spacing w:before="60"/>
        <w:jc w:val="both"/>
      </w:pPr>
      <w:r w:rsidRPr="00881D17">
        <w:rPr>
          <w:b/>
        </w:rPr>
        <w:t xml:space="preserve">Level IV </w:t>
      </w:r>
      <w:r w:rsidR="00EF14A0" w:rsidRPr="00881D17">
        <w:rPr>
          <w:b/>
        </w:rPr>
        <w:t xml:space="preserve">Detoxification </w:t>
      </w:r>
      <w:r w:rsidRPr="00881D17">
        <w:rPr>
          <w:b/>
        </w:rPr>
        <w:t>Serv</w:t>
      </w:r>
      <w:r w:rsidR="00CC5932" w:rsidRPr="00881D17">
        <w:rPr>
          <w:b/>
        </w:rPr>
        <w:t>i</w:t>
      </w:r>
      <w:r w:rsidRPr="00881D17">
        <w:rPr>
          <w:b/>
        </w:rPr>
        <w:t>ces</w:t>
      </w:r>
      <w:r w:rsidR="00EF14A0" w:rsidRPr="00881D17">
        <w:rPr>
          <w:b/>
        </w:rPr>
        <w:t>:</w:t>
      </w:r>
      <w:r w:rsidR="00EF14A0">
        <w:t xml:space="preserve"> </w:t>
      </w:r>
      <w:r w:rsidR="0068054B">
        <w:t xml:space="preserve">EOHHS is </w:t>
      </w:r>
      <w:r w:rsidR="00881D17">
        <w:t>continuing the</w:t>
      </w:r>
      <w:r w:rsidR="0068054B">
        <w:t xml:space="preserve"> directed payment </w:t>
      </w:r>
      <w:r w:rsidR="00CC5932">
        <w:t>to increase the per diem reimbursement for</w:t>
      </w:r>
      <w:r w:rsidR="0068054B">
        <w:t xml:space="preserve"> </w:t>
      </w:r>
      <w:r w:rsidR="00CC5932">
        <w:t>Level IV alcohol and drug detoxification programs</w:t>
      </w:r>
      <w:r w:rsidR="00CC5932" w:rsidDel="0068054B">
        <w:t xml:space="preserve"> </w:t>
      </w:r>
      <w:r w:rsidR="00EF14A0">
        <w:t xml:space="preserve">in SFY </w:t>
      </w:r>
      <w:r w:rsidR="00C40967">
        <w:t>2023</w:t>
      </w:r>
      <w:r w:rsidR="0068054B">
        <w:t xml:space="preserve">. This </w:t>
      </w:r>
      <w:r w:rsidR="00E02446">
        <w:t>adjustment reflects an</w:t>
      </w:r>
      <w:r w:rsidR="0068054B">
        <w:t xml:space="preserve"> </w:t>
      </w:r>
      <w:r w:rsidR="00E02446">
        <w:t xml:space="preserve">increase in </w:t>
      </w:r>
      <w:r w:rsidR="0068054B">
        <w:t xml:space="preserve">the per diem reimbursement rate </w:t>
      </w:r>
      <w:r w:rsidR="00E02446">
        <w:t>to a minimum fee schedule amount of $1,</w:t>
      </w:r>
      <w:r w:rsidR="00B644B5">
        <w:t>621.80</w:t>
      </w:r>
      <w:r w:rsidR="00C40967">
        <w:t xml:space="preserve"> </w:t>
      </w:r>
      <w:r w:rsidR="0068054B">
        <w:t xml:space="preserve">in SFY </w:t>
      </w:r>
      <w:r w:rsidR="00C40967">
        <w:t>202</w:t>
      </w:r>
      <w:r w:rsidR="00B644B5">
        <w:t>3</w:t>
      </w:r>
      <w:r w:rsidR="006927A0">
        <w:t xml:space="preserve"> consistent with the preprint </w:t>
      </w:r>
      <w:r w:rsidR="00F83165">
        <w:t>previously</w:t>
      </w:r>
      <w:r w:rsidR="006927A0">
        <w:t xml:space="preserve"> submitted</w:t>
      </w:r>
      <w:r w:rsidR="00F83165">
        <w:t xml:space="preserve"> with control name </w:t>
      </w:r>
      <w:r w:rsidR="00F83165" w:rsidRPr="00F83165">
        <w:t>Preprint_RI_Fee_IPH_New_20210701-20220630</w:t>
      </w:r>
      <w:r w:rsidR="006927A0">
        <w:t>.</w:t>
      </w:r>
      <w:r w:rsidR="00E02446">
        <w:t xml:space="preserve"> </w:t>
      </w:r>
    </w:p>
    <w:p w14:paraId="040403BF" w14:textId="284C59A8" w:rsidR="0065119F" w:rsidRPr="0027012E" w:rsidRDefault="00CB309B" w:rsidP="0065119F">
      <w:pPr>
        <w:pStyle w:val="RRNumberedBullet1"/>
        <w:numPr>
          <w:ilvl w:val="0"/>
          <w:numId w:val="52"/>
        </w:numPr>
        <w:spacing w:before="60"/>
        <w:jc w:val="both"/>
      </w:pPr>
      <w:r>
        <w:rPr>
          <w:b/>
          <w:bCs/>
        </w:rPr>
        <w:t xml:space="preserve">Personal Care Shift Differential: </w:t>
      </w:r>
      <w:r w:rsidR="0065119F" w:rsidRPr="0027012E">
        <w:t>Effective July 1, 2021, reimbursement for personal care and combined personal care/homemaker services (procedure code S5125) with a shift differential modifier was increased by $0.19 per fifteen minutes</w:t>
      </w:r>
      <w:r w:rsidR="0065119F">
        <w:t xml:space="preserve"> via a state directed payment</w:t>
      </w:r>
      <w:r w:rsidR="0065119F" w:rsidRPr="0027012E">
        <w:t>. The shift differential applies to services provided on an evening, night, or weekend/holiday (indicated by procedure code modifier values of UH, UJ, and TV</w:t>
      </w:r>
      <w:r w:rsidR="0027012E">
        <w:t>)</w:t>
      </w:r>
      <w:r w:rsidR="0065119F" w:rsidRPr="0027012E">
        <w:t xml:space="preserve">. </w:t>
      </w:r>
    </w:p>
    <w:p w14:paraId="12320F02" w14:textId="61FA30B4" w:rsidR="00CB309B" w:rsidRDefault="0065119F" w:rsidP="0027012E">
      <w:pPr>
        <w:pStyle w:val="RRNumberedBullet1"/>
        <w:numPr>
          <w:ilvl w:val="0"/>
          <w:numId w:val="0"/>
        </w:numPr>
        <w:spacing w:before="60"/>
        <w:ind w:left="360"/>
        <w:jc w:val="both"/>
      </w:pPr>
      <w:r w:rsidRPr="0027012E">
        <w:t>We estimated the impact of the shift differential directed payment based on the utilization of personal care and combined personal care/homemaker services in the SFY 2021 data period to reflect emerging experience since the beginning of the COVID-19 pandemic. Utilization was trended to a SFY 202</w:t>
      </w:r>
      <w:r>
        <w:t>3</w:t>
      </w:r>
      <w:r w:rsidRPr="0027012E">
        <w:t xml:space="preserve"> basis using the prospective HCBS utilization trends used in the SFY 202</w:t>
      </w:r>
      <w:r>
        <w:t>3</w:t>
      </w:r>
      <w:r w:rsidRPr="0027012E">
        <w:t xml:space="preserve"> capitation rate development. The PMPM adjustment by rate cell is illustrated in Appendix </w:t>
      </w:r>
      <w:r>
        <w:t>4</w:t>
      </w:r>
      <w:r w:rsidRPr="0027012E">
        <w:t>.</w:t>
      </w:r>
    </w:p>
    <w:p w14:paraId="562B53DD" w14:textId="77777777" w:rsidR="00344F7A" w:rsidRPr="0065119F" w:rsidRDefault="00344F7A" w:rsidP="0027012E">
      <w:pPr>
        <w:pStyle w:val="RRNumberedBullet1"/>
        <w:numPr>
          <w:ilvl w:val="0"/>
          <w:numId w:val="0"/>
        </w:numPr>
        <w:spacing w:before="60"/>
        <w:ind w:left="360"/>
        <w:jc w:val="both"/>
      </w:pPr>
    </w:p>
    <w:p w14:paraId="612AEBBB" w14:textId="7ACB14AF" w:rsidR="0065119F" w:rsidRPr="0027012E" w:rsidRDefault="00CB309B" w:rsidP="0065119F">
      <w:pPr>
        <w:pStyle w:val="RRNumberedBullet1"/>
        <w:numPr>
          <w:ilvl w:val="0"/>
          <w:numId w:val="52"/>
        </w:numPr>
        <w:spacing w:before="60"/>
        <w:jc w:val="both"/>
      </w:pPr>
      <w:r>
        <w:rPr>
          <w:b/>
          <w:bCs/>
        </w:rPr>
        <w:lastRenderedPageBreak/>
        <w:t xml:space="preserve">Personal Care Behavioral Health Certification Enhancement: </w:t>
      </w:r>
      <w:r w:rsidR="0065119F" w:rsidRPr="0027012E">
        <w:t xml:space="preserve">Effective January 1, 2022, a new behavioral health certification enhancement of $0.39 per fifteen minutes of personal care, combined personal care/homemaker, and homemaker only services (procedure codes S5125 and S5130) </w:t>
      </w:r>
      <w:r w:rsidR="0065119F">
        <w:t>was</w:t>
      </w:r>
      <w:r w:rsidR="0065119F" w:rsidRPr="0027012E">
        <w:t xml:space="preserve"> implemented for providers who have at least 30% of their direct-care workers certified in behavioral health training</w:t>
      </w:r>
      <w:r w:rsidR="0065119F">
        <w:t xml:space="preserve"> via a state directed payment</w:t>
      </w:r>
      <w:r w:rsidR="0065119F" w:rsidRPr="0027012E">
        <w:t>. We assumed that 15% of these services would be performed by providers who qualify for the behavioral health enhancement based on communication with EOHHS.</w:t>
      </w:r>
    </w:p>
    <w:p w14:paraId="1C311F19" w14:textId="7B272892" w:rsidR="00CB309B" w:rsidRDefault="0065119F" w:rsidP="0027012E">
      <w:pPr>
        <w:pStyle w:val="RRNumberedBullet1"/>
        <w:numPr>
          <w:ilvl w:val="0"/>
          <w:numId w:val="0"/>
        </w:numPr>
        <w:spacing w:before="60"/>
        <w:ind w:left="360"/>
        <w:jc w:val="both"/>
      </w:pPr>
      <w:r w:rsidRPr="0027012E">
        <w:t xml:space="preserve">The impact of the behavioral health certification enhancement directed payment was estimated using consistent data and methodology as the shift differential directed payment. The PMPM adjustment by rate cell is illustrated in Appendix </w:t>
      </w:r>
      <w:r>
        <w:t>4</w:t>
      </w:r>
      <w:r w:rsidR="00CB309B">
        <w:t>.</w:t>
      </w:r>
    </w:p>
    <w:p w14:paraId="268560C5" w14:textId="01AD51A5" w:rsidR="00881D17" w:rsidRDefault="00881D17" w:rsidP="00881D17">
      <w:pPr>
        <w:pStyle w:val="RRCalloutSmallMBlue"/>
        <w:jc w:val="both"/>
      </w:pPr>
      <w:r>
        <w:t xml:space="preserve">Acuity </w:t>
      </w:r>
      <w:r w:rsidR="00635D7F">
        <w:t xml:space="preserve">and Emerging Experience </w:t>
      </w:r>
      <w:r>
        <w:t>Adjustments</w:t>
      </w:r>
    </w:p>
    <w:p w14:paraId="6C52EC14" w14:textId="7FA8D759" w:rsidR="003C56BC" w:rsidRDefault="00635D7F" w:rsidP="003C56BC">
      <w:pPr>
        <w:pStyle w:val="RRBody"/>
        <w:spacing w:before="120"/>
        <w:jc w:val="both"/>
      </w:pPr>
      <w:r w:rsidRPr="00A10085">
        <w:t>W</w:t>
      </w:r>
      <w:r>
        <w:t xml:space="preserve">e </w:t>
      </w:r>
      <w:r w:rsidR="003C56BC">
        <w:t>observed evidence of changing levels of acuity and service utilization in the Medicaid program between the CY 2019 base data period and emerging experience</w:t>
      </w:r>
      <w:r w:rsidR="00011637">
        <w:t xml:space="preserve"> since the onset of the COVID-19 pandemic</w:t>
      </w:r>
      <w:r w:rsidR="003C56BC">
        <w:t xml:space="preserve">. The pandemic and increasing Medicaid program enrollment </w:t>
      </w:r>
      <w:r w:rsidR="000F6056">
        <w:t>associated with th</w:t>
      </w:r>
      <w:r w:rsidR="003C56BC">
        <w:t>e Families First Coronavirus Response Act continuous coverage requirement are estimated to contribute to the acuity shifts and service utilization changes. An acuity and emerging experience adjustment was estimated to account for these changes to the extent they are expected to continue into the SFY 2023 rating period. As previously stated, the PHE was assumed to continue throughout SFY 2023 in this certification</w:t>
      </w:r>
      <w:r w:rsidR="004372F0">
        <w:t>.</w:t>
      </w:r>
    </w:p>
    <w:p w14:paraId="5D5258CC" w14:textId="7E9AFB87" w:rsidR="004372F0" w:rsidRDefault="004372F0" w:rsidP="003C56BC">
      <w:pPr>
        <w:pStyle w:val="RRBody"/>
        <w:spacing w:before="120"/>
        <w:jc w:val="both"/>
      </w:pPr>
      <w:r>
        <w:t>We considered the following items when estimating the acuity and emerging experience adjustment:</w:t>
      </w:r>
    </w:p>
    <w:p w14:paraId="15FCDECC" w14:textId="180F4750" w:rsidR="004372F0" w:rsidRDefault="004372F0" w:rsidP="004372F0">
      <w:pPr>
        <w:pStyle w:val="RRBullet1"/>
        <w:spacing w:after="0"/>
        <w:jc w:val="both"/>
      </w:pPr>
      <w:r w:rsidRPr="00920110">
        <w:rPr>
          <w:b/>
          <w:bCs/>
        </w:rPr>
        <w:t>Trended calendar year 2019 experience</w:t>
      </w:r>
      <w:r w:rsidR="0015648B" w:rsidRPr="00920110">
        <w:rPr>
          <w:b/>
          <w:bCs/>
        </w:rPr>
        <w:t>:</w:t>
      </w:r>
      <w:r w:rsidR="0015648B">
        <w:t xml:space="preserve"> We trended the CY 2019</w:t>
      </w:r>
      <w:r w:rsidR="00AC5D97">
        <w:t xml:space="preserve"> experience</w:t>
      </w:r>
      <w:r w:rsidR="0015648B">
        <w:t xml:space="preserve"> utilizing the estimated prospective trends illustrated in Section I, item 3.B.iii to the emerging experience</w:t>
      </w:r>
      <w:r w:rsidR="00011637">
        <w:t xml:space="preserve"> period. For purposes of this analysis, we reviewed the </w:t>
      </w:r>
      <w:r w:rsidR="00515DAB">
        <w:t xml:space="preserve">trended </w:t>
      </w:r>
      <w:r w:rsidR="00011637">
        <w:t xml:space="preserve">calendar year 2019 </w:t>
      </w:r>
      <w:r w:rsidR="00515DAB">
        <w:t>experience compared to the experience in the emerging experience period.</w:t>
      </w:r>
      <w:r w:rsidR="0015648B">
        <w:t xml:space="preserve"> </w:t>
      </w:r>
      <w:r w:rsidR="00AC5D97">
        <w:t xml:space="preserve">The </w:t>
      </w:r>
      <w:r w:rsidR="000F6056">
        <w:t xml:space="preserve">CY 2019 </w:t>
      </w:r>
      <w:r w:rsidR="00AC5D97">
        <w:t>experience was adjusted to facilitate a consistent comparison with the emerging experience</w:t>
      </w:r>
      <w:r w:rsidR="000F6056">
        <w:t xml:space="preserve"> for program changes such as the </w:t>
      </w:r>
      <w:r w:rsidR="00AC5D97">
        <w:t xml:space="preserve">estimated </w:t>
      </w:r>
      <w:r w:rsidR="000F6056">
        <w:t xml:space="preserve">enhanced respite care benefit </w:t>
      </w:r>
      <w:r w:rsidR="00AC5D97">
        <w:t>expenditures.</w:t>
      </w:r>
    </w:p>
    <w:p w14:paraId="5D3523D1" w14:textId="26EA0026" w:rsidR="0015648B" w:rsidRDefault="004372F0" w:rsidP="004372F0">
      <w:pPr>
        <w:pStyle w:val="RRBullet1"/>
        <w:spacing w:after="0"/>
        <w:jc w:val="both"/>
      </w:pPr>
      <w:r w:rsidRPr="00920110">
        <w:rPr>
          <w:b/>
          <w:bCs/>
        </w:rPr>
        <w:t>Emerging experience</w:t>
      </w:r>
      <w:r w:rsidR="00712608" w:rsidRPr="00920110">
        <w:rPr>
          <w:b/>
          <w:bCs/>
        </w:rPr>
        <w:t>:</w:t>
      </w:r>
      <w:r>
        <w:t xml:space="preserve"> We reviewed the emerging experience </w:t>
      </w:r>
      <w:r w:rsidR="00C80CBF">
        <w:t>from</w:t>
      </w:r>
      <w:r w:rsidR="00712608">
        <w:t xml:space="preserve"> July 1, 2020, </w:t>
      </w:r>
      <w:r w:rsidR="00C80CBF">
        <w:t xml:space="preserve">to </w:t>
      </w:r>
      <w:r w:rsidR="00712608">
        <w:t xml:space="preserve">December 31, 2021, </w:t>
      </w:r>
      <w:r>
        <w:t>reported in the CY 2021 Q4 FDCR.</w:t>
      </w:r>
      <w:r w:rsidR="00712608">
        <w:t xml:space="preserve"> Adjustments were made to facilitate a consistent comparison with the trended CY 2019 experience, such as removing COVID-19 vaccine administration expenditures</w:t>
      </w:r>
      <w:r w:rsidR="0015648B">
        <w:t xml:space="preserve"> and adjusting for rate cell mix changes</w:t>
      </w:r>
      <w:r w:rsidR="00712608">
        <w:t xml:space="preserve">. </w:t>
      </w:r>
    </w:p>
    <w:p w14:paraId="621E7E8C" w14:textId="0F332A14" w:rsidR="004372F0" w:rsidRDefault="004372F0" w:rsidP="004372F0">
      <w:pPr>
        <w:pStyle w:val="RRBullet1"/>
        <w:spacing w:after="0"/>
        <w:jc w:val="both"/>
      </w:pPr>
      <w:r w:rsidRPr="00920110">
        <w:rPr>
          <w:b/>
          <w:bCs/>
        </w:rPr>
        <w:t>Direct COVID-19 costs:</w:t>
      </w:r>
      <w:r w:rsidR="006A43C3">
        <w:t xml:space="preserve"> We reviewed the percentage of claims directly attributable to COVID-19 infections. We reviewed this data to understand the magnitude of direct COVID-19 costs in the emerging experience.</w:t>
      </w:r>
    </w:p>
    <w:p w14:paraId="620D5B5C" w14:textId="0D20CD28" w:rsidR="004372F0" w:rsidRDefault="004372F0" w:rsidP="004372F0">
      <w:pPr>
        <w:pStyle w:val="RRBullet1"/>
        <w:spacing w:after="0"/>
        <w:jc w:val="both"/>
      </w:pPr>
      <w:r w:rsidRPr="00920110">
        <w:rPr>
          <w:b/>
          <w:bCs/>
        </w:rPr>
        <w:t>Elective procedures:</w:t>
      </w:r>
      <w:r w:rsidR="006A43C3">
        <w:t xml:space="preserve"> We reviewed the percentage of claims attributed to elective procedures. We reviewed this data to </w:t>
      </w:r>
      <w:r w:rsidR="00787F2C">
        <w:t xml:space="preserve">understand the </w:t>
      </w:r>
      <w:r w:rsidR="006A43C3">
        <w:t>potential for service deferral, especially during COVID-19 outbreaks, in the emerging experience.</w:t>
      </w:r>
    </w:p>
    <w:p w14:paraId="0FDA5712" w14:textId="03EEFDAE" w:rsidR="006A43C3" w:rsidRDefault="006A43C3" w:rsidP="004372F0">
      <w:pPr>
        <w:pStyle w:val="RRBullet1"/>
        <w:spacing w:after="0"/>
        <w:jc w:val="both"/>
      </w:pPr>
      <w:r w:rsidRPr="00920110">
        <w:rPr>
          <w:b/>
          <w:bCs/>
        </w:rPr>
        <w:t>Changes relative to the rating period:</w:t>
      </w:r>
      <w:r>
        <w:t xml:space="preserve"> We considered potential changes in member behavior and acuity between the emerging experience reviewed and the rating period. We </w:t>
      </w:r>
      <w:r w:rsidR="000F6056">
        <w:t xml:space="preserve">assume </w:t>
      </w:r>
      <w:r>
        <w:t>that</w:t>
      </w:r>
      <w:r w:rsidR="000F6056">
        <w:t xml:space="preserve"> a subset of</w:t>
      </w:r>
      <w:r>
        <w:t xml:space="preserve"> utilization in the emerging experience period </w:t>
      </w:r>
      <w:r w:rsidR="00787F2C">
        <w:t xml:space="preserve">that was </w:t>
      </w:r>
      <w:r w:rsidR="000F6056">
        <w:t xml:space="preserve">potentially suppressed </w:t>
      </w:r>
      <w:r>
        <w:t xml:space="preserve">may emerge in the SFY 2023 rating period. In addition, increases in member enrollment between the emerging experience period and the rating period may lead to further acuity changes. Finally, we recognize that future COVID-19 variants or outbreaks may affect member utilization in the rating period. </w:t>
      </w:r>
    </w:p>
    <w:p w14:paraId="2B8EBAC8" w14:textId="3AF98059" w:rsidR="00635D7F" w:rsidRDefault="0015648B" w:rsidP="00881D17">
      <w:pPr>
        <w:pStyle w:val="RRBody"/>
        <w:spacing w:before="120"/>
        <w:jc w:val="both"/>
      </w:pPr>
      <w:r w:rsidRPr="0015648B">
        <w:t xml:space="preserve">The adjusted </w:t>
      </w:r>
      <w:r>
        <w:t xml:space="preserve">emerging </w:t>
      </w:r>
      <w:r w:rsidRPr="0015648B">
        <w:t xml:space="preserve">experience was compared to the trended CY 2019 experience to understand the impact of changes in acuity and service utilization. </w:t>
      </w:r>
      <w:r>
        <w:t xml:space="preserve">This analysis was performed at a population and service category detail level. When selecting the acuity and emerging experience adjustment, we considered the stability of the emerging experience and the items outlined above. </w:t>
      </w:r>
      <w:r w:rsidR="00635D7F" w:rsidRPr="00781E54">
        <w:t xml:space="preserve">We note that there continues to be </w:t>
      </w:r>
      <w:r w:rsidR="00635D7F">
        <w:t>material</w:t>
      </w:r>
      <w:r w:rsidR="00635D7F" w:rsidRPr="00781E54">
        <w:t xml:space="preserve"> uncertainty around the potential impact of COVID-19 on service utilization in SFY 202</w:t>
      </w:r>
      <w:r w:rsidR="00635D7F">
        <w:t>3</w:t>
      </w:r>
      <w:r w:rsidR="003C56BC">
        <w:t>.</w:t>
      </w:r>
    </w:p>
    <w:p w14:paraId="5B9DB0B4" w14:textId="25B69071" w:rsidR="004372F0" w:rsidRDefault="004372F0" w:rsidP="00881D17">
      <w:pPr>
        <w:pStyle w:val="RRBody"/>
        <w:spacing w:before="120"/>
        <w:jc w:val="both"/>
      </w:pPr>
      <w:r>
        <w:t>Figure 12 illustrates the impact of the acuity and emerging experience adjustment by population and service category.</w:t>
      </w:r>
    </w:p>
    <w:p w14:paraId="67D010F2" w14:textId="34270236" w:rsidR="0065119F" w:rsidRDefault="0065119F" w:rsidP="00881D17">
      <w:pPr>
        <w:pStyle w:val="RRBody"/>
        <w:spacing w:before="120"/>
        <w:jc w:val="both"/>
      </w:pPr>
    </w:p>
    <w:p w14:paraId="578C937A" w14:textId="4702A28F" w:rsidR="0065119F" w:rsidRDefault="0065119F" w:rsidP="00881D17">
      <w:pPr>
        <w:pStyle w:val="RRBody"/>
        <w:spacing w:before="120"/>
        <w:jc w:val="both"/>
      </w:pPr>
    </w:p>
    <w:p w14:paraId="4B232FB9" w14:textId="1FEABC01" w:rsidR="0065119F" w:rsidRDefault="0065119F" w:rsidP="00881D17">
      <w:pPr>
        <w:pStyle w:val="RRBody"/>
        <w:spacing w:before="120"/>
        <w:jc w:val="both"/>
      </w:pPr>
    </w:p>
    <w:p w14:paraId="0B3B2624" w14:textId="7732FA42" w:rsidR="0065119F" w:rsidRDefault="0065119F" w:rsidP="00881D17">
      <w:pPr>
        <w:pStyle w:val="RRBody"/>
        <w:spacing w:before="120"/>
        <w:jc w:val="both"/>
      </w:pPr>
    </w:p>
    <w:p w14:paraId="79B7A53E" w14:textId="77777777" w:rsidR="0065119F" w:rsidRDefault="0065119F" w:rsidP="00881D17">
      <w:pPr>
        <w:pStyle w:val="RRBody"/>
        <w:spacing w:before="120"/>
        <w:jc w:val="both"/>
      </w:pPr>
    </w:p>
    <w:tbl>
      <w:tblPr>
        <w:tblW w:w="9360" w:type="dxa"/>
        <w:tblLayout w:type="fixed"/>
        <w:tblLook w:val="04A0" w:firstRow="1" w:lastRow="0" w:firstColumn="1" w:lastColumn="0" w:noHBand="0" w:noVBand="1"/>
      </w:tblPr>
      <w:tblGrid>
        <w:gridCol w:w="1756"/>
        <w:gridCol w:w="1086"/>
        <w:gridCol w:w="1086"/>
        <w:gridCol w:w="1086"/>
        <w:gridCol w:w="1087"/>
        <w:gridCol w:w="1086"/>
        <w:gridCol w:w="1086"/>
        <w:gridCol w:w="1087"/>
      </w:tblGrid>
      <w:tr w:rsidR="00011864" w:rsidRPr="00011864" w14:paraId="15BDC0D3" w14:textId="77777777" w:rsidTr="000A4EAE">
        <w:trPr>
          <w:trHeight w:val="240"/>
        </w:trPr>
        <w:tc>
          <w:tcPr>
            <w:tcW w:w="9360" w:type="dxa"/>
            <w:gridSpan w:val="8"/>
            <w:tcBorders>
              <w:top w:val="nil"/>
              <w:left w:val="nil"/>
              <w:bottom w:val="nil"/>
              <w:right w:val="nil"/>
            </w:tcBorders>
            <w:shd w:val="clear" w:color="auto" w:fill="auto"/>
            <w:noWrap/>
            <w:vAlign w:val="center"/>
            <w:hideMark/>
          </w:tcPr>
          <w:p w14:paraId="12DF25E7" w14:textId="096AB95C" w:rsidR="00011864" w:rsidRPr="00011864" w:rsidRDefault="00011864" w:rsidP="000A4EAE">
            <w:pPr>
              <w:spacing w:after="0" w:line="240" w:lineRule="auto"/>
              <w:rPr>
                <w:rFonts w:ascii="Arial" w:eastAsia="Times New Roman" w:hAnsi="Arial" w:cs="Arial"/>
                <w:b/>
                <w:bCs/>
                <w:color w:val="0081E3"/>
                <w:szCs w:val="18"/>
              </w:rPr>
            </w:pPr>
            <w:r w:rsidRPr="00011864">
              <w:rPr>
                <w:rFonts w:ascii="Arial" w:eastAsia="Times New Roman" w:hAnsi="Arial" w:cs="Arial"/>
                <w:b/>
                <w:bCs/>
                <w:color w:val="0081E3"/>
                <w:szCs w:val="18"/>
              </w:rPr>
              <w:t xml:space="preserve">FIGURE 12: CALENDAR YEAR 2019 </w:t>
            </w:r>
            <w:r w:rsidR="00E7427B">
              <w:rPr>
                <w:rFonts w:ascii="Arial" w:eastAsia="Times New Roman" w:hAnsi="Arial" w:cs="Arial"/>
                <w:b/>
                <w:bCs/>
                <w:color w:val="0081E3"/>
                <w:szCs w:val="18"/>
              </w:rPr>
              <w:t>ACUITY AND EMERGING</w:t>
            </w:r>
            <w:r w:rsidR="00E7427B" w:rsidRPr="00011864">
              <w:rPr>
                <w:rFonts w:ascii="Arial" w:eastAsia="Times New Roman" w:hAnsi="Arial" w:cs="Arial"/>
                <w:b/>
                <w:bCs/>
                <w:color w:val="0081E3"/>
                <w:szCs w:val="18"/>
              </w:rPr>
              <w:t xml:space="preserve"> </w:t>
            </w:r>
            <w:r w:rsidRPr="00011864">
              <w:rPr>
                <w:rFonts w:ascii="Arial" w:eastAsia="Times New Roman" w:hAnsi="Arial" w:cs="Arial"/>
                <w:b/>
                <w:bCs/>
                <w:color w:val="0081E3"/>
                <w:szCs w:val="18"/>
              </w:rPr>
              <w:t>EXPERIENCE ADJUSTMENT</w:t>
            </w:r>
          </w:p>
        </w:tc>
      </w:tr>
      <w:tr w:rsidR="003E5EAF" w:rsidRPr="00011864" w14:paraId="71A7B4FD" w14:textId="77777777" w:rsidTr="000A4EAE">
        <w:trPr>
          <w:trHeight w:val="960"/>
        </w:trPr>
        <w:tc>
          <w:tcPr>
            <w:tcW w:w="1756" w:type="dxa"/>
            <w:tcBorders>
              <w:top w:val="nil"/>
              <w:left w:val="nil"/>
              <w:bottom w:val="single" w:sz="4" w:space="0" w:color="C6C9CA"/>
              <w:right w:val="nil"/>
            </w:tcBorders>
            <w:shd w:val="clear" w:color="auto" w:fill="auto"/>
            <w:vAlign w:val="center"/>
            <w:hideMark/>
          </w:tcPr>
          <w:p w14:paraId="2B9B1115" w14:textId="77777777" w:rsidR="003E5EAF" w:rsidRPr="00011864" w:rsidRDefault="003E5EAF" w:rsidP="003E5EAF">
            <w:pPr>
              <w:spacing w:after="0" w:line="240" w:lineRule="auto"/>
              <w:rPr>
                <w:rFonts w:ascii="Arial" w:eastAsia="Times New Roman" w:hAnsi="Arial" w:cs="Arial"/>
                <w:b/>
                <w:bCs/>
                <w:color w:val="39414D"/>
                <w:szCs w:val="18"/>
              </w:rPr>
            </w:pPr>
            <w:r w:rsidRPr="00011864">
              <w:rPr>
                <w:rFonts w:ascii="Arial" w:eastAsia="Times New Roman" w:hAnsi="Arial" w:cs="Arial"/>
                <w:b/>
                <w:bCs/>
                <w:color w:val="39414D"/>
                <w:szCs w:val="18"/>
              </w:rPr>
              <w:t>Category of Service Impacted</w:t>
            </w:r>
          </w:p>
        </w:tc>
        <w:tc>
          <w:tcPr>
            <w:tcW w:w="1086" w:type="dxa"/>
            <w:tcBorders>
              <w:top w:val="nil"/>
              <w:left w:val="nil"/>
              <w:bottom w:val="single" w:sz="4" w:space="0" w:color="C6C9CA"/>
              <w:right w:val="nil"/>
            </w:tcBorders>
            <w:shd w:val="clear" w:color="auto" w:fill="auto"/>
            <w:vAlign w:val="center"/>
            <w:hideMark/>
          </w:tcPr>
          <w:p w14:paraId="76EB0F78" w14:textId="5E55BD36" w:rsidR="003E5EAF" w:rsidRPr="000A4EAE" w:rsidRDefault="003E5EAF" w:rsidP="003E5EAF">
            <w:pPr>
              <w:spacing w:after="0" w:line="240" w:lineRule="auto"/>
              <w:jc w:val="center"/>
              <w:rPr>
                <w:rFonts w:ascii="Arial" w:eastAsia="Times New Roman" w:hAnsi="Arial" w:cs="Arial"/>
                <w:b/>
                <w:bCs/>
                <w:color w:val="39414D"/>
                <w:sz w:val="16"/>
                <w:szCs w:val="16"/>
              </w:rPr>
            </w:pPr>
            <w:r w:rsidRPr="000A4EAE">
              <w:rPr>
                <w:rFonts w:ascii="Arial" w:hAnsi="Arial" w:cs="Arial"/>
                <w:b/>
                <w:bCs/>
                <w:color w:val="39414D"/>
                <w:sz w:val="16"/>
                <w:szCs w:val="16"/>
              </w:rPr>
              <w:t>%</w:t>
            </w:r>
            <w:r w:rsidRPr="000A4EAE">
              <w:rPr>
                <w:rFonts w:ascii="Arial" w:hAnsi="Arial" w:cs="Arial"/>
                <w:b/>
                <w:bCs/>
                <w:color w:val="39414D"/>
                <w:sz w:val="16"/>
                <w:szCs w:val="16"/>
              </w:rPr>
              <w:br/>
              <w:t>Impact</w:t>
            </w:r>
            <w:r w:rsidRPr="000A4EAE">
              <w:rPr>
                <w:rFonts w:ascii="Arial" w:hAnsi="Arial" w:cs="Arial"/>
                <w:b/>
                <w:bCs/>
                <w:color w:val="39414D"/>
                <w:sz w:val="16"/>
                <w:szCs w:val="16"/>
              </w:rPr>
              <w:br/>
              <w:t>RIte Care &lt;15</w:t>
            </w:r>
          </w:p>
        </w:tc>
        <w:tc>
          <w:tcPr>
            <w:tcW w:w="1086" w:type="dxa"/>
            <w:tcBorders>
              <w:top w:val="nil"/>
              <w:left w:val="nil"/>
              <w:bottom w:val="single" w:sz="4" w:space="0" w:color="C6C9CA"/>
              <w:right w:val="nil"/>
            </w:tcBorders>
            <w:shd w:val="clear" w:color="auto" w:fill="auto"/>
            <w:vAlign w:val="center"/>
            <w:hideMark/>
          </w:tcPr>
          <w:p w14:paraId="32BD5B51" w14:textId="1A48A2B3" w:rsidR="003E5EAF" w:rsidRPr="000A4EAE" w:rsidRDefault="003E5EAF" w:rsidP="003E5EAF">
            <w:pPr>
              <w:spacing w:after="0" w:line="240" w:lineRule="auto"/>
              <w:jc w:val="center"/>
              <w:rPr>
                <w:rFonts w:ascii="Arial" w:eastAsia="Times New Roman" w:hAnsi="Arial" w:cs="Arial"/>
                <w:b/>
                <w:bCs/>
                <w:color w:val="39414D"/>
                <w:sz w:val="16"/>
                <w:szCs w:val="16"/>
              </w:rPr>
            </w:pPr>
            <w:r w:rsidRPr="000A4EAE">
              <w:rPr>
                <w:rFonts w:ascii="Arial" w:hAnsi="Arial" w:cs="Arial"/>
                <w:b/>
                <w:bCs/>
                <w:color w:val="39414D"/>
                <w:sz w:val="16"/>
                <w:szCs w:val="16"/>
              </w:rPr>
              <w:t>%</w:t>
            </w:r>
            <w:r w:rsidRPr="000A4EAE">
              <w:rPr>
                <w:rFonts w:ascii="Arial" w:hAnsi="Arial" w:cs="Arial"/>
                <w:b/>
                <w:bCs/>
                <w:color w:val="39414D"/>
                <w:sz w:val="16"/>
                <w:szCs w:val="16"/>
              </w:rPr>
              <w:br/>
              <w:t>Impact</w:t>
            </w:r>
            <w:r w:rsidRPr="000A4EAE">
              <w:rPr>
                <w:rFonts w:ascii="Arial" w:hAnsi="Arial" w:cs="Arial"/>
                <w:b/>
                <w:bCs/>
                <w:color w:val="39414D"/>
                <w:sz w:val="16"/>
                <w:szCs w:val="16"/>
              </w:rPr>
              <w:br/>
              <w:t>RIte Care 15+</w:t>
            </w:r>
          </w:p>
        </w:tc>
        <w:tc>
          <w:tcPr>
            <w:tcW w:w="1086" w:type="dxa"/>
            <w:tcBorders>
              <w:top w:val="nil"/>
              <w:left w:val="nil"/>
              <w:bottom w:val="single" w:sz="4" w:space="0" w:color="C6C9CA"/>
              <w:right w:val="nil"/>
            </w:tcBorders>
            <w:shd w:val="clear" w:color="auto" w:fill="auto"/>
            <w:vAlign w:val="center"/>
            <w:hideMark/>
          </w:tcPr>
          <w:p w14:paraId="2564FB7C" w14:textId="6F967DF3" w:rsidR="003E5EAF" w:rsidRPr="000A4EAE" w:rsidRDefault="003E5EAF" w:rsidP="003E5EAF">
            <w:pPr>
              <w:spacing w:after="0" w:line="240" w:lineRule="auto"/>
              <w:jc w:val="center"/>
              <w:rPr>
                <w:rFonts w:ascii="Arial" w:eastAsia="Times New Roman" w:hAnsi="Arial" w:cs="Arial"/>
                <w:b/>
                <w:bCs/>
                <w:color w:val="39414D"/>
                <w:sz w:val="16"/>
                <w:szCs w:val="16"/>
              </w:rPr>
            </w:pPr>
            <w:r w:rsidRPr="000A4EAE">
              <w:rPr>
                <w:rFonts w:ascii="Arial" w:hAnsi="Arial" w:cs="Arial"/>
                <w:b/>
                <w:bCs/>
                <w:color w:val="39414D"/>
                <w:sz w:val="16"/>
                <w:szCs w:val="16"/>
              </w:rPr>
              <w:t>%</w:t>
            </w:r>
            <w:r w:rsidRPr="000A4EAE">
              <w:rPr>
                <w:rFonts w:ascii="Arial" w:hAnsi="Arial" w:cs="Arial"/>
                <w:b/>
                <w:bCs/>
                <w:color w:val="39414D"/>
                <w:sz w:val="16"/>
                <w:szCs w:val="16"/>
              </w:rPr>
              <w:br/>
              <w:t>Impact</w:t>
            </w:r>
            <w:r w:rsidRPr="000A4EAE">
              <w:rPr>
                <w:rFonts w:ascii="Arial" w:hAnsi="Arial" w:cs="Arial"/>
                <w:b/>
                <w:bCs/>
                <w:color w:val="39414D"/>
                <w:sz w:val="16"/>
                <w:szCs w:val="16"/>
              </w:rPr>
              <w:br/>
              <w:t>EFP</w:t>
            </w:r>
          </w:p>
        </w:tc>
        <w:tc>
          <w:tcPr>
            <w:tcW w:w="1087" w:type="dxa"/>
            <w:tcBorders>
              <w:top w:val="nil"/>
              <w:left w:val="nil"/>
              <w:bottom w:val="single" w:sz="4" w:space="0" w:color="C6C9CA"/>
              <w:right w:val="nil"/>
            </w:tcBorders>
            <w:shd w:val="clear" w:color="auto" w:fill="auto"/>
            <w:vAlign w:val="center"/>
            <w:hideMark/>
          </w:tcPr>
          <w:p w14:paraId="2E107B58" w14:textId="7B6AB3B5" w:rsidR="003E5EAF" w:rsidRPr="000A4EAE" w:rsidRDefault="003E5EAF" w:rsidP="003E5EAF">
            <w:pPr>
              <w:spacing w:after="0" w:line="240" w:lineRule="auto"/>
              <w:jc w:val="center"/>
              <w:rPr>
                <w:rFonts w:ascii="Arial" w:eastAsia="Times New Roman" w:hAnsi="Arial" w:cs="Arial"/>
                <w:b/>
                <w:bCs/>
                <w:color w:val="39414D"/>
                <w:sz w:val="16"/>
                <w:szCs w:val="16"/>
              </w:rPr>
            </w:pPr>
            <w:r w:rsidRPr="000A4EAE">
              <w:rPr>
                <w:rFonts w:ascii="Arial" w:hAnsi="Arial" w:cs="Arial"/>
                <w:b/>
                <w:bCs/>
                <w:color w:val="39414D"/>
                <w:sz w:val="16"/>
                <w:szCs w:val="16"/>
              </w:rPr>
              <w:t>%</w:t>
            </w:r>
            <w:r w:rsidRPr="000A4EAE">
              <w:rPr>
                <w:rFonts w:ascii="Arial" w:hAnsi="Arial" w:cs="Arial"/>
                <w:b/>
                <w:bCs/>
                <w:color w:val="39414D"/>
                <w:sz w:val="16"/>
                <w:szCs w:val="16"/>
              </w:rPr>
              <w:br/>
              <w:t>Impact</w:t>
            </w:r>
            <w:r w:rsidRPr="000A4EAE">
              <w:rPr>
                <w:rFonts w:ascii="Arial" w:hAnsi="Arial" w:cs="Arial"/>
                <w:b/>
                <w:bCs/>
                <w:color w:val="39414D"/>
                <w:sz w:val="16"/>
                <w:szCs w:val="16"/>
              </w:rPr>
              <w:br/>
            </w:r>
            <w:r>
              <w:rPr>
                <w:rFonts w:ascii="Arial" w:hAnsi="Arial" w:cs="Arial"/>
                <w:b/>
                <w:bCs/>
                <w:color w:val="39414D"/>
                <w:sz w:val="16"/>
                <w:szCs w:val="16"/>
              </w:rPr>
              <w:t>CSHCN</w:t>
            </w:r>
          </w:p>
        </w:tc>
        <w:tc>
          <w:tcPr>
            <w:tcW w:w="1086" w:type="dxa"/>
            <w:tcBorders>
              <w:top w:val="nil"/>
              <w:left w:val="nil"/>
              <w:bottom w:val="single" w:sz="4" w:space="0" w:color="C6C9CA"/>
              <w:right w:val="nil"/>
            </w:tcBorders>
            <w:shd w:val="clear" w:color="auto" w:fill="auto"/>
            <w:vAlign w:val="center"/>
            <w:hideMark/>
          </w:tcPr>
          <w:p w14:paraId="4958BAC1" w14:textId="35EFA566" w:rsidR="003E5EAF" w:rsidRPr="000A4EAE" w:rsidRDefault="003E5EAF" w:rsidP="003E5EAF">
            <w:pPr>
              <w:spacing w:after="0" w:line="240" w:lineRule="auto"/>
              <w:jc w:val="center"/>
              <w:rPr>
                <w:rFonts w:ascii="Arial" w:eastAsia="Times New Roman" w:hAnsi="Arial" w:cs="Arial"/>
                <w:b/>
                <w:bCs/>
                <w:color w:val="39414D"/>
                <w:sz w:val="16"/>
                <w:szCs w:val="16"/>
              </w:rPr>
            </w:pPr>
            <w:r w:rsidRPr="000A4EAE">
              <w:rPr>
                <w:rFonts w:ascii="Arial" w:hAnsi="Arial" w:cs="Arial"/>
                <w:b/>
                <w:bCs/>
                <w:color w:val="39414D"/>
                <w:sz w:val="16"/>
                <w:szCs w:val="16"/>
              </w:rPr>
              <w:t>%</w:t>
            </w:r>
            <w:r w:rsidRPr="000A4EAE">
              <w:rPr>
                <w:rFonts w:ascii="Arial" w:hAnsi="Arial" w:cs="Arial"/>
                <w:b/>
                <w:bCs/>
                <w:color w:val="39414D"/>
                <w:sz w:val="16"/>
                <w:szCs w:val="16"/>
              </w:rPr>
              <w:br/>
              <w:t>Impact</w:t>
            </w:r>
            <w:r w:rsidRPr="000A4EAE">
              <w:rPr>
                <w:rFonts w:ascii="Arial" w:hAnsi="Arial" w:cs="Arial"/>
                <w:b/>
                <w:bCs/>
                <w:color w:val="39414D"/>
                <w:sz w:val="16"/>
                <w:szCs w:val="16"/>
              </w:rPr>
              <w:br/>
              <w:t>Medicaid Expansion</w:t>
            </w:r>
          </w:p>
        </w:tc>
        <w:tc>
          <w:tcPr>
            <w:tcW w:w="1086" w:type="dxa"/>
            <w:tcBorders>
              <w:top w:val="nil"/>
              <w:left w:val="nil"/>
              <w:bottom w:val="single" w:sz="4" w:space="0" w:color="C6C9CA"/>
              <w:right w:val="nil"/>
            </w:tcBorders>
            <w:shd w:val="clear" w:color="auto" w:fill="auto"/>
            <w:vAlign w:val="center"/>
            <w:hideMark/>
          </w:tcPr>
          <w:p w14:paraId="6C016B82" w14:textId="45A8F8EB" w:rsidR="003E5EAF" w:rsidRPr="000A4EAE" w:rsidRDefault="003E5EAF" w:rsidP="003E5EAF">
            <w:pPr>
              <w:spacing w:after="0" w:line="240" w:lineRule="auto"/>
              <w:jc w:val="center"/>
              <w:rPr>
                <w:rFonts w:ascii="Arial" w:eastAsia="Times New Roman" w:hAnsi="Arial" w:cs="Arial"/>
                <w:b/>
                <w:bCs/>
                <w:color w:val="39414D"/>
                <w:sz w:val="16"/>
                <w:szCs w:val="16"/>
              </w:rPr>
            </w:pPr>
            <w:r w:rsidRPr="000A4EAE">
              <w:rPr>
                <w:rFonts w:ascii="Arial" w:hAnsi="Arial" w:cs="Arial"/>
                <w:b/>
                <w:bCs/>
                <w:color w:val="39414D"/>
                <w:sz w:val="16"/>
                <w:szCs w:val="16"/>
              </w:rPr>
              <w:t>%</w:t>
            </w:r>
            <w:r w:rsidRPr="000A4EAE">
              <w:rPr>
                <w:rFonts w:ascii="Arial" w:hAnsi="Arial" w:cs="Arial"/>
                <w:b/>
                <w:bCs/>
                <w:color w:val="39414D"/>
                <w:sz w:val="16"/>
                <w:szCs w:val="16"/>
              </w:rPr>
              <w:br/>
              <w:t>Impact</w:t>
            </w:r>
            <w:r w:rsidRPr="000A4EAE">
              <w:rPr>
                <w:rFonts w:ascii="Arial" w:hAnsi="Arial" w:cs="Arial"/>
                <w:b/>
                <w:bCs/>
                <w:color w:val="39414D"/>
                <w:sz w:val="16"/>
                <w:szCs w:val="16"/>
              </w:rPr>
              <w:br/>
              <w:t>Rhody Health Partners</w:t>
            </w:r>
          </w:p>
        </w:tc>
        <w:tc>
          <w:tcPr>
            <w:tcW w:w="1087" w:type="dxa"/>
            <w:tcBorders>
              <w:top w:val="nil"/>
              <w:left w:val="nil"/>
              <w:bottom w:val="single" w:sz="4" w:space="0" w:color="C6C9CA"/>
              <w:right w:val="nil"/>
            </w:tcBorders>
            <w:shd w:val="clear" w:color="auto" w:fill="auto"/>
            <w:vAlign w:val="center"/>
            <w:hideMark/>
          </w:tcPr>
          <w:p w14:paraId="0D863B90" w14:textId="7E62386B" w:rsidR="003E5EAF" w:rsidRPr="000A4EAE" w:rsidRDefault="003E5EAF" w:rsidP="003E5EAF">
            <w:pPr>
              <w:spacing w:after="0" w:line="240" w:lineRule="auto"/>
              <w:jc w:val="center"/>
              <w:rPr>
                <w:rFonts w:ascii="Arial" w:eastAsia="Times New Roman" w:hAnsi="Arial" w:cs="Arial"/>
                <w:b/>
                <w:bCs/>
                <w:color w:val="39414D"/>
                <w:sz w:val="16"/>
                <w:szCs w:val="16"/>
              </w:rPr>
            </w:pPr>
            <w:r w:rsidRPr="000A4EAE">
              <w:rPr>
                <w:rFonts w:ascii="Arial" w:hAnsi="Arial" w:cs="Arial"/>
                <w:b/>
                <w:bCs/>
                <w:color w:val="39414D"/>
                <w:sz w:val="16"/>
                <w:szCs w:val="16"/>
              </w:rPr>
              <w:t>%</w:t>
            </w:r>
            <w:r w:rsidRPr="000A4EAE">
              <w:rPr>
                <w:rFonts w:ascii="Arial" w:hAnsi="Arial" w:cs="Arial"/>
                <w:b/>
                <w:bCs/>
                <w:color w:val="39414D"/>
                <w:sz w:val="16"/>
                <w:szCs w:val="16"/>
              </w:rPr>
              <w:br/>
              <w:t>Impact</w:t>
            </w:r>
            <w:r w:rsidRPr="000A4EAE">
              <w:rPr>
                <w:rFonts w:ascii="Arial" w:hAnsi="Arial" w:cs="Arial"/>
                <w:b/>
                <w:bCs/>
                <w:color w:val="39414D"/>
                <w:sz w:val="16"/>
                <w:szCs w:val="16"/>
              </w:rPr>
              <w:br/>
              <w:t>SOBRA</w:t>
            </w:r>
          </w:p>
        </w:tc>
      </w:tr>
      <w:tr w:rsidR="000509CD" w:rsidRPr="00011864" w14:paraId="6742737C" w14:textId="77777777" w:rsidTr="000A4EAE">
        <w:trPr>
          <w:trHeight w:val="255"/>
        </w:trPr>
        <w:tc>
          <w:tcPr>
            <w:tcW w:w="1756" w:type="dxa"/>
            <w:tcBorders>
              <w:top w:val="nil"/>
              <w:left w:val="nil"/>
              <w:bottom w:val="nil"/>
              <w:right w:val="nil"/>
            </w:tcBorders>
            <w:shd w:val="clear" w:color="000000" w:fill="E8E9E9"/>
            <w:noWrap/>
            <w:vAlign w:val="center"/>
            <w:hideMark/>
          </w:tcPr>
          <w:p w14:paraId="49D73829" w14:textId="77777777" w:rsidR="000509CD" w:rsidRPr="00011864" w:rsidRDefault="000509CD" w:rsidP="000509CD">
            <w:pPr>
              <w:spacing w:after="0" w:line="240" w:lineRule="auto"/>
              <w:rPr>
                <w:rFonts w:ascii="Arial" w:eastAsia="Times New Roman" w:hAnsi="Arial" w:cs="Arial"/>
                <w:color w:val="39414D"/>
                <w:szCs w:val="18"/>
              </w:rPr>
            </w:pPr>
            <w:r w:rsidRPr="00011864">
              <w:rPr>
                <w:rFonts w:ascii="Arial" w:eastAsia="Times New Roman" w:hAnsi="Arial" w:cs="Arial"/>
                <w:color w:val="39414D"/>
                <w:szCs w:val="18"/>
              </w:rPr>
              <w:t>Inpatient Hospital</w:t>
            </w:r>
          </w:p>
        </w:tc>
        <w:tc>
          <w:tcPr>
            <w:tcW w:w="1086" w:type="dxa"/>
            <w:tcBorders>
              <w:top w:val="nil"/>
              <w:left w:val="nil"/>
              <w:bottom w:val="nil"/>
              <w:right w:val="nil"/>
            </w:tcBorders>
            <w:shd w:val="clear" w:color="000000" w:fill="E8E9E9"/>
            <w:noWrap/>
            <w:vAlign w:val="center"/>
            <w:hideMark/>
          </w:tcPr>
          <w:p w14:paraId="6092463F" w14:textId="477D1E44"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(7.5%)</w:t>
            </w:r>
          </w:p>
        </w:tc>
        <w:tc>
          <w:tcPr>
            <w:tcW w:w="1086" w:type="dxa"/>
            <w:tcBorders>
              <w:top w:val="nil"/>
              <w:left w:val="nil"/>
              <w:bottom w:val="nil"/>
              <w:right w:val="nil"/>
            </w:tcBorders>
            <w:shd w:val="clear" w:color="000000" w:fill="E8E9E9"/>
            <w:noWrap/>
            <w:vAlign w:val="center"/>
            <w:hideMark/>
          </w:tcPr>
          <w:p w14:paraId="669DD86B" w14:textId="25FEE5C1"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 xml:space="preserve">5.0% </w:t>
            </w:r>
          </w:p>
        </w:tc>
        <w:tc>
          <w:tcPr>
            <w:tcW w:w="1086" w:type="dxa"/>
            <w:tcBorders>
              <w:top w:val="nil"/>
              <w:left w:val="nil"/>
              <w:bottom w:val="nil"/>
              <w:right w:val="nil"/>
            </w:tcBorders>
            <w:shd w:val="clear" w:color="000000" w:fill="E8E9E9"/>
            <w:noWrap/>
            <w:vAlign w:val="center"/>
            <w:hideMark/>
          </w:tcPr>
          <w:p w14:paraId="50847289" w14:textId="3EC0E8CB"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(7.5%)</w:t>
            </w:r>
          </w:p>
        </w:tc>
        <w:tc>
          <w:tcPr>
            <w:tcW w:w="1087" w:type="dxa"/>
            <w:tcBorders>
              <w:top w:val="nil"/>
              <w:left w:val="nil"/>
              <w:bottom w:val="nil"/>
              <w:right w:val="nil"/>
            </w:tcBorders>
            <w:shd w:val="clear" w:color="000000" w:fill="E8E9E9"/>
            <w:noWrap/>
            <w:vAlign w:val="center"/>
            <w:hideMark/>
          </w:tcPr>
          <w:p w14:paraId="042AE0AB" w14:textId="2D4DE9F1"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 xml:space="preserve">15.0% </w:t>
            </w:r>
          </w:p>
        </w:tc>
        <w:tc>
          <w:tcPr>
            <w:tcW w:w="1086" w:type="dxa"/>
            <w:tcBorders>
              <w:top w:val="nil"/>
              <w:left w:val="nil"/>
              <w:bottom w:val="nil"/>
              <w:right w:val="nil"/>
            </w:tcBorders>
            <w:shd w:val="clear" w:color="000000" w:fill="E8E9E9"/>
            <w:noWrap/>
            <w:vAlign w:val="center"/>
            <w:hideMark/>
          </w:tcPr>
          <w:p w14:paraId="7BF9AD00" w14:textId="21148BD5"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 xml:space="preserve">0.0% </w:t>
            </w:r>
          </w:p>
        </w:tc>
        <w:tc>
          <w:tcPr>
            <w:tcW w:w="1086" w:type="dxa"/>
            <w:tcBorders>
              <w:top w:val="nil"/>
              <w:left w:val="nil"/>
              <w:bottom w:val="nil"/>
              <w:right w:val="nil"/>
            </w:tcBorders>
            <w:shd w:val="clear" w:color="000000" w:fill="E8E9E9"/>
            <w:noWrap/>
            <w:vAlign w:val="center"/>
            <w:hideMark/>
          </w:tcPr>
          <w:p w14:paraId="346ED1A3" w14:textId="5CA5780B"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 xml:space="preserve">7.5% </w:t>
            </w:r>
          </w:p>
        </w:tc>
        <w:tc>
          <w:tcPr>
            <w:tcW w:w="1087" w:type="dxa"/>
            <w:tcBorders>
              <w:top w:val="nil"/>
              <w:left w:val="nil"/>
              <w:bottom w:val="nil"/>
              <w:right w:val="nil"/>
            </w:tcBorders>
            <w:shd w:val="clear" w:color="000000" w:fill="E8E9E9"/>
            <w:noWrap/>
            <w:vAlign w:val="center"/>
            <w:hideMark/>
          </w:tcPr>
          <w:p w14:paraId="1A6D1EC7" w14:textId="6711387F" w:rsidR="000509CD" w:rsidRPr="000A4EAE" w:rsidRDefault="000509CD" w:rsidP="000509CD">
            <w:pPr>
              <w:spacing w:after="0" w:line="240" w:lineRule="auto"/>
              <w:jc w:val="right"/>
              <w:rPr>
                <w:rFonts w:ascii="Arial" w:eastAsia="Times New Roman" w:hAnsi="Arial" w:cs="Arial"/>
                <w:color w:val="39414D"/>
                <w:sz w:val="16"/>
                <w:szCs w:val="16"/>
              </w:rPr>
            </w:pPr>
            <w:r w:rsidRPr="000A4EAE">
              <w:rPr>
                <w:rFonts w:ascii="Arial" w:hAnsi="Arial" w:cs="Arial"/>
                <w:color w:val="39414D"/>
                <w:sz w:val="16"/>
                <w:szCs w:val="16"/>
              </w:rPr>
              <w:t xml:space="preserve">0.0% </w:t>
            </w:r>
          </w:p>
        </w:tc>
      </w:tr>
      <w:tr w:rsidR="000509CD" w:rsidRPr="00011864" w14:paraId="493030FC" w14:textId="77777777" w:rsidTr="000A4EAE">
        <w:trPr>
          <w:trHeight w:val="255"/>
        </w:trPr>
        <w:tc>
          <w:tcPr>
            <w:tcW w:w="1756" w:type="dxa"/>
            <w:tcBorders>
              <w:top w:val="nil"/>
              <w:left w:val="nil"/>
              <w:bottom w:val="nil"/>
              <w:right w:val="nil"/>
            </w:tcBorders>
            <w:shd w:val="clear" w:color="auto" w:fill="auto"/>
            <w:noWrap/>
            <w:vAlign w:val="center"/>
            <w:hideMark/>
          </w:tcPr>
          <w:p w14:paraId="7B5548EA" w14:textId="77777777" w:rsidR="000509CD" w:rsidRPr="00011864" w:rsidRDefault="000509CD" w:rsidP="000509CD">
            <w:pPr>
              <w:spacing w:after="0" w:line="240" w:lineRule="auto"/>
              <w:rPr>
                <w:rFonts w:ascii="Arial" w:eastAsia="Times New Roman" w:hAnsi="Arial" w:cs="Arial"/>
                <w:color w:val="39414D"/>
                <w:szCs w:val="18"/>
              </w:rPr>
            </w:pPr>
            <w:r w:rsidRPr="00011864">
              <w:rPr>
                <w:rFonts w:ascii="Arial" w:eastAsia="Times New Roman" w:hAnsi="Arial" w:cs="Arial"/>
                <w:color w:val="39414D"/>
                <w:szCs w:val="18"/>
              </w:rPr>
              <w:t>Outpatient Hospital</w:t>
            </w:r>
          </w:p>
        </w:tc>
        <w:tc>
          <w:tcPr>
            <w:tcW w:w="1086" w:type="dxa"/>
            <w:tcBorders>
              <w:top w:val="nil"/>
              <w:left w:val="nil"/>
              <w:bottom w:val="nil"/>
              <w:right w:val="nil"/>
            </w:tcBorders>
            <w:shd w:val="clear" w:color="auto" w:fill="auto"/>
            <w:noWrap/>
            <w:vAlign w:val="center"/>
            <w:hideMark/>
          </w:tcPr>
          <w:p w14:paraId="11DB364B" w14:textId="52FB1729"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(2.5%)</w:t>
            </w:r>
          </w:p>
        </w:tc>
        <w:tc>
          <w:tcPr>
            <w:tcW w:w="1086" w:type="dxa"/>
            <w:tcBorders>
              <w:top w:val="nil"/>
              <w:left w:val="nil"/>
              <w:bottom w:val="nil"/>
              <w:right w:val="nil"/>
            </w:tcBorders>
            <w:shd w:val="clear" w:color="auto" w:fill="auto"/>
            <w:noWrap/>
            <w:vAlign w:val="center"/>
            <w:hideMark/>
          </w:tcPr>
          <w:p w14:paraId="21BE8356" w14:textId="05B45F95"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(5.0%)</w:t>
            </w:r>
          </w:p>
        </w:tc>
        <w:tc>
          <w:tcPr>
            <w:tcW w:w="1086" w:type="dxa"/>
            <w:tcBorders>
              <w:top w:val="nil"/>
              <w:left w:val="nil"/>
              <w:bottom w:val="nil"/>
              <w:right w:val="nil"/>
            </w:tcBorders>
            <w:shd w:val="clear" w:color="auto" w:fill="auto"/>
            <w:noWrap/>
            <w:vAlign w:val="center"/>
            <w:hideMark/>
          </w:tcPr>
          <w:p w14:paraId="24C1348A" w14:textId="73C388E1"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(7.5%)</w:t>
            </w:r>
          </w:p>
        </w:tc>
        <w:tc>
          <w:tcPr>
            <w:tcW w:w="1087" w:type="dxa"/>
            <w:tcBorders>
              <w:top w:val="nil"/>
              <w:left w:val="nil"/>
              <w:bottom w:val="nil"/>
              <w:right w:val="nil"/>
            </w:tcBorders>
            <w:shd w:val="clear" w:color="auto" w:fill="auto"/>
            <w:noWrap/>
            <w:vAlign w:val="center"/>
            <w:hideMark/>
          </w:tcPr>
          <w:p w14:paraId="230951C0" w14:textId="2C453695"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 xml:space="preserve">7.5% </w:t>
            </w:r>
          </w:p>
        </w:tc>
        <w:tc>
          <w:tcPr>
            <w:tcW w:w="1086" w:type="dxa"/>
            <w:tcBorders>
              <w:top w:val="nil"/>
              <w:left w:val="nil"/>
              <w:bottom w:val="nil"/>
              <w:right w:val="nil"/>
            </w:tcBorders>
            <w:shd w:val="clear" w:color="auto" w:fill="auto"/>
            <w:noWrap/>
            <w:vAlign w:val="center"/>
            <w:hideMark/>
          </w:tcPr>
          <w:p w14:paraId="3791EE65" w14:textId="764BC18D"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(2.5%)</w:t>
            </w:r>
          </w:p>
        </w:tc>
        <w:tc>
          <w:tcPr>
            <w:tcW w:w="1086" w:type="dxa"/>
            <w:tcBorders>
              <w:top w:val="nil"/>
              <w:left w:val="nil"/>
              <w:bottom w:val="nil"/>
              <w:right w:val="nil"/>
            </w:tcBorders>
            <w:shd w:val="clear" w:color="auto" w:fill="auto"/>
            <w:noWrap/>
            <w:vAlign w:val="center"/>
            <w:hideMark/>
          </w:tcPr>
          <w:p w14:paraId="747362A5" w14:textId="1330B3D6"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 xml:space="preserve">10.0% </w:t>
            </w:r>
          </w:p>
        </w:tc>
        <w:tc>
          <w:tcPr>
            <w:tcW w:w="1087" w:type="dxa"/>
            <w:tcBorders>
              <w:top w:val="nil"/>
              <w:left w:val="nil"/>
              <w:bottom w:val="nil"/>
              <w:right w:val="nil"/>
            </w:tcBorders>
            <w:shd w:val="clear" w:color="auto" w:fill="auto"/>
            <w:noWrap/>
            <w:vAlign w:val="center"/>
            <w:hideMark/>
          </w:tcPr>
          <w:p w14:paraId="099C3880" w14:textId="1B829A75" w:rsidR="000509CD" w:rsidRPr="000A4EAE" w:rsidRDefault="000509CD" w:rsidP="000509CD">
            <w:pPr>
              <w:spacing w:after="0" w:line="240" w:lineRule="auto"/>
              <w:jc w:val="right"/>
              <w:rPr>
                <w:rFonts w:ascii="Arial" w:eastAsia="Times New Roman" w:hAnsi="Arial" w:cs="Arial"/>
                <w:color w:val="39414D"/>
                <w:sz w:val="16"/>
                <w:szCs w:val="16"/>
              </w:rPr>
            </w:pPr>
            <w:r w:rsidRPr="000A4EAE">
              <w:rPr>
                <w:rFonts w:ascii="Arial" w:hAnsi="Arial" w:cs="Arial"/>
                <w:color w:val="39414D"/>
                <w:sz w:val="16"/>
                <w:szCs w:val="16"/>
              </w:rPr>
              <w:t xml:space="preserve">0.0% </w:t>
            </w:r>
          </w:p>
        </w:tc>
      </w:tr>
      <w:tr w:rsidR="000509CD" w:rsidRPr="00011864" w14:paraId="4F93A496" w14:textId="77777777" w:rsidTr="000A4EAE">
        <w:trPr>
          <w:trHeight w:val="255"/>
        </w:trPr>
        <w:tc>
          <w:tcPr>
            <w:tcW w:w="1756" w:type="dxa"/>
            <w:tcBorders>
              <w:top w:val="nil"/>
              <w:left w:val="nil"/>
              <w:bottom w:val="nil"/>
              <w:right w:val="nil"/>
            </w:tcBorders>
            <w:shd w:val="clear" w:color="000000" w:fill="E8E9E9"/>
            <w:noWrap/>
            <w:vAlign w:val="center"/>
            <w:hideMark/>
          </w:tcPr>
          <w:p w14:paraId="58D40D03" w14:textId="77777777" w:rsidR="000509CD" w:rsidRPr="00011864" w:rsidRDefault="000509CD" w:rsidP="000509CD">
            <w:pPr>
              <w:spacing w:after="0" w:line="240" w:lineRule="auto"/>
              <w:rPr>
                <w:rFonts w:ascii="Arial" w:eastAsia="Times New Roman" w:hAnsi="Arial" w:cs="Arial"/>
                <w:color w:val="39414D"/>
                <w:szCs w:val="18"/>
              </w:rPr>
            </w:pPr>
            <w:r w:rsidRPr="00011864">
              <w:rPr>
                <w:rFonts w:ascii="Arial" w:eastAsia="Times New Roman" w:hAnsi="Arial" w:cs="Arial"/>
                <w:color w:val="39414D"/>
                <w:szCs w:val="18"/>
              </w:rPr>
              <w:t>Professional</w:t>
            </w:r>
          </w:p>
        </w:tc>
        <w:tc>
          <w:tcPr>
            <w:tcW w:w="1086" w:type="dxa"/>
            <w:tcBorders>
              <w:top w:val="nil"/>
              <w:left w:val="nil"/>
              <w:bottom w:val="nil"/>
              <w:right w:val="nil"/>
            </w:tcBorders>
            <w:shd w:val="clear" w:color="000000" w:fill="E8E9E9"/>
            <w:noWrap/>
            <w:vAlign w:val="center"/>
            <w:hideMark/>
          </w:tcPr>
          <w:p w14:paraId="5A040148" w14:textId="4E6FE4A5"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(2.5%)</w:t>
            </w:r>
          </w:p>
        </w:tc>
        <w:tc>
          <w:tcPr>
            <w:tcW w:w="1086" w:type="dxa"/>
            <w:tcBorders>
              <w:top w:val="nil"/>
              <w:left w:val="nil"/>
              <w:bottom w:val="nil"/>
              <w:right w:val="nil"/>
            </w:tcBorders>
            <w:shd w:val="clear" w:color="000000" w:fill="E8E9E9"/>
            <w:noWrap/>
            <w:vAlign w:val="center"/>
            <w:hideMark/>
          </w:tcPr>
          <w:p w14:paraId="66B21526" w14:textId="35A367DB"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 xml:space="preserve">2.5% </w:t>
            </w:r>
          </w:p>
        </w:tc>
        <w:tc>
          <w:tcPr>
            <w:tcW w:w="1086" w:type="dxa"/>
            <w:tcBorders>
              <w:top w:val="nil"/>
              <w:left w:val="nil"/>
              <w:bottom w:val="nil"/>
              <w:right w:val="nil"/>
            </w:tcBorders>
            <w:shd w:val="clear" w:color="000000" w:fill="E8E9E9"/>
            <w:noWrap/>
            <w:vAlign w:val="center"/>
            <w:hideMark/>
          </w:tcPr>
          <w:p w14:paraId="58E24585" w14:textId="58D41533"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(7.5%)</w:t>
            </w:r>
          </w:p>
        </w:tc>
        <w:tc>
          <w:tcPr>
            <w:tcW w:w="1087" w:type="dxa"/>
            <w:tcBorders>
              <w:top w:val="nil"/>
              <w:left w:val="nil"/>
              <w:bottom w:val="nil"/>
              <w:right w:val="nil"/>
            </w:tcBorders>
            <w:shd w:val="clear" w:color="000000" w:fill="E8E9E9"/>
            <w:noWrap/>
            <w:vAlign w:val="center"/>
            <w:hideMark/>
          </w:tcPr>
          <w:p w14:paraId="7B91DCAC" w14:textId="534D2CBE"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(2.5%)</w:t>
            </w:r>
          </w:p>
        </w:tc>
        <w:tc>
          <w:tcPr>
            <w:tcW w:w="1086" w:type="dxa"/>
            <w:tcBorders>
              <w:top w:val="nil"/>
              <w:left w:val="nil"/>
              <w:bottom w:val="nil"/>
              <w:right w:val="nil"/>
            </w:tcBorders>
            <w:shd w:val="clear" w:color="000000" w:fill="E8E9E9"/>
            <w:noWrap/>
            <w:vAlign w:val="center"/>
            <w:hideMark/>
          </w:tcPr>
          <w:p w14:paraId="25CBBF20" w14:textId="52BA4BDD"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(5.0%)</w:t>
            </w:r>
          </w:p>
        </w:tc>
        <w:tc>
          <w:tcPr>
            <w:tcW w:w="1086" w:type="dxa"/>
            <w:tcBorders>
              <w:top w:val="nil"/>
              <w:left w:val="nil"/>
              <w:bottom w:val="nil"/>
              <w:right w:val="nil"/>
            </w:tcBorders>
            <w:shd w:val="clear" w:color="000000" w:fill="E8E9E9"/>
            <w:noWrap/>
            <w:vAlign w:val="center"/>
            <w:hideMark/>
          </w:tcPr>
          <w:p w14:paraId="14700638" w14:textId="4D1E5859"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(5.0%)</w:t>
            </w:r>
          </w:p>
        </w:tc>
        <w:tc>
          <w:tcPr>
            <w:tcW w:w="1087" w:type="dxa"/>
            <w:tcBorders>
              <w:top w:val="nil"/>
              <w:left w:val="nil"/>
              <w:bottom w:val="nil"/>
              <w:right w:val="nil"/>
            </w:tcBorders>
            <w:shd w:val="clear" w:color="000000" w:fill="E8E9E9"/>
            <w:noWrap/>
            <w:vAlign w:val="center"/>
            <w:hideMark/>
          </w:tcPr>
          <w:p w14:paraId="28AB52C9" w14:textId="5E9DDA87" w:rsidR="000509CD" w:rsidRPr="000A4EAE" w:rsidRDefault="000509CD" w:rsidP="000509CD">
            <w:pPr>
              <w:spacing w:after="0" w:line="240" w:lineRule="auto"/>
              <w:jc w:val="right"/>
              <w:rPr>
                <w:rFonts w:ascii="Arial" w:eastAsia="Times New Roman" w:hAnsi="Arial" w:cs="Arial"/>
                <w:color w:val="39414D"/>
                <w:sz w:val="16"/>
                <w:szCs w:val="16"/>
              </w:rPr>
            </w:pPr>
            <w:r w:rsidRPr="000A4EAE">
              <w:rPr>
                <w:rFonts w:ascii="Arial" w:hAnsi="Arial" w:cs="Arial"/>
                <w:color w:val="39414D"/>
                <w:sz w:val="16"/>
                <w:szCs w:val="16"/>
              </w:rPr>
              <w:t xml:space="preserve">0.0% </w:t>
            </w:r>
          </w:p>
        </w:tc>
      </w:tr>
      <w:tr w:rsidR="000509CD" w:rsidRPr="00011864" w14:paraId="2CED7A64" w14:textId="77777777" w:rsidTr="000A4EAE">
        <w:trPr>
          <w:trHeight w:val="255"/>
        </w:trPr>
        <w:tc>
          <w:tcPr>
            <w:tcW w:w="1756" w:type="dxa"/>
            <w:tcBorders>
              <w:top w:val="nil"/>
              <w:left w:val="nil"/>
              <w:bottom w:val="nil"/>
              <w:right w:val="nil"/>
            </w:tcBorders>
            <w:shd w:val="clear" w:color="auto" w:fill="auto"/>
            <w:noWrap/>
            <w:vAlign w:val="center"/>
            <w:hideMark/>
          </w:tcPr>
          <w:p w14:paraId="6E1DF7D7" w14:textId="77777777" w:rsidR="000509CD" w:rsidRPr="00011864" w:rsidRDefault="000509CD" w:rsidP="000509CD">
            <w:pPr>
              <w:spacing w:after="0" w:line="240" w:lineRule="auto"/>
              <w:rPr>
                <w:rFonts w:ascii="Arial" w:eastAsia="Times New Roman" w:hAnsi="Arial" w:cs="Arial"/>
                <w:color w:val="39414D"/>
                <w:szCs w:val="18"/>
              </w:rPr>
            </w:pPr>
            <w:r w:rsidRPr="00011864">
              <w:rPr>
                <w:rFonts w:ascii="Arial" w:eastAsia="Times New Roman" w:hAnsi="Arial" w:cs="Arial"/>
                <w:color w:val="39414D"/>
                <w:szCs w:val="18"/>
              </w:rPr>
              <w:t>Emergency Room</w:t>
            </w:r>
          </w:p>
        </w:tc>
        <w:tc>
          <w:tcPr>
            <w:tcW w:w="1086" w:type="dxa"/>
            <w:tcBorders>
              <w:top w:val="nil"/>
              <w:left w:val="nil"/>
              <w:bottom w:val="nil"/>
              <w:right w:val="nil"/>
            </w:tcBorders>
            <w:shd w:val="clear" w:color="auto" w:fill="auto"/>
            <w:noWrap/>
            <w:vAlign w:val="center"/>
            <w:hideMark/>
          </w:tcPr>
          <w:p w14:paraId="0EB9DBC9" w14:textId="20302C12"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(12.5%)</w:t>
            </w:r>
          </w:p>
        </w:tc>
        <w:tc>
          <w:tcPr>
            <w:tcW w:w="1086" w:type="dxa"/>
            <w:tcBorders>
              <w:top w:val="nil"/>
              <w:left w:val="nil"/>
              <w:bottom w:val="nil"/>
              <w:right w:val="nil"/>
            </w:tcBorders>
            <w:shd w:val="clear" w:color="auto" w:fill="auto"/>
            <w:noWrap/>
            <w:vAlign w:val="center"/>
            <w:hideMark/>
          </w:tcPr>
          <w:p w14:paraId="0B31580F" w14:textId="73176AEE"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(10.0%)</w:t>
            </w:r>
          </w:p>
        </w:tc>
        <w:tc>
          <w:tcPr>
            <w:tcW w:w="1086" w:type="dxa"/>
            <w:tcBorders>
              <w:top w:val="nil"/>
              <w:left w:val="nil"/>
              <w:bottom w:val="nil"/>
              <w:right w:val="nil"/>
            </w:tcBorders>
            <w:shd w:val="clear" w:color="auto" w:fill="auto"/>
            <w:noWrap/>
            <w:vAlign w:val="center"/>
            <w:hideMark/>
          </w:tcPr>
          <w:p w14:paraId="7F0BE71A" w14:textId="646E15BC"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(7.5%)</w:t>
            </w:r>
          </w:p>
        </w:tc>
        <w:tc>
          <w:tcPr>
            <w:tcW w:w="1087" w:type="dxa"/>
            <w:tcBorders>
              <w:top w:val="nil"/>
              <w:left w:val="nil"/>
              <w:bottom w:val="nil"/>
              <w:right w:val="nil"/>
            </w:tcBorders>
            <w:shd w:val="clear" w:color="auto" w:fill="auto"/>
            <w:noWrap/>
            <w:vAlign w:val="center"/>
            <w:hideMark/>
          </w:tcPr>
          <w:p w14:paraId="06ADBE5E" w14:textId="4FFD4B21"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(5.0%)</w:t>
            </w:r>
          </w:p>
        </w:tc>
        <w:tc>
          <w:tcPr>
            <w:tcW w:w="1086" w:type="dxa"/>
            <w:tcBorders>
              <w:top w:val="nil"/>
              <w:left w:val="nil"/>
              <w:bottom w:val="nil"/>
              <w:right w:val="nil"/>
            </w:tcBorders>
            <w:shd w:val="clear" w:color="auto" w:fill="auto"/>
            <w:noWrap/>
            <w:vAlign w:val="center"/>
            <w:hideMark/>
          </w:tcPr>
          <w:p w14:paraId="526CE19B" w14:textId="433815C4"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(10.0%)</w:t>
            </w:r>
          </w:p>
        </w:tc>
        <w:tc>
          <w:tcPr>
            <w:tcW w:w="1086" w:type="dxa"/>
            <w:tcBorders>
              <w:top w:val="nil"/>
              <w:left w:val="nil"/>
              <w:bottom w:val="nil"/>
              <w:right w:val="nil"/>
            </w:tcBorders>
            <w:shd w:val="clear" w:color="auto" w:fill="auto"/>
            <w:noWrap/>
            <w:vAlign w:val="center"/>
            <w:hideMark/>
          </w:tcPr>
          <w:p w14:paraId="3617DFC2" w14:textId="246576C4"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 xml:space="preserve">0.0% </w:t>
            </w:r>
          </w:p>
        </w:tc>
        <w:tc>
          <w:tcPr>
            <w:tcW w:w="1087" w:type="dxa"/>
            <w:tcBorders>
              <w:top w:val="nil"/>
              <w:left w:val="nil"/>
              <w:bottom w:val="nil"/>
              <w:right w:val="nil"/>
            </w:tcBorders>
            <w:shd w:val="clear" w:color="auto" w:fill="auto"/>
            <w:noWrap/>
            <w:vAlign w:val="center"/>
            <w:hideMark/>
          </w:tcPr>
          <w:p w14:paraId="4CEFF742" w14:textId="2F39DD41" w:rsidR="000509CD" w:rsidRPr="000A4EAE" w:rsidRDefault="000509CD" w:rsidP="000509CD">
            <w:pPr>
              <w:spacing w:after="0" w:line="240" w:lineRule="auto"/>
              <w:jc w:val="right"/>
              <w:rPr>
                <w:rFonts w:ascii="Arial" w:eastAsia="Times New Roman" w:hAnsi="Arial" w:cs="Arial"/>
                <w:color w:val="39414D"/>
                <w:sz w:val="16"/>
                <w:szCs w:val="16"/>
              </w:rPr>
            </w:pPr>
            <w:r w:rsidRPr="000A4EAE">
              <w:rPr>
                <w:rFonts w:ascii="Arial" w:hAnsi="Arial" w:cs="Arial"/>
                <w:color w:val="39414D"/>
                <w:sz w:val="16"/>
                <w:szCs w:val="16"/>
              </w:rPr>
              <w:t xml:space="preserve">0.0% </w:t>
            </w:r>
          </w:p>
        </w:tc>
      </w:tr>
      <w:tr w:rsidR="000509CD" w:rsidRPr="00011864" w14:paraId="5723EACD" w14:textId="77777777" w:rsidTr="000A4EAE">
        <w:trPr>
          <w:trHeight w:val="255"/>
        </w:trPr>
        <w:tc>
          <w:tcPr>
            <w:tcW w:w="1756" w:type="dxa"/>
            <w:tcBorders>
              <w:top w:val="nil"/>
              <w:left w:val="nil"/>
              <w:bottom w:val="nil"/>
              <w:right w:val="nil"/>
            </w:tcBorders>
            <w:shd w:val="clear" w:color="000000" w:fill="E8E9E9"/>
            <w:noWrap/>
            <w:vAlign w:val="center"/>
            <w:hideMark/>
          </w:tcPr>
          <w:p w14:paraId="2D7D18E2" w14:textId="77777777" w:rsidR="000509CD" w:rsidRPr="00011864" w:rsidRDefault="000509CD" w:rsidP="000509CD">
            <w:pPr>
              <w:spacing w:after="0" w:line="240" w:lineRule="auto"/>
              <w:rPr>
                <w:rFonts w:ascii="Arial" w:eastAsia="Times New Roman" w:hAnsi="Arial" w:cs="Arial"/>
                <w:color w:val="39414D"/>
                <w:szCs w:val="18"/>
              </w:rPr>
            </w:pPr>
            <w:r w:rsidRPr="00011864">
              <w:rPr>
                <w:rFonts w:ascii="Arial" w:eastAsia="Times New Roman" w:hAnsi="Arial" w:cs="Arial"/>
                <w:color w:val="39414D"/>
                <w:szCs w:val="18"/>
              </w:rPr>
              <w:t>Behavioral Health</w:t>
            </w:r>
          </w:p>
        </w:tc>
        <w:tc>
          <w:tcPr>
            <w:tcW w:w="1086" w:type="dxa"/>
            <w:tcBorders>
              <w:top w:val="nil"/>
              <w:left w:val="nil"/>
              <w:bottom w:val="nil"/>
              <w:right w:val="nil"/>
            </w:tcBorders>
            <w:shd w:val="clear" w:color="000000" w:fill="E8E9E9"/>
            <w:noWrap/>
            <w:vAlign w:val="center"/>
            <w:hideMark/>
          </w:tcPr>
          <w:p w14:paraId="333065AD" w14:textId="638A0CC6"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 xml:space="preserve">10.0% </w:t>
            </w:r>
          </w:p>
        </w:tc>
        <w:tc>
          <w:tcPr>
            <w:tcW w:w="1086" w:type="dxa"/>
            <w:tcBorders>
              <w:top w:val="nil"/>
              <w:left w:val="nil"/>
              <w:bottom w:val="nil"/>
              <w:right w:val="nil"/>
            </w:tcBorders>
            <w:shd w:val="clear" w:color="000000" w:fill="E8E9E9"/>
            <w:noWrap/>
            <w:vAlign w:val="center"/>
            <w:hideMark/>
          </w:tcPr>
          <w:p w14:paraId="62B973F0" w14:textId="42190463"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 xml:space="preserve">0.0% </w:t>
            </w:r>
          </w:p>
        </w:tc>
        <w:tc>
          <w:tcPr>
            <w:tcW w:w="1086" w:type="dxa"/>
            <w:tcBorders>
              <w:top w:val="nil"/>
              <w:left w:val="nil"/>
              <w:bottom w:val="nil"/>
              <w:right w:val="nil"/>
            </w:tcBorders>
            <w:shd w:val="clear" w:color="000000" w:fill="E8E9E9"/>
            <w:noWrap/>
            <w:vAlign w:val="center"/>
            <w:hideMark/>
          </w:tcPr>
          <w:p w14:paraId="7FA1B312" w14:textId="54CA187D"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(7.5%)</w:t>
            </w:r>
          </w:p>
        </w:tc>
        <w:tc>
          <w:tcPr>
            <w:tcW w:w="1087" w:type="dxa"/>
            <w:tcBorders>
              <w:top w:val="nil"/>
              <w:left w:val="nil"/>
              <w:bottom w:val="nil"/>
              <w:right w:val="nil"/>
            </w:tcBorders>
            <w:shd w:val="clear" w:color="000000" w:fill="E8E9E9"/>
            <w:noWrap/>
            <w:vAlign w:val="center"/>
            <w:hideMark/>
          </w:tcPr>
          <w:p w14:paraId="795FC786" w14:textId="59A7E5CE"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 xml:space="preserve">0.0% </w:t>
            </w:r>
          </w:p>
        </w:tc>
        <w:tc>
          <w:tcPr>
            <w:tcW w:w="1086" w:type="dxa"/>
            <w:tcBorders>
              <w:top w:val="nil"/>
              <w:left w:val="nil"/>
              <w:bottom w:val="nil"/>
              <w:right w:val="nil"/>
            </w:tcBorders>
            <w:shd w:val="clear" w:color="000000" w:fill="E8E9E9"/>
            <w:noWrap/>
            <w:vAlign w:val="center"/>
            <w:hideMark/>
          </w:tcPr>
          <w:p w14:paraId="6A7667F9" w14:textId="1927F55E"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(5.0%)</w:t>
            </w:r>
          </w:p>
        </w:tc>
        <w:tc>
          <w:tcPr>
            <w:tcW w:w="1086" w:type="dxa"/>
            <w:tcBorders>
              <w:top w:val="nil"/>
              <w:left w:val="nil"/>
              <w:bottom w:val="nil"/>
              <w:right w:val="nil"/>
            </w:tcBorders>
            <w:shd w:val="clear" w:color="000000" w:fill="E8E9E9"/>
            <w:noWrap/>
            <w:vAlign w:val="center"/>
            <w:hideMark/>
          </w:tcPr>
          <w:p w14:paraId="5B7FA4E1" w14:textId="22DF9002"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 xml:space="preserve">2.5% </w:t>
            </w:r>
          </w:p>
        </w:tc>
        <w:tc>
          <w:tcPr>
            <w:tcW w:w="1087" w:type="dxa"/>
            <w:tcBorders>
              <w:top w:val="nil"/>
              <w:left w:val="nil"/>
              <w:bottom w:val="nil"/>
              <w:right w:val="nil"/>
            </w:tcBorders>
            <w:shd w:val="clear" w:color="000000" w:fill="E8E9E9"/>
            <w:noWrap/>
            <w:vAlign w:val="center"/>
            <w:hideMark/>
          </w:tcPr>
          <w:p w14:paraId="4AE53B62" w14:textId="4DB56581" w:rsidR="000509CD" w:rsidRPr="000A4EAE" w:rsidRDefault="000509CD" w:rsidP="000509CD">
            <w:pPr>
              <w:spacing w:after="0" w:line="240" w:lineRule="auto"/>
              <w:jc w:val="right"/>
              <w:rPr>
                <w:rFonts w:ascii="Arial" w:eastAsia="Times New Roman" w:hAnsi="Arial" w:cs="Arial"/>
                <w:color w:val="39414D"/>
                <w:sz w:val="16"/>
                <w:szCs w:val="16"/>
              </w:rPr>
            </w:pPr>
            <w:r w:rsidRPr="000A4EAE">
              <w:rPr>
                <w:rFonts w:ascii="Arial" w:hAnsi="Arial" w:cs="Arial"/>
                <w:color w:val="39414D"/>
                <w:sz w:val="16"/>
                <w:szCs w:val="16"/>
              </w:rPr>
              <w:t xml:space="preserve">0.0% </w:t>
            </w:r>
          </w:p>
        </w:tc>
      </w:tr>
      <w:tr w:rsidR="000509CD" w:rsidRPr="00011864" w14:paraId="5355E324" w14:textId="77777777" w:rsidTr="000A4EAE">
        <w:trPr>
          <w:trHeight w:val="255"/>
        </w:trPr>
        <w:tc>
          <w:tcPr>
            <w:tcW w:w="1756" w:type="dxa"/>
            <w:tcBorders>
              <w:top w:val="nil"/>
              <w:left w:val="nil"/>
              <w:bottom w:val="nil"/>
              <w:right w:val="nil"/>
            </w:tcBorders>
            <w:shd w:val="clear" w:color="auto" w:fill="auto"/>
            <w:noWrap/>
            <w:vAlign w:val="center"/>
            <w:hideMark/>
          </w:tcPr>
          <w:p w14:paraId="17F3B043" w14:textId="77777777" w:rsidR="000509CD" w:rsidRPr="00011864" w:rsidRDefault="000509CD" w:rsidP="000509CD">
            <w:pPr>
              <w:spacing w:after="0" w:line="240" w:lineRule="auto"/>
              <w:rPr>
                <w:rFonts w:ascii="Arial" w:eastAsia="Times New Roman" w:hAnsi="Arial" w:cs="Arial"/>
                <w:color w:val="39414D"/>
                <w:szCs w:val="18"/>
              </w:rPr>
            </w:pPr>
            <w:r w:rsidRPr="00011864">
              <w:rPr>
                <w:rFonts w:ascii="Arial" w:eastAsia="Times New Roman" w:hAnsi="Arial" w:cs="Arial"/>
                <w:color w:val="39414D"/>
                <w:szCs w:val="18"/>
              </w:rPr>
              <w:t>Retail Pharmacy</w:t>
            </w:r>
          </w:p>
        </w:tc>
        <w:tc>
          <w:tcPr>
            <w:tcW w:w="1086" w:type="dxa"/>
            <w:tcBorders>
              <w:top w:val="nil"/>
              <w:left w:val="nil"/>
              <w:bottom w:val="nil"/>
              <w:right w:val="nil"/>
            </w:tcBorders>
            <w:shd w:val="clear" w:color="auto" w:fill="auto"/>
            <w:noWrap/>
            <w:vAlign w:val="center"/>
            <w:hideMark/>
          </w:tcPr>
          <w:p w14:paraId="7ABDC27E" w14:textId="75A46328"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(5.0%)</w:t>
            </w:r>
          </w:p>
        </w:tc>
        <w:tc>
          <w:tcPr>
            <w:tcW w:w="1086" w:type="dxa"/>
            <w:tcBorders>
              <w:top w:val="nil"/>
              <w:left w:val="nil"/>
              <w:bottom w:val="nil"/>
              <w:right w:val="nil"/>
            </w:tcBorders>
            <w:shd w:val="clear" w:color="auto" w:fill="auto"/>
            <w:noWrap/>
            <w:vAlign w:val="center"/>
            <w:hideMark/>
          </w:tcPr>
          <w:p w14:paraId="5CDB58E7" w14:textId="3E7CEBD8"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(5.0%)</w:t>
            </w:r>
          </w:p>
        </w:tc>
        <w:tc>
          <w:tcPr>
            <w:tcW w:w="1086" w:type="dxa"/>
            <w:tcBorders>
              <w:top w:val="nil"/>
              <w:left w:val="nil"/>
              <w:bottom w:val="nil"/>
              <w:right w:val="nil"/>
            </w:tcBorders>
            <w:shd w:val="clear" w:color="auto" w:fill="auto"/>
            <w:noWrap/>
            <w:vAlign w:val="center"/>
            <w:hideMark/>
          </w:tcPr>
          <w:p w14:paraId="65EE7CF1" w14:textId="5970901D"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(7.5%)</w:t>
            </w:r>
          </w:p>
        </w:tc>
        <w:tc>
          <w:tcPr>
            <w:tcW w:w="1087" w:type="dxa"/>
            <w:tcBorders>
              <w:top w:val="nil"/>
              <w:left w:val="nil"/>
              <w:bottom w:val="nil"/>
              <w:right w:val="nil"/>
            </w:tcBorders>
            <w:shd w:val="clear" w:color="auto" w:fill="auto"/>
            <w:noWrap/>
            <w:vAlign w:val="center"/>
            <w:hideMark/>
          </w:tcPr>
          <w:p w14:paraId="093C2064" w14:textId="2CFCCF59"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 xml:space="preserve">0.0% </w:t>
            </w:r>
          </w:p>
        </w:tc>
        <w:tc>
          <w:tcPr>
            <w:tcW w:w="1086" w:type="dxa"/>
            <w:tcBorders>
              <w:top w:val="nil"/>
              <w:left w:val="nil"/>
              <w:bottom w:val="nil"/>
              <w:right w:val="nil"/>
            </w:tcBorders>
            <w:shd w:val="clear" w:color="auto" w:fill="auto"/>
            <w:noWrap/>
            <w:vAlign w:val="center"/>
            <w:hideMark/>
          </w:tcPr>
          <w:p w14:paraId="62B352F3" w14:textId="79AB45A5"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(10.0%)</w:t>
            </w:r>
          </w:p>
        </w:tc>
        <w:tc>
          <w:tcPr>
            <w:tcW w:w="1086" w:type="dxa"/>
            <w:tcBorders>
              <w:top w:val="nil"/>
              <w:left w:val="nil"/>
              <w:bottom w:val="nil"/>
              <w:right w:val="nil"/>
            </w:tcBorders>
            <w:shd w:val="clear" w:color="auto" w:fill="auto"/>
            <w:noWrap/>
            <w:vAlign w:val="center"/>
            <w:hideMark/>
          </w:tcPr>
          <w:p w14:paraId="14821E14" w14:textId="3914D4AE"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(10.0%)</w:t>
            </w:r>
          </w:p>
        </w:tc>
        <w:tc>
          <w:tcPr>
            <w:tcW w:w="1087" w:type="dxa"/>
            <w:tcBorders>
              <w:top w:val="nil"/>
              <w:left w:val="nil"/>
              <w:bottom w:val="nil"/>
              <w:right w:val="nil"/>
            </w:tcBorders>
            <w:shd w:val="clear" w:color="auto" w:fill="auto"/>
            <w:noWrap/>
            <w:vAlign w:val="center"/>
            <w:hideMark/>
          </w:tcPr>
          <w:p w14:paraId="5EC8AB06" w14:textId="42D6F2C9" w:rsidR="000509CD" w:rsidRPr="000A4EAE" w:rsidRDefault="000509CD" w:rsidP="000509CD">
            <w:pPr>
              <w:spacing w:after="0" w:line="240" w:lineRule="auto"/>
              <w:jc w:val="right"/>
              <w:rPr>
                <w:rFonts w:ascii="Arial" w:eastAsia="Times New Roman" w:hAnsi="Arial" w:cs="Arial"/>
                <w:color w:val="39414D"/>
                <w:sz w:val="16"/>
                <w:szCs w:val="16"/>
              </w:rPr>
            </w:pPr>
            <w:r w:rsidRPr="000A4EAE">
              <w:rPr>
                <w:rFonts w:ascii="Arial" w:hAnsi="Arial" w:cs="Arial"/>
                <w:color w:val="39414D"/>
                <w:sz w:val="16"/>
                <w:szCs w:val="16"/>
              </w:rPr>
              <w:t xml:space="preserve">0.0% </w:t>
            </w:r>
          </w:p>
        </w:tc>
      </w:tr>
      <w:tr w:rsidR="000509CD" w:rsidRPr="00011864" w14:paraId="7739DA5B" w14:textId="77777777" w:rsidTr="000A4EAE">
        <w:trPr>
          <w:trHeight w:val="255"/>
        </w:trPr>
        <w:tc>
          <w:tcPr>
            <w:tcW w:w="1756" w:type="dxa"/>
            <w:tcBorders>
              <w:top w:val="nil"/>
              <w:left w:val="nil"/>
              <w:bottom w:val="nil"/>
              <w:right w:val="nil"/>
            </w:tcBorders>
            <w:shd w:val="clear" w:color="000000" w:fill="E8E9E9"/>
            <w:noWrap/>
            <w:vAlign w:val="center"/>
            <w:hideMark/>
          </w:tcPr>
          <w:p w14:paraId="20F7AD61" w14:textId="77777777" w:rsidR="000509CD" w:rsidRPr="00011864" w:rsidRDefault="000509CD" w:rsidP="000509CD">
            <w:pPr>
              <w:spacing w:after="0" w:line="240" w:lineRule="auto"/>
              <w:rPr>
                <w:rFonts w:ascii="Arial" w:eastAsia="Times New Roman" w:hAnsi="Arial" w:cs="Arial"/>
                <w:color w:val="39414D"/>
                <w:szCs w:val="18"/>
              </w:rPr>
            </w:pPr>
            <w:r w:rsidRPr="00011864">
              <w:rPr>
                <w:rFonts w:ascii="Arial" w:eastAsia="Times New Roman" w:hAnsi="Arial" w:cs="Arial"/>
                <w:color w:val="39414D"/>
                <w:szCs w:val="18"/>
              </w:rPr>
              <w:t>Ancillary</w:t>
            </w:r>
          </w:p>
        </w:tc>
        <w:tc>
          <w:tcPr>
            <w:tcW w:w="1086" w:type="dxa"/>
            <w:tcBorders>
              <w:top w:val="nil"/>
              <w:left w:val="nil"/>
              <w:bottom w:val="nil"/>
              <w:right w:val="nil"/>
            </w:tcBorders>
            <w:shd w:val="clear" w:color="000000" w:fill="E8E9E9"/>
            <w:noWrap/>
            <w:vAlign w:val="center"/>
            <w:hideMark/>
          </w:tcPr>
          <w:p w14:paraId="58C318C9" w14:textId="6F2FDBC5"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(2.5%)</w:t>
            </w:r>
          </w:p>
        </w:tc>
        <w:tc>
          <w:tcPr>
            <w:tcW w:w="1086" w:type="dxa"/>
            <w:tcBorders>
              <w:top w:val="nil"/>
              <w:left w:val="nil"/>
              <w:bottom w:val="nil"/>
              <w:right w:val="nil"/>
            </w:tcBorders>
            <w:shd w:val="clear" w:color="000000" w:fill="E8E9E9"/>
            <w:noWrap/>
            <w:vAlign w:val="center"/>
            <w:hideMark/>
          </w:tcPr>
          <w:p w14:paraId="4F9AB9D9" w14:textId="1A0EF620"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 xml:space="preserve">2.5% </w:t>
            </w:r>
          </w:p>
        </w:tc>
        <w:tc>
          <w:tcPr>
            <w:tcW w:w="1086" w:type="dxa"/>
            <w:tcBorders>
              <w:top w:val="nil"/>
              <w:left w:val="nil"/>
              <w:bottom w:val="nil"/>
              <w:right w:val="nil"/>
            </w:tcBorders>
            <w:shd w:val="clear" w:color="000000" w:fill="E8E9E9"/>
            <w:noWrap/>
            <w:vAlign w:val="center"/>
            <w:hideMark/>
          </w:tcPr>
          <w:p w14:paraId="7DD8AA12" w14:textId="4B04F048"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(7.5%)</w:t>
            </w:r>
          </w:p>
        </w:tc>
        <w:tc>
          <w:tcPr>
            <w:tcW w:w="1087" w:type="dxa"/>
            <w:tcBorders>
              <w:top w:val="nil"/>
              <w:left w:val="nil"/>
              <w:bottom w:val="nil"/>
              <w:right w:val="nil"/>
            </w:tcBorders>
            <w:shd w:val="clear" w:color="000000" w:fill="E8E9E9"/>
            <w:noWrap/>
            <w:vAlign w:val="center"/>
            <w:hideMark/>
          </w:tcPr>
          <w:p w14:paraId="7C01787C" w14:textId="3A9BD39C"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(2.5%)</w:t>
            </w:r>
          </w:p>
        </w:tc>
        <w:tc>
          <w:tcPr>
            <w:tcW w:w="1086" w:type="dxa"/>
            <w:tcBorders>
              <w:top w:val="nil"/>
              <w:left w:val="nil"/>
              <w:bottom w:val="nil"/>
              <w:right w:val="nil"/>
            </w:tcBorders>
            <w:shd w:val="clear" w:color="000000" w:fill="E8E9E9"/>
            <w:noWrap/>
            <w:vAlign w:val="center"/>
            <w:hideMark/>
          </w:tcPr>
          <w:p w14:paraId="5F78284D" w14:textId="0711ED81"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(5.0%)</w:t>
            </w:r>
          </w:p>
        </w:tc>
        <w:tc>
          <w:tcPr>
            <w:tcW w:w="1086" w:type="dxa"/>
            <w:tcBorders>
              <w:top w:val="nil"/>
              <w:left w:val="nil"/>
              <w:bottom w:val="nil"/>
              <w:right w:val="nil"/>
            </w:tcBorders>
            <w:shd w:val="clear" w:color="000000" w:fill="E8E9E9"/>
            <w:noWrap/>
            <w:vAlign w:val="center"/>
            <w:hideMark/>
          </w:tcPr>
          <w:p w14:paraId="1FAF0A89" w14:textId="5AC01104"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(5.0%)</w:t>
            </w:r>
          </w:p>
        </w:tc>
        <w:tc>
          <w:tcPr>
            <w:tcW w:w="1087" w:type="dxa"/>
            <w:tcBorders>
              <w:top w:val="nil"/>
              <w:left w:val="nil"/>
              <w:bottom w:val="nil"/>
              <w:right w:val="nil"/>
            </w:tcBorders>
            <w:shd w:val="clear" w:color="000000" w:fill="E8E9E9"/>
            <w:noWrap/>
            <w:vAlign w:val="center"/>
            <w:hideMark/>
          </w:tcPr>
          <w:p w14:paraId="1933E737" w14:textId="199BC447" w:rsidR="000509CD" w:rsidRPr="000A4EAE" w:rsidRDefault="000509CD" w:rsidP="000509CD">
            <w:pPr>
              <w:spacing w:after="0" w:line="240" w:lineRule="auto"/>
              <w:jc w:val="right"/>
              <w:rPr>
                <w:rFonts w:ascii="Arial" w:eastAsia="Times New Roman" w:hAnsi="Arial" w:cs="Arial"/>
                <w:color w:val="39414D"/>
                <w:sz w:val="16"/>
                <w:szCs w:val="16"/>
              </w:rPr>
            </w:pPr>
            <w:r w:rsidRPr="000A4EAE">
              <w:rPr>
                <w:rFonts w:ascii="Arial" w:hAnsi="Arial" w:cs="Arial"/>
                <w:color w:val="39414D"/>
                <w:sz w:val="16"/>
                <w:szCs w:val="16"/>
              </w:rPr>
              <w:t xml:space="preserve">0.0% </w:t>
            </w:r>
          </w:p>
        </w:tc>
      </w:tr>
      <w:tr w:rsidR="000509CD" w:rsidRPr="00011864" w14:paraId="0D3E6B07" w14:textId="77777777" w:rsidTr="000A4EAE">
        <w:trPr>
          <w:trHeight w:val="255"/>
        </w:trPr>
        <w:tc>
          <w:tcPr>
            <w:tcW w:w="1756" w:type="dxa"/>
            <w:tcBorders>
              <w:top w:val="nil"/>
              <w:left w:val="nil"/>
              <w:bottom w:val="nil"/>
              <w:right w:val="nil"/>
            </w:tcBorders>
            <w:shd w:val="clear" w:color="auto" w:fill="auto"/>
            <w:noWrap/>
            <w:vAlign w:val="center"/>
            <w:hideMark/>
          </w:tcPr>
          <w:p w14:paraId="017AC9CD" w14:textId="77777777" w:rsidR="000509CD" w:rsidRPr="00011864" w:rsidRDefault="000509CD" w:rsidP="000509CD">
            <w:pPr>
              <w:spacing w:after="0" w:line="240" w:lineRule="auto"/>
              <w:rPr>
                <w:rFonts w:ascii="Arial" w:eastAsia="Times New Roman" w:hAnsi="Arial" w:cs="Arial"/>
                <w:color w:val="39414D"/>
                <w:szCs w:val="18"/>
              </w:rPr>
            </w:pPr>
            <w:r w:rsidRPr="00011864">
              <w:rPr>
                <w:rFonts w:ascii="Arial" w:eastAsia="Times New Roman" w:hAnsi="Arial" w:cs="Arial"/>
                <w:color w:val="39414D"/>
                <w:szCs w:val="18"/>
              </w:rPr>
              <w:t>LTSS</w:t>
            </w:r>
          </w:p>
        </w:tc>
        <w:tc>
          <w:tcPr>
            <w:tcW w:w="1086" w:type="dxa"/>
            <w:tcBorders>
              <w:top w:val="nil"/>
              <w:left w:val="nil"/>
              <w:bottom w:val="nil"/>
              <w:right w:val="nil"/>
            </w:tcBorders>
            <w:shd w:val="clear" w:color="auto" w:fill="auto"/>
            <w:noWrap/>
            <w:vAlign w:val="center"/>
            <w:hideMark/>
          </w:tcPr>
          <w:p w14:paraId="5E9C70F2" w14:textId="1559A564"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(2.5%)</w:t>
            </w:r>
          </w:p>
        </w:tc>
        <w:tc>
          <w:tcPr>
            <w:tcW w:w="1086" w:type="dxa"/>
            <w:tcBorders>
              <w:top w:val="nil"/>
              <w:left w:val="nil"/>
              <w:bottom w:val="nil"/>
              <w:right w:val="nil"/>
            </w:tcBorders>
            <w:shd w:val="clear" w:color="auto" w:fill="auto"/>
            <w:noWrap/>
            <w:vAlign w:val="center"/>
            <w:hideMark/>
          </w:tcPr>
          <w:p w14:paraId="32A5EBF4" w14:textId="2B2AA620"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 xml:space="preserve">2.5% </w:t>
            </w:r>
          </w:p>
        </w:tc>
        <w:tc>
          <w:tcPr>
            <w:tcW w:w="1086" w:type="dxa"/>
            <w:tcBorders>
              <w:top w:val="nil"/>
              <w:left w:val="nil"/>
              <w:bottom w:val="nil"/>
              <w:right w:val="nil"/>
            </w:tcBorders>
            <w:shd w:val="clear" w:color="auto" w:fill="auto"/>
            <w:noWrap/>
            <w:vAlign w:val="center"/>
            <w:hideMark/>
          </w:tcPr>
          <w:p w14:paraId="2259AE22" w14:textId="1E33E754"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(7.5%)</w:t>
            </w:r>
          </w:p>
        </w:tc>
        <w:tc>
          <w:tcPr>
            <w:tcW w:w="1087" w:type="dxa"/>
            <w:tcBorders>
              <w:top w:val="nil"/>
              <w:left w:val="nil"/>
              <w:bottom w:val="nil"/>
              <w:right w:val="nil"/>
            </w:tcBorders>
            <w:shd w:val="clear" w:color="auto" w:fill="auto"/>
            <w:noWrap/>
            <w:vAlign w:val="center"/>
            <w:hideMark/>
          </w:tcPr>
          <w:p w14:paraId="657A148F" w14:textId="55D11B92"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(2.5%)</w:t>
            </w:r>
          </w:p>
        </w:tc>
        <w:tc>
          <w:tcPr>
            <w:tcW w:w="1086" w:type="dxa"/>
            <w:tcBorders>
              <w:top w:val="nil"/>
              <w:left w:val="nil"/>
              <w:bottom w:val="nil"/>
              <w:right w:val="nil"/>
            </w:tcBorders>
            <w:shd w:val="clear" w:color="auto" w:fill="auto"/>
            <w:noWrap/>
            <w:vAlign w:val="center"/>
            <w:hideMark/>
          </w:tcPr>
          <w:p w14:paraId="1773935C" w14:textId="521B823C" w:rsidR="000509CD" w:rsidRPr="000509CD" w:rsidRDefault="000509CD" w:rsidP="000509CD">
            <w:pPr>
              <w:spacing w:after="0" w:line="240" w:lineRule="auto"/>
              <w:jc w:val="right"/>
              <w:rPr>
                <w:rFonts w:ascii="Arial" w:eastAsia="Times New Roman" w:hAnsi="Arial" w:cs="Arial"/>
                <w:color w:val="39414D"/>
                <w:sz w:val="16"/>
                <w:szCs w:val="16"/>
              </w:rPr>
            </w:pPr>
            <w:r w:rsidRPr="000869C3">
              <w:rPr>
                <w:rFonts w:ascii="Arial" w:hAnsi="Arial" w:cs="Arial"/>
                <w:color w:val="39414D"/>
                <w:sz w:val="16"/>
                <w:szCs w:val="16"/>
              </w:rPr>
              <w:t>(5.0%)</w:t>
            </w:r>
          </w:p>
        </w:tc>
        <w:tc>
          <w:tcPr>
            <w:tcW w:w="1086" w:type="dxa"/>
            <w:tcBorders>
              <w:top w:val="nil"/>
              <w:left w:val="nil"/>
              <w:bottom w:val="nil"/>
              <w:right w:val="nil"/>
            </w:tcBorders>
            <w:shd w:val="clear" w:color="auto" w:fill="auto"/>
            <w:noWrap/>
            <w:vAlign w:val="center"/>
            <w:hideMark/>
          </w:tcPr>
          <w:p w14:paraId="47E8E8FE" w14:textId="2C303414" w:rsidR="000509CD" w:rsidRPr="003E5EAF" w:rsidRDefault="000509CD" w:rsidP="000509CD">
            <w:pPr>
              <w:spacing w:after="0" w:line="240" w:lineRule="auto"/>
              <w:jc w:val="right"/>
              <w:rPr>
                <w:rFonts w:ascii="Arial" w:eastAsia="Times New Roman" w:hAnsi="Arial" w:cs="Arial"/>
                <w:color w:val="39414D"/>
                <w:sz w:val="16"/>
                <w:szCs w:val="16"/>
              </w:rPr>
            </w:pPr>
            <w:r w:rsidRPr="00BF5D11">
              <w:rPr>
                <w:rFonts w:ascii="Arial" w:hAnsi="Arial" w:cs="Arial"/>
                <w:color w:val="39414D"/>
                <w:sz w:val="16"/>
                <w:szCs w:val="16"/>
              </w:rPr>
              <w:t>(5.0%)</w:t>
            </w:r>
          </w:p>
        </w:tc>
        <w:tc>
          <w:tcPr>
            <w:tcW w:w="1087" w:type="dxa"/>
            <w:tcBorders>
              <w:top w:val="nil"/>
              <w:left w:val="nil"/>
              <w:bottom w:val="nil"/>
              <w:right w:val="nil"/>
            </w:tcBorders>
            <w:shd w:val="clear" w:color="auto" w:fill="auto"/>
            <w:noWrap/>
            <w:vAlign w:val="center"/>
            <w:hideMark/>
          </w:tcPr>
          <w:p w14:paraId="4D3F376F" w14:textId="14802378" w:rsidR="000509CD" w:rsidRPr="000A4EAE" w:rsidRDefault="000509CD" w:rsidP="000509CD">
            <w:pPr>
              <w:spacing w:after="0" w:line="240" w:lineRule="auto"/>
              <w:jc w:val="right"/>
              <w:rPr>
                <w:rFonts w:ascii="Arial" w:eastAsia="Times New Roman" w:hAnsi="Arial" w:cs="Arial"/>
                <w:color w:val="39414D"/>
                <w:sz w:val="16"/>
                <w:szCs w:val="16"/>
              </w:rPr>
            </w:pPr>
            <w:r w:rsidRPr="000A4EAE">
              <w:rPr>
                <w:rFonts w:ascii="Arial" w:hAnsi="Arial" w:cs="Arial"/>
                <w:color w:val="39414D"/>
                <w:sz w:val="16"/>
                <w:szCs w:val="16"/>
              </w:rPr>
              <w:t xml:space="preserve">0.0% </w:t>
            </w:r>
          </w:p>
        </w:tc>
      </w:tr>
    </w:tbl>
    <w:p w14:paraId="7B559336" w14:textId="2ECA7987" w:rsidR="001E72AF" w:rsidRDefault="00920110" w:rsidP="00622097">
      <w:pPr>
        <w:pStyle w:val="RRCalloutSmallMBlue"/>
        <w:jc w:val="both"/>
      </w:pPr>
      <w:bookmarkStart w:id="208" w:name="_Toc4837537"/>
      <w:r>
        <w:br/>
      </w:r>
      <w:r w:rsidR="001E72AF">
        <w:t>Managed Care Adjustments</w:t>
      </w:r>
      <w:bookmarkEnd w:id="208"/>
    </w:p>
    <w:p w14:paraId="7534A98B" w14:textId="0286AE6B" w:rsidR="00E40C6B" w:rsidRDefault="00342DA6">
      <w:pPr>
        <w:pStyle w:val="RRBody"/>
        <w:spacing w:before="120"/>
        <w:jc w:val="both"/>
      </w:pPr>
      <w:r w:rsidRPr="004D2086">
        <w:rPr>
          <w:szCs w:val="18"/>
        </w:rPr>
        <w:t xml:space="preserve">We calculated </w:t>
      </w:r>
      <w:r w:rsidR="002565D9" w:rsidRPr="0076558C">
        <w:t xml:space="preserve">percentage adjustments to the experience data to reflect the utilization and cost per unit differential between the </w:t>
      </w:r>
      <w:r w:rsidR="0059607F">
        <w:t>managed care</w:t>
      </w:r>
      <w:r w:rsidR="0059607F" w:rsidRPr="0076558C">
        <w:t xml:space="preserve"> </w:t>
      </w:r>
      <w:r w:rsidR="002565D9" w:rsidRPr="0076558C">
        <w:t xml:space="preserve">experience and the levels targeted for the projection period managed care environment. </w:t>
      </w:r>
      <w:r w:rsidR="00787F2C">
        <w:t>To reflect that the interaction between the managed care adjustments and the acuity and emerging experience adjustment, the managed care efficiency adjustments were developed using SFY 2021 data, with the exception of the vaginal and cesarean section deliveries adjustment.</w:t>
      </w:r>
      <w:r w:rsidR="0059607F">
        <w:t xml:space="preserve"> CY 2019 managed care efficiency metrics were reviewed for consistency and to understand the potential impact of the PHE but were not directly used</w:t>
      </w:r>
      <w:r w:rsidR="00BB7423">
        <w:t xml:space="preserve"> in the managed care efficiency adjustment development</w:t>
      </w:r>
      <w:r w:rsidR="0059607F">
        <w:t>.</w:t>
      </w:r>
      <w:r w:rsidR="00E40C6B">
        <w:t xml:space="preserve"> </w:t>
      </w:r>
      <w:r w:rsidR="0059607F">
        <w:t xml:space="preserve">In addition, the target reduction in the percentage of potentially avoidable emergency room visits was reduced relative to prior rating periods to reflect the overall reduction in emergency room visits. </w:t>
      </w:r>
    </w:p>
    <w:p w14:paraId="13D906EE" w14:textId="3A79AC2E" w:rsidR="002565D9" w:rsidRDefault="002565D9">
      <w:pPr>
        <w:pStyle w:val="RRBody"/>
        <w:spacing w:before="120"/>
        <w:jc w:val="both"/>
      </w:pPr>
      <w:r w:rsidRPr="0076558C">
        <w:t xml:space="preserve">We developed the targeted managed care efficiency adjustments through a review and analysis of </w:t>
      </w:r>
      <w:r>
        <w:t>the following:</w:t>
      </w:r>
    </w:p>
    <w:p w14:paraId="28AC9AB0" w14:textId="77777777" w:rsidR="002F1EE6" w:rsidRDefault="002F1EE6" w:rsidP="00FF4676">
      <w:pPr>
        <w:pStyle w:val="RRBullet1"/>
        <w:spacing w:after="0"/>
        <w:jc w:val="both"/>
      </w:pPr>
      <w:r>
        <w:t>Agency for Healthcare Research and Quality (</w:t>
      </w:r>
      <w:r w:rsidRPr="0076558C">
        <w:t>AHRQ</w:t>
      </w:r>
      <w:r>
        <w:t>)</w:t>
      </w:r>
      <w:r w:rsidRPr="0076558C">
        <w:t xml:space="preserve"> prevention quality indicators (PQI)</w:t>
      </w:r>
      <w:r>
        <w:t xml:space="preserve"> for inpatient admissions</w:t>
      </w:r>
    </w:p>
    <w:p w14:paraId="4E0E323A" w14:textId="558BE224" w:rsidR="00FF4676" w:rsidRDefault="00FF4676" w:rsidP="00FF4676">
      <w:pPr>
        <w:pStyle w:val="RRBullet1"/>
        <w:spacing w:after="0"/>
        <w:jc w:val="both"/>
      </w:pPr>
      <w:r>
        <w:t>Inpatient hospital readmissions with the same DRG</w:t>
      </w:r>
    </w:p>
    <w:p w14:paraId="34E5DD7C" w14:textId="6B73A1AC" w:rsidR="002565D9" w:rsidRDefault="002565D9" w:rsidP="00FF4676">
      <w:pPr>
        <w:pStyle w:val="RRBullet1"/>
        <w:spacing w:after="0"/>
        <w:jc w:val="both"/>
      </w:pPr>
      <w:r>
        <w:t>Potentially avoidable emergency room utilization</w:t>
      </w:r>
    </w:p>
    <w:p w14:paraId="6A99ECC8" w14:textId="50D810E4" w:rsidR="00342DA6" w:rsidRDefault="002565D9" w:rsidP="00FF4676">
      <w:pPr>
        <w:pStyle w:val="RRBullet1"/>
        <w:spacing w:after="0"/>
        <w:jc w:val="both"/>
      </w:pPr>
      <w:r>
        <w:t xml:space="preserve">Mix of vaginal and cesarean section deliveries </w:t>
      </w:r>
    </w:p>
    <w:p w14:paraId="33B1DA65" w14:textId="5674AC12" w:rsidR="002F1EE6" w:rsidRDefault="002F1EE6" w:rsidP="00FF4676">
      <w:pPr>
        <w:pStyle w:val="RRBullet1"/>
        <w:spacing w:after="0"/>
        <w:jc w:val="both"/>
      </w:pPr>
      <w:r>
        <w:t>Polypharmacy savings for script reduction</w:t>
      </w:r>
    </w:p>
    <w:p w14:paraId="54FA08C0" w14:textId="43CC523D" w:rsidR="00BC0A61" w:rsidRDefault="00BC0A61" w:rsidP="006D56D3">
      <w:pPr>
        <w:pStyle w:val="RRBullet1"/>
        <w:spacing w:after="120" w:line="240" w:lineRule="auto"/>
        <w:jc w:val="both"/>
      </w:pPr>
      <w:r w:rsidRPr="00BC0A61">
        <w:t>Fraud, Waste, and Abuse</w:t>
      </w:r>
      <w:r>
        <w:t xml:space="preserve"> savings</w:t>
      </w:r>
    </w:p>
    <w:p w14:paraId="08783FDB" w14:textId="77777777" w:rsidR="002F1EE6" w:rsidRDefault="002F1EE6" w:rsidP="00622097">
      <w:pPr>
        <w:pStyle w:val="RRSubhead2"/>
        <w:spacing w:after="120"/>
        <w:jc w:val="both"/>
      </w:pPr>
      <w:r w:rsidRPr="004D2086">
        <w:t xml:space="preserve">Inpatient Hospital </w:t>
      </w:r>
    </w:p>
    <w:p w14:paraId="2822AB63" w14:textId="0A36281F" w:rsidR="002F1EE6" w:rsidRPr="004D2086" w:rsidRDefault="002F1EE6" w:rsidP="00622097">
      <w:pPr>
        <w:jc w:val="both"/>
      </w:pPr>
      <w:r w:rsidRPr="004D2086">
        <w:t xml:space="preserve">We </w:t>
      </w:r>
      <w:r w:rsidR="0059607F">
        <w:t>estimated</w:t>
      </w:r>
      <w:r w:rsidR="0059607F" w:rsidRPr="004D2086">
        <w:t xml:space="preserve"> </w:t>
      </w:r>
      <w:r w:rsidRPr="004D2086">
        <w:t xml:space="preserve">managed care </w:t>
      </w:r>
      <w:r>
        <w:t xml:space="preserve">efficiency </w:t>
      </w:r>
      <w:r w:rsidRPr="004D2086">
        <w:t xml:space="preserve">adjustments to reflect higher levels of care management </w:t>
      </w:r>
      <w:r w:rsidR="00BB7423">
        <w:t xml:space="preserve">in the rating period </w:t>
      </w:r>
      <w:r w:rsidRPr="004D2086">
        <w:t xml:space="preserve">relative to the </w:t>
      </w:r>
      <w:r w:rsidR="00BB7423">
        <w:t xml:space="preserve">base and emerging </w:t>
      </w:r>
      <w:r w:rsidRPr="004D2086">
        <w:t xml:space="preserve">experience period. We identified potentially avoidable admissions using the AHRQ prevention quality indicators (PQI). </w:t>
      </w:r>
      <w:r w:rsidR="00235103" w:rsidRPr="004D2086">
        <w:t xml:space="preserve">We also analyzed the frequency of re-admissions for the same DRG. </w:t>
      </w:r>
      <w:r w:rsidRPr="004D2086">
        <w:t>Inpatient hospital managed care adjustments were developed by applying assumed reductions to potentially avoidable inpatient admissions</w:t>
      </w:r>
      <w:r w:rsidR="00235103" w:rsidRPr="00235103">
        <w:t xml:space="preserve"> </w:t>
      </w:r>
      <w:r w:rsidR="00235103" w:rsidRPr="004D2086">
        <w:t>and same-DRG readmissions</w:t>
      </w:r>
      <w:r w:rsidRPr="004D2086">
        <w:t xml:space="preserve">. This analysis was completed at the </w:t>
      </w:r>
      <w:r>
        <w:t>rate cell</w:t>
      </w:r>
      <w:r w:rsidRPr="004D2086">
        <w:t xml:space="preserve"> level.  </w:t>
      </w:r>
    </w:p>
    <w:p w14:paraId="0897B878" w14:textId="154B31B0" w:rsidR="00084331" w:rsidRDefault="002F1EE6" w:rsidP="006D56D3">
      <w:pPr>
        <w:spacing w:after="60"/>
        <w:jc w:val="both"/>
      </w:pPr>
      <w:r w:rsidRPr="004D2086">
        <w:t>Our analysis was completed by reducing readmissions within 30 days and reducing non</w:t>
      </w:r>
      <w:r>
        <w:t xml:space="preserve">-readmissions for select PQIs. </w:t>
      </w:r>
      <w:r w:rsidRPr="004D2086">
        <w:t>Inpatient hospital managed care adjustments were developed by applying a 10% reduction to same-DRG readmissions and a 5% reduction to potentially a</w:t>
      </w:r>
      <w:r>
        <w:t xml:space="preserve">voidable inpatient admissions. </w:t>
      </w:r>
      <w:r w:rsidRPr="004D2086">
        <w:t>In completing our analysis, we estimated inpatient hospital unit cost changes based on the utilizat</w:t>
      </w:r>
      <w:r>
        <w:t xml:space="preserve">ion reductions outlined above. </w:t>
      </w:r>
      <w:r w:rsidRPr="004D2086">
        <w:t>No adjustments were made to corresponding inpatient physician charges to account for the potential shift of these serv</w:t>
      </w:r>
      <w:r>
        <w:t>ices to an ambulatory setting.</w:t>
      </w:r>
      <w:r w:rsidRPr="004D2086">
        <w:t xml:space="preserve"> </w:t>
      </w:r>
      <w:r w:rsidR="00BB7423">
        <w:t>N</w:t>
      </w:r>
      <w:r w:rsidRPr="004D2086">
        <w:t xml:space="preserve">ursing facility claims were excluded from this analysis. The </w:t>
      </w:r>
      <w:r w:rsidR="00B06709">
        <w:t>figure</w:t>
      </w:r>
      <w:r w:rsidRPr="004D2086">
        <w:t xml:space="preserve"> below outlines the PQIs included in </w:t>
      </w:r>
      <w:r w:rsidR="00BB7423">
        <w:t xml:space="preserve">the </w:t>
      </w:r>
      <w:r w:rsidRPr="004D2086">
        <w:t xml:space="preserve">analysis.  </w:t>
      </w:r>
    </w:p>
    <w:p w14:paraId="00BDF1A7" w14:textId="11EC3670" w:rsidR="0065119F" w:rsidRDefault="0065119F" w:rsidP="006D56D3">
      <w:pPr>
        <w:spacing w:after="60"/>
        <w:jc w:val="both"/>
      </w:pPr>
    </w:p>
    <w:p w14:paraId="2DF124F5" w14:textId="172387D0" w:rsidR="0065119F" w:rsidRDefault="0065119F" w:rsidP="006D56D3">
      <w:pPr>
        <w:spacing w:after="60"/>
        <w:jc w:val="both"/>
      </w:pPr>
    </w:p>
    <w:p w14:paraId="491DE641" w14:textId="1B1729D7" w:rsidR="0065119F" w:rsidRDefault="0065119F" w:rsidP="006D56D3">
      <w:pPr>
        <w:spacing w:after="60"/>
        <w:jc w:val="both"/>
      </w:pPr>
    </w:p>
    <w:p w14:paraId="62ACCD35" w14:textId="1A495B9F" w:rsidR="0065119F" w:rsidRDefault="0065119F" w:rsidP="006D56D3">
      <w:pPr>
        <w:spacing w:after="60"/>
        <w:jc w:val="both"/>
      </w:pPr>
    </w:p>
    <w:p w14:paraId="0B4CB5C9" w14:textId="18E69D63" w:rsidR="0065119F" w:rsidRDefault="0065119F" w:rsidP="006D56D3">
      <w:pPr>
        <w:spacing w:after="60"/>
        <w:jc w:val="both"/>
      </w:pPr>
    </w:p>
    <w:p w14:paraId="6230AFBC" w14:textId="77777777" w:rsidR="0065119F" w:rsidRPr="004D2086" w:rsidRDefault="0065119F" w:rsidP="006D56D3">
      <w:pPr>
        <w:spacing w:after="60"/>
        <w:jc w:val="both"/>
      </w:pPr>
    </w:p>
    <w:tbl>
      <w:tblPr>
        <w:tblW w:w="7560" w:type="dxa"/>
        <w:tblLook w:val="04A0" w:firstRow="1" w:lastRow="0" w:firstColumn="1" w:lastColumn="0" w:noHBand="0" w:noVBand="1"/>
      </w:tblPr>
      <w:tblGrid>
        <w:gridCol w:w="1530"/>
        <w:gridCol w:w="6030"/>
      </w:tblGrid>
      <w:tr w:rsidR="002B0DC3" w:rsidRPr="002B0DC3" w14:paraId="3FC61938" w14:textId="77777777" w:rsidTr="006E4DF5">
        <w:trPr>
          <w:trHeight w:val="68"/>
        </w:trPr>
        <w:tc>
          <w:tcPr>
            <w:tcW w:w="7560" w:type="dxa"/>
            <w:gridSpan w:val="2"/>
            <w:tcBorders>
              <w:top w:val="nil"/>
              <w:left w:val="nil"/>
              <w:bottom w:val="nil"/>
              <w:right w:val="nil"/>
            </w:tcBorders>
            <w:shd w:val="clear" w:color="auto" w:fill="auto"/>
            <w:noWrap/>
            <w:vAlign w:val="bottom"/>
            <w:hideMark/>
          </w:tcPr>
          <w:p w14:paraId="737738AC" w14:textId="346B07DE" w:rsidR="002B0DC3" w:rsidRPr="002B0DC3" w:rsidRDefault="00A21260" w:rsidP="00A21260">
            <w:pPr>
              <w:spacing w:after="0" w:line="240" w:lineRule="auto"/>
              <w:rPr>
                <w:rFonts w:ascii="Arial" w:eastAsia="Times New Roman" w:hAnsi="Arial" w:cs="Arial"/>
                <w:b/>
                <w:bCs/>
                <w:color w:val="0081E3"/>
                <w:sz w:val="14"/>
                <w:szCs w:val="14"/>
              </w:rPr>
            </w:pPr>
            <w:r>
              <w:rPr>
                <w:rFonts w:ascii="Arial" w:eastAsia="Times New Roman" w:hAnsi="Arial" w:cs="Arial"/>
                <w:b/>
                <w:bCs/>
                <w:color w:val="0081E3"/>
                <w:szCs w:val="18"/>
              </w:rPr>
              <w:t>FIGURE</w:t>
            </w:r>
            <w:r w:rsidR="001252C5">
              <w:rPr>
                <w:rFonts w:ascii="Arial" w:eastAsia="Times New Roman" w:hAnsi="Arial" w:cs="Arial"/>
                <w:b/>
                <w:bCs/>
                <w:color w:val="0081E3"/>
                <w:szCs w:val="18"/>
              </w:rPr>
              <w:t xml:space="preserve"> </w:t>
            </w:r>
            <w:r w:rsidR="00074255">
              <w:rPr>
                <w:rFonts w:ascii="Arial" w:eastAsia="Times New Roman" w:hAnsi="Arial" w:cs="Arial"/>
                <w:b/>
                <w:bCs/>
                <w:color w:val="0081E3"/>
                <w:szCs w:val="18"/>
              </w:rPr>
              <w:t>1</w:t>
            </w:r>
            <w:r w:rsidR="00273A3D">
              <w:rPr>
                <w:rFonts w:ascii="Arial" w:eastAsia="Times New Roman" w:hAnsi="Arial" w:cs="Arial"/>
                <w:b/>
                <w:bCs/>
                <w:color w:val="0081E3"/>
                <w:szCs w:val="18"/>
              </w:rPr>
              <w:t>3</w:t>
            </w:r>
            <w:r>
              <w:rPr>
                <w:rFonts w:ascii="Arial" w:eastAsia="Times New Roman" w:hAnsi="Arial" w:cs="Arial"/>
                <w:b/>
                <w:bCs/>
                <w:color w:val="0081E3"/>
                <w:szCs w:val="18"/>
              </w:rPr>
              <w:t>: AHRQ PREVENTION QUALITY INDICATORS</w:t>
            </w:r>
          </w:p>
        </w:tc>
      </w:tr>
      <w:tr w:rsidR="002B0DC3" w:rsidRPr="002B0DC3" w14:paraId="70B04D80" w14:textId="77777777" w:rsidTr="006E4DF5">
        <w:trPr>
          <w:trHeight w:val="390"/>
        </w:trPr>
        <w:tc>
          <w:tcPr>
            <w:tcW w:w="1530" w:type="dxa"/>
            <w:tcBorders>
              <w:top w:val="single" w:sz="8" w:space="0" w:color="auto"/>
              <w:left w:val="nil"/>
              <w:bottom w:val="single" w:sz="4" w:space="0" w:color="C6C9CA"/>
              <w:right w:val="nil"/>
            </w:tcBorders>
            <w:shd w:val="clear" w:color="auto" w:fill="auto"/>
            <w:vAlign w:val="bottom"/>
            <w:hideMark/>
          </w:tcPr>
          <w:p w14:paraId="4F5A32C4" w14:textId="77777777" w:rsidR="002B0DC3" w:rsidRPr="002B0DC3" w:rsidRDefault="002B0DC3" w:rsidP="002B0DC3">
            <w:pPr>
              <w:spacing w:after="0" w:line="240" w:lineRule="auto"/>
              <w:rPr>
                <w:rFonts w:ascii="Arial" w:eastAsia="Times New Roman" w:hAnsi="Arial" w:cs="Arial"/>
                <w:b/>
                <w:bCs/>
                <w:color w:val="39414D"/>
                <w:szCs w:val="18"/>
              </w:rPr>
            </w:pPr>
            <w:r w:rsidRPr="002B0DC3">
              <w:rPr>
                <w:rFonts w:ascii="Arial" w:eastAsia="Times New Roman" w:hAnsi="Arial" w:cs="Arial"/>
                <w:b/>
                <w:bCs/>
                <w:color w:val="39414D"/>
                <w:szCs w:val="18"/>
              </w:rPr>
              <w:t>PQI NUMBER</w:t>
            </w:r>
          </w:p>
        </w:tc>
        <w:tc>
          <w:tcPr>
            <w:tcW w:w="6030" w:type="dxa"/>
            <w:tcBorders>
              <w:top w:val="single" w:sz="8" w:space="0" w:color="auto"/>
              <w:left w:val="nil"/>
              <w:bottom w:val="single" w:sz="4" w:space="0" w:color="C6C9CA"/>
              <w:right w:val="nil"/>
            </w:tcBorders>
            <w:shd w:val="clear" w:color="auto" w:fill="auto"/>
            <w:vAlign w:val="bottom"/>
            <w:hideMark/>
          </w:tcPr>
          <w:p w14:paraId="525A63B7" w14:textId="77777777" w:rsidR="002B0DC3" w:rsidRPr="002B0DC3" w:rsidRDefault="002B0DC3" w:rsidP="00A801C8">
            <w:pPr>
              <w:spacing w:after="0" w:line="240" w:lineRule="auto"/>
              <w:rPr>
                <w:rFonts w:ascii="Arial" w:eastAsia="Times New Roman" w:hAnsi="Arial" w:cs="Arial"/>
                <w:b/>
                <w:bCs/>
                <w:color w:val="39414D"/>
                <w:szCs w:val="18"/>
              </w:rPr>
            </w:pPr>
            <w:r w:rsidRPr="002B0DC3">
              <w:rPr>
                <w:rFonts w:ascii="Arial" w:eastAsia="Times New Roman" w:hAnsi="Arial" w:cs="Arial"/>
                <w:b/>
                <w:bCs/>
                <w:color w:val="39414D"/>
                <w:szCs w:val="18"/>
              </w:rPr>
              <w:t>DESCRIPTION</w:t>
            </w:r>
          </w:p>
        </w:tc>
      </w:tr>
      <w:tr w:rsidR="002B0DC3" w:rsidRPr="002B0DC3" w14:paraId="6485E9BD" w14:textId="77777777" w:rsidTr="006E4DF5">
        <w:trPr>
          <w:trHeight w:val="300"/>
        </w:trPr>
        <w:tc>
          <w:tcPr>
            <w:tcW w:w="1530" w:type="dxa"/>
            <w:tcBorders>
              <w:top w:val="nil"/>
              <w:left w:val="nil"/>
              <w:bottom w:val="nil"/>
              <w:right w:val="nil"/>
            </w:tcBorders>
            <w:shd w:val="clear" w:color="auto" w:fill="auto"/>
            <w:noWrap/>
            <w:vAlign w:val="center"/>
            <w:hideMark/>
          </w:tcPr>
          <w:p w14:paraId="369A2887"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#01</w:t>
            </w:r>
          </w:p>
        </w:tc>
        <w:tc>
          <w:tcPr>
            <w:tcW w:w="6030" w:type="dxa"/>
            <w:tcBorders>
              <w:top w:val="nil"/>
              <w:left w:val="nil"/>
              <w:bottom w:val="nil"/>
              <w:right w:val="nil"/>
            </w:tcBorders>
            <w:shd w:val="clear" w:color="auto" w:fill="auto"/>
            <w:noWrap/>
            <w:vAlign w:val="center"/>
            <w:hideMark/>
          </w:tcPr>
          <w:p w14:paraId="531194CA"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Diabetes Short-term Complications Admission Rate</w:t>
            </w:r>
          </w:p>
        </w:tc>
      </w:tr>
      <w:tr w:rsidR="002B0DC3" w:rsidRPr="002B0DC3" w14:paraId="7939755A" w14:textId="77777777" w:rsidTr="006E4DF5">
        <w:trPr>
          <w:trHeight w:val="300"/>
        </w:trPr>
        <w:tc>
          <w:tcPr>
            <w:tcW w:w="1530" w:type="dxa"/>
            <w:tcBorders>
              <w:top w:val="nil"/>
              <w:left w:val="nil"/>
              <w:bottom w:val="nil"/>
              <w:right w:val="nil"/>
            </w:tcBorders>
            <w:shd w:val="clear" w:color="000000" w:fill="E8E9E9"/>
            <w:noWrap/>
            <w:vAlign w:val="center"/>
            <w:hideMark/>
          </w:tcPr>
          <w:p w14:paraId="0064E822"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#02</w:t>
            </w:r>
          </w:p>
        </w:tc>
        <w:tc>
          <w:tcPr>
            <w:tcW w:w="6030" w:type="dxa"/>
            <w:tcBorders>
              <w:top w:val="nil"/>
              <w:left w:val="nil"/>
              <w:bottom w:val="nil"/>
              <w:right w:val="nil"/>
            </w:tcBorders>
            <w:shd w:val="clear" w:color="000000" w:fill="E8E9E9"/>
            <w:noWrap/>
            <w:vAlign w:val="center"/>
            <w:hideMark/>
          </w:tcPr>
          <w:p w14:paraId="3A2A061E"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Perforated Appendix Admission Rate</w:t>
            </w:r>
          </w:p>
        </w:tc>
      </w:tr>
      <w:tr w:rsidR="002B0DC3" w:rsidRPr="002B0DC3" w14:paraId="47040100" w14:textId="77777777" w:rsidTr="006E4DF5">
        <w:trPr>
          <w:trHeight w:val="300"/>
        </w:trPr>
        <w:tc>
          <w:tcPr>
            <w:tcW w:w="1530" w:type="dxa"/>
            <w:tcBorders>
              <w:top w:val="nil"/>
              <w:left w:val="nil"/>
              <w:bottom w:val="nil"/>
              <w:right w:val="nil"/>
            </w:tcBorders>
            <w:shd w:val="clear" w:color="auto" w:fill="auto"/>
            <w:noWrap/>
            <w:vAlign w:val="center"/>
            <w:hideMark/>
          </w:tcPr>
          <w:p w14:paraId="2C57FEB9"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#03</w:t>
            </w:r>
          </w:p>
        </w:tc>
        <w:tc>
          <w:tcPr>
            <w:tcW w:w="6030" w:type="dxa"/>
            <w:tcBorders>
              <w:top w:val="nil"/>
              <w:left w:val="nil"/>
              <w:bottom w:val="nil"/>
              <w:right w:val="nil"/>
            </w:tcBorders>
            <w:shd w:val="clear" w:color="auto" w:fill="auto"/>
            <w:noWrap/>
            <w:vAlign w:val="center"/>
            <w:hideMark/>
          </w:tcPr>
          <w:p w14:paraId="46D3D0F4"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Diabetes Long-term Complications Admission Rate</w:t>
            </w:r>
          </w:p>
        </w:tc>
      </w:tr>
      <w:tr w:rsidR="002B0DC3" w:rsidRPr="002B0DC3" w14:paraId="2B4179A5" w14:textId="77777777" w:rsidTr="006E4DF5">
        <w:trPr>
          <w:trHeight w:val="300"/>
        </w:trPr>
        <w:tc>
          <w:tcPr>
            <w:tcW w:w="1530" w:type="dxa"/>
            <w:tcBorders>
              <w:top w:val="nil"/>
              <w:left w:val="nil"/>
              <w:bottom w:val="nil"/>
              <w:right w:val="nil"/>
            </w:tcBorders>
            <w:shd w:val="clear" w:color="000000" w:fill="E8E9E9"/>
            <w:noWrap/>
            <w:vAlign w:val="center"/>
            <w:hideMark/>
          </w:tcPr>
          <w:p w14:paraId="7FA7271A"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#05</w:t>
            </w:r>
          </w:p>
        </w:tc>
        <w:tc>
          <w:tcPr>
            <w:tcW w:w="6030" w:type="dxa"/>
            <w:tcBorders>
              <w:top w:val="nil"/>
              <w:left w:val="nil"/>
              <w:bottom w:val="nil"/>
              <w:right w:val="nil"/>
            </w:tcBorders>
            <w:shd w:val="clear" w:color="000000" w:fill="E8E9E9"/>
            <w:noWrap/>
            <w:vAlign w:val="center"/>
            <w:hideMark/>
          </w:tcPr>
          <w:p w14:paraId="4A9402EF"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Chronic Obstructive Pulmonary Disease (COPD) Admission Rate</w:t>
            </w:r>
          </w:p>
        </w:tc>
      </w:tr>
      <w:tr w:rsidR="002B0DC3" w:rsidRPr="002B0DC3" w14:paraId="50AEBBB2" w14:textId="77777777" w:rsidTr="006E4DF5">
        <w:trPr>
          <w:trHeight w:val="300"/>
        </w:trPr>
        <w:tc>
          <w:tcPr>
            <w:tcW w:w="1530" w:type="dxa"/>
            <w:tcBorders>
              <w:top w:val="nil"/>
              <w:left w:val="nil"/>
              <w:bottom w:val="nil"/>
              <w:right w:val="nil"/>
            </w:tcBorders>
            <w:shd w:val="clear" w:color="auto" w:fill="auto"/>
            <w:noWrap/>
            <w:vAlign w:val="center"/>
            <w:hideMark/>
          </w:tcPr>
          <w:p w14:paraId="09E47B39"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#07</w:t>
            </w:r>
          </w:p>
        </w:tc>
        <w:tc>
          <w:tcPr>
            <w:tcW w:w="6030" w:type="dxa"/>
            <w:tcBorders>
              <w:top w:val="nil"/>
              <w:left w:val="nil"/>
              <w:bottom w:val="nil"/>
              <w:right w:val="nil"/>
            </w:tcBorders>
            <w:shd w:val="clear" w:color="auto" w:fill="auto"/>
            <w:noWrap/>
            <w:vAlign w:val="center"/>
            <w:hideMark/>
          </w:tcPr>
          <w:p w14:paraId="1D57E9BD"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Hypertension Admission Rate</w:t>
            </w:r>
          </w:p>
        </w:tc>
      </w:tr>
      <w:tr w:rsidR="002B0DC3" w:rsidRPr="002B0DC3" w14:paraId="6A042818" w14:textId="77777777" w:rsidTr="006E4DF5">
        <w:trPr>
          <w:trHeight w:val="300"/>
        </w:trPr>
        <w:tc>
          <w:tcPr>
            <w:tcW w:w="1530" w:type="dxa"/>
            <w:tcBorders>
              <w:top w:val="nil"/>
              <w:left w:val="nil"/>
              <w:bottom w:val="nil"/>
              <w:right w:val="nil"/>
            </w:tcBorders>
            <w:shd w:val="clear" w:color="000000" w:fill="E8E9E9"/>
            <w:noWrap/>
            <w:vAlign w:val="center"/>
            <w:hideMark/>
          </w:tcPr>
          <w:p w14:paraId="5A6372CE"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#08</w:t>
            </w:r>
          </w:p>
        </w:tc>
        <w:tc>
          <w:tcPr>
            <w:tcW w:w="6030" w:type="dxa"/>
            <w:tcBorders>
              <w:top w:val="nil"/>
              <w:left w:val="nil"/>
              <w:bottom w:val="nil"/>
              <w:right w:val="nil"/>
            </w:tcBorders>
            <w:shd w:val="clear" w:color="000000" w:fill="E8E9E9"/>
            <w:noWrap/>
            <w:vAlign w:val="center"/>
            <w:hideMark/>
          </w:tcPr>
          <w:p w14:paraId="34382C31"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Congestive Heart Failure (CHF) Admission Rate</w:t>
            </w:r>
          </w:p>
        </w:tc>
      </w:tr>
      <w:tr w:rsidR="002B0DC3" w:rsidRPr="002B0DC3" w14:paraId="060710CD" w14:textId="77777777" w:rsidTr="006E4DF5">
        <w:trPr>
          <w:trHeight w:val="300"/>
        </w:trPr>
        <w:tc>
          <w:tcPr>
            <w:tcW w:w="1530" w:type="dxa"/>
            <w:tcBorders>
              <w:top w:val="nil"/>
              <w:left w:val="nil"/>
              <w:bottom w:val="nil"/>
              <w:right w:val="nil"/>
            </w:tcBorders>
            <w:shd w:val="clear" w:color="auto" w:fill="auto"/>
            <w:noWrap/>
            <w:vAlign w:val="center"/>
            <w:hideMark/>
          </w:tcPr>
          <w:p w14:paraId="3C8307D2"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#10</w:t>
            </w:r>
          </w:p>
        </w:tc>
        <w:tc>
          <w:tcPr>
            <w:tcW w:w="6030" w:type="dxa"/>
            <w:tcBorders>
              <w:top w:val="nil"/>
              <w:left w:val="nil"/>
              <w:bottom w:val="nil"/>
              <w:right w:val="nil"/>
            </w:tcBorders>
            <w:shd w:val="clear" w:color="auto" w:fill="auto"/>
            <w:noWrap/>
            <w:vAlign w:val="center"/>
            <w:hideMark/>
          </w:tcPr>
          <w:p w14:paraId="09CFDABC"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Dehydration Admission Rate</w:t>
            </w:r>
          </w:p>
        </w:tc>
      </w:tr>
      <w:tr w:rsidR="002B0DC3" w:rsidRPr="002B0DC3" w14:paraId="3D8531D5" w14:textId="77777777" w:rsidTr="006E4DF5">
        <w:trPr>
          <w:trHeight w:val="300"/>
        </w:trPr>
        <w:tc>
          <w:tcPr>
            <w:tcW w:w="1530" w:type="dxa"/>
            <w:tcBorders>
              <w:top w:val="nil"/>
              <w:left w:val="nil"/>
              <w:bottom w:val="nil"/>
              <w:right w:val="nil"/>
            </w:tcBorders>
            <w:shd w:val="clear" w:color="000000" w:fill="E8E9E9"/>
            <w:noWrap/>
            <w:vAlign w:val="center"/>
            <w:hideMark/>
          </w:tcPr>
          <w:p w14:paraId="581C4C48"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#11</w:t>
            </w:r>
          </w:p>
        </w:tc>
        <w:tc>
          <w:tcPr>
            <w:tcW w:w="6030" w:type="dxa"/>
            <w:tcBorders>
              <w:top w:val="nil"/>
              <w:left w:val="nil"/>
              <w:bottom w:val="nil"/>
              <w:right w:val="nil"/>
            </w:tcBorders>
            <w:shd w:val="clear" w:color="000000" w:fill="E8E9E9"/>
            <w:noWrap/>
            <w:vAlign w:val="center"/>
            <w:hideMark/>
          </w:tcPr>
          <w:p w14:paraId="50A74EC1"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Bacterial Pneumonia Admission Rate</w:t>
            </w:r>
          </w:p>
        </w:tc>
      </w:tr>
      <w:tr w:rsidR="002B0DC3" w:rsidRPr="002B0DC3" w14:paraId="44C4E293" w14:textId="77777777" w:rsidTr="006E4DF5">
        <w:trPr>
          <w:trHeight w:val="300"/>
        </w:trPr>
        <w:tc>
          <w:tcPr>
            <w:tcW w:w="1530" w:type="dxa"/>
            <w:tcBorders>
              <w:top w:val="nil"/>
              <w:left w:val="nil"/>
              <w:bottom w:val="nil"/>
              <w:right w:val="nil"/>
            </w:tcBorders>
            <w:shd w:val="clear" w:color="auto" w:fill="auto"/>
            <w:noWrap/>
            <w:vAlign w:val="center"/>
            <w:hideMark/>
          </w:tcPr>
          <w:p w14:paraId="39D58B8D"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#12</w:t>
            </w:r>
          </w:p>
        </w:tc>
        <w:tc>
          <w:tcPr>
            <w:tcW w:w="6030" w:type="dxa"/>
            <w:tcBorders>
              <w:top w:val="nil"/>
              <w:left w:val="nil"/>
              <w:bottom w:val="nil"/>
              <w:right w:val="nil"/>
            </w:tcBorders>
            <w:shd w:val="clear" w:color="auto" w:fill="auto"/>
            <w:noWrap/>
            <w:vAlign w:val="center"/>
            <w:hideMark/>
          </w:tcPr>
          <w:p w14:paraId="50576B86"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Urinary Tract Infection Admission Rate</w:t>
            </w:r>
          </w:p>
        </w:tc>
      </w:tr>
      <w:tr w:rsidR="002B0DC3" w:rsidRPr="002B0DC3" w14:paraId="2DF8302D" w14:textId="77777777" w:rsidTr="006E4DF5">
        <w:trPr>
          <w:trHeight w:val="300"/>
        </w:trPr>
        <w:tc>
          <w:tcPr>
            <w:tcW w:w="1530" w:type="dxa"/>
            <w:tcBorders>
              <w:top w:val="nil"/>
              <w:left w:val="nil"/>
              <w:bottom w:val="nil"/>
              <w:right w:val="nil"/>
            </w:tcBorders>
            <w:shd w:val="clear" w:color="000000" w:fill="E8E9E9"/>
            <w:noWrap/>
            <w:vAlign w:val="center"/>
            <w:hideMark/>
          </w:tcPr>
          <w:p w14:paraId="5034F4A6"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#13</w:t>
            </w:r>
          </w:p>
        </w:tc>
        <w:tc>
          <w:tcPr>
            <w:tcW w:w="6030" w:type="dxa"/>
            <w:tcBorders>
              <w:top w:val="nil"/>
              <w:left w:val="nil"/>
              <w:bottom w:val="nil"/>
              <w:right w:val="nil"/>
            </w:tcBorders>
            <w:shd w:val="clear" w:color="000000" w:fill="E8E9E9"/>
            <w:noWrap/>
            <w:vAlign w:val="center"/>
            <w:hideMark/>
          </w:tcPr>
          <w:p w14:paraId="1A9A5694"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Angina without Procedure Admission Rate</w:t>
            </w:r>
          </w:p>
        </w:tc>
      </w:tr>
      <w:tr w:rsidR="002B0DC3" w:rsidRPr="002B0DC3" w14:paraId="25E715A3" w14:textId="77777777" w:rsidTr="006E4DF5">
        <w:trPr>
          <w:trHeight w:val="300"/>
        </w:trPr>
        <w:tc>
          <w:tcPr>
            <w:tcW w:w="1530" w:type="dxa"/>
            <w:tcBorders>
              <w:top w:val="nil"/>
              <w:left w:val="nil"/>
              <w:bottom w:val="nil"/>
              <w:right w:val="nil"/>
            </w:tcBorders>
            <w:shd w:val="clear" w:color="auto" w:fill="auto"/>
            <w:noWrap/>
            <w:vAlign w:val="center"/>
            <w:hideMark/>
          </w:tcPr>
          <w:p w14:paraId="255D01F8"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#14</w:t>
            </w:r>
          </w:p>
        </w:tc>
        <w:tc>
          <w:tcPr>
            <w:tcW w:w="6030" w:type="dxa"/>
            <w:tcBorders>
              <w:top w:val="nil"/>
              <w:left w:val="nil"/>
              <w:bottom w:val="nil"/>
              <w:right w:val="nil"/>
            </w:tcBorders>
            <w:shd w:val="clear" w:color="auto" w:fill="auto"/>
            <w:noWrap/>
            <w:vAlign w:val="center"/>
            <w:hideMark/>
          </w:tcPr>
          <w:p w14:paraId="7C2155D7"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Uncontrolled Diabetes Admission Rate</w:t>
            </w:r>
          </w:p>
        </w:tc>
      </w:tr>
      <w:tr w:rsidR="002B0DC3" w:rsidRPr="002B0DC3" w14:paraId="6A84EBFD" w14:textId="77777777" w:rsidTr="006E4DF5">
        <w:trPr>
          <w:trHeight w:val="300"/>
        </w:trPr>
        <w:tc>
          <w:tcPr>
            <w:tcW w:w="1530" w:type="dxa"/>
            <w:tcBorders>
              <w:top w:val="nil"/>
              <w:left w:val="nil"/>
              <w:bottom w:val="nil"/>
              <w:right w:val="nil"/>
            </w:tcBorders>
            <w:shd w:val="clear" w:color="000000" w:fill="E8E9E9"/>
            <w:noWrap/>
            <w:vAlign w:val="center"/>
            <w:hideMark/>
          </w:tcPr>
          <w:p w14:paraId="2D35E3DC"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#15</w:t>
            </w:r>
          </w:p>
        </w:tc>
        <w:tc>
          <w:tcPr>
            <w:tcW w:w="6030" w:type="dxa"/>
            <w:tcBorders>
              <w:top w:val="nil"/>
              <w:left w:val="nil"/>
              <w:bottom w:val="nil"/>
              <w:right w:val="nil"/>
            </w:tcBorders>
            <w:shd w:val="clear" w:color="000000" w:fill="E8E9E9"/>
            <w:noWrap/>
            <w:vAlign w:val="center"/>
            <w:hideMark/>
          </w:tcPr>
          <w:p w14:paraId="07733A01"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Adult Asthma Admission Rate</w:t>
            </w:r>
          </w:p>
        </w:tc>
      </w:tr>
      <w:tr w:rsidR="002B0DC3" w:rsidRPr="002B0DC3" w14:paraId="3FD36F35" w14:textId="77777777" w:rsidTr="006E4DF5">
        <w:trPr>
          <w:trHeight w:val="300"/>
        </w:trPr>
        <w:tc>
          <w:tcPr>
            <w:tcW w:w="1530" w:type="dxa"/>
            <w:tcBorders>
              <w:top w:val="nil"/>
              <w:left w:val="nil"/>
              <w:bottom w:val="nil"/>
              <w:right w:val="nil"/>
            </w:tcBorders>
            <w:shd w:val="clear" w:color="auto" w:fill="auto"/>
            <w:noWrap/>
            <w:vAlign w:val="center"/>
            <w:hideMark/>
          </w:tcPr>
          <w:p w14:paraId="085E2886"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PQI #16</w:t>
            </w:r>
          </w:p>
        </w:tc>
        <w:tc>
          <w:tcPr>
            <w:tcW w:w="6030" w:type="dxa"/>
            <w:tcBorders>
              <w:top w:val="nil"/>
              <w:left w:val="nil"/>
              <w:bottom w:val="nil"/>
              <w:right w:val="nil"/>
            </w:tcBorders>
            <w:shd w:val="clear" w:color="auto" w:fill="auto"/>
            <w:noWrap/>
            <w:vAlign w:val="center"/>
            <w:hideMark/>
          </w:tcPr>
          <w:p w14:paraId="1F454777" w14:textId="77777777" w:rsidR="002B0DC3" w:rsidRPr="002B0DC3" w:rsidRDefault="002B0DC3" w:rsidP="002B0DC3">
            <w:pPr>
              <w:spacing w:after="0" w:line="240" w:lineRule="auto"/>
              <w:rPr>
                <w:rFonts w:ascii="Arial" w:eastAsia="Times New Roman" w:hAnsi="Arial" w:cs="Arial"/>
                <w:color w:val="39414D"/>
                <w:szCs w:val="18"/>
              </w:rPr>
            </w:pPr>
            <w:r w:rsidRPr="002B0DC3">
              <w:rPr>
                <w:rFonts w:ascii="Arial" w:eastAsia="Times New Roman" w:hAnsi="Arial" w:cs="Arial"/>
                <w:color w:val="39414D"/>
                <w:szCs w:val="18"/>
              </w:rPr>
              <w:t>Rate of Lower-extremity Amputation among Patients with Diabetes</w:t>
            </w:r>
          </w:p>
        </w:tc>
      </w:tr>
    </w:tbl>
    <w:p w14:paraId="2E1D9A43" w14:textId="648ECC0A" w:rsidR="00342DA6" w:rsidRDefault="00342DA6" w:rsidP="006D56D3">
      <w:pPr>
        <w:pStyle w:val="RRSubhead2"/>
        <w:spacing w:before="120" w:after="120"/>
        <w:jc w:val="both"/>
      </w:pPr>
      <w:bookmarkStart w:id="209" w:name="_Toc368313760"/>
      <w:bookmarkStart w:id="210" w:name="_Toc368581725"/>
      <w:bookmarkStart w:id="211" w:name="_Toc369009533"/>
      <w:bookmarkStart w:id="212" w:name="_Toc372814960"/>
      <w:r w:rsidRPr="004D2086">
        <w:t>Emergency Room</w:t>
      </w:r>
      <w:bookmarkEnd w:id="209"/>
      <w:bookmarkEnd w:id="210"/>
      <w:bookmarkEnd w:id="211"/>
      <w:bookmarkEnd w:id="212"/>
    </w:p>
    <w:p w14:paraId="40B3BB81" w14:textId="5E067B9D" w:rsidR="002565D9" w:rsidRDefault="002565D9" w:rsidP="00622097">
      <w:pPr>
        <w:jc w:val="both"/>
      </w:pPr>
      <w:r w:rsidRPr="002565D9">
        <w:t>For the outpatient hospital emergency room service category, multiple potentially avoidable diagnosis groups were clinically developed using the primary diagnosis of each claim. The potentially avoidable diagnosis groups were stratified by severity to target potentially avoidable emergency room visits</w:t>
      </w:r>
      <w:r w:rsidR="002F1EE6">
        <w:t>, starting with</w:t>
      </w:r>
      <w:r w:rsidRPr="002565D9">
        <w:t xml:space="preserve"> the lowest severity group. </w:t>
      </w:r>
      <w:r w:rsidR="00BB7423">
        <w:t>In addition</w:t>
      </w:r>
      <w:r w:rsidRPr="002565D9">
        <w:t xml:space="preserve">, potentially avoidable outpatient hospital emergency room visits were summarized by rate cell. Target utilization levels were developed </w:t>
      </w:r>
      <w:r>
        <w:t xml:space="preserve">by assuming a </w:t>
      </w:r>
      <w:r w:rsidR="00BB7423">
        <w:t>1</w:t>
      </w:r>
      <w:r w:rsidR="00011864">
        <w:t>0</w:t>
      </w:r>
      <w:r>
        <w:t>% decrease in potentially avoidable services</w:t>
      </w:r>
      <w:r w:rsidR="00656ECC">
        <w:t xml:space="preserve"> using SFY 2021 experience</w:t>
      </w:r>
      <w:r>
        <w:t xml:space="preserve">.  </w:t>
      </w:r>
    </w:p>
    <w:p w14:paraId="25702C35" w14:textId="77777777" w:rsidR="00987971" w:rsidRDefault="002565D9" w:rsidP="00622097">
      <w:pPr>
        <w:jc w:val="both"/>
      </w:pPr>
      <w:r w:rsidRPr="002565D9">
        <w:t>When applying the</w:t>
      </w:r>
      <w:r>
        <w:t>se</w:t>
      </w:r>
      <w:r w:rsidRPr="002565D9">
        <w:t xml:space="preserve"> adjustments, reductions were taken from level 1 emergency room claims first, followed by level 2</w:t>
      </w:r>
      <w:r w:rsidR="002F1EE6">
        <w:t>,</w:t>
      </w:r>
      <w:r w:rsidRPr="002565D9">
        <w:t xml:space="preserve"> </w:t>
      </w:r>
      <w:r w:rsidR="00151B5F">
        <w:t xml:space="preserve">and </w:t>
      </w:r>
      <w:r w:rsidRPr="002565D9">
        <w:t>level 3</w:t>
      </w:r>
      <w:r w:rsidR="00151B5F">
        <w:t xml:space="preserve"> </w:t>
      </w:r>
      <w:r w:rsidRPr="002565D9">
        <w:t xml:space="preserve">claims </w:t>
      </w:r>
      <w:r w:rsidR="00A801C8">
        <w:t>up to an assumed cap for each level</w:t>
      </w:r>
      <w:r w:rsidRPr="002565D9">
        <w:t>.</w:t>
      </w:r>
      <w:r w:rsidR="00C32F9D">
        <w:t xml:space="preserve"> </w:t>
      </w:r>
      <w:r w:rsidR="00394541">
        <w:t>W</w:t>
      </w:r>
      <w:r w:rsidRPr="002565D9">
        <w:t xml:space="preserve">e assumed that 95% of emergency room visits reduced would be replaced with an office visit. </w:t>
      </w:r>
      <w:r w:rsidR="00394541">
        <w:t>This process was completed at a rate cell level.</w:t>
      </w:r>
      <w:r w:rsidR="00394541" w:rsidRPr="002565D9">
        <w:t xml:space="preserve"> </w:t>
      </w:r>
    </w:p>
    <w:p w14:paraId="3FC192C9" w14:textId="39C1247B" w:rsidR="00342DA6" w:rsidRDefault="00656ECC" w:rsidP="00622097">
      <w:pPr>
        <w:jc w:val="both"/>
      </w:pPr>
      <w:r>
        <w:t>In addition</w:t>
      </w:r>
      <w:r w:rsidR="002565D9" w:rsidRPr="002565D9">
        <w:t xml:space="preserve">, we reviewed historical </w:t>
      </w:r>
      <w:r w:rsidR="00394541">
        <w:t>Rhode Island experience</w:t>
      </w:r>
      <w:r w:rsidR="002565D9" w:rsidRPr="002565D9">
        <w:t xml:space="preserve">, along with data from other Medicaid states, to develop assumptions for additional services that may also be included with an office visit. Based on this review, additional services related to pathology/lab and radiology were included with the replacement office visit. </w:t>
      </w:r>
    </w:p>
    <w:p w14:paraId="511EF208" w14:textId="3510EB12" w:rsidR="002F1EE6" w:rsidRPr="004D2086" w:rsidRDefault="00E817EB" w:rsidP="00622097">
      <w:pPr>
        <w:pStyle w:val="RRSubhead2"/>
        <w:spacing w:after="120"/>
        <w:jc w:val="both"/>
      </w:pPr>
      <w:r>
        <w:t>Delivery Services</w:t>
      </w:r>
    </w:p>
    <w:p w14:paraId="352EEE8D" w14:textId="77777777" w:rsidR="00F67BC5" w:rsidRDefault="002F1EE6" w:rsidP="00622097">
      <w:pPr>
        <w:jc w:val="both"/>
      </w:pPr>
      <w:r w:rsidRPr="004D2086">
        <w:t>We reviewed the mix of vaginal and cesarean section deliveries by MC</w:t>
      </w:r>
      <w:r w:rsidR="00370AD2">
        <w:t>O</w:t>
      </w:r>
      <w:r w:rsidRPr="004D2086">
        <w:t xml:space="preserve"> to determine appropriate efficiency adjustments for </w:t>
      </w:r>
      <w:r w:rsidR="00E817EB">
        <w:t>SOBRA</w:t>
      </w:r>
      <w:r>
        <w:t xml:space="preserve"> payment</w:t>
      </w:r>
      <w:r w:rsidR="00E817EB">
        <w:t>s</w:t>
      </w:r>
      <w:r>
        <w:t>.</w:t>
      </w:r>
      <w:r w:rsidRPr="004D2086">
        <w:t xml:space="preserve"> Delivery managed care efficiency adjustments were developed by analyzing the percent of</w:t>
      </w:r>
      <w:r w:rsidRPr="004D2086">
        <w:rPr>
          <w:i/>
        </w:rPr>
        <w:t xml:space="preserve"> </w:t>
      </w:r>
      <w:r w:rsidRPr="004D2086">
        <w:t>cesarean and vaginal</w:t>
      </w:r>
      <w:r>
        <w:t xml:space="preserve"> deliveries by </w:t>
      </w:r>
      <w:r w:rsidR="00370AD2">
        <w:t>MCO</w:t>
      </w:r>
      <w:r w:rsidR="00BB7423">
        <w:t xml:space="preserve"> in the CY 2019 base period</w:t>
      </w:r>
      <w:r>
        <w:t xml:space="preserve">. </w:t>
      </w:r>
    </w:p>
    <w:p w14:paraId="2B38050F" w14:textId="3AF6D605" w:rsidR="002F1EE6" w:rsidRPr="004D2086" w:rsidRDefault="009126E4" w:rsidP="00622097">
      <w:pPr>
        <w:jc w:val="both"/>
      </w:pPr>
      <w:r>
        <w:t xml:space="preserve">We targeted a mix of </w:t>
      </w:r>
      <w:r w:rsidR="00880A78">
        <w:t xml:space="preserve">approximately </w:t>
      </w:r>
      <w:r w:rsidR="00031FE7">
        <w:t>71.</w:t>
      </w:r>
      <w:r w:rsidR="00011864">
        <w:t>0</w:t>
      </w:r>
      <w:r>
        <w:t xml:space="preserve">% / </w:t>
      </w:r>
      <w:r w:rsidR="00031FE7">
        <w:t>2</w:t>
      </w:r>
      <w:r w:rsidR="00011864">
        <w:t>9</w:t>
      </w:r>
      <w:r w:rsidR="00031FE7">
        <w:t>.</w:t>
      </w:r>
      <w:r w:rsidR="00011864">
        <w:t>0</w:t>
      </w:r>
      <w:r>
        <w:t>% of vaginal/cesarean section deliveries in the rating period.</w:t>
      </w:r>
      <w:r w:rsidRPr="004D2086">
        <w:t xml:space="preserve"> Managed care savings were estimated by evaluating the cost per delivery difference between c</w:t>
      </w:r>
      <w:r>
        <w:t>esarean and vaginal deliveries.</w:t>
      </w:r>
      <w:r w:rsidRPr="004D2086">
        <w:t xml:space="preserve"> </w:t>
      </w:r>
      <w:r w:rsidR="002F1EE6" w:rsidRPr="004D2086">
        <w:t>No adjustment w</w:t>
      </w:r>
      <w:r w:rsidR="006D56D3">
        <w:t>as</w:t>
      </w:r>
      <w:r w:rsidR="002F1EE6" w:rsidRPr="004D2086">
        <w:t xml:space="preserve"> made to the total number of deliveries.</w:t>
      </w:r>
    </w:p>
    <w:p w14:paraId="5A1D3984" w14:textId="24DD98D2" w:rsidR="00342DA6" w:rsidRPr="004D2086" w:rsidRDefault="00342DA6" w:rsidP="00622097">
      <w:pPr>
        <w:pStyle w:val="RRSubhead2"/>
        <w:spacing w:after="120"/>
        <w:jc w:val="both"/>
      </w:pPr>
      <w:r w:rsidRPr="004D2086">
        <w:t>Pharmacy Services</w:t>
      </w:r>
    </w:p>
    <w:p w14:paraId="2E345CCA" w14:textId="3B8B031C" w:rsidR="00342DA6" w:rsidRDefault="00BF7CD8" w:rsidP="00622097">
      <w:pPr>
        <w:jc w:val="both"/>
      </w:pPr>
      <w:r>
        <w:t>We</w:t>
      </w:r>
      <w:r w:rsidR="00D759DA" w:rsidRPr="00D759DA">
        <w:t xml:space="preserve"> review</w:t>
      </w:r>
      <w:r>
        <w:t>ed</w:t>
      </w:r>
      <w:r w:rsidR="00D759DA" w:rsidRPr="00D759DA">
        <w:t xml:space="preserve"> historical pharmacy experience for the number of </w:t>
      </w:r>
      <w:r>
        <w:t xml:space="preserve">monthly </w:t>
      </w:r>
      <w:r w:rsidR="00D759DA" w:rsidRPr="00D759DA">
        <w:t xml:space="preserve">prescriptions that each member was taking during the </w:t>
      </w:r>
      <w:r w:rsidR="00656ECC">
        <w:t>SFY 2021 emerging experience</w:t>
      </w:r>
      <w:r w:rsidR="00D759DA" w:rsidRPr="00D759DA">
        <w:t xml:space="preserve"> period.</w:t>
      </w:r>
      <w:r w:rsidR="00733A8A">
        <w:t xml:space="preserve"> </w:t>
      </w:r>
      <w:r w:rsidR="00D759DA" w:rsidRPr="00D759DA">
        <w:t>The goal of this efficiency adjustment is to identify users with excessive prescriptions and identif</w:t>
      </w:r>
      <w:r w:rsidR="00733A8A">
        <w:t>y opportunities for reduction. </w:t>
      </w:r>
      <w:r w:rsidR="00D759DA" w:rsidRPr="00D759DA">
        <w:t xml:space="preserve">We separated the experience into two categories: 10-14 scripts per month and 15+ scripts per month. Based on clinical evaluation of this adjustment, we established thresholds of reduction of 2 scripts per month for those over 15 scripts per month and removal of 1 script for those in the 10-14 category. </w:t>
      </w:r>
      <w:r w:rsidR="00342DA6" w:rsidRPr="004D2086">
        <w:t>We developed pharmacy managed care efficiency adjustments by rate cell to reflect mix differences by therapeutic class due to the age, gender, and morbidity of the applicable rate cell.</w:t>
      </w:r>
      <w:r w:rsidR="007E0DDF">
        <w:t xml:space="preserve"> </w:t>
      </w:r>
      <w:r>
        <w:t>We assumed a reduction of scripts based on the median cost per script.</w:t>
      </w:r>
    </w:p>
    <w:p w14:paraId="5B702DC3" w14:textId="14185C2C" w:rsidR="00920110" w:rsidRDefault="00C270E8" w:rsidP="0027012E">
      <w:pPr>
        <w:jc w:val="both"/>
        <w:rPr>
          <w:szCs w:val="18"/>
        </w:rPr>
      </w:pPr>
      <w:r w:rsidRPr="004D2086">
        <w:rPr>
          <w:szCs w:val="18"/>
        </w:rPr>
        <w:t xml:space="preserve">The composite impact of these adjustments by population and category of service </w:t>
      </w:r>
      <w:r>
        <w:rPr>
          <w:szCs w:val="18"/>
        </w:rPr>
        <w:t xml:space="preserve">is </w:t>
      </w:r>
      <w:r w:rsidRPr="004D2086">
        <w:rPr>
          <w:szCs w:val="18"/>
        </w:rPr>
        <w:t xml:space="preserve">listed in </w:t>
      </w:r>
      <w:r w:rsidR="00B06709">
        <w:rPr>
          <w:szCs w:val="18"/>
        </w:rPr>
        <w:t>Figure</w:t>
      </w:r>
      <w:r w:rsidRPr="004D2086">
        <w:rPr>
          <w:szCs w:val="18"/>
        </w:rPr>
        <w:t xml:space="preserve"> </w:t>
      </w:r>
      <w:r w:rsidR="00031FE7">
        <w:rPr>
          <w:szCs w:val="18"/>
        </w:rPr>
        <w:t>1</w:t>
      </w:r>
      <w:r w:rsidR="00273A3D">
        <w:rPr>
          <w:szCs w:val="18"/>
        </w:rPr>
        <w:t>4</w:t>
      </w:r>
      <w:r w:rsidRPr="004D2086">
        <w:rPr>
          <w:szCs w:val="18"/>
        </w:rPr>
        <w:t>.</w:t>
      </w:r>
      <w:r w:rsidR="00920110">
        <w:rPr>
          <w:szCs w:val="18"/>
        </w:rPr>
        <w:br w:type="page"/>
      </w:r>
    </w:p>
    <w:tbl>
      <w:tblPr>
        <w:tblW w:w="0" w:type="auto"/>
        <w:tblLayout w:type="fixed"/>
        <w:tblLook w:val="04A0" w:firstRow="1" w:lastRow="0" w:firstColumn="1" w:lastColumn="0" w:noHBand="0" w:noVBand="1"/>
      </w:tblPr>
      <w:tblGrid>
        <w:gridCol w:w="2520"/>
        <w:gridCol w:w="2430"/>
        <w:gridCol w:w="2250"/>
        <w:gridCol w:w="2160"/>
      </w:tblGrid>
      <w:tr w:rsidR="00667CCF" w:rsidRPr="00667CCF" w14:paraId="270B7303" w14:textId="77777777" w:rsidTr="00C80CBF">
        <w:trPr>
          <w:trHeight w:val="255"/>
          <w:tblHeader/>
        </w:trPr>
        <w:tc>
          <w:tcPr>
            <w:tcW w:w="9360" w:type="dxa"/>
            <w:gridSpan w:val="4"/>
            <w:tcBorders>
              <w:top w:val="nil"/>
              <w:left w:val="nil"/>
              <w:bottom w:val="nil"/>
              <w:right w:val="nil"/>
            </w:tcBorders>
            <w:shd w:val="clear" w:color="auto" w:fill="auto"/>
            <w:noWrap/>
            <w:vAlign w:val="bottom"/>
          </w:tcPr>
          <w:p w14:paraId="5B8C0E3F" w14:textId="778ACD75" w:rsidR="00667CCF" w:rsidRDefault="00A21260" w:rsidP="00A21260">
            <w:pPr>
              <w:spacing w:after="0" w:line="240" w:lineRule="auto"/>
              <w:rPr>
                <w:rFonts w:ascii="Arial" w:hAnsi="Arial" w:cs="Arial"/>
                <w:b/>
                <w:bCs/>
                <w:color w:val="0081E3"/>
                <w:szCs w:val="18"/>
              </w:rPr>
            </w:pPr>
            <w:r>
              <w:rPr>
                <w:rFonts w:ascii="Arial" w:hAnsi="Arial" w:cs="Arial"/>
                <w:b/>
                <w:bCs/>
                <w:color w:val="0081E3"/>
                <w:szCs w:val="18"/>
              </w:rPr>
              <w:lastRenderedPageBreak/>
              <w:t>FIGURE</w:t>
            </w:r>
            <w:r w:rsidR="00667CCF">
              <w:rPr>
                <w:rFonts w:ascii="Arial" w:hAnsi="Arial" w:cs="Arial"/>
                <w:b/>
                <w:bCs/>
                <w:color w:val="0081E3"/>
                <w:szCs w:val="18"/>
              </w:rPr>
              <w:t xml:space="preserve"> </w:t>
            </w:r>
            <w:r w:rsidR="00074255">
              <w:rPr>
                <w:rFonts w:ascii="Arial" w:hAnsi="Arial" w:cs="Arial"/>
                <w:b/>
                <w:bCs/>
                <w:color w:val="0081E3"/>
                <w:szCs w:val="18"/>
              </w:rPr>
              <w:t>1</w:t>
            </w:r>
            <w:r w:rsidR="00273A3D">
              <w:rPr>
                <w:rFonts w:ascii="Arial" w:hAnsi="Arial" w:cs="Arial"/>
                <w:b/>
                <w:bCs/>
                <w:color w:val="0081E3"/>
                <w:szCs w:val="18"/>
              </w:rPr>
              <w:t>4</w:t>
            </w:r>
            <w:r>
              <w:rPr>
                <w:rFonts w:ascii="Arial" w:hAnsi="Arial" w:cs="Arial"/>
                <w:b/>
                <w:bCs/>
                <w:color w:val="0081E3"/>
                <w:szCs w:val="18"/>
              </w:rPr>
              <w:t>: MANAGED CARE EFFICIENCIES</w:t>
            </w:r>
          </w:p>
        </w:tc>
      </w:tr>
      <w:tr w:rsidR="00023C81" w:rsidRPr="00601668" w14:paraId="1F25CD02" w14:textId="77777777" w:rsidTr="00C80CBF">
        <w:trPr>
          <w:trHeight w:val="432"/>
          <w:tblHeader/>
        </w:trPr>
        <w:tc>
          <w:tcPr>
            <w:tcW w:w="2520" w:type="dxa"/>
            <w:tcBorders>
              <w:top w:val="nil"/>
              <w:left w:val="nil"/>
              <w:bottom w:val="single" w:sz="4" w:space="0" w:color="BFBFBF"/>
              <w:right w:val="nil"/>
            </w:tcBorders>
            <w:shd w:val="clear" w:color="auto" w:fill="auto"/>
            <w:vAlign w:val="bottom"/>
            <w:hideMark/>
          </w:tcPr>
          <w:p w14:paraId="5754E0B6" w14:textId="47A18025" w:rsidR="00023C81" w:rsidRPr="00B21420" w:rsidRDefault="00023C81" w:rsidP="00023C81">
            <w:pPr>
              <w:spacing w:after="0" w:line="240" w:lineRule="auto"/>
              <w:rPr>
                <w:rFonts w:ascii="Arial" w:eastAsia="Times New Roman" w:hAnsi="Arial" w:cs="Arial"/>
                <w:b/>
                <w:bCs/>
                <w:color w:val="39414D"/>
                <w:szCs w:val="18"/>
              </w:rPr>
            </w:pPr>
            <w:r>
              <w:rPr>
                <w:rFonts w:ascii="Arial" w:hAnsi="Arial" w:cs="Arial"/>
                <w:b/>
                <w:bCs/>
                <w:color w:val="39414D"/>
                <w:szCs w:val="18"/>
              </w:rPr>
              <w:t>MCE Adjustment Category</w:t>
            </w:r>
          </w:p>
        </w:tc>
        <w:tc>
          <w:tcPr>
            <w:tcW w:w="2430" w:type="dxa"/>
            <w:tcBorders>
              <w:top w:val="nil"/>
              <w:left w:val="nil"/>
              <w:bottom w:val="single" w:sz="4" w:space="0" w:color="BFBFBF"/>
              <w:right w:val="nil"/>
            </w:tcBorders>
            <w:shd w:val="clear" w:color="auto" w:fill="auto"/>
            <w:vAlign w:val="bottom"/>
            <w:hideMark/>
          </w:tcPr>
          <w:p w14:paraId="6E3D8978" w14:textId="26A171DB" w:rsidR="00023C81" w:rsidRPr="00B21420" w:rsidRDefault="00023C81" w:rsidP="00023C81">
            <w:pPr>
              <w:spacing w:after="0" w:line="240" w:lineRule="auto"/>
              <w:jc w:val="center"/>
              <w:rPr>
                <w:rFonts w:ascii="Arial" w:eastAsia="Times New Roman" w:hAnsi="Arial" w:cs="Arial"/>
                <w:b/>
                <w:bCs/>
                <w:color w:val="39414D"/>
                <w:szCs w:val="18"/>
              </w:rPr>
            </w:pPr>
            <w:r>
              <w:rPr>
                <w:rFonts w:ascii="Arial" w:hAnsi="Arial" w:cs="Arial"/>
                <w:b/>
                <w:bCs/>
                <w:color w:val="39414D"/>
                <w:szCs w:val="18"/>
              </w:rPr>
              <w:t>Managed Care Utilization</w:t>
            </w:r>
          </w:p>
        </w:tc>
        <w:tc>
          <w:tcPr>
            <w:tcW w:w="2250" w:type="dxa"/>
            <w:tcBorders>
              <w:top w:val="nil"/>
              <w:left w:val="nil"/>
              <w:bottom w:val="single" w:sz="4" w:space="0" w:color="BFBFBF"/>
              <w:right w:val="nil"/>
            </w:tcBorders>
            <w:shd w:val="clear" w:color="auto" w:fill="auto"/>
            <w:vAlign w:val="bottom"/>
            <w:hideMark/>
          </w:tcPr>
          <w:p w14:paraId="49CFBB40" w14:textId="153B7EA1" w:rsidR="00023C81" w:rsidRPr="00B21420" w:rsidRDefault="00023C81" w:rsidP="00023C81">
            <w:pPr>
              <w:spacing w:after="0" w:line="240" w:lineRule="auto"/>
              <w:jc w:val="center"/>
              <w:rPr>
                <w:rFonts w:ascii="Arial" w:eastAsia="Times New Roman" w:hAnsi="Arial" w:cs="Arial"/>
                <w:b/>
                <w:bCs/>
                <w:color w:val="39414D"/>
                <w:szCs w:val="18"/>
              </w:rPr>
            </w:pPr>
            <w:r>
              <w:rPr>
                <w:rFonts w:ascii="Arial" w:hAnsi="Arial" w:cs="Arial"/>
                <w:b/>
                <w:bCs/>
                <w:color w:val="39414D"/>
                <w:szCs w:val="18"/>
              </w:rPr>
              <w:t>Managed Care Cost</w:t>
            </w:r>
          </w:p>
        </w:tc>
        <w:tc>
          <w:tcPr>
            <w:tcW w:w="2160" w:type="dxa"/>
            <w:tcBorders>
              <w:top w:val="nil"/>
              <w:left w:val="nil"/>
              <w:bottom w:val="single" w:sz="4" w:space="0" w:color="BFBFBF"/>
              <w:right w:val="nil"/>
            </w:tcBorders>
            <w:shd w:val="clear" w:color="auto" w:fill="auto"/>
            <w:vAlign w:val="bottom"/>
            <w:hideMark/>
          </w:tcPr>
          <w:p w14:paraId="414F6D6D" w14:textId="07E2B2F1" w:rsidR="00023C81" w:rsidRPr="00B21420" w:rsidRDefault="00023C81" w:rsidP="00023C81">
            <w:pPr>
              <w:spacing w:after="0" w:line="240" w:lineRule="auto"/>
              <w:jc w:val="center"/>
              <w:rPr>
                <w:rFonts w:ascii="Arial" w:eastAsia="Times New Roman" w:hAnsi="Arial" w:cs="Arial"/>
                <w:b/>
                <w:bCs/>
                <w:color w:val="39414D"/>
                <w:szCs w:val="18"/>
              </w:rPr>
            </w:pPr>
            <w:r>
              <w:rPr>
                <w:rFonts w:ascii="Arial" w:hAnsi="Arial" w:cs="Arial"/>
                <w:b/>
                <w:bCs/>
                <w:color w:val="39414D"/>
                <w:szCs w:val="18"/>
              </w:rPr>
              <w:t>Managed Care Total</w:t>
            </w:r>
          </w:p>
        </w:tc>
      </w:tr>
      <w:tr w:rsidR="00023C81" w:rsidRPr="00601668" w14:paraId="5F06B5FC" w14:textId="77777777" w:rsidTr="00C80CBF">
        <w:trPr>
          <w:trHeight w:val="255"/>
        </w:trPr>
        <w:tc>
          <w:tcPr>
            <w:tcW w:w="2520" w:type="dxa"/>
            <w:tcBorders>
              <w:top w:val="nil"/>
              <w:left w:val="nil"/>
              <w:bottom w:val="single" w:sz="4" w:space="0" w:color="C6C9CA"/>
              <w:right w:val="nil"/>
            </w:tcBorders>
            <w:shd w:val="clear" w:color="auto" w:fill="auto"/>
            <w:vAlign w:val="bottom"/>
            <w:hideMark/>
          </w:tcPr>
          <w:p w14:paraId="08369A79" w14:textId="504AAA12" w:rsidR="00023C81" w:rsidRPr="00B21420" w:rsidRDefault="003E5EAF" w:rsidP="00023C81">
            <w:pPr>
              <w:spacing w:after="0" w:line="240" w:lineRule="auto"/>
              <w:rPr>
                <w:rFonts w:ascii="Arial" w:eastAsia="Times New Roman" w:hAnsi="Arial" w:cs="Arial"/>
                <w:b/>
                <w:bCs/>
                <w:color w:val="39414D"/>
                <w:szCs w:val="18"/>
              </w:rPr>
            </w:pPr>
            <w:r>
              <w:rPr>
                <w:rFonts w:ascii="Arial" w:hAnsi="Arial" w:cs="Arial"/>
                <w:b/>
                <w:bCs/>
                <w:color w:val="39414D"/>
                <w:szCs w:val="18"/>
              </w:rPr>
              <w:t>RIte Care</w:t>
            </w:r>
          </w:p>
        </w:tc>
        <w:tc>
          <w:tcPr>
            <w:tcW w:w="2430" w:type="dxa"/>
            <w:tcBorders>
              <w:top w:val="nil"/>
              <w:left w:val="nil"/>
              <w:bottom w:val="nil"/>
              <w:right w:val="nil"/>
            </w:tcBorders>
            <w:shd w:val="clear" w:color="auto" w:fill="auto"/>
            <w:noWrap/>
            <w:vAlign w:val="bottom"/>
            <w:hideMark/>
          </w:tcPr>
          <w:p w14:paraId="31D0D825" w14:textId="54070CE8" w:rsidR="00023C81" w:rsidRPr="00B21420" w:rsidRDefault="00023C81" w:rsidP="00023C81">
            <w:pPr>
              <w:spacing w:after="0" w:line="240" w:lineRule="auto"/>
              <w:rPr>
                <w:rFonts w:ascii="Arial" w:eastAsia="Times New Roman" w:hAnsi="Arial" w:cs="Arial"/>
                <w:b/>
                <w:bCs/>
                <w:color w:val="39414D"/>
                <w:szCs w:val="18"/>
              </w:rPr>
            </w:pPr>
          </w:p>
        </w:tc>
        <w:tc>
          <w:tcPr>
            <w:tcW w:w="2250" w:type="dxa"/>
            <w:tcBorders>
              <w:top w:val="nil"/>
              <w:left w:val="nil"/>
              <w:bottom w:val="nil"/>
              <w:right w:val="nil"/>
            </w:tcBorders>
            <w:shd w:val="clear" w:color="auto" w:fill="auto"/>
            <w:noWrap/>
            <w:vAlign w:val="bottom"/>
            <w:hideMark/>
          </w:tcPr>
          <w:p w14:paraId="3400C228" w14:textId="2D86FE65" w:rsidR="00023C81" w:rsidRPr="00B21420" w:rsidRDefault="00023C81" w:rsidP="00023C81">
            <w:pPr>
              <w:spacing w:after="0" w:line="240" w:lineRule="auto"/>
              <w:rPr>
                <w:rFonts w:ascii="Times New Roman" w:eastAsia="Times New Roman" w:hAnsi="Times New Roman" w:cs="Times New Roman"/>
                <w:szCs w:val="18"/>
              </w:rPr>
            </w:pPr>
          </w:p>
        </w:tc>
        <w:tc>
          <w:tcPr>
            <w:tcW w:w="2160" w:type="dxa"/>
            <w:tcBorders>
              <w:top w:val="nil"/>
              <w:left w:val="nil"/>
              <w:bottom w:val="nil"/>
              <w:right w:val="nil"/>
            </w:tcBorders>
            <w:shd w:val="clear" w:color="auto" w:fill="auto"/>
            <w:noWrap/>
            <w:vAlign w:val="bottom"/>
            <w:hideMark/>
          </w:tcPr>
          <w:p w14:paraId="1C2553A6" w14:textId="2EDA2190" w:rsidR="00023C81" w:rsidRPr="00B21420" w:rsidRDefault="00023C81" w:rsidP="00023C81">
            <w:pPr>
              <w:spacing w:after="0" w:line="240" w:lineRule="auto"/>
              <w:rPr>
                <w:rFonts w:ascii="Times New Roman" w:eastAsia="Times New Roman" w:hAnsi="Times New Roman" w:cs="Times New Roman"/>
                <w:szCs w:val="18"/>
              </w:rPr>
            </w:pPr>
          </w:p>
        </w:tc>
      </w:tr>
      <w:tr w:rsidR="00AD0A75" w:rsidRPr="00601668" w14:paraId="6A210639" w14:textId="77777777" w:rsidTr="00C80CBF">
        <w:trPr>
          <w:trHeight w:val="255"/>
        </w:trPr>
        <w:tc>
          <w:tcPr>
            <w:tcW w:w="2520" w:type="dxa"/>
            <w:tcBorders>
              <w:top w:val="nil"/>
              <w:left w:val="nil"/>
              <w:bottom w:val="nil"/>
              <w:right w:val="nil"/>
            </w:tcBorders>
            <w:shd w:val="clear" w:color="000000" w:fill="E8E9E9"/>
            <w:noWrap/>
            <w:vAlign w:val="bottom"/>
            <w:hideMark/>
          </w:tcPr>
          <w:p w14:paraId="1F80649B" w14:textId="07D1A2DA"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Inpatient</w:t>
            </w:r>
          </w:p>
        </w:tc>
        <w:tc>
          <w:tcPr>
            <w:tcW w:w="2430" w:type="dxa"/>
            <w:tcBorders>
              <w:top w:val="nil"/>
              <w:left w:val="nil"/>
              <w:bottom w:val="nil"/>
              <w:right w:val="nil"/>
            </w:tcBorders>
            <w:shd w:val="clear" w:color="000000" w:fill="E8E9E9"/>
            <w:noWrap/>
            <w:vAlign w:val="center"/>
            <w:hideMark/>
          </w:tcPr>
          <w:p w14:paraId="1BA062E8" w14:textId="644CD755"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0.9924</w:t>
            </w:r>
          </w:p>
        </w:tc>
        <w:tc>
          <w:tcPr>
            <w:tcW w:w="2250" w:type="dxa"/>
            <w:tcBorders>
              <w:top w:val="nil"/>
              <w:left w:val="nil"/>
              <w:bottom w:val="nil"/>
              <w:right w:val="nil"/>
            </w:tcBorders>
            <w:shd w:val="clear" w:color="000000" w:fill="E8E9E9"/>
            <w:noWrap/>
            <w:vAlign w:val="center"/>
            <w:hideMark/>
          </w:tcPr>
          <w:p w14:paraId="72FF1487" w14:textId="72EDD59B"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1.0017</w:t>
            </w:r>
          </w:p>
        </w:tc>
        <w:tc>
          <w:tcPr>
            <w:tcW w:w="2160" w:type="dxa"/>
            <w:tcBorders>
              <w:top w:val="nil"/>
              <w:left w:val="nil"/>
              <w:bottom w:val="nil"/>
              <w:right w:val="nil"/>
            </w:tcBorders>
            <w:shd w:val="clear" w:color="000000" w:fill="E8E9E9"/>
            <w:noWrap/>
            <w:vAlign w:val="center"/>
            <w:hideMark/>
          </w:tcPr>
          <w:p w14:paraId="3EC36C5D" w14:textId="29289392"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0.9941</w:t>
            </w:r>
          </w:p>
        </w:tc>
      </w:tr>
      <w:tr w:rsidR="00AD0A75" w:rsidRPr="00601668" w14:paraId="1401C176" w14:textId="77777777" w:rsidTr="00C80CBF">
        <w:trPr>
          <w:trHeight w:val="255"/>
        </w:trPr>
        <w:tc>
          <w:tcPr>
            <w:tcW w:w="2520" w:type="dxa"/>
            <w:tcBorders>
              <w:top w:val="nil"/>
              <w:left w:val="nil"/>
              <w:bottom w:val="nil"/>
              <w:right w:val="nil"/>
            </w:tcBorders>
            <w:shd w:val="clear" w:color="auto" w:fill="auto"/>
            <w:noWrap/>
            <w:vAlign w:val="bottom"/>
            <w:hideMark/>
          </w:tcPr>
          <w:p w14:paraId="0FF89BC4" w14:textId="411A8CA0"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Emergency Room</w:t>
            </w:r>
          </w:p>
        </w:tc>
        <w:tc>
          <w:tcPr>
            <w:tcW w:w="2430" w:type="dxa"/>
            <w:tcBorders>
              <w:top w:val="nil"/>
              <w:left w:val="nil"/>
              <w:bottom w:val="nil"/>
              <w:right w:val="nil"/>
            </w:tcBorders>
            <w:shd w:val="clear" w:color="auto" w:fill="auto"/>
            <w:noWrap/>
            <w:vAlign w:val="center"/>
            <w:hideMark/>
          </w:tcPr>
          <w:p w14:paraId="4F7C66A0" w14:textId="14B2100C"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0.9684</w:t>
            </w:r>
          </w:p>
        </w:tc>
        <w:tc>
          <w:tcPr>
            <w:tcW w:w="2250" w:type="dxa"/>
            <w:tcBorders>
              <w:top w:val="nil"/>
              <w:left w:val="nil"/>
              <w:bottom w:val="nil"/>
              <w:right w:val="nil"/>
            </w:tcBorders>
            <w:shd w:val="clear" w:color="auto" w:fill="auto"/>
            <w:noWrap/>
            <w:vAlign w:val="center"/>
            <w:hideMark/>
          </w:tcPr>
          <w:p w14:paraId="7279D958" w14:textId="0E1E6531"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1.0185</w:t>
            </w:r>
          </w:p>
        </w:tc>
        <w:tc>
          <w:tcPr>
            <w:tcW w:w="2160" w:type="dxa"/>
            <w:tcBorders>
              <w:top w:val="nil"/>
              <w:left w:val="nil"/>
              <w:bottom w:val="nil"/>
              <w:right w:val="nil"/>
            </w:tcBorders>
            <w:shd w:val="clear" w:color="auto" w:fill="auto"/>
            <w:noWrap/>
            <w:vAlign w:val="center"/>
            <w:hideMark/>
          </w:tcPr>
          <w:p w14:paraId="47940146" w14:textId="3F1CD18E"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0.9863</w:t>
            </w:r>
          </w:p>
        </w:tc>
      </w:tr>
      <w:tr w:rsidR="00AD0A75" w:rsidRPr="00601668" w14:paraId="7586846A" w14:textId="77777777" w:rsidTr="00C80CBF">
        <w:trPr>
          <w:trHeight w:val="255"/>
        </w:trPr>
        <w:tc>
          <w:tcPr>
            <w:tcW w:w="2520" w:type="dxa"/>
            <w:tcBorders>
              <w:top w:val="nil"/>
              <w:left w:val="nil"/>
              <w:bottom w:val="nil"/>
              <w:right w:val="nil"/>
            </w:tcBorders>
            <w:shd w:val="clear" w:color="000000" w:fill="E8E9E9"/>
            <w:noWrap/>
            <w:vAlign w:val="bottom"/>
            <w:hideMark/>
          </w:tcPr>
          <w:p w14:paraId="226775FB" w14:textId="64D560BE"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Office Visits</w:t>
            </w:r>
          </w:p>
        </w:tc>
        <w:tc>
          <w:tcPr>
            <w:tcW w:w="2430" w:type="dxa"/>
            <w:tcBorders>
              <w:top w:val="nil"/>
              <w:left w:val="nil"/>
              <w:bottom w:val="nil"/>
              <w:right w:val="nil"/>
            </w:tcBorders>
            <w:shd w:val="clear" w:color="000000" w:fill="E8E9E9"/>
            <w:noWrap/>
            <w:vAlign w:val="center"/>
            <w:hideMark/>
          </w:tcPr>
          <w:p w14:paraId="7625D4CE" w14:textId="4FA01CBC"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1.0029</w:t>
            </w:r>
          </w:p>
        </w:tc>
        <w:tc>
          <w:tcPr>
            <w:tcW w:w="2250" w:type="dxa"/>
            <w:tcBorders>
              <w:top w:val="nil"/>
              <w:left w:val="nil"/>
              <w:bottom w:val="nil"/>
              <w:right w:val="nil"/>
            </w:tcBorders>
            <w:shd w:val="clear" w:color="000000" w:fill="E8E9E9"/>
            <w:noWrap/>
            <w:vAlign w:val="center"/>
            <w:hideMark/>
          </w:tcPr>
          <w:p w14:paraId="2461CCA3" w14:textId="4C7B4491"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000000" w:fill="E8E9E9"/>
            <w:noWrap/>
            <w:vAlign w:val="center"/>
            <w:hideMark/>
          </w:tcPr>
          <w:p w14:paraId="56F44EF9" w14:textId="30025A93"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1.0029</w:t>
            </w:r>
          </w:p>
        </w:tc>
      </w:tr>
      <w:tr w:rsidR="00AD0A75" w:rsidRPr="00601668" w14:paraId="02053B6D" w14:textId="77777777" w:rsidTr="00C80CBF">
        <w:trPr>
          <w:trHeight w:val="255"/>
        </w:trPr>
        <w:tc>
          <w:tcPr>
            <w:tcW w:w="2520" w:type="dxa"/>
            <w:tcBorders>
              <w:top w:val="nil"/>
              <w:left w:val="nil"/>
              <w:bottom w:val="nil"/>
              <w:right w:val="nil"/>
            </w:tcBorders>
            <w:shd w:val="clear" w:color="auto" w:fill="auto"/>
            <w:noWrap/>
            <w:vAlign w:val="bottom"/>
            <w:hideMark/>
          </w:tcPr>
          <w:p w14:paraId="4492CE2B" w14:textId="65A69C86"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Rad/Path/Lab</w:t>
            </w:r>
          </w:p>
        </w:tc>
        <w:tc>
          <w:tcPr>
            <w:tcW w:w="2430" w:type="dxa"/>
            <w:tcBorders>
              <w:top w:val="nil"/>
              <w:left w:val="nil"/>
              <w:bottom w:val="nil"/>
              <w:right w:val="nil"/>
            </w:tcBorders>
            <w:shd w:val="clear" w:color="auto" w:fill="auto"/>
            <w:noWrap/>
            <w:vAlign w:val="center"/>
            <w:hideMark/>
          </w:tcPr>
          <w:p w14:paraId="4EFC249B" w14:textId="65598275"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1.0014</w:t>
            </w:r>
          </w:p>
        </w:tc>
        <w:tc>
          <w:tcPr>
            <w:tcW w:w="2250" w:type="dxa"/>
            <w:tcBorders>
              <w:top w:val="nil"/>
              <w:left w:val="nil"/>
              <w:bottom w:val="nil"/>
              <w:right w:val="nil"/>
            </w:tcBorders>
            <w:shd w:val="clear" w:color="auto" w:fill="auto"/>
            <w:noWrap/>
            <w:vAlign w:val="center"/>
            <w:hideMark/>
          </w:tcPr>
          <w:p w14:paraId="3A15381C" w14:textId="35EEA02A"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auto" w:fill="auto"/>
            <w:noWrap/>
            <w:vAlign w:val="center"/>
            <w:hideMark/>
          </w:tcPr>
          <w:p w14:paraId="5B164FEE" w14:textId="1E83470C"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1.0014</w:t>
            </w:r>
          </w:p>
        </w:tc>
      </w:tr>
      <w:tr w:rsidR="00AD0A75" w:rsidRPr="00601668" w14:paraId="008C0F95" w14:textId="77777777" w:rsidTr="00C80CBF">
        <w:trPr>
          <w:trHeight w:val="171"/>
        </w:trPr>
        <w:tc>
          <w:tcPr>
            <w:tcW w:w="2520" w:type="dxa"/>
            <w:tcBorders>
              <w:top w:val="nil"/>
              <w:left w:val="nil"/>
              <w:bottom w:val="nil"/>
              <w:right w:val="nil"/>
            </w:tcBorders>
            <w:shd w:val="clear" w:color="000000" w:fill="E8E9E9"/>
            <w:noWrap/>
            <w:vAlign w:val="bottom"/>
            <w:hideMark/>
          </w:tcPr>
          <w:p w14:paraId="1DC56F89" w14:textId="77D6CABB"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Pharmacy</w:t>
            </w:r>
          </w:p>
        </w:tc>
        <w:tc>
          <w:tcPr>
            <w:tcW w:w="2430" w:type="dxa"/>
            <w:tcBorders>
              <w:top w:val="nil"/>
              <w:left w:val="nil"/>
              <w:bottom w:val="nil"/>
              <w:right w:val="nil"/>
            </w:tcBorders>
            <w:shd w:val="clear" w:color="000000" w:fill="E8E9E9"/>
            <w:noWrap/>
            <w:vAlign w:val="center"/>
            <w:hideMark/>
          </w:tcPr>
          <w:p w14:paraId="3A549152" w14:textId="2D495E65"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0.9989</w:t>
            </w:r>
          </w:p>
        </w:tc>
        <w:tc>
          <w:tcPr>
            <w:tcW w:w="2250" w:type="dxa"/>
            <w:tcBorders>
              <w:top w:val="nil"/>
              <w:left w:val="nil"/>
              <w:bottom w:val="nil"/>
              <w:right w:val="nil"/>
            </w:tcBorders>
            <w:shd w:val="clear" w:color="000000" w:fill="E8E9E9"/>
            <w:noWrap/>
            <w:vAlign w:val="center"/>
            <w:hideMark/>
          </w:tcPr>
          <w:p w14:paraId="5957CA42" w14:textId="72B703A8"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000000" w:fill="E8E9E9"/>
            <w:noWrap/>
            <w:vAlign w:val="center"/>
            <w:hideMark/>
          </w:tcPr>
          <w:p w14:paraId="17F72D28" w14:textId="7214425C"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0.9989</w:t>
            </w:r>
          </w:p>
        </w:tc>
      </w:tr>
      <w:tr w:rsidR="00AD0A75" w:rsidRPr="00601668" w14:paraId="4BFC4EAC" w14:textId="77777777" w:rsidTr="00C80CBF">
        <w:trPr>
          <w:trHeight w:val="255"/>
        </w:trPr>
        <w:tc>
          <w:tcPr>
            <w:tcW w:w="2520" w:type="dxa"/>
            <w:tcBorders>
              <w:top w:val="nil"/>
              <w:left w:val="nil"/>
              <w:bottom w:val="single" w:sz="4" w:space="0" w:color="C6C9CA"/>
              <w:right w:val="nil"/>
            </w:tcBorders>
            <w:shd w:val="clear" w:color="auto" w:fill="auto"/>
            <w:vAlign w:val="bottom"/>
            <w:hideMark/>
          </w:tcPr>
          <w:p w14:paraId="60AF9BFC" w14:textId="33763766" w:rsidR="00AD0A75" w:rsidRPr="00B21420" w:rsidRDefault="00AD0A75" w:rsidP="00AD0A75">
            <w:pPr>
              <w:spacing w:after="0" w:line="240" w:lineRule="auto"/>
              <w:rPr>
                <w:rFonts w:ascii="Arial" w:eastAsia="Times New Roman" w:hAnsi="Arial" w:cs="Arial"/>
                <w:b/>
                <w:bCs/>
                <w:color w:val="39414D"/>
                <w:szCs w:val="18"/>
              </w:rPr>
            </w:pPr>
            <w:r>
              <w:rPr>
                <w:rFonts w:ascii="Arial" w:hAnsi="Arial" w:cs="Arial"/>
                <w:b/>
                <w:bCs/>
                <w:color w:val="39414D"/>
                <w:szCs w:val="18"/>
              </w:rPr>
              <w:t>CSHCN</w:t>
            </w:r>
          </w:p>
        </w:tc>
        <w:tc>
          <w:tcPr>
            <w:tcW w:w="2430" w:type="dxa"/>
            <w:tcBorders>
              <w:top w:val="nil"/>
              <w:left w:val="nil"/>
              <w:bottom w:val="nil"/>
              <w:right w:val="nil"/>
            </w:tcBorders>
            <w:shd w:val="clear" w:color="auto" w:fill="auto"/>
            <w:noWrap/>
            <w:vAlign w:val="center"/>
            <w:hideMark/>
          </w:tcPr>
          <w:p w14:paraId="4C000A05" w14:textId="77777777" w:rsidR="00AD0A75" w:rsidRPr="00B21420" w:rsidRDefault="00AD0A75" w:rsidP="00AD0A75">
            <w:pPr>
              <w:spacing w:after="0" w:line="240" w:lineRule="auto"/>
              <w:rPr>
                <w:rFonts w:ascii="Arial" w:eastAsia="Times New Roman" w:hAnsi="Arial" w:cs="Arial"/>
                <w:b/>
                <w:bCs/>
                <w:color w:val="39414D"/>
                <w:szCs w:val="18"/>
              </w:rPr>
            </w:pPr>
          </w:p>
        </w:tc>
        <w:tc>
          <w:tcPr>
            <w:tcW w:w="2250" w:type="dxa"/>
            <w:tcBorders>
              <w:top w:val="nil"/>
              <w:left w:val="nil"/>
              <w:bottom w:val="nil"/>
              <w:right w:val="nil"/>
            </w:tcBorders>
            <w:shd w:val="clear" w:color="auto" w:fill="auto"/>
            <w:noWrap/>
            <w:vAlign w:val="center"/>
            <w:hideMark/>
          </w:tcPr>
          <w:p w14:paraId="388D4087" w14:textId="77777777" w:rsidR="00AD0A75" w:rsidRPr="00B21420" w:rsidRDefault="00AD0A75" w:rsidP="00AD0A75">
            <w:pPr>
              <w:spacing w:after="0" w:line="240" w:lineRule="auto"/>
              <w:rPr>
                <w:rFonts w:ascii="Times New Roman" w:eastAsia="Times New Roman" w:hAnsi="Times New Roman" w:cs="Times New Roman"/>
                <w:szCs w:val="18"/>
              </w:rPr>
            </w:pPr>
          </w:p>
        </w:tc>
        <w:tc>
          <w:tcPr>
            <w:tcW w:w="2160" w:type="dxa"/>
            <w:tcBorders>
              <w:top w:val="nil"/>
              <w:left w:val="nil"/>
              <w:bottom w:val="nil"/>
              <w:right w:val="nil"/>
            </w:tcBorders>
            <w:shd w:val="clear" w:color="auto" w:fill="auto"/>
            <w:noWrap/>
            <w:vAlign w:val="center"/>
            <w:hideMark/>
          </w:tcPr>
          <w:p w14:paraId="1DF1454D" w14:textId="77777777" w:rsidR="00AD0A75" w:rsidRPr="00B21420" w:rsidRDefault="00AD0A75" w:rsidP="00AD0A75">
            <w:pPr>
              <w:spacing w:after="0" w:line="240" w:lineRule="auto"/>
              <w:rPr>
                <w:rFonts w:ascii="Times New Roman" w:eastAsia="Times New Roman" w:hAnsi="Times New Roman" w:cs="Times New Roman"/>
                <w:szCs w:val="18"/>
              </w:rPr>
            </w:pPr>
          </w:p>
        </w:tc>
      </w:tr>
      <w:tr w:rsidR="00AD0A75" w:rsidRPr="00601668" w14:paraId="5DE9D230" w14:textId="77777777" w:rsidTr="00C80CBF">
        <w:trPr>
          <w:trHeight w:val="255"/>
        </w:trPr>
        <w:tc>
          <w:tcPr>
            <w:tcW w:w="2520" w:type="dxa"/>
            <w:tcBorders>
              <w:top w:val="nil"/>
              <w:left w:val="nil"/>
              <w:bottom w:val="nil"/>
              <w:right w:val="nil"/>
            </w:tcBorders>
            <w:shd w:val="clear" w:color="000000" w:fill="E8E9E9"/>
            <w:noWrap/>
            <w:vAlign w:val="bottom"/>
            <w:hideMark/>
          </w:tcPr>
          <w:p w14:paraId="29630310" w14:textId="6517A872"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Inpatient</w:t>
            </w:r>
          </w:p>
        </w:tc>
        <w:tc>
          <w:tcPr>
            <w:tcW w:w="2430" w:type="dxa"/>
            <w:tcBorders>
              <w:top w:val="nil"/>
              <w:left w:val="nil"/>
              <w:bottom w:val="nil"/>
              <w:right w:val="nil"/>
            </w:tcBorders>
            <w:shd w:val="clear" w:color="000000" w:fill="E8E9E9"/>
            <w:noWrap/>
            <w:vAlign w:val="center"/>
            <w:hideMark/>
          </w:tcPr>
          <w:p w14:paraId="567949D6" w14:textId="0E42A6DB"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0.9900</w:t>
            </w:r>
          </w:p>
        </w:tc>
        <w:tc>
          <w:tcPr>
            <w:tcW w:w="2250" w:type="dxa"/>
            <w:tcBorders>
              <w:top w:val="nil"/>
              <w:left w:val="nil"/>
              <w:bottom w:val="nil"/>
              <w:right w:val="nil"/>
            </w:tcBorders>
            <w:shd w:val="clear" w:color="000000" w:fill="E8E9E9"/>
            <w:noWrap/>
            <w:vAlign w:val="center"/>
            <w:hideMark/>
          </w:tcPr>
          <w:p w14:paraId="06128C75" w14:textId="2E07D489"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0.9996</w:t>
            </w:r>
          </w:p>
        </w:tc>
        <w:tc>
          <w:tcPr>
            <w:tcW w:w="2160" w:type="dxa"/>
            <w:tcBorders>
              <w:top w:val="nil"/>
              <w:left w:val="nil"/>
              <w:bottom w:val="nil"/>
              <w:right w:val="nil"/>
            </w:tcBorders>
            <w:shd w:val="clear" w:color="000000" w:fill="E8E9E9"/>
            <w:noWrap/>
            <w:vAlign w:val="center"/>
            <w:hideMark/>
          </w:tcPr>
          <w:p w14:paraId="10A325B2" w14:textId="7D714F5A"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0.9896</w:t>
            </w:r>
          </w:p>
        </w:tc>
      </w:tr>
      <w:tr w:rsidR="00AD0A75" w:rsidRPr="00601668" w14:paraId="32C1F5C9" w14:textId="77777777" w:rsidTr="00C80CBF">
        <w:trPr>
          <w:trHeight w:val="255"/>
        </w:trPr>
        <w:tc>
          <w:tcPr>
            <w:tcW w:w="2520" w:type="dxa"/>
            <w:tcBorders>
              <w:top w:val="nil"/>
              <w:left w:val="nil"/>
              <w:bottom w:val="nil"/>
              <w:right w:val="nil"/>
            </w:tcBorders>
            <w:shd w:val="clear" w:color="auto" w:fill="auto"/>
            <w:noWrap/>
            <w:vAlign w:val="bottom"/>
            <w:hideMark/>
          </w:tcPr>
          <w:p w14:paraId="6E3161F0" w14:textId="0BEDAD5E"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Emergency Room</w:t>
            </w:r>
          </w:p>
        </w:tc>
        <w:tc>
          <w:tcPr>
            <w:tcW w:w="2430" w:type="dxa"/>
            <w:tcBorders>
              <w:top w:val="nil"/>
              <w:left w:val="nil"/>
              <w:bottom w:val="nil"/>
              <w:right w:val="nil"/>
            </w:tcBorders>
            <w:shd w:val="clear" w:color="auto" w:fill="auto"/>
            <w:noWrap/>
            <w:vAlign w:val="center"/>
            <w:hideMark/>
          </w:tcPr>
          <w:p w14:paraId="7787209B" w14:textId="7EFE29C0"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0.9781</w:t>
            </w:r>
          </w:p>
        </w:tc>
        <w:tc>
          <w:tcPr>
            <w:tcW w:w="2250" w:type="dxa"/>
            <w:tcBorders>
              <w:top w:val="nil"/>
              <w:left w:val="nil"/>
              <w:bottom w:val="nil"/>
              <w:right w:val="nil"/>
            </w:tcBorders>
            <w:shd w:val="clear" w:color="auto" w:fill="auto"/>
            <w:noWrap/>
            <w:vAlign w:val="center"/>
            <w:hideMark/>
          </w:tcPr>
          <w:p w14:paraId="15FAD438" w14:textId="7794A6E7"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1.0138</w:t>
            </w:r>
          </w:p>
        </w:tc>
        <w:tc>
          <w:tcPr>
            <w:tcW w:w="2160" w:type="dxa"/>
            <w:tcBorders>
              <w:top w:val="nil"/>
              <w:left w:val="nil"/>
              <w:bottom w:val="nil"/>
              <w:right w:val="nil"/>
            </w:tcBorders>
            <w:shd w:val="clear" w:color="auto" w:fill="auto"/>
            <w:noWrap/>
            <w:vAlign w:val="center"/>
            <w:hideMark/>
          </w:tcPr>
          <w:p w14:paraId="52AC3033" w14:textId="1CD3EB60"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0.9916</w:t>
            </w:r>
          </w:p>
        </w:tc>
      </w:tr>
      <w:tr w:rsidR="00AD0A75" w:rsidRPr="00601668" w14:paraId="276289EB" w14:textId="77777777" w:rsidTr="00C80CBF">
        <w:trPr>
          <w:trHeight w:val="255"/>
        </w:trPr>
        <w:tc>
          <w:tcPr>
            <w:tcW w:w="2520" w:type="dxa"/>
            <w:tcBorders>
              <w:top w:val="nil"/>
              <w:left w:val="nil"/>
              <w:bottom w:val="nil"/>
              <w:right w:val="nil"/>
            </w:tcBorders>
            <w:shd w:val="clear" w:color="000000" w:fill="E8E9E9"/>
            <w:noWrap/>
            <w:vAlign w:val="bottom"/>
            <w:hideMark/>
          </w:tcPr>
          <w:p w14:paraId="55FEF104" w14:textId="164FE214"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Office Visits</w:t>
            </w:r>
          </w:p>
        </w:tc>
        <w:tc>
          <w:tcPr>
            <w:tcW w:w="2430" w:type="dxa"/>
            <w:tcBorders>
              <w:top w:val="nil"/>
              <w:left w:val="nil"/>
              <w:bottom w:val="nil"/>
              <w:right w:val="nil"/>
            </w:tcBorders>
            <w:shd w:val="clear" w:color="000000" w:fill="E8E9E9"/>
            <w:noWrap/>
            <w:vAlign w:val="center"/>
            <w:hideMark/>
          </w:tcPr>
          <w:p w14:paraId="30710DDB" w14:textId="08F9744E"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1.0023</w:t>
            </w:r>
          </w:p>
        </w:tc>
        <w:tc>
          <w:tcPr>
            <w:tcW w:w="2250" w:type="dxa"/>
            <w:tcBorders>
              <w:top w:val="nil"/>
              <w:left w:val="nil"/>
              <w:bottom w:val="nil"/>
              <w:right w:val="nil"/>
            </w:tcBorders>
            <w:shd w:val="clear" w:color="000000" w:fill="E8E9E9"/>
            <w:noWrap/>
            <w:vAlign w:val="center"/>
            <w:hideMark/>
          </w:tcPr>
          <w:p w14:paraId="7C2D5782" w14:textId="64EF912D"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000000" w:fill="E8E9E9"/>
            <w:noWrap/>
            <w:vAlign w:val="center"/>
            <w:hideMark/>
          </w:tcPr>
          <w:p w14:paraId="728304F8" w14:textId="55A15811"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1.0023</w:t>
            </w:r>
          </w:p>
        </w:tc>
      </w:tr>
      <w:tr w:rsidR="00AD0A75" w:rsidRPr="00601668" w14:paraId="3D8CF20D" w14:textId="77777777" w:rsidTr="00C80CBF">
        <w:trPr>
          <w:trHeight w:val="255"/>
        </w:trPr>
        <w:tc>
          <w:tcPr>
            <w:tcW w:w="2520" w:type="dxa"/>
            <w:tcBorders>
              <w:top w:val="nil"/>
              <w:left w:val="nil"/>
              <w:bottom w:val="nil"/>
              <w:right w:val="nil"/>
            </w:tcBorders>
            <w:shd w:val="clear" w:color="auto" w:fill="auto"/>
            <w:noWrap/>
            <w:vAlign w:val="bottom"/>
            <w:hideMark/>
          </w:tcPr>
          <w:p w14:paraId="0A51BE89" w14:textId="648E4EAF"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Rad/Path/Lab</w:t>
            </w:r>
          </w:p>
        </w:tc>
        <w:tc>
          <w:tcPr>
            <w:tcW w:w="2430" w:type="dxa"/>
            <w:tcBorders>
              <w:top w:val="nil"/>
              <w:left w:val="nil"/>
              <w:bottom w:val="nil"/>
              <w:right w:val="nil"/>
            </w:tcBorders>
            <w:shd w:val="clear" w:color="auto" w:fill="auto"/>
            <w:noWrap/>
            <w:vAlign w:val="center"/>
            <w:hideMark/>
          </w:tcPr>
          <w:p w14:paraId="7D075027" w14:textId="29BC7385"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1.0015</w:t>
            </w:r>
          </w:p>
        </w:tc>
        <w:tc>
          <w:tcPr>
            <w:tcW w:w="2250" w:type="dxa"/>
            <w:tcBorders>
              <w:top w:val="nil"/>
              <w:left w:val="nil"/>
              <w:bottom w:val="nil"/>
              <w:right w:val="nil"/>
            </w:tcBorders>
            <w:shd w:val="clear" w:color="auto" w:fill="auto"/>
            <w:noWrap/>
            <w:vAlign w:val="center"/>
            <w:hideMark/>
          </w:tcPr>
          <w:p w14:paraId="1C9AE5D3" w14:textId="3DA88C02"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auto" w:fill="auto"/>
            <w:noWrap/>
            <w:vAlign w:val="center"/>
            <w:hideMark/>
          </w:tcPr>
          <w:p w14:paraId="7D6F9AA7" w14:textId="061008A3"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1.0015</w:t>
            </w:r>
          </w:p>
        </w:tc>
      </w:tr>
      <w:tr w:rsidR="00AD0A75" w:rsidRPr="00601668" w14:paraId="69DA56F7" w14:textId="77777777" w:rsidTr="00C80CBF">
        <w:trPr>
          <w:trHeight w:val="255"/>
        </w:trPr>
        <w:tc>
          <w:tcPr>
            <w:tcW w:w="2520" w:type="dxa"/>
            <w:tcBorders>
              <w:top w:val="nil"/>
              <w:left w:val="nil"/>
              <w:bottom w:val="nil"/>
              <w:right w:val="nil"/>
            </w:tcBorders>
            <w:shd w:val="clear" w:color="000000" w:fill="E8E9E9"/>
            <w:noWrap/>
            <w:vAlign w:val="bottom"/>
            <w:hideMark/>
          </w:tcPr>
          <w:p w14:paraId="632EC073" w14:textId="0EB9B6A1"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Pharmacy</w:t>
            </w:r>
          </w:p>
        </w:tc>
        <w:tc>
          <w:tcPr>
            <w:tcW w:w="2430" w:type="dxa"/>
            <w:tcBorders>
              <w:top w:val="nil"/>
              <w:left w:val="nil"/>
              <w:bottom w:val="nil"/>
              <w:right w:val="nil"/>
            </w:tcBorders>
            <w:shd w:val="clear" w:color="000000" w:fill="E8E9E9"/>
            <w:noWrap/>
            <w:vAlign w:val="center"/>
            <w:hideMark/>
          </w:tcPr>
          <w:p w14:paraId="1399F2EB" w14:textId="30281BE0"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0.9989</w:t>
            </w:r>
          </w:p>
        </w:tc>
        <w:tc>
          <w:tcPr>
            <w:tcW w:w="2250" w:type="dxa"/>
            <w:tcBorders>
              <w:top w:val="nil"/>
              <w:left w:val="nil"/>
              <w:bottom w:val="nil"/>
              <w:right w:val="nil"/>
            </w:tcBorders>
            <w:shd w:val="clear" w:color="000000" w:fill="E8E9E9"/>
            <w:noWrap/>
            <w:vAlign w:val="center"/>
            <w:hideMark/>
          </w:tcPr>
          <w:p w14:paraId="1408CD82" w14:textId="0DC21EDE"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000000" w:fill="E8E9E9"/>
            <w:noWrap/>
            <w:vAlign w:val="center"/>
            <w:hideMark/>
          </w:tcPr>
          <w:p w14:paraId="30C0A72E" w14:textId="6B26F0DB"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0.9989</w:t>
            </w:r>
          </w:p>
        </w:tc>
      </w:tr>
      <w:tr w:rsidR="00AD0A75" w:rsidRPr="00601668" w14:paraId="4FB949F5" w14:textId="77777777" w:rsidTr="00C80CBF">
        <w:trPr>
          <w:trHeight w:val="255"/>
        </w:trPr>
        <w:tc>
          <w:tcPr>
            <w:tcW w:w="2520" w:type="dxa"/>
            <w:tcBorders>
              <w:top w:val="nil"/>
              <w:left w:val="nil"/>
              <w:bottom w:val="single" w:sz="4" w:space="0" w:color="C6C9CA"/>
              <w:right w:val="nil"/>
            </w:tcBorders>
            <w:shd w:val="clear" w:color="auto" w:fill="auto"/>
            <w:vAlign w:val="bottom"/>
            <w:hideMark/>
          </w:tcPr>
          <w:p w14:paraId="715D10E9" w14:textId="092062C0" w:rsidR="00AD0A75" w:rsidRPr="00B21420" w:rsidRDefault="00AD0A75" w:rsidP="00AD0A75">
            <w:pPr>
              <w:spacing w:after="0" w:line="240" w:lineRule="auto"/>
              <w:rPr>
                <w:rFonts w:ascii="Arial" w:eastAsia="Times New Roman" w:hAnsi="Arial" w:cs="Arial"/>
                <w:b/>
                <w:bCs/>
                <w:color w:val="39414D"/>
                <w:szCs w:val="18"/>
              </w:rPr>
            </w:pPr>
            <w:r>
              <w:rPr>
                <w:rFonts w:ascii="Arial" w:hAnsi="Arial" w:cs="Arial"/>
                <w:b/>
                <w:bCs/>
                <w:color w:val="39414D"/>
                <w:szCs w:val="18"/>
              </w:rPr>
              <w:t>Medicaid Expansion</w:t>
            </w:r>
          </w:p>
        </w:tc>
        <w:tc>
          <w:tcPr>
            <w:tcW w:w="2430" w:type="dxa"/>
            <w:tcBorders>
              <w:top w:val="nil"/>
              <w:left w:val="nil"/>
              <w:bottom w:val="nil"/>
              <w:right w:val="nil"/>
            </w:tcBorders>
            <w:shd w:val="clear" w:color="auto" w:fill="auto"/>
            <w:noWrap/>
            <w:vAlign w:val="center"/>
            <w:hideMark/>
          </w:tcPr>
          <w:p w14:paraId="1A5EAB6A" w14:textId="014665FC" w:rsidR="00AD0A75" w:rsidRPr="00B21420" w:rsidRDefault="00AD0A75" w:rsidP="00AD0A75">
            <w:pPr>
              <w:spacing w:after="0" w:line="240" w:lineRule="auto"/>
              <w:rPr>
                <w:rFonts w:ascii="Arial" w:eastAsia="Times New Roman" w:hAnsi="Arial" w:cs="Arial"/>
                <w:b/>
                <w:bCs/>
                <w:color w:val="39414D"/>
                <w:szCs w:val="18"/>
              </w:rPr>
            </w:pPr>
          </w:p>
        </w:tc>
        <w:tc>
          <w:tcPr>
            <w:tcW w:w="2250" w:type="dxa"/>
            <w:tcBorders>
              <w:top w:val="nil"/>
              <w:left w:val="nil"/>
              <w:bottom w:val="nil"/>
              <w:right w:val="nil"/>
            </w:tcBorders>
            <w:shd w:val="clear" w:color="auto" w:fill="auto"/>
            <w:noWrap/>
            <w:vAlign w:val="center"/>
            <w:hideMark/>
          </w:tcPr>
          <w:p w14:paraId="3CE2C338" w14:textId="77777777" w:rsidR="00AD0A75" w:rsidRPr="00B21420" w:rsidRDefault="00AD0A75" w:rsidP="00AD0A75">
            <w:pPr>
              <w:spacing w:after="0" w:line="240" w:lineRule="auto"/>
              <w:rPr>
                <w:rFonts w:ascii="Times New Roman" w:eastAsia="Times New Roman" w:hAnsi="Times New Roman" w:cs="Times New Roman"/>
                <w:szCs w:val="18"/>
              </w:rPr>
            </w:pPr>
          </w:p>
        </w:tc>
        <w:tc>
          <w:tcPr>
            <w:tcW w:w="2160" w:type="dxa"/>
            <w:tcBorders>
              <w:top w:val="nil"/>
              <w:left w:val="nil"/>
              <w:bottom w:val="nil"/>
              <w:right w:val="nil"/>
            </w:tcBorders>
            <w:shd w:val="clear" w:color="auto" w:fill="auto"/>
            <w:noWrap/>
            <w:vAlign w:val="center"/>
            <w:hideMark/>
          </w:tcPr>
          <w:p w14:paraId="626820A5" w14:textId="77777777" w:rsidR="00AD0A75" w:rsidRPr="00B21420" w:rsidRDefault="00AD0A75" w:rsidP="00AD0A75">
            <w:pPr>
              <w:spacing w:after="0" w:line="240" w:lineRule="auto"/>
              <w:rPr>
                <w:rFonts w:ascii="Times New Roman" w:eastAsia="Times New Roman" w:hAnsi="Times New Roman" w:cs="Times New Roman"/>
                <w:szCs w:val="18"/>
              </w:rPr>
            </w:pPr>
          </w:p>
        </w:tc>
      </w:tr>
      <w:tr w:rsidR="00AD0A75" w:rsidRPr="00601668" w14:paraId="5E05218A" w14:textId="77777777" w:rsidTr="00C80CBF">
        <w:trPr>
          <w:trHeight w:val="255"/>
        </w:trPr>
        <w:tc>
          <w:tcPr>
            <w:tcW w:w="2520" w:type="dxa"/>
            <w:tcBorders>
              <w:top w:val="nil"/>
              <w:left w:val="nil"/>
              <w:bottom w:val="nil"/>
              <w:right w:val="nil"/>
            </w:tcBorders>
            <w:shd w:val="clear" w:color="000000" w:fill="E8E9E9"/>
            <w:noWrap/>
            <w:vAlign w:val="bottom"/>
            <w:hideMark/>
          </w:tcPr>
          <w:p w14:paraId="12572B0D" w14:textId="54812B9C"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Inpatient</w:t>
            </w:r>
          </w:p>
        </w:tc>
        <w:tc>
          <w:tcPr>
            <w:tcW w:w="2430" w:type="dxa"/>
            <w:tcBorders>
              <w:top w:val="nil"/>
              <w:left w:val="nil"/>
              <w:bottom w:val="nil"/>
              <w:right w:val="nil"/>
            </w:tcBorders>
            <w:shd w:val="clear" w:color="000000" w:fill="E8E9E9"/>
            <w:noWrap/>
            <w:vAlign w:val="center"/>
            <w:hideMark/>
          </w:tcPr>
          <w:p w14:paraId="351B4C8B" w14:textId="4FF2E2F7"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0.9868</w:t>
            </w:r>
          </w:p>
        </w:tc>
        <w:tc>
          <w:tcPr>
            <w:tcW w:w="2250" w:type="dxa"/>
            <w:tcBorders>
              <w:top w:val="nil"/>
              <w:left w:val="nil"/>
              <w:bottom w:val="nil"/>
              <w:right w:val="nil"/>
            </w:tcBorders>
            <w:shd w:val="clear" w:color="000000" w:fill="E8E9E9"/>
            <w:noWrap/>
            <w:vAlign w:val="center"/>
            <w:hideMark/>
          </w:tcPr>
          <w:p w14:paraId="73543A86" w14:textId="33F9FCAA"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1.0036</w:t>
            </w:r>
          </w:p>
        </w:tc>
        <w:tc>
          <w:tcPr>
            <w:tcW w:w="2160" w:type="dxa"/>
            <w:tcBorders>
              <w:top w:val="nil"/>
              <w:left w:val="nil"/>
              <w:bottom w:val="nil"/>
              <w:right w:val="nil"/>
            </w:tcBorders>
            <w:shd w:val="clear" w:color="000000" w:fill="E8E9E9"/>
            <w:noWrap/>
            <w:vAlign w:val="center"/>
            <w:hideMark/>
          </w:tcPr>
          <w:p w14:paraId="01561235" w14:textId="185EE4EB"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0.9904</w:t>
            </w:r>
          </w:p>
        </w:tc>
      </w:tr>
      <w:tr w:rsidR="00AD0A75" w:rsidRPr="00601668" w14:paraId="26E17B9E" w14:textId="77777777" w:rsidTr="00C80CBF">
        <w:trPr>
          <w:trHeight w:val="255"/>
        </w:trPr>
        <w:tc>
          <w:tcPr>
            <w:tcW w:w="2520" w:type="dxa"/>
            <w:tcBorders>
              <w:top w:val="nil"/>
              <w:left w:val="nil"/>
              <w:bottom w:val="nil"/>
              <w:right w:val="nil"/>
            </w:tcBorders>
            <w:shd w:val="clear" w:color="auto" w:fill="auto"/>
            <w:noWrap/>
            <w:vAlign w:val="bottom"/>
            <w:hideMark/>
          </w:tcPr>
          <w:p w14:paraId="05E4A45F" w14:textId="331885AD"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Emergency Room</w:t>
            </w:r>
          </w:p>
        </w:tc>
        <w:tc>
          <w:tcPr>
            <w:tcW w:w="2430" w:type="dxa"/>
            <w:tcBorders>
              <w:top w:val="nil"/>
              <w:left w:val="nil"/>
              <w:bottom w:val="nil"/>
              <w:right w:val="nil"/>
            </w:tcBorders>
            <w:shd w:val="clear" w:color="auto" w:fill="auto"/>
            <w:noWrap/>
            <w:vAlign w:val="center"/>
            <w:hideMark/>
          </w:tcPr>
          <w:p w14:paraId="2F828B68" w14:textId="0B80D913"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0.9767</w:t>
            </w:r>
          </w:p>
        </w:tc>
        <w:tc>
          <w:tcPr>
            <w:tcW w:w="2250" w:type="dxa"/>
            <w:tcBorders>
              <w:top w:val="nil"/>
              <w:left w:val="nil"/>
              <w:bottom w:val="nil"/>
              <w:right w:val="nil"/>
            </w:tcBorders>
            <w:shd w:val="clear" w:color="auto" w:fill="auto"/>
            <w:noWrap/>
            <w:vAlign w:val="center"/>
            <w:hideMark/>
          </w:tcPr>
          <w:p w14:paraId="3E2AE5C7" w14:textId="69146F3D"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1.0141</w:t>
            </w:r>
          </w:p>
        </w:tc>
        <w:tc>
          <w:tcPr>
            <w:tcW w:w="2160" w:type="dxa"/>
            <w:tcBorders>
              <w:top w:val="nil"/>
              <w:left w:val="nil"/>
              <w:bottom w:val="nil"/>
              <w:right w:val="nil"/>
            </w:tcBorders>
            <w:shd w:val="clear" w:color="auto" w:fill="auto"/>
            <w:noWrap/>
            <w:vAlign w:val="center"/>
            <w:hideMark/>
          </w:tcPr>
          <w:p w14:paraId="0EBDEAB3" w14:textId="4FFC5FFC"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0.9905</w:t>
            </w:r>
          </w:p>
        </w:tc>
      </w:tr>
      <w:tr w:rsidR="00AD0A75" w:rsidRPr="00601668" w14:paraId="605F1C85" w14:textId="77777777" w:rsidTr="00C80CBF">
        <w:trPr>
          <w:trHeight w:val="255"/>
        </w:trPr>
        <w:tc>
          <w:tcPr>
            <w:tcW w:w="2520" w:type="dxa"/>
            <w:tcBorders>
              <w:top w:val="nil"/>
              <w:left w:val="nil"/>
              <w:bottom w:val="nil"/>
              <w:right w:val="nil"/>
            </w:tcBorders>
            <w:shd w:val="clear" w:color="000000" w:fill="E8E9E9"/>
            <w:noWrap/>
            <w:vAlign w:val="bottom"/>
            <w:hideMark/>
          </w:tcPr>
          <w:p w14:paraId="335024C8" w14:textId="608A0EBF"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Office Visits</w:t>
            </w:r>
          </w:p>
        </w:tc>
        <w:tc>
          <w:tcPr>
            <w:tcW w:w="2430" w:type="dxa"/>
            <w:tcBorders>
              <w:top w:val="nil"/>
              <w:left w:val="nil"/>
              <w:bottom w:val="nil"/>
              <w:right w:val="nil"/>
            </w:tcBorders>
            <w:shd w:val="clear" w:color="000000" w:fill="E8E9E9"/>
            <w:noWrap/>
            <w:vAlign w:val="center"/>
            <w:hideMark/>
          </w:tcPr>
          <w:p w14:paraId="249FD1F8" w14:textId="1FFB24CF"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1.0020</w:t>
            </w:r>
          </w:p>
        </w:tc>
        <w:tc>
          <w:tcPr>
            <w:tcW w:w="2250" w:type="dxa"/>
            <w:tcBorders>
              <w:top w:val="nil"/>
              <w:left w:val="nil"/>
              <w:bottom w:val="nil"/>
              <w:right w:val="nil"/>
            </w:tcBorders>
            <w:shd w:val="clear" w:color="000000" w:fill="E8E9E9"/>
            <w:noWrap/>
            <w:vAlign w:val="center"/>
            <w:hideMark/>
          </w:tcPr>
          <w:p w14:paraId="2246CB3F" w14:textId="00BFE003"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000000" w:fill="E8E9E9"/>
            <w:noWrap/>
            <w:vAlign w:val="center"/>
            <w:hideMark/>
          </w:tcPr>
          <w:p w14:paraId="10EFF38D" w14:textId="5C017927"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1.0020</w:t>
            </w:r>
          </w:p>
        </w:tc>
      </w:tr>
      <w:tr w:rsidR="00AD0A75" w:rsidRPr="00601668" w14:paraId="50CEEDB1" w14:textId="77777777" w:rsidTr="00C80CBF">
        <w:trPr>
          <w:trHeight w:val="255"/>
        </w:trPr>
        <w:tc>
          <w:tcPr>
            <w:tcW w:w="2520" w:type="dxa"/>
            <w:tcBorders>
              <w:top w:val="nil"/>
              <w:left w:val="nil"/>
              <w:bottom w:val="nil"/>
              <w:right w:val="nil"/>
            </w:tcBorders>
            <w:shd w:val="clear" w:color="auto" w:fill="auto"/>
            <w:noWrap/>
            <w:vAlign w:val="bottom"/>
            <w:hideMark/>
          </w:tcPr>
          <w:p w14:paraId="3BD61247" w14:textId="50896AF7"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Rad/Path/Lab</w:t>
            </w:r>
          </w:p>
        </w:tc>
        <w:tc>
          <w:tcPr>
            <w:tcW w:w="2430" w:type="dxa"/>
            <w:tcBorders>
              <w:top w:val="nil"/>
              <w:left w:val="nil"/>
              <w:bottom w:val="nil"/>
              <w:right w:val="nil"/>
            </w:tcBorders>
            <w:shd w:val="clear" w:color="auto" w:fill="auto"/>
            <w:noWrap/>
            <w:vAlign w:val="center"/>
            <w:hideMark/>
          </w:tcPr>
          <w:p w14:paraId="1E880037" w14:textId="3F91B180"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1.0015</w:t>
            </w:r>
          </w:p>
        </w:tc>
        <w:tc>
          <w:tcPr>
            <w:tcW w:w="2250" w:type="dxa"/>
            <w:tcBorders>
              <w:top w:val="nil"/>
              <w:left w:val="nil"/>
              <w:bottom w:val="nil"/>
              <w:right w:val="nil"/>
            </w:tcBorders>
            <w:shd w:val="clear" w:color="auto" w:fill="auto"/>
            <w:noWrap/>
            <w:vAlign w:val="center"/>
            <w:hideMark/>
          </w:tcPr>
          <w:p w14:paraId="627D1053" w14:textId="535342C2"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auto" w:fill="auto"/>
            <w:noWrap/>
            <w:vAlign w:val="center"/>
            <w:hideMark/>
          </w:tcPr>
          <w:p w14:paraId="72E831E4" w14:textId="3C34DC5A"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1.0015</w:t>
            </w:r>
          </w:p>
        </w:tc>
      </w:tr>
      <w:tr w:rsidR="00AD0A75" w:rsidRPr="00601668" w14:paraId="480E3AB1" w14:textId="77777777" w:rsidTr="00C80CBF">
        <w:trPr>
          <w:trHeight w:val="255"/>
        </w:trPr>
        <w:tc>
          <w:tcPr>
            <w:tcW w:w="2520" w:type="dxa"/>
            <w:tcBorders>
              <w:top w:val="nil"/>
              <w:left w:val="nil"/>
              <w:bottom w:val="nil"/>
              <w:right w:val="nil"/>
            </w:tcBorders>
            <w:shd w:val="clear" w:color="000000" w:fill="E8E9E9"/>
            <w:noWrap/>
            <w:vAlign w:val="bottom"/>
            <w:hideMark/>
          </w:tcPr>
          <w:p w14:paraId="2D816E80" w14:textId="2E26701F"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Pharmacy</w:t>
            </w:r>
          </w:p>
        </w:tc>
        <w:tc>
          <w:tcPr>
            <w:tcW w:w="2430" w:type="dxa"/>
            <w:tcBorders>
              <w:top w:val="nil"/>
              <w:left w:val="nil"/>
              <w:bottom w:val="nil"/>
              <w:right w:val="nil"/>
            </w:tcBorders>
            <w:shd w:val="clear" w:color="000000" w:fill="E8E9E9"/>
            <w:noWrap/>
            <w:vAlign w:val="center"/>
            <w:hideMark/>
          </w:tcPr>
          <w:p w14:paraId="5978FE1D" w14:textId="52F6344C"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0.9983</w:t>
            </w:r>
          </w:p>
        </w:tc>
        <w:tc>
          <w:tcPr>
            <w:tcW w:w="2250" w:type="dxa"/>
            <w:tcBorders>
              <w:top w:val="nil"/>
              <w:left w:val="nil"/>
              <w:bottom w:val="nil"/>
              <w:right w:val="nil"/>
            </w:tcBorders>
            <w:shd w:val="clear" w:color="000000" w:fill="E8E9E9"/>
            <w:noWrap/>
            <w:vAlign w:val="center"/>
            <w:hideMark/>
          </w:tcPr>
          <w:p w14:paraId="11B981AB" w14:textId="4A412C03"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000000" w:fill="E8E9E9"/>
            <w:noWrap/>
            <w:vAlign w:val="center"/>
            <w:hideMark/>
          </w:tcPr>
          <w:p w14:paraId="14B03C83" w14:textId="41425837"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0.9983</w:t>
            </w:r>
          </w:p>
        </w:tc>
      </w:tr>
      <w:tr w:rsidR="00AD0A75" w:rsidRPr="00601668" w14:paraId="7ECF361C" w14:textId="77777777" w:rsidTr="00C80CBF">
        <w:trPr>
          <w:trHeight w:val="255"/>
        </w:trPr>
        <w:tc>
          <w:tcPr>
            <w:tcW w:w="2520" w:type="dxa"/>
            <w:tcBorders>
              <w:top w:val="nil"/>
              <w:left w:val="nil"/>
              <w:bottom w:val="single" w:sz="4" w:space="0" w:color="C6C9CA"/>
              <w:right w:val="nil"/>
            </w:tcBorders>
            <w:shd w:val="clear" w:color="auto" w:fill="auto"/>
            <w:vAlign w:val="bottom"/>
            <w:hideMark/>
          </w:tcPr>
          <w:p w14:paraId="579FC7BB" w14:textId="2CF8C5F0" w:rsidR="00AD0A75" w:rsidRPr="00B21420" w:rsidRDefault="00AD0A75" w:rsidP="00AD0A75">
            <w:pPr>
              <w:spacing w:after="0" w:line="240" w:lineRule="auto"/>
              <w:rPr>
                <w:rFonts w:ascii="Arial" w:eastAsia="Times New Roman" w:hAnsi="Arial" w:cs="Arial"/>
                <w:b/>
                <w:bCs/>
                <w:color w:val="39414D"/>
                <w:szCs w:val="18"/>
              </w:rPr>
            </w:pPr>
            <w:r>
              <w:rPr>
                <w:rFonts w:ascii="Arial" w:hAnsi="Arial" w:cs="Arial"/>
                <w:b/>
                <w:bCs/>
                <w:color w:val="39414D"/>
                <w:szCs w:val="18"/>
              </w:rPr>
              <w:t>Rhody Health Partners</w:t>
            </w:r>
          </w:p>
        </w:tc>
        <w:tc>
          <w:tcPr>
            <w:tcW w:w="2430" w:type="dxa"/>
            <w:tcBorders>
              <w:top w:val="nil"/>
              <w:left w:val="nil"/>
              <w:bottom w:val="nil"/>
              <w:right w:val="nil"/>
            </w:tcBorders>
            <w:shd w:val="clear" w:color="auto" w:fill="auto"/>
            <w:noWrap/>
            <w:vAlign w:val="center"/>
            <w:hideMark/>
          </w:tcPr>
          <w:p w14:paraId="27BE2694" w14:textId="04C331C4" w:rsidR="00AD0A75" w:rsidRPr="00B21420" w:rsidRDefault="00AD0A75" w:rsidP="00AD0A75">
            <w:pPr>
              <w:spacing w:after="0" w:line="240" w:lineRule="auto"/>
              <w:rPr>
                <w:rFonts w:ascii="Arial" w:eastAsia="Times New Roman" w:hAnsi="Arial" w:cs="Arial"/>
                <w:b/>
                <w:bCs/>
                <w:color w:val="39414D"/>
                <w:szCs w:val="18"/>
              </w:rPr>
            </w:pPr>
          </w:p>
        </w:tc>
        <w:tc>
          <w:tcPr>
            <w:tcW w:w="2250" w:type="dxa"/>
            <w:tcBorders>
              <w:top w:val="nil"/>
              <w:left w:val="nil"/>
              <w:bottom w:val="nil"/>
              <w:right w:val="nil"/>
            </w:tcBorders>
            <w:shd w:val="clear" w:color="auto" w:fill="auto"/>
            <w:noWrap/>
            <w:vAlign w:val="center"/>
            <w:hideMark/>
          </w:tcPr>
          <w:p w14:paraId="44DAC6D8" w14:textId="4F58EF0A" w:rsidR="00AD0A75" w:rsidRPr="00B21420" w:rsidRDefault="00AD0A75" w:rsidP="00AD0A75">
            <w:pPr>
              <w:spacing w:after="0" w:line="240" w:lineRule="auto"/>
              <w:rPr>
                <w:rFonts w:ascii="Times New Roman" w:eastAsia="Times New Roman" w:hAnsi="Times New Roman" w:cs="Times New Roman"/>
                <w:szCs w:val="18"/>
              </w:rPr>
            </w:pPr>
          </w:p>
        </w:tc>
        <w:tc>
          <w:tcPr>
            <w:tcW w:w="2160" w:type="dxa"/>
            <w:tcBorders>
              <w:top w:val="nil"/>
              <w:left w:val="nil"/>
              <w:bottom w:val="nil"/>
              <w:right w:val="nil"/>
            </w:tcBorders>
            <w:shd w:val="clear" w:color="auto" w:fill="auto"/>
            <w:noWrap/>
            <w:vAlign w:val="center"/>
            <w:hideMark/>
          </w:tcPr>
          <w:p w14:paraId="180B2676" w14:textId="77777777" w:rsidR="00AD0A75" w:rsidRPr="00B21420" w:rsidRDefault="00AD0A75" w:rsidP="00AD0A75">
            <w:pPr>
              <w:spacing w:after="0" w:line="240" w:lineRule="auto"/>
              <w:rPr>
                <w:rFonts w:ascii="Times New Roman" w:eastAsia="Times New Roman" w:hAnsi="Times New Roman" w:cs="Times New Roman"/>
                <w:szCs w:val="18"/>
              </w:rPr>
            </w:pPr>
          </w:p>
        </w:tc>
      </w:tr>
      <w:tr w:rsidR="00AD0A75" w:rsidRPr="00601668" w14:paraId="56D1305D" w14:textId="77777777" w:rsidTr="00C80CBF">
        <w:trPr>
          <w:trHeight w:val="255"/>
        </w:trPr>
        <w:tc>
          <w:tcPr>
            <w:tcW w:w="2520" w:type="dxa"/>
            <w:tcBorders>
              <w:top w:val="nil"/>
              <w:left w:val="nil"/>
              <w:bottom w:val="nil"/>
              <w:right w:val="nil"/>
            </w:tcBorders>
            <w:shd w:val="clear" w:color="000000" w:fill="E8E9E9"/>
            <w:noWrap/>
            <w:vAlign w:val="bottom"/>
            <w:hideMark/>
          </w:tcPr>
          <w:p w14:paraId="6E5BC7AE" w14:textId="2E42FBD6"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Inpatient</w:t>
            </w:r>
          </w:p>
        </w:tc>
        <w:tc>
          <w:tcPr>
            <w:tcW w:w="2430" w:type="dxa"/>
            <w:tcBorders>
              <w:top w:val="nil"/>
              <w:left w:val="nil"/>
              <w:bottom w:val="nil"/>
              <w:right w:val="nil"/>
            </w:tcBorders>
            <w:shd w:val="clear" w:color="000000" w:fill="E8E9E9"/>
            <w:noWrap/>
            <w:vAlign w:val="center"/>
            <w:hideMark/>
          </w:tcPr>
          <w:p w14:paraId="5208539F" w14:textId="293F09C1"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0.9862</w:t>
            </w:r>
          </w:p>
        </w:tc>
        <w:tc>
          <w:tcPr>
            <w:tcW w:w="2250" w:type="dxa"/>
            <w:tcBorders>
              <w:top w:val="nil"/>
              <w:left w:val="nil"/>
              <w:bottom w:val="nil"/>
              <w:right w:val="nil"/>
            </w:tcBorders>
            <w:shd w:val="clear" w:color="000000" w:fill="E8E9E9"/>
            <w:noWrap/>
            <w:vAlign w:val="center"/>
            <w:hideMark/>
          </w:tcPr>
          <w:p w14:paraId="247CECE1" w14:textId="7265E76F"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1.0015</w:t>
            </w:r>
          </w:p>
        </w:tc>
        <w:tc>
          <w:tcPr>
            <w:tcW w:w="2160" w:type="dxa"/>
            <w:tcBorders>
              <w:top w:val="nil"/>
              <w:left w:val="nil"/>
              <w:bottom w:val="nil"/>
              <w:right w:val="nil"/>
            </w:tcBorders>
            <w:shd w:val="clear" w:color="000000" w:fill="E8E9E9"/>
            <w:noWrap/>
            <w:vAlign w:val="center"/>
            <w:hideMark/>
          </w:tcPr>
          <w:p w14:paraId="67983FB7" w14:textId="4A6C819D"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0.9877</w:t>
            </w:r>
          </w:p>
        </w:tc>
      </w:tr>
      <w:tr w:rsidR="00AD0A75" w:rsidRPr="00601668" w14:paraId="549FFF20" w14:textId="77777777" w:rsidTr="00C80CBF">
        <w:trPr>
          <w:trHeight w:val="255"/>
        </w:trPr>
        <w:tc>
          <w:tcPr>
            <w:tcW w:w="2520" w:type="dxa"/>
            <w:tcBorders>
              <w:top w:val="nil"/>
              <w:left w:val="nil"/>
              <w:bottom w:val="nil"/>
              <w:right w:val="nil"/>
            </w:tcBorders>
            <w:shd w:val="clear" w:color="auto" w:fill="auto"/>
            <w:noWrap/>
            <w:vAlign w:val="bottom"/>
            <w:hideMark/>
          </w:tcPr>
          <w:p w14:paraId="3239344E" w14:textId="619AFCC8"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Emergency Room</w:t>
            </w:r>
          </w:p>
        </w:tc>
        <w:tc>
          <w:tcPr>
            <w:tcW w:w="2430" w:type="dxa"/>
            <w:tcBorders>
              <w:top w:val="nil"/>
              <w:left w:val="nil"/>
              <w:bottom w:val="nil"/>
              <w:right w:val="nil"/>
            </w:tcBorders>
            <w:shd w:val="clear" w:color="auto" w:fill="auto"/>
            <w:noWrap/>
            <w:vAlign w:val="center"/>
            <w:hideMark/>
          </w:tcPr>
          <w:p w14:paraId="579869FA" w14:textId="3FB53A47"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0.9777</w:t>
            </w:r>
          </w:p>
        </w:tc>
        <w:tc>
          <w:tcPr>
            <w:tcW w:w="2250" w:type="dxa"/>
            <w:tcBorders>
              <w:top w:val="nil"/>
              <w:left w:val="nil"/>
              <w:bottom w:val="nil"/>
              <w:right w:val="nil"/>
            </w:tcBorders>
            <w:shd w:val="clear" w:color="auto" w:fill="auto"/>
            <w:noWrap/>
            <w:vAlign w:val="center"/>
            <w:hideMark/>
          </w:tcPr>
          <w:p w14:paraId="0D268D44" w14:textId="26899242"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1.0143</w:t>
            </w:r>
          </w:p>
        </w:tc>
        <w:tc>
          <w:tcPr>
            <w:tcW w:w="2160" w:type="dxa"/>
            <w:tcBorders>
              <w:top w:val="nil"/>
              <w:left w:val="nil"/>
              <w:bottom w:val="nil"/>
              <w:right w:val="nil"/>
            </w:tcBorders>
            <w:shd w:val="clear" w:color="auto" w:fill="auto"/>
            <w:noWrap/>
            <w:vAlign w:val="center"/>
            <w:hideMark/>
          </w:tcPr>
          <w:p w14:paraId="1B061D55" w14:textId="06BCA700"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0.9917</w:t>
            </w:r>
          </w:p>
        </w:tc>
      </w:tr>
      <w:tr w:rsidR="00AD0A75" w:rsidRPr="00601668" w14:paraId="0E30C20D" w14:textId="77777777" w:rsidTr="00C80CBF">
        <w:trPr>
          <w:trHeight w:val="255"/>
        </w:trPr>
        <w:tc>
          <w:tcPr>
            <w:tcW w:w="2520" w:type="dxa"/>
            <w:tcBorders>
              <w:top w:val="nil"/>
              <w:left w:val="nil"/>
              <w:bottom w:val="nil"/>
              <w:right w:val="nil"/>
            </w:tcBorders>
            <w:shd w:val="clear" w:color="000000" w:fill="E8E9E9"/>
            <w:noWrap/>
            <w:vAlign w:val="bottom"/>
            <w:hideMark/>
          </w:tcPr>
          <w:p w14:paraId="190B3FC6" w14:textId="055ABC1C"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Office Visits</w:t>
            </w:r>
          </w:p>
        </w:tc>
        <w:tc>
          <w:tcPr>
            <w:tcW w:w="2430" w:type="dxa"/>
            <w:tcBorders>
              <w:top w:val="nil"/>
              <w:left w:val="nil"/>
              <w:bottom w:val="nil"/>
              <w:right w:val="nil"/>
            </w:tcBorders>
            <w:shd w:val="clear" w:color="000000" w:fill="E8E9E9"/>
            <w:noWrap/>
            <w:vAlign w:val="center"/>
            <w:hideMark/>
          </w:tcPr>
          <w:p w14:paraId="5F9A5DE7" w14:textId="0E5F673F"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1.0024</w:t>
            </w:r>
          </w:p>
        </w:tc>
        <w:tc>
          <w:tcPr>
            <w:tcW w:w="2250" w:type="dxa"/>
            <w:tcBorders>
              <w:top w:val="nil"/>
              <w:left w:val="nil"/>
              <w:bottom w:val="nil"/>
              <w:right w:val="nil"/>
            </w:tcBorders>
            <w:shd w:val="clear" w:color="000000" w:fill="E8E9E9"/>
            <w:noWrap/>
            <w:vAlign w:val="center"/>
            <w:hideMark/>
          </w:tcPr>
          <w:p w14:paraId="401151FE" w14:textId="7D0890DC"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000000" w:fill="E8E9E9"/>
            <w:noWrap/>
            <w:vAlign w:val="center"/>
            <w:hideMark/>
          </w:tcPr>
          <w:p w14:paraId="73834667" w14:textId="4CAA31DF"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1.0024</w:t>
            </w:r>
          </w:p>
        </w:tc>
      </w:tr>
      <w:tr w:rsidR="00AD0A75" w:rsidRPr="00601668" w14:paraId="349C42A8" w14:textId="77777777" w:rsidTr="00C80CBF">
        <w:trPr>
          <w:trHeight w:val="255"/>
        </w:trPr>
        <w:tc>
          <w:tcPr>
            <w:tcW w:w="2520" w:type="dxa"/>
            <w:tcBorders>
              <w:top w:val="nil"/>
              <w:left w:val="nil"/>
              <w:bottom w:val="nil"/>
              <w:right w:val="nil"/>
            </w:tcBorders>
            <w:shd w:val="clear" w:color="auto" w:fill="auto"/>
            <w:noWrap/>
            <w:vAlign w:val="bottom"/>
            <w:hideMark/>
          </w:tcPr>
          <w:p w14:paraId="7F911E19" w14:textId="33972CF1"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Rad/Path/Lab</w:t>
            </w:r>
          </w:p>
        </w:tc>
        <w:tc>
          <w:tcPr>
            <w:tcW w:w="2430" w:type="dxa"/>
            <w:tcBorders>
              <w:top w:val="nil"/>
              <w:left w:val="nil"/>
              <w:bottom w:val="nil"/>
              <w:right w:val="nil"/>
            </w:tcBorders>
            <w:shd w:val="clear" w:color="auto" w:fill="auto"/>
            <w:noWrap/>
            <w:vAlign w:val="center"/>
            <w:hideMark/>
          </w:tcPr>
          <w:p w14:paraId="7D3C99D1" w14:textId="38480BDB"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1.0016</w:t>
            </w:r>
          </w:p>
        </w:tc>
        <w:tc>
          <w:tcPr>
            <w:tcW w:w="2250" w:type="dxa"/>
            <w:tcBorders>
              <w:top w:val="nil"/>
              <w:left w:val="nil"/>
              <w:bottom w:val="nil"/>
              <w:right w:val="nil"/>
            </w:tcBorders>
            <w:shd w:val="clear" w:color="auto" w:fill="auto"/>
            <w:noWrap/>
            <w:vAlign w:val="center"/>
            <w:hideMark/>
          </w:tcPr>
          <w:p w14:paraId="18E5E721" w14:textId="3EFBB437"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auto" w:fill="auto"/>
            <w:noWrap/>
            <w:vAlign w:val="center"/>
            <w:hideMark/>
          </w:tcPr>
          <w:p w14:paraId="46E0AEBC" w14:textId="593D6BC9"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1.0016</w:t>
            </w:r>
          </w:p>
        </w:tc>
      </w:tr>
      <w:tr w:rsidR="00AD0A75" w:rsidRPr="00601668" w14:paraId="2BB41245" w14:textId="77777777" w:rsidTr="00C80CBF">
        <w:trPr>
          <w:trHeight w:val="255"/>
        </w:trPr>
        <w:tc>
          <w:tcPr>
            <w:tcW w:w="2520" w:type="dxa"/>
            <w:tcBorders>
              <w:top w:val="nil"/>
              <w:left w:val="nil"/>
              <w:bottom w:val="nil"/>
              <w:right w:val="nil"/>
            </w:tcBorders>
            <w:shd w:val="clear" w:color="000000" w:fill="E8E9E9"/>
            <w:noWrap/>
            <w:vAlign w:val="bottom"/>
            <w:hideMark/>
          </w:tcPr>
          <w:p w14:paraId="69B5F122" w14:textId="29FF5659"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Pharmacy</w:t>
            </w:r>
          </w:p>
        </w:tc>
        <w:tc>
          <w:tcPr>
            <w:tcW w:w="2430" w:type="dxa"/>
            <w:tcBorders>
              <w:top w:val="nil"/>
              <w:left w:val="nil"/>
              <w:bottom w:val="nil"/>
              <w:right w:val="nil"/>
            </w:tcBorders>
            <w:shd w:val="clear" w:color="000000" w:fill="E8E9E9"/>
            <w:noWrap/>
            <w:vAlign w:val="center"/>
            <w:hideMark/>
          </w:tcPr>
          <w:p w14:paraId="03F097D9" w14:textId="245CD4A3"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0.9961</w:t>
            </w:r>
          </w:p>
        </w:tc>
        <w:tc>
          <w:tcPr>
            <w:tcW w:w="2250" w:type="dxa"/>
            <w:tcBorders>
              <w:top w:val="nil"/>
              <w:left w:val="nil"/>
              <w:bottom w:val="nil"/>
              <w:right w:val="nil"/>
            </w:tcBorders>
            <w:shd w:val="clear" w:color="000000" w:fill="E8E9E9"/>
            <w:noWrap/>
            <w:vAlign w:val="center"/>
            <w:hideMark/>
          </w:tcPr>
          <w:p w14:paraId="3FFE01ED" w14:textId="18564A28"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000000" w:fill="E8E9E9"/>
            <w:noWrap/>
            <w:vAlign w:val="center"/>
            <w:hideMark/>
          </w:tcPr>
          <w:p w14:paraId="0E9CAD61" w14:textId="4167AB4F"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0.9961</w:t>
            </w:r>
          </w:p>
        </w:tc>
      </w:tr>
      <w:tr w:rsidR="00AD0A75" w:rsidRPr="00601668" w14:paraId="648AE99C" w14:textId="77777777" w:rsidTr="00C80CBF">
        <w:trPr>
          <w:trHeight w:val="255"/>
        </w:trPr>
        <w:tc>
          <w:tcPr>
            <w:tcW w:w="2520" w:type="dxa"/>
            <w:tcBorders>
              <w:top w:val="nil"/>
              <w:left w:val="nil"/>
              <w:bottom w:val="single" w:sz="4" w:space="0" w:color="C6C9CA"/>
              <w:right w:val="nil"/>
            </w:tcBorders>
            <w:shd w:val="clear" w:color="auto" w:fill="auto"/>
            <w:vAlign w:val="bottom"/>
            <w:hideMark/>
          </w:tcPr>
          <w:p w14:paraId="40665003" w14:textId="3B6E0869" w:rsidR="00AD0A75" w:rsidRPr="00B21420" w:rsidRDefault="00AD0A75" w:rsidP="00AD0A75">
            <w:pPr>
              <w:spacing w:after="0" w:line="240" w:lineRule="auto"/>
              <w:rPr>
                <w:rFonts w:ascii="Arial" w:eastAsia="Times New Roman" w:hAnsi="Arial" w:cs="Arial"/>
                <w:b/>
                <w:bCs/>
                <w:color w:val="39414D"/>
                <w:szCs w:val="18"/>
              </w:rPr>
            </w:pPr>
            <w:r>
              <w:rPr>
                <w:rFonts w:ascii="Arial" w:hAnsi="Arial" w:cs="Arial"/>
                <w:b/>
                <w:bCs/>
                <w:color w:val="39414D"/>
                <w:szCs w:val="18"/>
              </w:rPr>
              <w:t>SOBRA</w:t>
            </w:r>
          </w:p>
        </w:tc>
        <w:tc>
          <w:tcPr>
            <w:tcW w:w="2430" w:type="dxa"/>
            <w:tcBorders>
              <w:top w:val="nil"/>
              <w:left w:val="nil"/>
              <w:bottom w:val="nil"/>
              <w:right w:val="nil"/>
            </w:tcBorders>
            <w:shd w:val="clear" w:color="auto" w:fill="auto"/>
            <w:noWrap/>
            <w:vAlign w:val="center"/>
            <w:hideMark/>
          </w:tcPr>
          <w:p w14:paraId="30185BF5" w14:textId="77777777" w:rsidR="00AD0A75" w:rsidRPr="00B21420" w:rsidRDefault="00AD0A75" w:rsidP="00AD0A75">
            <w:pPr>
              <w:spacing w:after="0" w:line="240" w:lineRule="auto"/>
              <w:rPr>
                <w:rFonts w:ascii="Arial" w:eastAsia="Times New Roman" w:hAnsi="Arial" w:cs="Arial"/>
                <w:b/>
                <w:bCs/>
                <w:color w:val="39414D"/>
                <w:szCs w:val="18"/>
              </w:rPr>
            </w:pPr>
          </w:p>
        </w:tc>
        <w:tc>
          <w:tcPr>
            <w:tcW w:w="2250" w:type="dxa"/>
            <w:tcBorders>
              <w:top w:val="nil"/>
              <w:left w:val="nil"/>
              <w:bottom w:val="nil"/>
              <w:right w:val="nil"/>
            </w:tcBorders>
            <w:shd w:val="clear" w:color="auto" w:fill="auto"/>
            <w:noWrap/>
            <w:vAlign w:val="center"/>
            <w:hideMark/>
          </w:tcPr>
          <w:p w14:paraId="318C89D1" w14:textId="77777777" w:rsidR="00AD0A75" w:rsidRPr="00B21420" w:rsidRDefault="00AD0A75" w:rsidP="00AD0A75">
            <w:pPr>
              <w:spacing w:after="0" w:line="240" w:lineRule="auto"/>
              <w:rPr>
                <w:rFonts w:ascii="Times New Roman" w:eastAsia="Times New Roman" w:hAnsi="Times New Roman" w:cs="Times New Roman"/>
                <w:szCs w:val="18"/>
              </w:rPr>
            </w:pPr>
          </w:p>
        </w:tc>
        <w:tc>
          <w:tcPr>
            <w:tcW w:w="2160" w:type="dxa"/>
            <w:tcBorders>
              <w:top w:val="nil"/>
              <w:left w:val="nil"/>
              <w:bottom w:val="nil"/>
              <w:right w:val="nil"/>
            </w:tcBorders>
            <w:shd w:val="clear" w:color="auto" w:fill="auto"/>
            <w:noWrap/>
            <w:vAlign w:val="center"/>
            <w:hideMark/>
          </w:tcPr>
          <w:p w14:paraId="778FD929" w14:textId="21D738DF" w:rsidR="00AD0A75" w:rsidRPr="00B21420" w:rsidRDefault="00AD0A75" w:rsidP="00AD0A75">
            <w:pPr>
              <w:spacing w:after="0" w:line="240" w:lineRule="auto"/>
              <w:rPr>
                <w:rFonts w:ascii="Times New Roman" w:eastAsia="Times New Roman" w:hAnsi="Times New Roman" w:cs="Times New Roman"/>
                <w:szCs w:val="18"/>
              </w:rPr>
            </w:pPr>
          </w:p>
        </w:tc>
      </w:tr>
      <w:tr w:rsidR="00AD0A75" w:rsidRPr="00601668" w14:paraId="266D321A" w14:textId="77777777" w:rsidTr="00C80CBF">
        <w:trPr>
          <w:trHeight w:val="255"/>
        </w:trPr>
        <w:tc>
          <w:tcPr>
            <w:tcW w:w="2520" w:type="dxa"/>
            <w:tcBorders>
              <w:top w:val="nil"/>
              <w:left w:val="nil"/>
              <w:bottom w:val="nil"/>
              <w:right w:val="nil"/>
            </w:tcBorders>
            <w:shd w:val="clear" w:color="000000" w:fill="E8E9E9"/>
            <w:noWrap/>
            <w:vAlign w:val="bottom"/>
            <w:hideMark/>
          </w:tcPr>
          <w:p w14:paraId="4030FF48" w14:textId="0DEE1605"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Inpatient</w:t>
            </w:r>
          </w:p>
        </w:tc>
        <w:tc>
          <w:tcPr>
            <w:tcW w:w="2430" w:type="dxa"/>
            <w:tcBorders>
              <w:top w:val="nil"/>
              <w:left w:val="nil"/>
              <w:bottom w:val="nil"/>
              <w:right w:val="nil"/>
            </w:tcBorders>
            <w:shd w:val="clear" w:color="000000" w:fill="E8E9E9"/>
            <w:noWrap/>
            <w:vAlign w:val="center"/>
            <w:hideMark/>
          </w:tcPr>
          <w:p w14:paraId="32BE3F6E" w14:textId="4123DA2E"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250" w:type="dxa"/>
            <w:tcBorders>
              <w:top w:val="nil"/>
              <w:left w:val="nil"/>
              <w:bottom w:val="nil"/>
              <w:right w:val="nil"/>
            </w:tcBorders>
            <w:shd w:val="clear" w:color="000000" w:fill="E8E9E9"/>
            <w:noWrap/>
            <w:vAlign w:val="center"/>
            <w:hideMark/>
          </w:tcPr>
          <w:p w14:paraId="4794235F" w14:textId="1775E071"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0.9983</w:t>
            </w:r>
          </w:p>
        </w:tc>
        <w:tc>
          <w:tcPr>
            <w:tcW w:w="2160" w:type="dxa"/>
            <w:tcBorders>
              <w:top w:val="nil"/>
              <w:left w:val="nil"/>
              <w:bottom w:val="nil"/>
              <w:right w:val="nil"/>
            </w:tcBorders>
            <w:shd w:val="clear" w:color="000000" w:fill="E8E9E9"/>
            <w:noWrap/>
            <w:vAlign w:val="center"/>
            <w:hideMark/>
          </w:tcPr>
          <w:p w14:paraId="191DC722" w14:textId="20301EB4"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0.9983</w:t>
            </w:r>
          </w:p>
        </w:tc>
      </w:tr>
      <w:tr w:rsidR="00AD0A75" w:rsidRPr="00601668" w14:paraId="569CE937" w14:textId="77777777" w:rsidTr="00C80CBF">
        <w:trPr>
          <w:trHeight w:val="255"/>
        </w:trPr>
        <w:tc>
          <w:tcPr>
            <w:tcW w:w="2520" w:type="dxa"/>
            <w:tcBorders>
              <w:top w:val="nil"/>
              <w:left w:val="nil"/>
              <w:bottom w:val="nil"/>
              <w:right w:val="nil"/>
            </w:tcBorders>
            <w:shd w:val="clear" w:color="auto" w:fill="auto"/>
            <w:noWrap/>
            <w:vAlign w:val="bottom"/>
            <w:hideMark/>
          </w:tcPr>
          <w:p w14:paraId="4627E59D" w14:textId="1D2B36BF"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Emergency Room</w:t>
            </w:r>
          </w:p>
        </w:tc>
        <w:tc>
          <w:tcPr>
            <w:tcW w:w="2430" w:type="dxa"/>
            <w:tcBorders>
              <w:top w:val="nil"/>
              <w:left w:val="nil"/>
              <w:bottom w:val="nil"/>
              <w:right w:val="nil"/>
            </w:tcBorders>
            <w:shd w:val="clear" w:color="auto" w:fill="auto"/>
            <w:noWrap/>
            <w:vAlign w:val="center"/>
            <w:hideMark/>
          </w:tcPr>
          <w:p w14:paraId="03A08D88" w14:textId="71169616"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250" w:type="dxa"/>
            <w:tcBorders>
              <w:top w:val="nil"/>
              <w:left w:val="nil"/>
              <w:bottom w:val="nil"/>
              <w:right w:val="nil"/>
            </w:tcBorders>
            <w:shd w:val="clear" w:color="auto" w:fill="auto"/>
            <w:noWrap/>
            <w:vAlign w:val="center"/>
            <w:hideMark/>
          </w:tcPr>
          <w:p w14:paraId="4162578C" w14:textId="0A88BAC3"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auto" w:fill="auto"/>
            <w:noWrap/>
            <w:vAlign w:val="center"/>
            <w:hideMark/>
          </w:tcPr>
          <w:p w14:paraId="74C57816" w14:textId="3A718C8D"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r>
      <w:tr w:rsidR="00AD0A75" w:rsidRPr="00601668" w14:paraId="103120C4" w14:textId="77777777" w:rsidTr="00C80CBF">
        <w:trPr>
          <w:trHeight w:val="255"/>
        </w:trPr>
        <w:tc>
          <w:tcPr>
            <w:tcW w:w="2520" w:type="dxa"/>
            <w:tcBorders>
              <w:top w:val="nil"/>
              <w:left w:val="nil"/>
              <w:bottom w:val="nil"/>
              <w:right w:val="nil"/>
            </w:tcBorders>
            <w:shd w:val="clear" w:color="000000" w:fill="E8E9E9"/>
            <w:noWrap/>
            <w:vAlign w:val="bottom"/>
            <w:hideMark/>
          </w:tcPr>
          <w:p w14:paraId="5CABBB52" w14:textId="59293701"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Office Visits</w:t>
            </w:r>
          </w:p>
        </w:tc>
        <w:tc>
          <w:tcPr>
            <w:tcW w:w="2430" w:type="dxa"/>
            <w:tcBorders>
              <w:top w:val="nil"/>
              <w:left w:val="nil"/>
              <w:bottom w:val="nil"/>
              <w:right w:val="nil"/>
            </w:tcBorders>
            <w:shd w:val="clear" w:color="000000" w:fill="E8E9E9"/>
            <w:noWrap/>
            <w:vAlign w:val="center"/>
            <w:hideMark/>
          </w:tcPr>
          <w:p w14:paraId="433E188C" w14:textId="3129E287"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250" w:type="dxa"/>
            <w:tcBorders>
              <w:top w:val="nil"/>
              <w:left w:val="nil"/>
              <w:bottom w:val="nil"/>
              <w:right w:val="nil"/>
            </w:tcBorders>
            <w:shd w:val="clear" w:color="000000" w:fill="E8E9E9"/>
            <w:noWrap/>
            <w:vAlign w:val="center"/>
            <w:hideMark/>
          </w:tcPr>
          <w:p w14:paraId="404091F2" w14:textId="2EE41EB3"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000000" w:fill="E8E9E9"/>
            <w:noWrap/>
            <w:vAlign w:val="center"/>
            <w:hideMark/>
          </w:tcPr>
          <w:p w14:paraId="082BB7A6" w14:textId="007A81B6"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r>
      <w:tr w:rsidR="00AD0A75" w:rsidRPr="00601668" w14:paraId="15703DB6" w14:textId="77777777" w:rsidTr="00C80CBF">
        <w:trPr>
          <w:trHeight w:val="255"/>
        </w:trPr>
        <w:tc>
          <w:tcPr>
            <w:tcW w:w="2520" w:type="dxa"/>
            <w:tcBorders>
              <w:top w:val="nil"/>
              <w:left w:val="nil"/>
              <w:bottom w:val="nil"/>
              <w:right w:val="nil"/>
            </w:tcBorders>
            <w:shd w:val="clear" w:color="auto" w:fill="auto"/>
            <w:noWrap/>
            <w:vAlign w:val="bottom"/>
            <w:hideMark/>
          </w:tcPr>
          <w:p w14:paraId="47C2C14A" w14:textId="712607BF" w:rsidR="00AD0A75" w:rsidRPr="00B21420" w:rsidRDefault="00AD0A75" w:rsidP="00AD0A75">
            <w:pPr>
              <w:spacing w:after="0" w:line="240" w:lineRule="auto"/>
              <w:ind w:firstLineChars="100" w:firstLine="180"/>
              <w:rPr>
                <w:rFonts w:ascii="Arial" w:eastAsia="Times New Roman" w:hAnsi="Arial" w:cs="Arial"/>
                <w:color w:val="000000"/>
                <w:szCs w:val="18"/>
              </w:rPr>
            </w:pPr>
            <w:r>
              <w:rPr>
                <w:rFonts w:ascii="Arial" w:hAnsi="Arial" w:cs="Arial"/>
                <w:color w:val="000000"/>
                <w:szCs w:val="18"/>
              </w:rPr>
              <w:t>Rad/Path/Lab</w:t>
            </w:r>
          </w:p>
        </w:tc>
        <w:tc>
          <w:tcPr>
            <w:tcW w:w="2430" w:type="dxa"/>
            <w:tcBorders>
              <w:top w:val="nil"/>
              <w:left w:val="nil"/>
              <w:bottom w:val="nil"/>
              <w:right w:val="nil"/>
            </w:tcBorders>
            <w:shd w:val="clear" w:color="auto" w:fill="auto"/>
            <w:noWrap/>
            <w:vAlign w:val="center"/>
            <w:hideMark/>
          </w:tcPr>
          <w:p w14:paraId="157E15AB" w14:textId="76CEDDEF"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250" w:type="dxa"/>
            <w:tcBorders>
              <w:top w:val="nil"/>
              <w:left w:val="nil"/>
              <w:bottom w:val="nil"/>
              <w:right w:val="nil"/>
            </w:tcBorders>
            <w:shd w:val="clear" w:color="auto" w:fill="auto"/>
            <w:noWrap/>
            <w:vAlign w:val="center"/>
            <w:hideMark/>
          </w:tcPr>
          <w:p w14:paraId="2111F62C" w14:textId="79250A37"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c>
          <w:tcPr>
            <w:tcW w:w="2160" w:type="dxa"/>
            <w:tcBorders>
              <w:top w:val="nil"/>
              <w:left w:val="nil"/>
              <w:bottom w:val="nil"/>
              <w:right w:val="nil"/>
            </w:tcBorders>
            <w:shd w:val="clear" w:color="auto" w:fill="auto"/>
            <w:noWrap/>
            <w:vAlign w:val="center"/>
            <w:hideMark/>
          </w:tcPr>
          <w:p w14:paraId="491DC08A" w14:textId="1D05D70B" w:rsidR="00AD0A75" w:rsidRPr="00B21420" w:rsidRDefault="00AD0A75" w:rsidP="00AD0A75">
            <w:pPr>
              <w:spacing w:after="0" w:line="240" w:lineRule="auto"/>
              <w:jc w:val="right"/>
              <w:rPr>
                <w:rFonts w:ascii="Arial" w:eastAsia="Times New Roman" w:hAnsi="Arial" w:cs="Arial"/>
                <w:color w:val="000000"/>
                <w:szCs w:val="18"/>
              </w:rPr>
            </w:pPr>
            <w:r>
              <w:rPr>
                <w:rFonts w:ascii="Arial" w:hAnsi="Arial" w:cs="Arial"/>
                <w:color w:val="000000"/>
                <w:szCs w:val="18"/>
              </w:rPr>
              <w:t>1.0000</w:t>
            </w:r>
          </w:p>
        </w:tc>
      </w:tr>
    </w:tbl>
    <w:p w14:paraId="6D6E01F5" w14:textId="77777777" w:rsidR="002D5AEE" w:rsidRDefault="002D5AEE" w:rsidP="00622097">
      <w:pPr>
        <w:pStyle w:val="RRSubhead2"/>
        <w:spacing w:after="120"/>
        <w:jc w:val="both"/>
      </w:pPr>
    </w:p>
    <w:p w14:paraId="5ABFB938" w14:textId="08382848" w:rsidR="00E817EB" w:rsidRDefault="00E817EB" w:rsidP="00622097">
      <w:pPr>
        <w:pStyle w:val="RRSubhead2"/>
        <w:spacing w:after="120"/>
        <w:jc w:val="both"/>
      </w:pPr>
      <w:r>
        <w:t>Fraud, Waste, and ABuse Savings</w:t>
      </w:r>
    </w:p>
    <w:p w14:paraId="6A5036E5" w14:textId="62FD2108" w:rsidR="00E817EB" w:rsidRDefault="00E817EB" w:rsidP="00622097">
      <w:pPr>
        <w:jc w:val="both"/>
      </w:pPr>
      <w:r>
        <w:t xml:space="preserve">In addition to the managed care efficiency savings identified by the processes outlined above, we </w:t>
      </w:r>
      <w:r w:rsidR="006D56D3">
        <w:t>estimated</w:t>
      </w:r>
      <w:r>
        <w:t xml:space="preserve"> that savings could be generated by identifying opportunities to reduce fraud, waste, and </w:t>
      </w:r>
      <w:r w:rsidR="000016F5">
        <w:t>abuse</w:t>
      </w:r>
      <w:r w:rsidR="00556FF0">
        <w:t xml:space="preserve">. </w:t>
      </w:r>
      <w:r w:rsidR="004C5B97">
        <w:t xml:space="preserve">This adjustment is reflective of opportunities for cost reductions available to the MCOs outside of the managed care efficiencies explicitly measured </w:t>
      </w:r>
      <w:r w:rsidR="006D56D3">
        <w:t>and described above</w:t>
      </w:r>
      <w:r w:rsidR="004C5B97">
        <w:t>.</w:t>
      </w:r>
      <w:r w:rsidR="006D56D3">
        <w:t xml:space="preserve"> </w:t>
      </w:r>
      <w:r>
        <w:t>Total medical expenses across all rate cells were reduced by 0.5% to account for potential Fraud, Waste, and Abuse savings</w:t>
      </w:r>
      <w:r w:rsidR="006D56D3">
        <w:t xml:space="preserve">, consistent with the SFY </w:t>
      </w:r>
      <w:r w:rsidR="00CB5730">
        <w:t xml:space="preserve">2022 </w:t>
      </w:r>
      <w:r w:rsidR="006D56D3">
        <w:t>capitation rate development</w:t>
      </w:r>
      <w:r>
        <w:t>.</w:t>
      </w:r>
      <w:r w:rsidR="000E5478">
        <w:t xml:space="preserve"> The fraud, waste, and abuse reduction is not included in the values in Figure </w:t>
      </w:r>
      <w:r w:rsidR="00A2061A">
        <w:t>1</w:t>
      </w:r>
      <w:r w:rsidR="00273A3D">
        <w:t>4</w:t>
      </w:r>
      <w:r w:rsidR="000E5478">
        <w:t>.</w:t>
      </w:r>
    </w:p>
    <w:p w14:paraId="06669D16" w14:textId="77777777" w:rsidR="00CE2634" w:rsidRPr="00DA62EE" w:rsidRDefault="00CE2634" w:rsidP="00622097">
      <w:pPr>
        <w:pStyle w:val="Heading5"/>
        <w:jc w:val="both"/>
      </w:pPr>
      <w:bookmarkStart w:id="213" w:name="_Toc466028076"/>
      <w:bookmarkStart w:id="214" w:name="_Toc484701191"/>
      <w:bookmarkStart w:id="215" w:name="_Toc504389037"/>
      <w:r w:rsidRPr="00DA62EE">
        <w:t>Material changes to the data, assumptions, and methodologies</w:t>
      </w:r>
      <w:bookmarkEnd w:id="213"/>
      <w:bookmarkEnd w:id="214"/>
      <w:bookmarkEnd w:id="215"/>
    </w:p>
    <w:p w14:paraId="74AB530D" w14:textId="1B968846" w:rsidR="00B165CC" w:rsidRDefault="00013454" w:rsidP="00562515">
      <w:pPr>
        <w:pStyle w:val="RRBody"/>
        <w:jc w:val="both"/>
      </w:pPr>
      <w:r>
        <w:t>The data</w:t>
      </w:r>
      <w:r w:rsidR="006D56D3">
        <w:t>, assumptions, and methodologies</w:t>
      </w:r>
      <w:r>
        <w:t xml:space="preserve"> utilized in the developing the projected benefit costs for the SFY </w:t>
      </w:r>
      <w:r w:rsidR="00031FE7">
        <w:t xml:space="preserve">2023 </w:t>
      </w:r>
      <w:r>
        <w:t xml:space="preserve">capitation rate setting is </w:t>
      </w:r>
      <w:r w:rsidR="006D56D3">
        <w:t xml:space="preserve">generally </w:t>
      </w:r>
      <w:r>
        <w:t xml:space="preserve">consistent with </w:t>
      </w:r>
      <w:r w:rsidR="006D56D3">
        <w:t xml:space="preserve">the SFY </w:t>
      </w:r>
      <w:r w:rsidR="00031FE7">
        <w:t xml:space="preserve">2022 </w:t>
      </w:r>
      <w:r w:rsidR="006D56D3">
        <w:t>capitation rate development</w:t>
      </w:r>
      <w:r w:rsidR="00BF7CD8">
        <w:t>.</w:t>
      </w:r>
      <w:r w:rsidR="006D56D3">
        <w:t xml:space="preserve"> Any changes relative to the SFY </w:t>
      </w:r>
      <w:r w:rsidR="00031FE7">
        <w:t xml:space="preserve">2022 </w:t>
      </w:r>
      <w:r w:rsidR="006D56D3">
        <w:t>rate certification</w:t>
      </w:r>
      <w:r w:rsidR="00B8063B">
        <w:t>, such as the application of an explicit acuity and emerging experience adjustment,</w:t>
      </w:r>
      <w:r w:rsidR="006D56D3">
        <w:t xml:space="preserve"> are described this document.</w:t>
      </w:r>
    </w:p>
    <w:p w14:paraId="3A234233" w14:textId="77777777" w:rsidR="007B536F" w:rsidRDefault="007B536F" w:rsidP="00622097">
      <w:pPr>
        <w:pStyle w:val="Heading5"/>
        <w:jc w:val="both"/>
      </w:pPr>
      <w:r>
        <w:t>Overpayments to providers</w:t>
      </w:r>
    </w:p>
    <w:p w14:paraId="75AF6E06" w14:textId="0121F2C7" w:rsidR="007B536F" w:rsidRPr="007B536F" w:rsidRDefault="009126E4" w:rsidP="00622097">
      <w:pPr>
        <w:jc w:val="both"/>
      </w:pPr>
      <w:r>
        <w:t>Overpayments to providers recouped outside the MCOs’ claims system were removed from the base experience as previously described</w:t>
      </w:r>
      <w:r w:rsidR="00B21420">
        <w:t>.</w:t>
      </w:r>
    </w:p>
    <w:p w14:paraId="661CD1AA" w14:textId="31E6700C" w:rsidR="0088012E" w:rsidRPr="00013033" w:rsidRDefault="0088012E" w:rsidP="00622097">
      <w:pPr>
        <w:pStyle w:val="Heading4"/>
      </w:pPr>
      <w:bookmarkStart w:id="216" w:name="_Toc466028077"/>
      <w:bookmarkStart w:id="217" w:name="_Toc484701192"/>
      <w:bookmarkStart w:id="218" w:name="_Toc504389038"/>
      <w:bookmarkStart w:id="219" w:name="_Toc8985017"/>
      <w:bookmarkStart w:id="220" w:name="_Toc100260712"/>
      <w:bookmarkStart w:id="221" w:name="_Toc484701200"/>
      <w:bookmarkStart w:id="222" w:name="_Toc504389046"/>
      <w:r w:rsidRPr="00013033">
        <w:lastRenderedPageBreak/>
        <w:t>Projected Benefit Cost Trends</w:t>
      </w:r>
      <w:bookmarkEnd w:id="216"/>
      <w:bookmarkEnd w:id="217"/>
      <w:bookmarkEnd w:id="218"/>
      <w:bookmarkEnd w:id="219"/>
      <w:bookmarkEnd w:id="220"/>
    </w:p>
    <w:p w14:paraId="7AA45FC4" w14:textId="7106CAE9" w:rsidR="009F0460" w:rsidRDefault="0088012E" w:rsidP="00622097">
      <w:pPr>
        <w:pStyle w:val="RRBody"/>
        <w:jc w:val="both"/>
        <w:rPr>
          <w:rFonts w:cstheme="minorHAnsi"/>
          <w:b/>
          <w:color w:val="555B5D" w:themeColor="accent3" w:themeShade="BF"/>
          <w:sz w:val="20"/>
          <w:szCs w:val="20"/>
        </w:rPr>
      </w:pPr>
      <w:r w:rsidRPr="0076558C">
        <w:t xml:space="preserve">This section discusses the data, assumptions, and methodologies used to develop the benefit cost trends, i.e., the annualized projected change in benefit costs from the historical </w:t>
      </w:r>
      <w:r w:rsidR="00E13406">
        <w:t xml:space="preserve">CY 2019 </w:t>
      </w:r>
      <w:r w:rsidRPr="0076558C">
        <w:t xml:space="preserve">base period to the </w:t>
      </w:r>
      <w:r w:rsidR="00130FF5">
        <w:t>SF</w:t>
      </w:r>
      <w:r w:rsidR="00C07983">
        <w:t>Y</w:t>
      </w:r>
      <w:r w:rsidRPr="0076558C">
        <w:t xml:space="preserve"> </w:t>
      </w:r>
      <w:r w:rsidR="00E13406" w:rsidRPr="0076558C">
        <w:t>20</w:t>
      </w:r>
      <w:r w:rsidR="00E13406">
        <w:t>23</w:t>
      </w:r>
      <w:r w:rsidR="00E13406" w:rsidRPr="0076558C">
        <w:t xml:space="preserve"> </w:t>
      </w:r>
      <w:r w:rsidRPr="0076558C">
        <w:t>rating period of this certification. We evaluated prospective trend rates using historical experience for the</w:t>
      </w:r>
      <w:r w:rsidR="00C07983">
        <w:t xml:space="preserve"> </w:t>
      </w:r>
      <w:r w:rsidR="0022132B">
        <w:t xml:space="preserve">Medicaid managed care </w:t>
      </w:r>
      <w:r w:rsidR="00C07983">
        <w:t>program</w:t>
      </w:r>
      <w:r w:rsidRPr="0076558C">
        <w:t>, as well as external data sources</w:t>
      </w:r>
      <w:r>
        <w:t>.</w:t>
      </w:r>
      <w:bookmarkStart w:id="223" w:name="_Toc484701193"/>
      <w:bookmarkStart w:id="224" w:name="_Toc504389039"/>
      <w:bookmarkStart w:id="225" w:name="_Toc466028078"/>
      <w:r w:rsidR="0040703E">
        <w:t xml:space="preserve"> </w:t>
      </w:r>
    </w:p>
    <w:p w14:paraId="0EFAC975" w14:textId="77777777" w:rsidR="0088012E" w:rsidRPr="008013FB" w:rsidRDefault="0088012E" w:rsidP="00622097">
      <w:pPr>
        <w:pStyle w:val="Heading5"/>
        <w:jc w:val="both"/>
      </w:pPr>
      <w:r w:rsidRPr="008013FB">
        <w:t>Required elements</w:t>
      </w:r>
      <w:bookmarkEnd w:id="223"/>
      <w:bookmarkEnd w:id="224"/>
    </w:p>
    <w:p w14:paraId="460F4CAB" w14:textId="77777777" w:rsidR="0088012E" w:rsidRPr="008013FB" w:rsidRDefault="0088012E" w:rsidP="00622097">
      <w:pPr>
        <w:pStyle w:val="Heading6"/>
        <w:numPr>
          <w:ilvl w:val="0"/>
          <w:numId w:val="62"/>
        </w:numPr>
        <w:jc w:val="both"/>
      </w:pPr>
      <w:bookmarkStart w:id="226" w:name="_Toc454354193"/>
      <w:bookmarkStart w:id="227" w:name="_Toc484701194"/>
      <w:bookmarkStart w:id="228" w:name="_Toc504389040"/>
      <w:r w:rsidRPr="008013FB">
        <w:t>Data</w:t>
      </w:r>
      <w:bookmarkEnd w:id="226"/>
      <w:bookmarkEnd w:id="227"/>
      <w:bookmarkEnd w:id="228"/>
    </w:p>
    <w:p w14:paraId="1B2BB87B" w14:textId="41BD5C8C" w:rsidR="0022132B" w:rsidRPr="0076558C" w:rsidRDefault="0022132B" w:rsidP="00562515">
      <w:pPr>
        <w:pStyle w:val="RRBody"/>
        <w:jc w:val="both"/>
      </w:pPr>
      <w:bookmarkStart w:id="229" w:name="_Toc454354194"/>
      <w:bookmarkStart w:id="230" w:name="_Toc484701195"/>
      <w:bookmarkStart w:id="231" w:name="_Toc504389041"/>
      <w:bookmarkEnd w:id="225"/>
      <w:r w:rsidRPr="0076558C">
        <w:t>The primary data used to develop benefit cost trends is historical claims and encounter</w:t>
      </w:r>
      <w:r>
        <w:t>s</w:t>
      </w:r>
      <w:r w:rsidRPr="0076558C">
        <w:t xml:space="preserve"> from the covered populations. Data used for trend development included </w:t>
      </w:r>
      <w:r w:rsidR="003274CB">
        <w:t xml:space="preserve">over </w:t>
      </w:r>
      <w:r w:rsidR="00E13406">
        <w:t>three</w:t>
      </w:r>
      <w:r w:rsidR="00E13406" w:rsidRPr="0076558C">
        <w:t xml:space="preserve"> </w:t>
      </w:r>
      <w:r w:rsidRPr="0076558C">
        <w:t xml:space="preserve">years of cost and utilization experience, from </w:t>
      </w:r>
      <w:r w:rsidR="003274CB">
        <w:t xml:space="preserve">July 1, </w:t>
      </w:r>
      <w:r w:rsidR="00E13406" w:rsidRPr="0076558C">
        <w:t>201</w:t>
      </w:r>
      <w:r w:rsidR="00E13406">
        <w:t>8</w:t>
      </w:r>
      <w:r w:rsidR="00E13406" w:rsidRPr="0076558C">
        <w:t xml:space="preserve"> </w:t>
      </w:r>
      <w:r w:rsidRPr="0076558C">
        <w:t>through</w:t>
      </w:r>
      <w:r w:rsidR="003274CB">
        <w:t xml:space="preserve"> </w:t>
      </w:r>
      <w:r w:rsidR="00E13406">
        <w:t xml:space="preserve">December </w:t>
      </w:r>
      <w:r w:rsidR="003274CB">
        <w:t xml:space="preserve">31, </w:t>
      </w:r>
      <w:r w:rsidR="00750D35">
        <w:t>2021</w:t>
      </w:r>
      <w:r w:rsidRPr="0076558C">
        <w:t>.</w:t>
      </w:r>
      <w:r>
        <w:t xml:space="preserve"> </w:t>
      </w:r>
      <w:r w:rsidR="00750D35">
        <w:t>Data was stratified between pre- and post-pandemic experience to review trends prior to the pandemic and emerging experience.</w:t>
      </w:r>
    </w:p>
    <w:p w14:paraId="77510240" w14:textId="51308C4C" w:rsidR="0022132B" w:rsidRPr="00580D0F" w:rsidRDefault="0022132B" w:rsidP="00562515">
      <w:pPr>
        <w:pStyle w:val="RRBody"/>
        <w:jc w:val="both"/>
        <w:rPr>
          <w:rFonts w:cstheme="minorHAnsi"/>
          <w:szCs w:val="18"/>
        </w:rPr>
      </w:pPr>
      <w:r w:rsidRPr="0076558C">
        <w:t xml:space="preserve">External data sources that were referenced </w:t>
      </w:r>
      <w:r>
        <w:t xml:space="preserve">for evaluating trend rates developed from the base data </w:t>
      </w:r>
      <w:r w:rsidRPr="0076558C">
        <w:t>include</w:t>
      </w:r>
      <w:r w:rsidRPr="00580D0F">
        <w:rPr>
          <w:rFonts w:cstheme="minorHAnsi"/>
          <w:szCs w:val="18"/>
        </w:rPr>
        <w:t>:</w:t>
      </w:r>
    </w:p>
    <w:p w14:paraId="313E4C06" w14:textId="173412A3" w:rsidR="001A12E8" w:rsidRDefault="0022132B" w:rsidP="00622097">
      <w:pPr>
        <w:pStyle w:val="RRNumberedBullet1"/>
        <w:ind w:left="828"/>
        <w:jc w:val="both"/>
      </w:pPr>
      <w:r w:rsidRPr="00916238">
        <w:rPr>
          <w:i/>
        </w:rPr>
        <w:t xml:space="preserve">National Health Expenditure (NHE) projections </w:t>
      </w:r>
      <w:r w:rsidRPr="00916238">
        <w:t xml:space="preserve">developed by the CMS </w:t>
      </w:r>
      <w:r w:rsidR="00750D35">
        <w:t>O</w:t>
      </w:r>
      <w:r w:rsidRPr="00916238">
        <w:t xml:space="preserve">ffice of the </w:t>
      </w:r>
      <w:r w:rsidR="00750D35">
        <w:t>A</w:t>
      </w:r>
      <w:r w:rsidRPr="00916238">
        <w:t>ctuary</w:t>
      </w:r>
      <w:r w:rsidRPr="00916238">
        <w:rPr>
          <w:vertAlign w:val="superscript"/>
        </w:rPr>
        <w:footnoteReference w:id="4"/>
      </w:r>
      <w:r w:rsidRPr="00916238">
        <w:t xml:space="preserve">, specifically those related to Medicaid. </w:t>
      </w:r>
    </w:p>
    <w:p w14:paraId="0C32E886" w14:textId="666D4AF7" w:rsidR="00F63AAD" w:rsidRPr="00916238" w:rsidRDefault="00D836AE" w:rsidP="00622097">
      <w:pPr>
        <w:pStyle w:val="RRNumberedBullet1"/>
        <w:ind w:left="828"/>
        <w:jc w:val="both"/>
      </w:pPr>
      <w:r>
        <w:rPr>
          <w:i/>
        </w:rPr>
        <w:t>Magellan Rx Medicaid Pharmacy Trend Report</w:t>
      </w:r>
      <w:r w:rsidR="0022132B" w:rsidRPr="00916238">
        <w:rPr>
          <w:vertAlign w:val="superscript"/>
        </w:rPr>
        <w:footnoteReference w:id="5"/>
      </w:r>
      <w:r w:rsidR="0022132B" w:rsidRPr="00916238">
        <w:t>.</w:t>
      </w:r>
    </w:p>
    <w:p w14:paraId="6E34BC1D" w14:textId="77777777" w:rsidR="0022132B" w:rsidRDefault="0022132B" w:rsidP="00FB2630">
      <w:pPr>
        <w:pStyle w:val="RRNumberedBullet1"/>
        <w:spacing w:after="120" w:line="240" w:lineRule="auto"/>
        <w:ind w:left="835"/>
        <w:contextualSpacing/>
        <w:jc w:val="both"/>
      </w:pPr>
      <w:r w:rsidRPr="00916238">
        <w:rPr>
          <w:i/>
        </w:rPr>
        <w:t>Other sources</w:t>
      </w:r>
      <w:r w:rsidRPr="00916238">
        <w:t>: We also reviewed internal sources that are not publicly available, such as historical experience from other programs and trends used by other Milliman actuaries.</w:t>
      </w:r>
    </w:p>
    <w:p w14:paraId="2A91C10B" w14:textId="3EDD1A52" w:rsidR="0088012E" w:rsidRDefault="0088012E" w:rsidP="00622097">
      <w:pPr>
        <w:pStyle w:val="Heading6"/>
        <w:jc w:val="both"/>
      </w:pPr>
      <w:r w:rsidRPr="00F13259">
        <w:t>Methodology</w:t>
      </w:r>
      <w:bookmarkEnd w:id="229"/>
      <w:bookmarkEnd w:id="230"/>
      <w:bookmarkEnd w:id="231"/>
    </w:p>
    <w:p w14:paraId="1E89DFBD" w14:textId="50DB4B04" w:rsidR="0040703E" w:rsidRDefault="0040703E" w:rsidP="00622097">
      <w:pPr>
        <w:pStyle w:val="RRBody"/>
        <w:jc w:val="both"/>
      </w:pPr>
      <w:bookmarkStart w:id="232" w:name="_Toc4837539"/>
      <w:r w:rsidRPr="003D0595">
        <w:t xml:space="preserve">The adjusted PMPM values from the base experience period </w:t>
      </w:r>
      <w:r w:rsidR="00130FF5">
        <w:t>were</w:t>
      </w:r>
      <w:r w:rsidRPr="003D0595">
        <w:t xml:space="preserve"> trended forward to the midpoint of t</w:t>
      </w:r>
      <w:r>
        <w:t>he contract period (January 1, </w:t>
      </w:r>
      <w:r w:rsidR="00E13406">
        <w:t>2023</w:t>
      </w:r>
      <w:r w:rsidRPr="003D0595">
        <w:t>).</w:t>
      </w:r>
    </w:p>
    <w:bookmarkEnd w:id="232"/>
    <w:p w14:paraId="05FBA41A" w14:textId="697896B1" w:rsidR="0040703E" w:rsidRDefault="001A12E8" w:rsidP="00622097">
      <w:pPr>
        <w:pStyle w:val="RRSubhead2"/>
        <w:spacing w:line="288" w:lineRule="auto"/>
        <w:contextualSpacing/>
        <w:jc w:val="both"/>
      </w:pPr>
      <w:r>
        <w:t>Medical Trends</w:t>
      </w:r>
    </w:p>
    <w:p w14:paraId="21D31CAA" w14:textId="77777777" w:rsidR="0040703E" w:rsidRPr="005E6BE3" w:rsidRDefault="0040703E" w:rsidP="00622097">
      <w:pPr>
        <w:pStyle w:val="RRBody"/>
        <w:spacing w:after="0" w:line="240" w:lineRule="auto"/>
        <w:jc w:val="both"/>
      </w:pPr>
    </w:p>
    <w:p w14:paraId="3274B32D" w14:textId="1219D95F" w:rsidR="001A12E8" w:rsidRDefault="001A12E8" w:rsidP="00622097">
      <w:pPr>
        <w:jc w:val="both"/>
      </w:pPr>
      <w:r w:rsidRPr="00C07983">
        <w:t xml:space="preserve">For </w:t>
      </w:r>
      <w:r>
        <w:t>medical trends</w:t>
      </w:r>
      <w:r w:rsidRPr="00C07983">
        <w:t xml:space="preserve">, historical utilization and </w:t>
      </w:r>
      <w:r w:rsidR="00A3764B">
        <w:t>PMPM</w:t>
      </w:r>
      <w:r w:rsidRPr="00C07983">
        <w:t xml:space="preserve"> cost data was stratified by month, rate cell, and category of service. The data was adjusted for completion and </w:t>
      </w:r>
      <w:r w:rsidR="0092005D">
        <w:t xml:space="preserve">the </w:t>
      </w:r>
      <w:r>
        <w:t xml:space="preserve">program adjustments </w:t>
      </w:r>
      <w:r w:rsidR="0092005D">
        <w:t xml:space="preserve">previously </w:t>
      </w:r>
      <w:r>
        <w:t xml:space="preserve">described. </w:t>
      </w:r>
      <w:r w:rsidR="0092005D">
        <w:t xml:space="preserve">The effect of the COVID-19 pandemic was estimated to be accounted for in the acuity and emerging experience adjustment. Therefore, the estimated utilization and cost per unit trends represent inflationary trends that are unrelated to the estimated emerging experience impacts. </w:t>
      </w:r>
    </w:p>
    <w:p w14:paraId="5BD90891" w14:textId="093724D9" w:rsidR="001A12E8" w:rsidRDefault="001A12E8" w:rsidP="00622097">
      <w:pPr>
        <w:jc w:val="both"/>
      </w:pPr>
      <w:r w:rsidRPr="00C07983">
        <w:t xml:space="preserve">We </w:t>
      </w:r>
      <w:r w:rsidR="00CD6891">
        <w:t xml:space="preserve">reviewed multiple </w:t>
      </w:r>
      <w:r w:rsidRPr="00C07983">
        <w:t xml:space="preserve">regression </w:t>
      </w:r>
      <w:r w:rsidR="00CD6891">
        <w:t>models</w:t>
      </w:r>
      <w:r w:rsidR="008A7EFA">
        <w:t xml:space="preserve">, month-over-month, and year-over year trends when </w:t>
      </w:r>
      <w:r w:rsidR="00BB4166">
        <w:t xml:space="preserve">analyzing </w:t>
      </w:r>
      <w:r w:rsidR="008A7EFA">
        <w:t>the prospective trend estimates</w:t>
      </w:r>
      <w:r w:rsidR="00BB4166">
        <w:t xml:space="preserve"> </w:t>
      </w:r>
      <w:r w:rsidR="008B774D">
        <w:t>using pre-pandemic experience</w:t>
      </w:r>
      <w:r w:rsidR="008A7EFA">
        <w:t xml:space="preserve">. </w:t>
      </w:r>
      <w:r w:rsidRPr="001A12E8">
        <w:t>The resulting utilization per 1,000 and PMPM data points were compared to historical experience, internal sources from other managed care programs, and federal Medicaid cost projections. We used the resulting analysis, along with actuarial judgment, to estimate prospective trend rates.</w:t>
      </w:r>
      <w:r w:rsidR="00B8063B">
        <w:t xml:space="preserve"> Prospective medical trend rates are consistent with assumptions underlying the SFY 2022 capitation rates, which is primarily attributable to the consistency in pre-pandemic data sources used in both rate setting activities.</w:t>
      </w:r>
    </w:p>
    <w:p w14:paraId="3391D617" w14:textId="05057F7B" w:rsidR="00920110" w:rsidRDefault="001A7B42" w:rsidP="00622097">
      <w:pPr>
        <w:jc w:val="both"/>
      </w:pPr>
      <w:r>
        <w:t xml:space="preserve">Prospective trend adjustments include </w:t>
      </w:r>
      <w:r w:rsidR="00D8739E">
        <w:t>consideration</w:t>
      </w:r>
      <w:r w:rsidR="00D8739E" w:rsidRPr="00D8739E">
        <w:t xml:space="preserve"> </w:t>
      </w:r>
      <w:r w:rsidR="00D8739E">
        <w:t xml:space="preserve">for </w:t>
      </w:r>
      <w:r w:rsidR="00F37240" w:rsidRPr="00F37240">
        <w:t>legislatively mandated</w:t>
      </w:r>
      <w:r w:rsidR="00F37240">
        <w:t xml:space="preserve"> </w:t>
      </w:r>
      <w:r w:rsidR="005B7C13">
        <w:t>provider reimbursement</w:t>
      </w:r>
      <w:r w:rsidR="00F37240">
        <w:t xml:space="preserve"> trends</w:t>
      </w:r>
      <w:r w:rsidRPr="001D16B7">
        <w:t xml:space="preserve">. </w:t>
      </w:r>
      <w:r>
        <w:t xml:space="preserve">Hospital inpatient facility, hospital outpatient facility, and nursing home reimbursement trends are </w:t>
      </w:r>
      <w:r w:rsidR="00F37240" w:rsidRPr="0006277C">
        <w:rPr>
          <w:iCs/>
        </w:rPr>
        <w:t xml:space="preserve">legislatively mandated in the State of Rhode Island General Assembly </w:t>
      </w:r>
      <w:r w:rsidR="005B7C13">
        <w:rPr>
          <w:iCs/>
        </w:rPr>
        <w:t>B</w:t>
      </w:r>
      <w:r w:rsidR="00F37240" w:rsidRPr="0006277C">
        <w:rPr>
          <w:iCs/>
        </w:rPr>
        <w:t xml:space="preserve">udget </w:t>
      </w:r>
      <w:r w:rsidR="005B7C13">
        <w:rPr>
          <w:iCs/>
        </w:rPr>
        <w:t>A</w:t>
      </w:r>
      <w:r w:rsidR="00F37240" w:rsidRPr="0006277C">
        <w:rPr>
          <w:iCs/>
        </w:rPr>
        <w:t xml:space="preserve">rticle </w:t>
      </w:r>
      <w:r w:rsidR="005B7C13">
        <w:rPr>
          <w:iCs/>
        </w:rPr>
        <w:t>R</w:t>
      </w:r>
      <w:r w:rsidR="00F37240" w:rsidRPr="0006277C">
        <w:rPr>
          <w:iCs/>
        </w:rPr>
        <w:t xml:space="preserve">elating to </w:t>
      </w:r>
      <w:r w:rsidR="005B7C13">
        <w:rPr>
          <w:iCs/>
        </w:rPr>
        <w:t>H</w:t>
      </w:r>
      <w:r w:rsidR="00F37240" w:rsidRPr="0006277C">
        <w:rPr>
          <w:iCs/>
        </w:rPr>
        <w:t xml:space="preserve">uman </w:t>
      </w:r>
      <w:r w:rsidR="005B7C13">
        <w:rPr>
          <w:iCs/>
        </w:rPr>
        <w:t>S</w:t>
      </w:r>
      <w:r w:rsidR="00F37240" w:rsidRPr="0006277C">
        <w:rPr>
          <w:iCs/>
        </w:rPr>
        <w:t>ervices</w:t>
      </w:r>
      <w:r w:rsidRPr="005B7C13">
        <w:rPr>
          <w:iCs/>
        </w:rPr>
        <w:t>.</w:t>
      </w:r>
      <w:r w:rsidR="009126E4" w:rsidRPr="009126E4">
        <w:t xml:space="preserve"> </w:t>
      </w:r>
      <w:r w:rsidR="009126E4">
        <w:t xml:space="preserve">Figure </w:t>
      </w:r>
      <w:r w:rsidR="00E13406">
        <w:t>1</w:t>
      </w:r>
      <w:r w:rsidR="00273A3D">
        <w:t>5</w:t>
      </w:r>
      <w:r w:rsidR="00E13406">
        <w:t xml:space="preserve"> </w:t>
      </w:r>
      <w:r w:rsidR="009126E4">
        <w:t xml:space="preserve">illustrates the </w:t>
      </w:r>
      <w:r w:rsidR="00F37240" w:rsidRPr="00F37240">
        <w:t>legislatively mandated</w:t>
      </w:r>
      <w:r w:rsidR="00F37240">
        <w:t xml:space="preserve"> </w:t>
      </w:r>
      <w:r w:rsidR="009126E4">
        <w:t>trends. The factors</w:t>
      </w:r>
      <w:r w:rsidR="00C80CBF">
        <w:t xml:space="preserve"> illustrated in Figure 15</w:t>
      </w:r>
      <w:r w:rsidR="009126E4">
        <w:t xml:space="preserve"> are the basis of the prospective trends illustrated in Figure </w:t>
      </w:r>
      <w:r w:rsidR="00E13406">
        <w:t>1</w:t>
      </w:r>
      <w:r w:rsidR="00273A3D">
        <w:t>6</w:t>
      </w:r>
      <w:r w:rsidR="00235103">
        <w:t>.</w:t>
      </w:r>
    </w:p>
    <w:p w14:paraId="1BFE9F80" w14:textId="77777777" w:rsidR="00920110" w:rsidRDefault="00920110">
      <w:pPr>
        <w:spacing w:line="264" w:lineRule="auto"/>
      </w:pPr>
      <w:r>
        <w:br w:type="page"/>
      </w:r>
    </w:p>
    <w:tbl>
      <w:tblPr>
        <w:tblW w:w="7055" w:type="dxa"/>
        <w:tblLayout w:type="fixed"/>
        <w:tblLook w:val="04A0" w:firstRow="1" w:lastRow="0" w:firstColumn="1" w:lastColumn="0" w:noHBand="0" w:noVBand="1"/>
      </w:tblPr>
      <w:tblGrid>
        <w:gridCol w:w="1890"/>
        <w:gridCol w:w="1291"/>
        <w:gridCol w:w="1291"/>
        <w:gridCol w:w="1291"/>
        <w:gridCol w:w="1292"/>
      </w:tblGrid>
      <w:tr w:rsidR="00B541DC" w:rsidRPr="00805CB3" w14:paraId="29C4C002" w14:textId="7AF05BAC" w:rsidTr="00072C4C">
        <w:trPr>
          <w:trHeight w:val="240"/>
        </w:trPr>
        <w:tc>
          <w:tcPr>
            <w:tcW w:w="7055" w:type="dxa"/>
            <w:gridSpan w:val="5"/>
            <w:tcBorders>
              <w:top w:val="single" w:sz="4" w:space="0" w:color="E8E9E9"/>
              <w:left w:val="nil"/>
              <w:bottom w:val="nil"/>
              <w:right w:val="nil"/>
            </w:tcBorders>
          </w:tcPr>
          <w:p w14:paraId="71F9D59C" w14:textId="48BEAE40" w:rsidR="00B541DC" w:rsidRDefault="00B541DC" w:rsidP="00E24DCF">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lastRenderedPageBreak/>
              <w:t>FIGURE</w:t>
            </w:r>
            <w:r w:rsidRPr="00805CB3">
              <w:rPr>
                <w:rFonts w:ascii="Arial" w:eastAsia="Times New Roman" w:hAnsi="Arial" w:cs="Arial"/>
                <w:b/>
                <w:bCs/>
                <w:color w:val="0081E3"/>
                <w:szCs w:val="18"/>
              </w:rPr>
              <w:t xml:space="preserve"> </w:t>
            </w:r>
            <w:r>
              <w:rPr>
                <w:rFonts w:ascii="Arial" w:eastAsia="Times New Roman" w:hAnsi="Arial" w:cs="Arial"/>
                <w:b/>
                <w:bCs/>
                <w:color w:val="0081E3"/>
                <w:szCs w:val="18"/>
              </w:rPr>
              <w:t>1</w:t>
            </w:r>
            <w:r w:rsidR="00273A3D">
              <w:rPr>
                <w:rFonts w:ascii="Arial" w:eastAsia="Times New Roman" w:hAnsi="Arial" w:cs="Arial"/>
                <w:b/>
                <w:bCs/>
                <w:color w:val="0081E3"/>
                <w:szCs w:val="18"/>
              </w:rPr>
              <w:t>5</w:t>
            </w:r>
            <w:r>
              <w:rPr>
                <w:rFonts w:ascii="Arial" w:eastAsia="Times New Roman" w:hAnsi="Arial" w:cs="Arial"/>
                <w:b/>
                <w:bCs/>
                <w:color w:val="0081E3"/>
                <w:szCs w:val="18"/>
              </w:rPr>
              <w:t xml:space="preserve">: </w:t>
            </w:r>
            <w:r w:rsidRPr="005B1D59">
              <w:rPr>
                <w:rFonts w:ascii="Arial" w:eastAsia="Times New Roman" w:hAnsi="Arial" w:cs="Arial"/>
                <w:b/>
                <w:bCs/>
                <w:caps/>
                <w:color w:val="0081E3"/>
                <w:szCs w:val="18"/>
              </w:rPr>
              <w:t xml:space="preserve">Annual </w:t>
            </w:r>
            <w:r w:rsidR="00F37240" w:rsidRPr="00F37240">
              <w:rPr>
                <w:rFonts w:ascii="Arial" w:eastAsia="Times New Roman" w:hAnsi="Arial" w:cs="Arial"/>
                <w:b/>
                <w:bCs/>
                <w:caps/>
                <w:color w:val="0081E3"/>
                <w:szCs w:val="18"/>
              </w:rPr>
              <w:t>legislatively mandated</w:t>
            </w:r>
            <w:r w:rsidR="00F37240">
              <w:rPr>
                <w:rFonts w:ascii="Arial" w:eastAsia="Times New Roman" w:hAnsi="Arial" w:cs="Arial"/>
                <w:b/>
                <w:bCs/>
                <w:caps/>
                <w:color w:val="0081E3"/>
                <w:szCs w:val="18"/>
              </w:rPr>
              <w:t xml:space="preserve"> </w:t>
            </w:r>
            <w:r>
              <w:rPr>
                <w:rFonts w:ascii="Arial" w:eastAsia="Times New Roman" w:hAnsi="Arial" w:cs="Arial"/>
                <w:b/>
                <w:bCs/>
                <w:caps/>
                <w:color w:val="0081E3"/>
                <w:szCs w:val="18"/>
              </w:rPr>
              <w:t xml:space="preserve">Price </w:t>
            </w:r>
            <w:r w:rsidRPr="005B1D59">
              <w:rPr>
                <w:rFonts w:ascii="Arial" w:eastAsia="Times New Roman" w:hAnsi="Arial" w:cs="Arial"/>
                <w:b/>
                <w:bCs/>
                <w:caps/>
                <w:color w:val="0081E3"/>
                <w:szCs w:val="18"/>
              </w:rPr>
              <w:t>Trend Factors</w:t>
            </w:r>
          </w:p>
        </w:tc>
      </w:tr>
      <w:tr w:rsidR="0056637D" w:rsidRPr="00805CB3" w14:paraId="21321FE6" w14:textId="1884BE48" w:rsidTr="00072C4C">
        <w:trPr>
          <w:trHeight w:val="261"/>
        </w:trPr>
        <w:tc>
          <w:tcPr>
            <w:tcW w:w="1890" w:type="dxa"/>
            <w:tcBorders>
              <w:top w:val="nil"/>
              <w:left w:val="nil"/>
              <w:bottom w:val="single" w:sz="4" w:space="0" w:color="C6C9CA"/>
              <w:right w:val="nil"/>
            </w:tcBorders>
            <w:shd w:val="clear" w:color="auto" w:fill="auto"/>
            <w:vAlign w:val="center"/>
            <w:hideMark/>
          </w:tcPr>
          <w:p w14:paraId="7C06CD3D" w14:textId="6B213F72" w:rsidR="0056637D" w:rsidRPr="00805CB3" w:rsidRDefault="0056637D" w:rsidP="0056637D">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Service Category</w:t>
            </w:r>
          </w:p>
        </w:tc>
        <w:tc>
          <w:tcPr>
            <w:tcW w:w="1291" w:type="dxa"/>
            <w:tcBorders>
              <w:top w:val="nil"/>
              <w:left w:val="nil"/>
              <w:bottom w:val="single" w:sz="4" w:space="0" w:color="C6C9CA"/>
              <w:right w:val="nil"/>
            </w:tcBorders>
            <w:shd w:val="clear" w:color="auto" w:fill="auto"/>
            <w:vAlign w:val="center"/>
            <w:hideMark/>
          </w:tcPr>
          <w:p w14:paraId="2BFC8610" w14:textId="33561082" w:rsidR="0056637D" w:rsidRPr="00805CB3" w:rsidRDefault="00CF71C5" w:rsidP="0056637D">
            <w:pPr>
              <w:spacing w:after="0" w:line="240" w:lineRule="auto"/>
              <w:jc w:val="center"/>
              <w:rPr>
                <w:rFonts w:ascii="Arial" w:eastAsia="Times New Roman" w:hAnsi="Arial" w:cs="Arial"/>
                <w:b/>
                <w:bCs/>
                <w:color w:val="39414D"/>
                <w:szCs w:val="18"/>
              </w:rPr>
            </w:pPr>
            <w:r>
              <w:rPr>
                <w:rFonts w:ascii="Arial" w:hAnsi="Arial" w:cs="Arial"/>
                <w:b/>
                <w:bCs/>
                <w:color w:val="39414D"/>
                <w:szCs w:val="18"/>
              </w:rPr>
              <w:t>CY</w:t>
            </w:r>
            <w:r w:rsidR="0056637D">
              <w:rPr>
                <w:rFonts w:ascii="Arial" w:hAnsi="Arial" w:cs="Arial"/>
                <w:b/>
                <w:bCs/>
                <w:color w:val="39414D"/>
                <w:szCs w:val="18"/>
              </w:rPr>
              <w:t xml:space="preserve"> 2019</w:t>
            </w:r>
          </w:p>
        </w:tc>
        <w:tc>
          <w:tcPr>
            <w:tcW w:w="1291" w:type="dxa"/>
            <w:tcBorders>
              <w:top w:val="nil"/>
              <w:left w:val="nil"/>
              <w:bottom w:val="single" w:sz="4" w:space="0" w:color="C6C9CA"/>
              <w:right w:val="nil"/>
            </w:tcBorders>
            <w:vAlign w:val="center"/>
          </w:tcPr>
          <w:p w14:paraId="4A45498C" w14:textId="7D8E8A7F" w:rsidR="0056637D" w:rsidRDefault="0056637D" w:rsidP="0056637D">
            <w:pPr>
              <w:spacing w:after="0" w:line="240" w:lineRule="auto"/>
              <w:jc w:val="center"/>
              <w:rPr>
                <w:rFonts w:ascii="Arial" w:hAnsi="Arial" w:cs="Arial"/>
                <w:b/>
                <w:bCs/>
                <w:color w:val="39414D"/>
                <w:szCs w:val="18"/>
              </w:rPr>
            </w:pPr>
            <w:r>
              <w:rPr>
                <w:rFonts w:ascii="Arial" w:hAnsi="Arial" w:cs="Arial"/>
                <w:b/>
                <w:bCs/>
                <w:color w:val="39414D"/>
                <w:szCs w:val="18"/>
              </w:rPr>
              <w:t>SFY 2020</w:t>
            </w:r>
          </w:p>
        </w:tc>
        <w:tc>
          <w:tcPr>
            <w:tcW w:w="1291" w:type="dxa"/>
            <w:tcBorders>
              <w:top w:val="nil"/>
              <w:left w:val="nil"/>
              <w:bottom w:val="single" w:sz="4" w:space="0" w:color="C6C9CA"/>
              <w:right w:val="nil"/>
            </w:tcBorders>
            <w:shd w:val="clear" w:color="auto" w:fill="auto"/>
            <w:vAlign w:val="center"/>
            <w:hideMark/>
          </w:tcPr>
          <w:p w14:paraId="11AFD2AE" w14:textId="6064331B" w:rsidR="0056637D" w:rsidRPr="00805CB3" w:rsidRDefault="0056637D" w:rsidP="0056637D">
            <w:pPr>
              <w:spacing w:after="0" w:line="240" w:lineRule="auto"/>
              <w:jc w:val="center"/>
              <w:rPr>
                <w:rFonts w:ascii="Arial" w:eastAsia="Times New Roman" w:hAnsi="Arial" w:cs="Arial"/>
                <w:b/>
                <w:bCs/>
                <w:color w:val="39414D"/>
                <w:szCs w:val="18"/>
              </w:rPr>
            </w:pPr>
            <w:r>
              <w:rPr>
                <w:rFonts w:ascii="Arial" w:hAnsi="Arial" w:cs="Arial"/>
                <w:b/>
                <w:bCs/>
                <w:color w:val="39414D"/>
                <w:szCs w:val="18"/>
              </w:rPr>
              <w:t>SFY 2021</w:t>
            </w:r>
          </w:p>
        </w:tc>
        <w:tc>
          <w:tcPr>
            <w:tcW w:w="1292" w:type="dxa"/>
            <w:tcBorders>
              <w:top w:val="nil"/>
              <w:left w:val="nil"/>
              <w:bottom w:val="single" w:sz="4" w:space="0" w:color="C6C9CA"/>
              <w:right w:val="nil"/>
            </w:tcBorders>
            <w:vAlign w:val="center"/>
          </w:tcPr>
          <w:p w14:paraId="37848655" w14:textId="7F096E25" w:rsidR="0056637D" w:rsidRDefault="0056637D" w:rsidP="0056637D">
            <w:pPr>
              <w:spacing w:after="0" w:line="240" w:lineRule="auto"/>
              <w:jc w:val="center"/>
              <w:rPr>
                <w:rFonts w:ascii="Arial" w:hAnsi="Arial" w:cs="Arial"/>
                <w:b/>
                <w:bCs/>
                <w:color w:val="39414D"/>
                <w:szCs w:val="18"/>
              </w:rPr>
            </w:pPr>
            <w:r>
              <w:rPr>
                <w:rFonts w:ascii="Arial" w:hAnsi="Arial" w:cs="Arial"/>
                <w:b/>
                <w:bCs/>
                <w:color w:val="39414D"/>
                <w:szCs w:val="18"/>
              </w:rPr>
              <w:t>SFY 2022</w:t>
            </w:r>
          </w:p>
        </w:tc>
      </w:tr>
      <w:tr w:rsidR="0056637D" w:rsidRPr="00805CB3" w14:paraId="0E75864B" w14:textId="72222ADD" w:rsidTr="00072C4C">
        <w:trPr>
          <w:trHeight w:val="240"/>
        </w:trPr>
        <w:tc>
          <w:tcPr>
            <w:tcW w:w="1890" w:type="dxa"/>
            <w:tcBorders>
              <w:top w:val="nil"/>
              <w:left w:val="nil"/>
              <w:bottom w:val="nil"/>
              <w:right w:val="nil"/>
            </w:tcBorders>
            <w:shd w:val="clear" w:color="auto" w:fill="auto"/>
            <w:noWrap/>
            <w:vAlign w:val="center"/>
            <w:hideMark/>
          </w:tcPr>
          <w:p w14:paraId="1AFE875C" w14:textId="67582670" w:rsidR="0056637D" w:rsidRPr="005B1D59" w:rsidRDefault="0056637D" w:rsidP="0056637D">
            <w:pPr>
              <w:spacing w:after="0" w:line="240" w:lineRule="auto"/>
              <w:rPr>
                <w:rFonts w:ascii="Arial" w:hAnsi="Arial" w:cs="Arial"/>
                <w:color w:val="39414D"/>
                <w:szCs w:val="18"/>
              </w:rPr>
            </w:pPr>
            <w:r>
              <w:rPr>
                <w:rFonts w:ascii="Arial" w:hAnsi="Arial" w:cs="Arial"/>
                <w:color w:val="000000"/>
                <w:szCs w:val="18"/>
              </w:rPr>
              <w:t>Inpatient Hospital</w:t>
            </w:r>
          </w:p>
        </w:tc>
        <w:tc>
          <w:tcPr>
            <w:tcW w:w="1291" w:type="dxa"/>
            <w:tcBorders>
              <w:top w:val="nil"/>
              <w:left w:val="nil"/>
              <w:bottom w:val="nil"/>
              <w:right w:val="nil"/>
            </w:tcBorders>
            <w:shd w:val="clear" w:color="auto" w:fill="auto"/>
            <w:noWrap/>
            <w:vAlign w:val="center"/>
            <w:hideMark/>
          </w:tcPr>
          <w:p w14:paraId="319B8EDE" w14:textId="27D36B64" w:rsidR="0056637D" w:rsidRPr="00805CB3" w:rsidRDefault="0056637D" w:rsidP="0056637D">
            <w:pPr>
              <w:spacing w:after="0" w:line="240" w:lineRule="auto"/>
              <w:jc w:val="right"/>
              <w:rPr>
                <w:rFonts w:ascii="Arial" w:eastAsia="Times New Roman" w:hAnsi="Arial" w:cs="Arial"/>
                <w:color w:val="39414D"/>
                <w:szCs w:val="18"/>
              </w:rPr>
            </w:pPr>
            <w:r>
              <w:rPr>
                <w:rFonts w:ascii="Arial" w:hAnsi="Arial" w:cs="Arial"/>
                <w:color w:val="000000"/>
                <w:szCs w:val="18"/>
              </w:rPr>
              <w:t>1.0347</w:t>
            </w:r>
          </w:p>
        </w:tc>
        <w:tc>
          <w:tcPr>
            <w:tcW w:w="1291" w:type="dxa"/>
            <w:tcBorders>
              <w:top w:val="nil"/>
              <w:left w:val="nil"/>
              <w:bottom w:val="nil"/>
              <w:right w:val="nil"/>
            </w:tcBorders>
            <w:vAlign w:val="center"/>
          </w:tcPr>
          <w:p w14:paraId="6A51B867" w14:textId="74CBAF2C" w:rsidR="0056637D" w:rsidRDefault="0056637D" w:rsidP="0056637D">
            <w:pPr>
              <w:spacing w:after="0" w:line="240" w:lineRule="auto"/>
              <w:jc w:val="right"/>
              <w:rPr>
                <w:rFonts w:ascii="Arial" w:hAnsi="Arial" w:cs="Arial"/>
                <w:color w:val="39414D"/>
                <w:szCs w:val="18"/>
              </w:rPr>
            </w:pPr>
            <w:r>
              <w:rPr>
                <w:rFonts w:ascii="Arial" w:hAnsi="Arial" w:cs="Arial"/>
                <w:color w:val="000000"/>
                <w:szCs w:val="18"/>
              </w:rPr>
              <w:t>1.0260</w:t>
            </w:r>
          </w:p>
        </w:tc>
        <w:tc>
          <w:tcPr>
            <w:tcW w:w="1291" w:type="dxa"/>
            <w:tcBorders>
              <w:top w:val="nil"/>
              <w:left w:val="nil"/>
              <w:bottom w:val="nil"/>
              <w:right w:val="nil"/>
            </w:tcBorders>
            <w:shd w:val="clear" w:color="auto" w:fill="auto"/>
            <w:noWrap/>
            <w:vAlign w:val="center"/>
            <w:hideMark/>
          </w:tcPr>
          <w:p w14:paraId="37C4A833" w14:textId="450C0EA4" w:rsidR="0056637D" w:rsidRPr="00805CB3" w:rsidRDefault="0056637D" w:rsidP="0056637D">
            <w:pPr>
              <w:spacing w:after="0" w:line="240" w:lineRule="auto"/>
              <w:jc w:val="right"/>
              <w:rPr>
                <w:rFonts w:ascii="Arial" w:eastAsia="Times New Roman" w:hAnsi="Arial" w:cs="Arial"/>
                <w:color w:val="39414D"/>
                <w:szCs w:val="18"/>
              </w:rPr>
            </w:pPr>
            <w:r>
              <w:rPr>
                <w:rFonts w:ascii="Arial" w:hAnsi="Arial" w:cs="Arial"/>
                <w:color w:val="000000"/>
                <w:szCs w:val="18"/>
              </w:rPr>
              <w:t>1.0240</w:t>
            </w:r>
          </w:p>
        </w:tc>
        <w:tc>
          <w:tcPr>
            <w:tcW w:w="1292" w:type="dxa"/>
            <w:tcBorders>
              <w:top w:val="nil"/>
              <w:left w:val="nil"/>
              <w:bottom w:val="nil"/>
              <w:right w:val="nil"/>
            </w:tcBorders>
            <w:vAlign w:val="center"/>
          </w:tcPr>
          <w:p w14:paraId="23D36523" w14:textId="7A9A7387" w:rsidR="0056637D" w:rsidRDefault="0056637D" w:rsidP="0056637D">
            <w:pPr>
              <w:spacing w:after="0" w:line="240" w:lineRule="auto"/>
              <w:jc w:val="right"/>
              <w:rPr>
                <w:rFonts w:ascii="Arial" w:hAnsi="Arial" w:cs="Arial"/>
                <w:color w:val="000000"/>
                <w:szCs w:val="18"/>
              </w:rPr>
            </w:pPr>
            <w:r>
              <w:rPr>
                <w:rFonts w:ascii="Arial" w:hAnsi="Arial" w:cs="Arial"/>
                <w:color w:val="000000"/>
                <w:szCs w:val="18"/>
              </w:rPr>
              <w:t>1.0200</w:t>
            </w:r>
          </w:p>
        </w:tc>
      </w:tr>
      <w:tr w:rsidR="0056637D" w:rsidRPr="00805CB3" w14:paraId="6B6FB9E1" w14:textId="7FDBA523" w:rsidTr="00072C4C">
        <w:trPr>
          <w:trHeight w:val="240"/>
        </w:trPr>
        <w:tc>
          <w:tcPr>
            <w:tcW w:w="1890" w:type="dxa"/>
            <w:tcBorders>
              <w:top w:val="nil"/>
              <w:left w:val="nil"/>
              <w:bottom w:val="nil"/>
              <w:right w:val="nil"/>
            </w:tcBorders>
            <w:shd w:val="clear" w:color="000000" w:fill="E8E9E9"/>
            <w:noWrap/>
            <w:vAlign w:val="center"/>
            <w:hideMark/>
          </w:tcPr>
          <w:p w14:paraId="4F572B2F" w14:textId="502093C5" w:rsidR="0056637D" w:rsidRPr="00805CB3" w:rsidRDefault="0056637D" w:rsidP="0056637D">
            <w:pPr>
              <w:spacing w:after="0" w:line="240" w:lineRule="auto"/>
              <w:rPr>
                <w:rFonts w:ascii="Arial" w:eastAsia="Times New Roman" w:hAnsi="Arial" w:cs="Arial"/>
                <w:color w:val="39414D"/>
                <w:szCs w:val="18"/>
              </w:rPr>
            </w:pPr>
            <w:r>
              <w:rPr>
                <w:rFonts w:ascii="Arial" w:hAnsi="Arial" w:cs="Arial"/>
                <w:color w:val="000000"/>
                <w:szCs w:val="18"/>
              </w:rPr>
              <w:t>Outpatient Hospital</w:t>
            </w:r>
          </w:p>
        </w:tc>
        <w:tc>
          <w:tcPr>
            <w:tcW w:w="1291" w:type="dxa"/>
            <w:tcBorders>
              <w:top w:val="nil"/>
              <w:left w:val="nil"/>
              <w:bottom w:val="nil"/>
              <w:right w:val="nil"/>
            </w:tcBorders>
            <w:shd w:val="clear" w:color="000000" w:fill="E8E9E9"/>
            <w:noWrap/>
            <w:vAlign w:val="center"/>
            <w:hideMark/>
          </w:tcPr>
          <w:p w14:paraId="5E207C0B" w14:textId="124F0CF7" w:rsidR="0056637D" w:rsidRPr="00805CB3" w:rsidRDefault="0056637D" w:rsidP="0056637D">
            <w:pPr>
              <w:spacing w:after="0" w:line="240" w:lineRule="auto"/>
              <w:jc w:val="right"/>
              <w:rPr>
                <w:rFonts w:ascii="Arial" w:eastAsia="Times New Roman" w:hAnsi="Arial" w:cs="Arial"/>
                <w:color w:val="39414D"/>
                <w:szCs w:val="18"/>
              </w:rPr>
            </w:pPr>
            <w:r>
              <w:rPr>
                <w:rFonts w:ascii="Arial" w:hAnsi="Arial" w:cs="Arial"/>
                <w:color w:val="000000"/>
                <w:szCs w:val="18"/>
              </w:rPr>
              <w:t>1.0347</w:t>
            </w:r>
          </w:p>
        </w:tc>
        <w:tc>
          <w:tcPr>
            <w:tcW w:w="1291" w:type="dxa"/>
            <w:tcBorders>
              <w:top w:val="nil"/>
              <w:left w:val="nil"/>
              <w:bottom w:val="nil"/>
              <w:right w:val="nil"/>
            </w:tcBorders>
            <w:shd w:val="clear" w:color="000000" w:fill="E8E9E9"/>
            <w:vAlign w:val="center"/>
          </w:tcPr>
          <w:p w14:paraId="1F43A743" w14:textId="7DB10A36" w:rsidR="0056637D" w:rsidRDefault="0056637D" w:rsidP="0056637D">
            <w:pPr>
              <w:spacing w:after="0" w:line="240" w:lineRule="auto"/>
              <w:jc w:val="right"/>
              <w:rPr>
                <w:rFonts w:ascii="Arial" w:hAnsi="Arial" w:cs="Arial"/>
                <w:color w:val="39414D"/>
                <w:szCs w:val="18"/>
              </w:rPr>
            </w:pPr>
            <w:r>
              <w:rPr>
                <w:rFonts w:ascii="Arial" w:hAnsi="Arial" w:cs="Arial"/>
                <w:color w:val="000000"/>
                <w:szCs w:val="18"/>
              </w:rPr>
              <w:t>1.0260</w:t>
            </w:r>
          </w:p>
        </w:tc>
        <w:tc>
          <w:tcPr>
            <w:tcW w:w="1291" w:type="dxa"/>
            <w:tcBorders>
              <w:top w:val="nil"/>
              <w:left w:val="nil"/>
              <w:bottom w:val="nil"/>
              <w:right w:val="nil"/>
            </w:tcBorders>
            <w:shd w:val="clear" w:color="000000" w:fill="E8E9E9"/>
            <w:noWrap/>
            <w:vAlign w:val="center"/>
            <w:hideMark/>
          </w:tcPr>
          <w:p w14:paraId="01747316" w14:textId="0BE1B973" w:rsidR="0056637D" w:rsidRPr="00805CB3" w:rsidRDefault="0056637D" w:rsidP="0056637D">
            <w:pPr>
              <w:spacing w:after="0" w:line="240" w:lineRule="auto"/>
              <w:jc w:val="right"/>
              <w:rPr>
                <w:rFonts w:ascii="Arial" w:eastAsia="Times New Roman" w:hAnsi="Arial" w:cs="Arial"/>
                <w:color w:val="39414D"/>
                <w:szCs w:val="18"/>
              </w:rPr>
            </w:pPr>
            <w:r>
              <w:rPr>
                <w:rFonts w:ascii="Arial" w:hAnsi="Arial" w:cs="Arial"/>
                <w:color w:val="000000"/>
                <w:szCs w:val="18"/>
              </w:rPr>
              <w:t>1.0240</w:t>
            </w:r>
          </w:p>
        </w:tc>
        <w:tc>
          <w:tcPr>
            <w:tcW w:w="1292" w:type="dxa"/>
            <w:tcBorders>
              <w:top w:val="nil"/>
              <w:left w:val="nil"/>
              <w:bottom w:val="nil"/>
              <w:right w:val="nil"/>
            </w:tcBorders>
            <w:shd w:val="clear" w:color="000000" w:fill="E8E9E9"/>
            <w:vAlign w:val="center"/>
          </w:tcPr>
          <w:p w14:paraId="285B1D1D" w14:textId="6D941FC1" w:rsidR="0056637D" w:rsidRDefault="0056637D" w:rsidP="0056637D">
            <w:pPr>
              <w:spacing w:after="0" w:line="240" w:lineRule="auto"/>
              <w:jc w:val="right"/>
              <w:rPr>
                <w:rFonts w:ascii="Arial" w:hAnsi="Arial" w:cs="Arial"/>
                <w:color w:val="000000"/>
                <w:szCs w:val="18"/>
              </w:rPr>
            </w:pPr>
            <w:r>
              <w:rPr>
                <w:rFonts w:ascii="Arial" w:hAnsi="Arial" w:cs="Arial"/>
                <w:color w:val="000000"/>
                <w:szCs w:val="18"/>
              </w:rPr>
              <w:t>1.0200</w:t>
            </w:r>
          </w:p>
        </w:tc>
      </w:tr>
      <w:tr w:rsidR="003F0F8C" w:rsidRPr="00805CB3" w14:paraId="34FB4DA2" w14:textId="4A789C81" w:rsidTr="00072C4C">
        <w:trPr>
          <w:trHeight w:val="240"/>
        </w:trPr>
        <w:tc>
          <w:tcPr>
            <w:tcW w:w="1890" w:type="dxa"/>
            <w:tcBorders>
              <w:top w:val="nil"/>
              <w:left w:val="nil"/>
              <w:bottom w:val="nil"/>
              <w:right w:val="nil"/>
            </w:tcBorders>
            <w:shd w:val="clear" w:color="auto" w:fill="auto"/>
            <w:noWrap/>
            <w:vAlign w:val="center"/>
          </w:tcPr>
          <w:p w14:paraId="2B9DE65A" w14:textId="378AF17A" w:rsidR="003F0F8C" w:rsidRDefault="003F0F8C" w:rsidP="003F0F8C">
            <w:pPr>
              <w:spacing w:after="0" w:line="240" w:lineRule="auto"/>
              <w:rPr>
                <w:rFonts w:ascii="Arial" w:hAnsi="Arial" w:cs="Arial"/>
                <w:color w:val="39414D"/>
                <w:szCs w:val="18"/>
              </w:rPr>
            </w:pPr>
            <w:r>
              <w:rPr>
                <w:rFonts w:ascii="Arial" w:hAnsi="Arial" w:cs="Arial"/>
                <w:color w:val="000000"/>
                <w:szCs w:val="18"/>
              </w:rPr>
              <w:t>Nursing Home</w:t>
            </w:r>
          </w:p>
        </w:tc>
        <w:tc>
          <w:tcPr>
            <w:tcW w:w="1291" w:type="dxa"/>
            <w:tcBorders>
              <w:top w:val="nil"/>
              <w:left w:val="nil"/>
              <w:bottom w:val="nil"/>
              <w:right w:val="nil"/>
            </w:tcBorders>
            <w:shd w:val="clear" w:color="auto" w:fill="auto"/>
            <w:noWrap/>
            <w:vAlign w:val="center"/>
          </w:tcPr>
          <w:p w14:paraId="639AC836" w14:textId="66932B0B" w:rsidR="003F0F8C" w:rsidRDefault="003F0F8C" w:rsidP="003F0F8C">
            <w:pPr>
              <w:spacing w:after="0" w:line="240" w:lineRule="auto"/>
              <w:jc w:val="right"/>
              <w:rPr>
                <w:rFonts w:ascii="Arial" w:hAnsi="Arial" w:cs="Arial"/>
                <w:color w:val="39414D"/>
                <w:szCs w:val="18"/>
              </w:rPr>
            </w:pPr>
            <w:r>
              <w:rPr>
                <w:rFonts w:ascii="Arial" w:hAnsi="Arial" w:cs="Arial"/>
                <w:color w:val="000000"/>
                <w:szCs w:val="18"/>
              </w:rPr>
              <w:t>1.0050</w:t>
            </w:r>
          </w:p>
        </w:tc>
        <w:tc>
          <w:tcPr>
            <w:tcW w:w="1291" w:type="dxa"/>
            <w:tcBorders>
              <w:top w:val="nil"/>
              <w:left w:val="nil"/>
              <w:bottom w:val="nil"/>
              <w:right w:val="nil"/>
            </w:tcBorders>
            <w:vAlign w:val="center"/>
          </w:tcPr>
          <w:p w14:paraId="43FF9E54" w14:textId="36E72F9F" w:rsidR="003F0F8C" w:rsidRDefault="003F0F8C" w:rsidP="003F0F8C">
            <w:pPr>
              <w:spacing w:after="0" w:line="240" w:lineRule="auto"/>
              <w:jc w:val="right"/>
              <w:rPr>
                <w:rFonts w:ascii="Arial" w:hAnsi="Arial" w:cs="Arial"/>
                <w:color w:val="39414D"/>
                <w:szCs w:val="18"/>
              </w:rPr>
            </w:pPr>
            <w:r>
              <w:rPr>
                <w:rFonts w:ascii="Arial" w:hAnsi="Arial" w:cs="Arial"/>
                <w:color w:val="000000"/>
                <w:szCs w:val="18"/>
              </w:rPr>
              <w:t>1.0205</w:t>
            </w:r>
          </w:p>
        </w:tc>
        <w:tc>
          <w:tcPr>
            <w:tcW w:w="1291" w:type="dxa"/>
            <w:tcBorders>
              <w:top w:val="nil"/>
              <w:left w:val="nil"/>
              <w:bottom w:val="nil"/>
              <w:right w:val="nil"/>
            </w:tcBorders>
            <w:shd w:val="clear" w:color="auto" w:fill="auto"/>
            <w:noWrap/>
            <w:vAlign w:val="center"/>
          </w:tcPr>
          <w:p w14:paraId="4069C6C5" w14:textId="5BAFE953" w:rsidR="003F0F8C" w:rsidRDefault="003F0F8C" w:rsidP="003F0F8C">
            <w:pPr>
              <w:spacing w:after="0" w:line="240" w:lineRule="auto"/>
              <w:jc w:val="right"/>
              <w:rPr>
                <w:rFonts w:ascii="Arial" w:hAnsi="Arial" w:cs="Arial"/>
                <w:color w:val="39414D"/>
                <w:szCs w:val="18"/>
              </w:rPr>
            </w:pPr>
            <w:r>
              <w:rPr>
                <w:rFonts w:ascii="Arial" w:hAnsi="Arial" w:cs="Arial"/>
                <w:color w:val="000000"/>
                <w:szCs w:val="18"/>
              </w:rPr>
              <w:t>1.0263</w:t>
            </w:r>
          </w:p>
        </w:tc>
        <w:tc>
          <w:tcPr>
            <w:tcW w:w="1292" w:type="dxa"/>
            <w:tcBorders>
              <w:top w:val="nil"/>
              <w:left w:val="nil"/>
              <w:bottom w:val="nil"/>
              <w:right w:val="nil"/>
            </w:tcBorders>
            <w:vAlign w:val="center"/>
          </w:tcPr>
          <w:p w14:paraId="1018D8D5" w14:textId="0696F6DD" w:rsidR="003F0F8C" w:rsidRDefault="003F0F8C" w:rsidP="003F0F8C">
            <w:pPr>
              <w:spacing w:after="0" w:line="240" w:lineRule="auto"/>
              <w:jc w:val="right"/>
              <w:rPr>
                <w:rFonts w:ascii="Arial" w:hAnsi="Arial" w:cs="Arial"/>
                <w:color w:val="000000"/>
                <w:szCs w:val="18"/>
              </w:rPr>
            </w:pPr>
            <w:r>
              <w:rPr>
                <w:rFonts w:ascii="Arial" w:hAnsi="Arial" w:cs="Arial"/>
                <w:color w:val="000000"/>
                <w:szCs w:val="18"/>
              </w:rPr>
              <w:t>1.0293</w:t>
            </w:r>
          </w:p>
        </w:tc>
      </w:tr>
      <w:tr w:rsidR="003F0F8C" w:rsidRPr="00805CB3" w14:paraId="7B75FC11" w14:textId="2443204C" w:rsidTr="00072C4C">
        <w:trPr>
          <w:trHeight w:val="240"/>
        </w:trPr>
        <w:tc>
          <w:tcPr>
            <w:tcW w:w="1890" w:type="dxa"/>
            <w:tcBorders>
              <w:top w:val="nil"/>
              <w:left w:val="nil"/>
              <w:bottom w:val="nil"/>
              <w:right w:val="nil"/>
            </w:tcBorders>
            <w:shd w:val="clear" w:color="000000" w:fill="E8E9E9"/>
            <w:noWrap/>
            <w:vAlign w:val="center"/>
            <w:hideMark/>
          </w:tcPr>
          <w:p w14:paraId="4DADB5F3" w14:textId="2C7968DC" w:rsidR="003F0F8C" w:rsidRPr="00805CB3" w:rsidRDefault="003F0F8C" w:rsidP="003F0F8C">
            <w:pPr>
              <w:spacing w:after="0" w:line="240" w:lineRule="auto"/>
              <w:rPr>
                <w:rFonts w:ascii="Arial" w:eastAsia="Times New Roman" w:hAnsi="Arial" w:cs="Arial"/>
                <w:color w:val="39414D"/>
                <w:szCs w:val="18"/>
              </w:rPr>
            </w:pPr>
            <w:r>
              <w:rPr>
                <w:rFonts w:ascii="Arial" w:hAnsi="Arial" w:cs="Arial"/>
                <w:color w:val="000000"/>
                <w:szCs w:val="18"/>
              </w:rPr>
              <w:t>Hospice</w:t>
            </w:r>
          </w:p>
        </w:tc>
        <w:tc>
          <w:tcPr>
            <w:tcW w:w="1291" w:type="dxa"/>
            <w:tcBorders>
              <w:top w:val="nil"/>
              <w:left w:val="nil"/>
              <w:bottom w:val="nil"/>
              <w:right w:val="nil"/>
            </w:tcBorders>
            <w:shd w:val="clear" w:color="000000" w:fill="E8E9E9"/>
            <w:noWrap/>
            <w:vAlign w:val="center"/>
            <w:hideMark/>
          </w:tcPr>
          <w:p w14:paraId="1C2A08CA" w14:textId="4DF03333" w:rsidR="003F0F8C" w:rsidRPr="00805CB3" w:rsidRDefault="003F0F8C" w:rsidP="003F0F8C">
            <w:pPr>
              <w:spacing w:after="0" w:line="240" w:lineRule="auto"/>
              <w:jc w:val="right"/>
              <w:rPr>
                <w:rFonts w:ascii="Arial" w:eastAsia="Times New Roman" w:hAnsi="Arial" w:cs="Arial"/>
                <w:color w:val="39414D"/>
                <w:szCs w:val="18"/>
              </w:rPr>
            </w:pPr>
            <w:r>
              <w:rPr>
                <w:rFonts w:ascii="Arial" w:hAnsi="Arial" w:cs="Arial"/>
                <w:color w:val="000000"/>
                <w:szCs w:val="18"/>
              </w:rPr>
              <w:t>1.0050</w:t>
            </w:r>
          </w:p>
        </w:tc>
        <w:tc>
          <w:tcPr>
            <w:tcW w:w="1291" w:type="dxa"/>
            <w:tcBorders>
              <w:top w:val="nil"/>
              <w:left w:val="nil"/>
              <w:bottom w:val="nil"/>
              <w:right w:val="nil"/>
            </w:tcBorders>
            <w:shd w:val="clear" w:color="000000" w:fill="E8E9E9"/>
            <w:vAlign w:val="center"/>
          </w:tcPr>
          <w:p w14:paraId="4375F620" w14:textId="12E90811" w:rsidR="003F0F8C" w:rsidRDefault="003F0F8C" w:rsidP="003F0F8C">
            <w:pPr>
              <w:spacing w:after="0" w:line="240" w:lineRule="auto"/>
              <w:jc w:val="right"/>
              <w:rPr>
                <w:rFonts w:ascii="Arial" w:hAnsi="Arial" w:cs="Arial"/>
                <w:color w:val="39414D"/>
                <w:szCs w:val="18"/>
              </w:rPr>
            </w:pPr>
            <w:r>
              <w:rPr>
                <w:rFonts w:ascii="Arial" w:hAnsi="Arial" w:cs="Arial"/>
                <w:color w:val="000000"/>
                <w:szCs w:val="18"/>
              </w:rPr>
              <w:t>1.0205</w:t>
            </w:r>
          </w:p>
        </w:tc>
        <w:tc>
          <w:tcPr>
            <w:tcW w:w="1291" w:type="dxa"/>
            <w:tcBorders>
              <w:top w:val="nil"/>
              <w:left w:val="nil"/>
              <w:bottom w:val="nil"/>
              <w:right w:val="nil"/>
            </w:tcBorders>
            <w:shd w:val="clear" w:color="000000" w:fill="E8E9E9"/>
            <w:noWrap/>
            <w:vAlign w:val="center"/>
            <w:hideMark/>
          </w:tcPr>
          <w:p w14:paraId="139FFB3D" w14:textId="68892A5D" w:rsidR="003F0F8C" w:rsidRPr="00805CB3" w:rsidRDefault="003F0F8C" w:rsidP="003F0F8C">
            <w:pPr>
              <w:spacing w:after="0" w:line="240" w:lineRule="auto"/>
              <w:jc w:val="right"/>
              <w:rPr>
                <w:rFonts w:ascii="Arial" w:eastAsia="Times New Roman" w:hAnsi="Arial" w:cs="Arial"/>
                <w:color w:val="39414D"/>
                <w:szCs w:val="18"/>
              </w:rPr>
            </w:pPr>
            <w:r>
              <w:rPr>
                <w:rFonts w:ascii="Arial" w:hAnsi="Arial" w:cs="Arial"/>
                <w:color w:val="000000"/>
                <w:szCs w:val="18"/>
              </w:rPr>
              <w:t>1.0263</w:t>
            </w:r>
          </w:p>
        </w:tc>
        <w:tc>
          <w:tcPr>
            <w:tcW w:w="1292" w:type="dxa"/>
            <w:tcBorders>
              <w:top w:val="nil"/>
              <w:left w:val="nil"/>
              <w:bottom w:val="nil"/>
              <w:right w:val="nil"/>
            </w:tcBorders>
            <w:shd w:val="clear" w:color="000000" w:fill="E8E9E9"/>
            <w:vAlign w:val="center"/>
          </w:tcPr>
          <w:p w14:paraId="3E3AD0F0" w14:textId="712B26D2" w:rsidR="003F0F8C" w:rsidRDefault="003F0F8C" w:rsidP="003F0F8C">
            <w:pPr>
              <w:spacing w:after="0" w:line="240" w:lineRule="auto"/>
              <w:jc w:val="right"/>
              <w:rPr>
                <w:rFonts w:ascii="Arial" w:hAnsi="Arial" w:cs="Arial"/>
                <w:color w:val="000000"/>
                <w:szCs w:val="18"/>
              </w:rPr>
            </w:pPr>
            <w:r>
              <w:rPr>
                <w:rFonts w:ascii="Arial" w:hAnsi="Arial" w:cs="Arial"/>
                <w:color w:val="000000"/>
                <w:szCs w:val="18"/>
              </w:rPr>
              <w:t>1.0293</w:t>
            </w:r>
          </w:p>
        </w:tc>
      </w:tr>
    </w:tbl>
    <w:p w14:paraId="6CE40C02" w14:textId="26F0C208" w:rsidR="00096D1E" w:rsidRDefault="0056637D" w:rsidP="00096D1E">
      <w:pPr>
        <w:pStyle w:val="RRNumberedBullet1"/>
        <w:numPr>
          <w:ilvl w:val="0"/>
          <w:numId w:val="0"/>
        </w:numPr>
        <w:spacing w:before="120" w:after="0"/>
        <w:ind w:left="360" w:hanging="360"/>
        <w:jc w:val="both"/>
        <w:rPr>
          <w:rFonts w:ascii="Arial" w:eastAsia="Times New Roman" w:hAnsi="Arial" w:cs="Arial"/>
          <w:color w:val="727A7D"/>
          <w:sz w:val="16"/>
          <w:szCs w:val="16"/>
        </w:rPr>
      </w:pPr>
      <w:r w:rsidRPr="009B2A0F">
        <w:rPr>
          <w:rFonts w:ascii="Arial" w:eastAsia="Times New Roman" w:hAnsi="Arial" w:cs="Arial"/>
          <w:color w:val="727A7D"/>
          <w:sz w:val="16"/>
          <w:szCs w:val="16"/>
        </w:rPr>
        <w:t>Note</w:t>
      </w:r>
      <w:r w:rsidR="00096D1E">
        <w:rPr>
          <w:rFonts w:ascii="Arial" w:eastAsia="Times New Roman" w:hAnsi="Arial" w:cs="Arial"/>
          <w:color w:val="727A7D"/>
          <w:sz w:val="16"/>
          <w:szCs w:val="16"/>
        </w:rPr>
        <w:t>s</w:t>
      </w:r>
      <w:r w:rsidRPr="009B2A0F">
        <w:rPr>
          <w:rFonts w:ascii="Arial" w:eastAsia="Times New Roman" w:hAnsi="Arial" w:cs="Arial"/>
          <w:color w:val="727A7D"/>
          <w:sz w:val="16"/>
          <w:szCs w:val="16"/>
        </w:rPr>
        <w:t xml:space="preserve">: </w:t>
      </w:r>
    </w:p>
    <w:p w14:paraId="7D506A45" w14:textId="2CF69E74" w:rsidR="00096D1E" w:rsidRDefault="00C80CBF" w:rsidP="00920110">
      <w:pPr>
        <w:pStyle w:val="RRNumberedBullet1"/>
        <w:numPr>
          <w:ilvl w:val="0"/>
          <w:numId w:val="0"/>
        </w:numPr>
        <w:spacing w:after="0"/>
        <w:ind w:left="360" w:hanging="360"/>
        <w:jc w:val="both"/>
        <w:rPr>
          <w:rFonts w:ascii="Arial" w:eastAsia="Times New Roman" w:hAnsi="Arial" w:cs="Arial"/>
          <w:color w:val="727A7D"/>
          <w:sz w:val="16"/>
          <w:szCs w:val="16"/>
        </w:rPr>
      </w:pPr>
      <w:r>
        <w:rPr>
          <w:rFonts w:ascii="Arial" w:eastAsia="Times New Roman" w:hAnsi="Arial" w:cs="Arial"/>
          <w:color w:val="727A7D"/>
          <w:sz w:val="16"/>
          <w:szCs w:val="16"/>
        </w:rPr>
        <w:t xml:space="preserve">1. </w:t>
      </w:r>
      <w:r w:rsidR="00CF71C5">
        <w:rPr>
          <w:rFonts w:ascii="Arial" w:eastAsia="Times New Roman" w:hAnsi="Arial" w:cs="Arial"/>
          <w:color w:val="727A7D"/>
          <w:sz w:val="16"/>
          <w:szCs w:val="16"/>
        </w:rPr>
        <w:t>CY</w:t>
      </w:r>
      <w:r w:rsidR="00096D1E" w:rsidRPr="00096D1E">
        <w:rPr>
          <w:rFonts w:ascii="Arial" w:eastAsia="Times New Roman" w:hAnsi="Arial" w:cs="Arial"/>
          <w:color w:val="727A7D"/>
          <w:sz w:val="16"/>
          <w:szCs w:val="16"/>
        </w:rPr>
        <w:t xml:space="preserve"> 2019 </w:t>
      </w:r>
      <w:r>
        <w:rPr>
          <w:rFonts w:ascii="Arial" w:eastAsia="Times New Roman" w:hAnsi="Arial" w:cs="Arial"/>
          <w:color w:val="727A7D"/>
          <w:sz w:val="16"/>
          <w:szCs w:val="16"/>
        </w:rPr>
        <w:t>factors rep</w:t>
      </w:r>
      <w:r w:rsidR="00CF71C5">
        <w:rPr>
          <w:rFonts w:ascii="Arial" w:eastAsia="Times New Roman" w:hAnsi="Arial" w:cs="Arial"/>
          <w:color w:val="727A7D"/>
          <w:sz w:val="16"/>
          <w:szCs w:val="16"/>
        </w:rPr>
        <w:t>resent adjusting the base data period from a CY 2019 to SFY 2020 basis</w:t>
      </w:r>
      <w:r w:rsidR="00096D1E" w:rsidRPr="00096D1E">
        <w:rPr>
          <w:rFonts w:ascii="Arial" w:eastAsia="Times New Roman" w:hAnsi="Arial" w:cs="Arial"/>
          <w:color w:val="727A7D"/>
          <w:sz w:val="16"/>
          <w:szCs w:val="16"/>
        </w:rPr>
        <w:t>.</w:t>
      </w:r>
    </w:p>
    <w:p w14:paraId="1E40B352" w14:textId="67E6C465" w:rsidR="0056637D" w:rsidRPr="009B2A0F" w:rsidRDefault="00C80CBF" w:rsidP="00920110">
      <w:pPr>
        <w:pStyle w:val="RRNumberedBullet1"/>
        <w:numPr>
          <w:ilvl w:val="0"/>
          <w:numId w:val="0"/>
        </w:numPr>
        <w:spacing w:after="120"/>
        <w:ind w:left="360" w:hanging="360"/>
        <w:jc w:val="both"/>
        <w:rPr>
          <w:sz w:val="16"/>
          <w:szCs w:val="20"/>
        </w:rPr>
      </w:pPr>
      <w:r>
        <w:rPr>
          <w:rFonts w:ascii="Arial" w:eastAsia="Times New Roman" w:hAnsi="Arial" w:cs="Arial"/>
          <w:color w:val="727A7D"/>
          <w:sz w:val="16"/>
          <w:szCs w:val="16"/>
        </w:rPr>
        <w:t xml:space="preserve">2. </w:t>
      </w:r>
      <w:r w:rsidR="0056637D" w:rsidRPr="0056637D">
        <w:rPr>
          <w:rFonts w:ascii="Arial" w:eastAsia="Times New Roman" w:hAnsi="Arial" w:cs="Arial"/>
          <w:color w:val="727A7D"/>
          <w:sz w:val="16"/>
          <w:szCs w:val="16"/>
        </w:rPr>
        <w:t>Nursing Home and Hospice trend</w:t>
      </w:r>
      <w:r w:rsidR="00CF71C5">
        <w:rPr>
          <w:rFonts w:ascii="Arial" w:eastAsia="Times New Roman" w:hAnsi="Arial" w:cs="Arial"/>
          <w:color w:val="727A7D"/>
          <w:sz w:val="16"/>
          <w:szCs w:val="16"/>
        </w:rPr>
        <w:t>s</w:t>
      </w:r>
      <w:r w:rsidR="0056637D" w:rsidRPr="0056637D">
        <w:rPr>
          <w:rFonts w:ascii="Arial" w:eastAsia="Times New Roman" w:hAnsi="Arial" w:cs="Arial"/>
          <w:color w:val="727A7D"/>
          <w:sz w:val="16"/>
          <w:szCs w:val="16"/>
        </w:rPr>
        <w:t xml:space="preserve"> include </w:t>
      </w:r>
      <w:r w:rsidR="00CF71C5">
        <w:rPr>
          <w:rFonts w:ascii="Arial" w:eastAsia="Times New Roman" w:hAnsi="Arial" w:cs="Arial"/>
          <w:color w:val="727A7D"/>
          <w:sz w:val="16"/>
          <w:szCs w:val="16"/>
        </w:rPr>
        <w:t xml:space="preserve">the inflation and </w:t>
      </w:r>
      <w:r w:rsidR="0056637D" w:rsidRPr="0056637D">
        <w:rPr>
          <w:rFonts w:ascii="Arial" w:eastAsia="Times New Roman" w:hAnsi="Arial" w:cs="Arial"/>
          <w:color w:val="727A7D"/>
          <w:sz w:val="16"/>
          <w:szCs w:val="16"/>
        </w:rPr>
        <w:t>staffing</w:t>
      </w:r>
      <w:r w:rsidR="00CF71C5">
        <w:rPr>
          <w:rFonts w:ascii="Arial" w:eastAsia="Times New Roman" w:hAnsi="Arial" w:cs="Arial"/>
          <w:color w:val="727A7D"/>
          <w:sz w:val="16"/>
          <w:szCs w:val="16"/>
        </w:rPr>
        <w:t xml:space="preserve"> adjustment</w:t>
      </w:r>
      <w:r w:rsidR="0056637D" w:rsidRPr="009B2A0F">
        <w:rPr>
          <w:rFonts w:ascii="Arial" w:eastAsia="Times New Roman" w:hAnsi="Arial" w:cs="Arial"/>
          <w:color w:val="727A7D"/>
          <w:sz w:val="16"/>
          <w:szCs w:val="16"/>
        </w:rPr>
        <w:t>.</w:t>
      </w:r>
    </w:p>
    <w:p w14:paraId="3125A9F9" w14:textId="6675375C" w:rsidR="001D16B7" w:rsidRDefault="00A52880" w:rsidP="005B1D59">
      <w:pPr>
        <w:pStyle w:val="RRNumberedBullet1"/>
        <w:numPr>
          <w:ilvl w:val="0"/>
          <w:numId w:val="0"/>
        </w:numPr>
        <w:spacing w:before="180"/>
        <w:jc w:val="both"/>
      </w:pPr>
      <w:r>
        <w:t>T</w:t>
      </w:r>
      <w:r w:rsidR="00F37240" w:rsidRPr="00F37240">
        <w:t xml:space="preserve">he State of Rhode Island General Assembly </w:t>
      </w:r>
      <w:r>
        <w:t>B</w:t>
      </w:r>
      <w:r w:rsidR="00F37240" w:rsidRPr="00F37240">
        <w:t xml:space="preserve">udget </w:t>
      </w:r>
      <w:r>
        <w:t>A</w:t>
      </w:r>
      <w:r w:rsidR="00F37240" w:rsidRPr="00F37240">
        <w:t xml:space="preserve">rticle </w:t>
      </w:r>
      <w:r>
        <w:t>R</w:t>
      </w:r>
      <w:r w:rsidR="00F37240" w:rsidRPr="00F37240">
        <w:t xml:space="preserve">elating to </w:t>
      </w:r>
      <w:r>
        <w:t>H</w:t>
      </w:r>
      <w:r w:rsidR="00F37240" w:rsidRPr="00F37240">
        <w:t xml:space="preserve">uman </w:t>
      </w:r>
      <w:r>
        <w:t>S</w:t>
      </w:r>
      <w:r w:rsidR="00F37240" w:rsidRPr="00F37240">
        <w:t>ervices</w:t>
      </w:r>
      <w:r w:rsidR="00F37240">
        <w:t xml:space="preserve"> </w:t>
      </w:r>
      <w:r>
        <w:t xml:space="preserve">either provides a specific rate change as determined by the General Assembly or is </w:t>
      </w:r>
      <w:r w:rsidR="001A7B42">
        <w:t xml:space="preserve">linked to </w:t>
      </w:r>
      <w:r w:rsidR="00DA79CD">
        <w:t>CMS market basket updates</w:t>
      </w:r>
      <w:r w:rsidR="001A7B42">
        <w:t>.</w:t>
      </w:r>
      <w:r w:rsidR="001D16B7" w:rsidRPr="001D16B7">
        <w:t xml:space="preserve"> </w:t>
      </w:r>
      <w:r w:rsidR="00D967B8" w:rsidRPr="00D967B8">
        <w:t>Note, the nursing home and hospice reimbursement changes are effective October 1</w:t>
      </w:r>
      <w:r w:rsidR="00B8063B" w:rsidRPr="00876FEE">
        <w:rPr>
          <w:vertAlign w:val="superscript"/>
        </w:rPr>
        <w:t>st</w:t>
      </w:r>
      <w:r w:rsidR="00D967B8" w:rsidRPr="00D967B8">
        <w:t xml:space="preserve"> of each year, while Figure </w:t>
      </w:r>
      <w:r w:rsidR="00E13406" w:rsidRPr="00D967B8">
        <w:t>1</w:t>
      </w:r>
      <w:r w:rsidR="00273A3D">
        <w:t>5</w:t>
      </w:r>
      <w:r w:rsidR="00E13406" w:rsidRPr="00D967B8">
        <w:t xml:space="preserve"> </w:t>
      </w:r>
      <w:r w:rsidR="00D967B8" w:rsidRPr="00D967B8">
        <w:t>illustrates the impact of the legislatively mandated reimbursement changes on a state fiscal year basis</w:t>
      </w:r>
      <w:r w:rsidR="00D967B8">
        <w:t>.</w:t>
      </w:r>
      <w:r w:rsidR="004F04D7">
        <w:t xml:space="preserve"> The legislatively mandated reimbursement changes are discussed further in Section </w:t>
      </w:r>
      <w:r w:rsidR="00411135">
        <w:t>I</w:t>
      </w:r>
      <w:r w:rsidR="00273A3D">
        <w:t xml:space="preserve">, item </w:t>
      </w:r>
      <w:r w:rsidR="00411135">
        <w:t>4.D.</w:t>
      </w:r>
    </w:p>
    <w:p w14:paraId="1B9928FA" w14:textId="12DCA064" w:rsidR="00486612" w:rsidRDefault="00486612" w:rsidP="00622097">
      <w:pPr>
        <w:pStyle w:val="RRSubhead2"/>
        <w:spacing w:before="120" w:after="120"/>
        <w:jc w:val="both"/>
      </w:pPr>
      <w:r>
        <w:t>Pharmacy Trends</w:t>
      </w:r>
    </w:p>
    <w:p w14:paraId="006F922A" w14:textId="50E1217A" w:rsidR="00AC2E65" w:rsidRDefault="00AC2E65">
      <w:pPr>
        <w:pStyle w:val="RRBody"/>
        <w:jc w:val="both"/>
        <w:rPr>
          <w:rFonts w:cs="Arial"/>
        </w:rPr>
      </w:pPr>
      <w:bookmarkStart w:id="233" w:name="_Toc454354195"/>
      <w:bookmarkStart w:id="234" w:name="_Toc484701196"/>
      <w:bookmarkStart w:id="235" w:name="_Toc504389042"/>
      <w:r w:rsidRPr="0076558C">
        <w:rPr>
          <w:rFonts w:cs="Arial"/>
        </w:rPr>
        <w:t xml:space="preserve">We </w:t>
      </w:r>
      <w:r w:rsidR="00DA79CD">
        <w:rPr>
          <w:rFonts w:cs="Arial"/>
        </w:rPr>
        <w:t xml:space="preserve">utilized </w:t>
      </w:r>
      <w:r w:rsidRPr="00C07983">
        <w:rPr>
          <w:rFonts w:cs="Arial"/>
        </w:rPr>
        <w:t xml:space="preserve">a Medicaid </w:t>
      </w:r>
      <w:r w:rsidR="00DA79CD">
        <w:rPr>
          <w:rFonts w:cs="Arial"/>
        </w:rPr>
        <w:t>p</w:t>
      </w:r>
      <w:r w:rsidRPr="00C07983">
        <w:rPr>
          <w:rFonts w:cs="Arial"/>
        </w:rPr>
        <w:t xml:space="preserve">harmacy </w:t>
      </w:r>
      <w:r w:rsidR="00DA79CD">
        <w:rPr>
          <w:rFonts w:cs="Arial"/>
        </w:rPr>
        <w:t xml:space="preserve">projection </w:t>
      </w:r>
      <w:r w:rsidRPr="00C07983">
        <w:rPr>
          <w:rFonts w:cs="Arial"/>
        </w:rPr>
        <w:t xml:space="preserve">model (trend model) for the purposes of </w:t>
      </w:r>
      <w:r w:rsidR="00BA5CA3">
        <w:rPr>
          <w:rFonts w:cs="Arial"/>
        </w:rPr>
        <w:t>reviewing</w:t>
      </w:r>
      <w:r w:rsidR="00BA5CA3" w:rsidRPr="00C07983">
        <w:rPr>
          <w:rFonts w:cs="Arial"/>
        </w:rPr>
        <w:t xml:space="preserve"> </w:t>
      </w:r>
      <w:r w:rsidRPr="00C07983">
        <w:rPr>
          <w:rFonts w:cs="Arial"/>
        </w:rPr>
        <w:t xml:space="preserve">and </w:t>
      </w:r>
      <w:r w:rsidR="00DA79CD">
        <w:rPr>
          <w:rFonts w:cs="Arial"/>
        </w:rPr>
        <w:t xml:space="preserve">estimating </w:t>
      </w:r>
      <w:r w:rsidRPr="00C07983">
        <w:rPr>
          <w:rFonts w:cs="Arial"/>
        </w:rPr>
        <w:t xml:space="preserve">detailed pharmacy trend information. The trend model summarizes pharmacy claims data by month, covered population, and therapeutic class. </w:t>
      </w:r>
      <w:r w:rsidR="00C53CBE">
        <w:rPr>
          <w:rFonts w:cs="Arial"/>
        </w:rPr>
        <w:t xml:space="preserve">Generic and brand pharmacy experience was repriced to a consistent percentage of AWP </w:t>
      </w:r>
      <w:r w:rsidR="00A51B92">
        <w:rPr>
          <w:rFonts w:cs="Arial"/>
        </w:rPr>
        <w:t xml:space="preserve">to isolate changes in PBM contracting from inflationary trends. </w:t>
      </w:r>
      <w:r w:rsidRPr="00C07983">
        <w:rPr>
          <w:rFonts w:cs="Arial"/>
        </w:rPr>
        <w:t xml:space="preserve">Projected values were estimated using the base period data as a starting point and applying anticipated shifts and trends. </w:t>
      </w:r>
    </w:p>
    <w:p w14:paraId="1CA1223D" w14:textId="2D0EC8E3" w:rsidR="00AC2E65" w:rsidRPr="004D6CCB" w:rsidRDefault="00AC2E65" w:rsidP="00622097">
      <w:pPr>
        <w:pStyle w:val="RRBody"/>
        <w:jc w:val="both"/>
        <w:rPr>
          <w:rFonts w:eastAsia="Times New Roman" w:cstheme="minorHAnsi"/>
          <w:szCs w:val="18"/>
        </w:rPr>
      </w:pPr>
      <w:r w:rsidRPr="004D6CCB">
        <w:rPr>
          <w:rFonts w:eastAsia="Times New Roman" w:cstheme="minorHAnsi"/>
          <w:szCs w:val="18"/>
        </w:rPr>
        <w:t xml:space="preserve">The </w:t>
      </w:r>
      <w:r w:rsidR="00BA5CA3">
        <w:rPr>
          <w:rFonts w:eastAsia="Times New Roman" w:cstheme="minorHAnsi"/>
          <w:szCs w:val="18"/>
        </w:rPr>
        <w:t xml:space="preserve">utilization and </w:t>
      </w:r>
      <w:r w:rsidRPr="004D6CCB">
        <w:rPr>
          <w:rFonts w:eastAsia="Times New Roman" w:cstheme="minorHAnsi"/>
          <w:szCs w:val="18"/>
        </w:rPr>
        <w:t xml:space="preserve">cost per script trends </w:t>
      </w:r>
      <w:r w:rsidR="00BA5CA3">
        <w:rPr>
          <w:rFonts w:eastAsia="Times New Roman" w:cstheme="minorHAnsi"/>
          <w:szCs w:val="18"/>
        </w:rPr>
        <w:t>are</w:t>
      </w:r>
      <w:r w:rsidR="00BA5CA3" w:rsidRPr="004D6CCB">
        <w:rPr>
          <w:rFonts w:eastAsia="Times New Roman" w:cstheme="minorHAnsi"/>
          <w:szCs w:val="18"/>
        </w:rPr>
        <w:t xml:space="preserve"> </w:t>
      </w:r>
      <w:r w:rsidRPr="004D6CCB">
        <w:rPr>
          <w:rFonts w:eastAsia="Times New Roman" w:cstheme="minorHAnsi"/>
          <w:szCs w:val="18"/>
        </w:rPr>
        <w:t xml:space="preserve">based on a </w:t>
      </w:r>
      <w:r w:rsidR="00BA5CA3">
        <w:rPr>
          <w:rFonts w:eastAsia="Times New Roman" w:cstheme="minorHAnsi"/>
          <w:szCs w:val="18"/>
        </w:rPr>
        <w:t xml:space="preserve">review </w:t>
      </w:r>
      <w:r w:rsidRPr="004D6CCB">
        <w:rPr>
          <w:rFonts w:eastAsia="Times New Roman" w:cstheme="minorHAnsi"/>
          <w:szCs w:val="18"/>
        </w:rPr>
        <w:t>of historical data</w:t>
      </w:r>
      <w:r w:rsidR="00BA5CA3">
        <w:rPr>
          <w:rFonts w:eastAsia="Times New Roman" w:cstheme="minorHAnsi"/>
          <w:szCs w:val="18"/>
        </w:rPr>
        <w:t xml:space="preserve"> and the estimated prospective impact of market changes, such as new drugs coming to market</w:t>
      </w:r>
      <w:r w:rsidRPr="004D6CCB">
        <w:rPr>
          <w:rFonts w:eastAsia="Times New Roman" w:cstheme="minorHAnsi"/>
          <w:szCs w:val="18"/>
        </w:rPr>
        <w:t xml:space="preserve">. We analyzed the </w:t>
      </w:r>
      <w:r w:rsidR="00BA5CA3">
        <w:rPr>
          <w:rFonts w:eastAsia="Times New Roman" w:cstheme="minorHAnsi"/>
          <w:szCs w:val="18"/>
        </w:rPr>
        <w:t xml:space="preserve">historical </w:t>
      </w:r>
      <w:r w:rsidRPr="004D6CCB">
        <w:rPr>
          <w:rFonts w:eastAsia="Times New Roman" w:cstheme="minorHAnsi"/>
          <w:szCs w:val="18"/>
        </w:rPr>
        <w:t xml:space="preserve">trends </w:t>
      </w:r>
      <w:r w:rsidR="00BA5CA3">
        <w:rPr>
          <w:rFonts w:eastAsia="Times New Roman" w:cstheme="minorHAnsi"/>
          <w:szCs w:val="18"/>
        </w:rPr>
        <w:t>using data from CY 2019 through CY 2021</w:t>
      </w:r>
      <w:r w:rsidRPr="004D6CCB">
        <w:rPr>
          <w:rFonts w:eastAsia="Times New Roman" w:cstheme="minorHAnsi"/>
          <w:szCs w:val="18"/>
        </w:rPr>
        <w:t>. We used public industry trend reports</w:t>
      </w:r>
      <w:r w:rsidR="00BA5CA3">
        <w:rPr>
          <w:rFonts w:eastAsia="Times New Roman" w:cstheme="minorHAnsi"/>
          <w:szCs w:val="18"/>
        </w:rPr>
        <w:t xml:space="preserve"> and experience in other state Medicaid programs</w:t>
      </w:r>
      <w:r w:rsidRPr="004D6CCB">
        <w:rPr>
          <w:rFonts w:eastAsia="Times New Roman" w:cstheme="minorHAnsi"/>
          <w:szCs w:val="18"/>
        </w:rPr>
        <w:t xml:space="preserve"> to validate these unit cost trends. Our trends accounted for a combination of anticipated </w:t>
      </w:r>
      <w:r w:rsidR="00220790">
        <w:rPr>
          <w:rFonts w:eastAsia="Times New Roman" w:cstheme="minorHAnsi"/>
          <w:szCs w:val="18"/>
        </w:rPr>
        <w:t xml:space="preserve">utilization and </w:t>
      </w:r>
      <w:r w:rsidRPr="004D6CCB">
        <w:rPr>
          <w:rFonts w:eastAsia="Times New Roman" w:cstheme="minorHAnsi"/>
          <w:szCs w:val="18"/>
        </w:rPr>
        <w:t xml:space="preserve">price </w:t>
      </w:r>
      <w:r w:rsidR="00220790">
        <w:rPr>
          <w:rFonts w:eastAsia="Times New Roman" w:cstheme="minorHAnsi"/>
          <w:szCs w:val="18"/>
        </w:rPr>
        <w:t xml:space="preserve">changes </w:t>
      </w:r>
      <w:r w:rsidRPr="004D6CCB">
        <w:rPr>
          <w:rFonts w:eastAsia="Times New Roman" w:cstheme="minorHAnsi"/>
          <w:szCs w:val="18"/>
        </w:rPr>
        <w:t xml:space="preserve">on existing products as well as the impact of new pipeline products entering the market up through the rating period.  </w:t>
      </w:r>
    </w:p>
    <w:p w14:paraId="47C4C492" w14:textId="63104EEB" w:rsidR="0088012E" w:rsidRPr="00F13259" w:rsidRDefault="0088012E" w:rsidP="00622097">
      <w:pPr>
        <w:pStyle w:val="Heading6"/>
        <w:jc w:val="both"/>
      </w:pPr>
      <w:r w:rsidRPr="00F13259">
        <w:t>Comparisons</w:t>
      </w:r>
      <w:bookmarkEnd w:id="233"/>
      <w:bookmarkEnd w:id="234"/>
      <w:bookmarkEnd w:id="235"/>
    </w:p>
    <w:p w14:paraId="4890910D" w14:textId="09A056A0" w:rsidR="005F3B1E" w:rsidRDefault="007613B6" w:rsidP="00622097">
      <w:pPr>
        <w:pStyle w:val="RRBody"/>
        <w:jc w:val="both"/>
      </w:pPr>
      <w:bookmarkStart w:id="236" w:name="_Toc454354196"/>
      <w:bookmarkStart w:id="237" w:name="_Toc484701197"/>
      <w:bookmarkStart w:id="238" w:name="_Toc504389043"/>
      <w:r>
        <w:t>Historical trends should not be used in a simple formulaic manner to determine future trends; a great deal of actuarial judgment is also needed. We referred to the sources listed in the prior section as well as considered changing practice patterns</w:t>
      </w:r>
      <w:r w:rsidR="0055788D">
        <w:t xml:space="preserve"> and</w:t>
      </w:r>
      <w:r>
        <w:t xml:space="preserve"> </w:t>
      </w:r>
      <w:r w:rsidR="00541B4F">
        <w:t>the impact of COVID-19 as previously described</w:t>
      </w:r>
      <w:r>
        <w:t xml:space="preserve">.  </w:t>
      </w:r>
    </w:p>
    <w:p w14:paraId="73BEBBF6" w14:textId="38B76320" w:rsidR="007B536F" w:rsidRDefault="007B536F" w:rsidP="00622097">
      <w:pPr>
        <w:pStyle w:val="Heading6"/>
        <w:jc w:val="both"/>
      </w:pPr>
      <w:r>
        <w:t>Chosen trend rates</w:t>
      </w:r>
    </w:p>
    <w:p w14:paraId="402300CC" w14:textId="67280047" w:rsidR="005C0869" w:rsidRPr="00895F8C" w:rsidRDefault="005C0869" w:rsidP="00622097">
      <w:pPr>
        <w:jc w:val="both"/>
        <w:rPr>
          <w:sz w:val="10"/>
          <w:szCs w:val="14"/>
        </w:rPr>
      </w:pPr>
      <w:r>
        <w:t xml:space="preserve">The trend rates </w:t>
      </w:r>
      <w:r w:rsidR="00E12ED0">
        <w:t xml:space="preserve">chosen </w:t>
      </w:r>
      <w:r>
        <w:t>are illustrated</w:t>
      </w:r>
      <w:r w:rsidR="00731ECB">
        <w:t xml:space="preserve"> below</w:t>
      </w:r>
      <w:r>
        <w:t xml:space="preserve"> in Section I</w:t>
      </w:r>
      <w:r w:rsidR="00220790">
        <w:t xml:space="preserve">, item </w:t>
      </w:r>
      <w:r>
        <w:t>3.B.iii.(b), by population and service category. There were no outlier trends or negative trends.</w:t>
      </w:r>
    </w:p>
    <w:p w14:paraId="19454A22" w14:textId="77777777" w:rsidR="0088012E" w:rsidRDefault="0088012E" w:rsidP="00622097">
      <w:pPr>
        <w:pStyle w:val="Heading5"/>
        <w:jc w:val="both"/>
      </w:pPr>
      <w:r w:rsidRPr="007533EB">
        <w:t>Benefit cost trend components</w:t>
      </w:r>
      <w:bookmarkEnd w:id="236"/>
      <w:bookmarkEnd w:id="237"/>
      <w:bookmarkEnd w:id="238"/>
    </w:p>
    <w:p w14:paraId="28E814C6" w14:textId="00399D93" w:rsidR="00667CCF" w:rsidRDefault="00C04D9D" w:rsidP="009126E4">
      <w:pPr>
        <w:jc w:val="both"/>
      </w:pPr>
      <w:r>
        <w:t xml:space="preserve">This section includes the projected benefit cost trends by population and category of service. </w:t>
      </w:r>
      <w:r w:rsidR="00A21260">
        <w:t>Figure</w:t>
      </w:r>
      <w:r w:rsidR="00F8171F" w:rsidRPr="009D5CA5">
        <w:t xml:space="preserve"> </w:t>
      </w:r>
      <w:r w:rsidR="00E13406">
        <w:t>1</w:t>
      </w:r>
      <w:r w:rsidR="00273A3D">
        <w:t>6</w:t>
      </w:r>
      <w:r w:rsidR="00E13406" w:rsidRPr="009D5CA5">
        <w:t xml:space="preserve"> </w:t>
      </w:r>
      <w:r w:rsidR="00F8171F" w:rsidRPr="009D5CA5">
        <w:t xml:space="preserve">illustrates the price change component of the trend by </w:t>
      </w:r>
      <w:r w:rsidR="00E12ED0">
        <w:t xml:space="preserve">population </w:t>
      </w:r>
      <w:r w:rsidR="00F8171F" w:rsidRPr="009D5CA5">
        <w:t>and category of service</w:t>
      </w:r>
      <w:r w:rsidR="00530CAE">
        <w:t>.</w:t>
      </w:r>
      <w:r w:rsidR="00F8171F" w:rsidRPr="009D5CA5">
        <w:t xml:space="preserve"> </w:t>
      </w:r>
    </w:p>
    <w:tbl>
      <w:tblPr>
        <w:tblW w:w="5240" w:type="pct"/>
        <w:jc w:val="center"/>
        <w:tblLayout w:type="fixed"/>
        <w:tblLook w:val="04A0" w:firstRow="1" w:lastRow="0" w:firstColumn="1" w:lastColumn="0" w:noHBand="0" w:noVBand="1"/>
      </w:tblPr>
      <w:tblGrid>
        <w:gridCol w:w="1902"/>
        <w:gridCol w:w="899"/>
        <w:gridCol w:w="1077"/>
        <w:gridCol w:w="1130"/>
        <w:gridCol w:w="1208"/>
        <w:gridCol w:w="897"/>
        <w:gridCol w:w="1001"/>
        <w:gridCol w:w="702"/>
        <w:gridCol w:w="993"/>
      </w:tblGrid>
      <w:tr w:rsidR="001126E5" w:rsidRPr="001126E5" w14:paraId="48AA9425" w14:textId="77777777" w:rsidTr="001126E5">
        <w:trPr>
          <w:trHeight w:val="76"/>
          <w:jc w:val="center"/>
        </w:trPr>
        <w:tc>
          <w:tcPr>
            <w:tcW w:w="5000" w:type="pct"/>
            <w:gridSpan w:val="9"/>
            <w:tcBorders>
              <w:top w:val="nil"/>
              <w:left w:val="nil"/>
              <w:bottom w:val="nil"/>
              <w:right w:val="nil"/>
            </w:tcBorders>
            <w:shd w:val="clear" w:color="auto" w:fill="auto"/>
            <w:noWrap/>
            <w:vAlign w:val="bottom"/>
            <w:hideMark/>
          </w:tcPr>
          <w:p w14:paraId="736018F6" w14:textId="73BC77A7" w:rsidR="001126E5" w:rsidRPr="001126E5" w:rsidRDefault="00A21260" w:rsidP="00A21260">
            <w:pPr>
              <w:spacing w:after="0" w:line="240" w:lineRule="auto"/>
              <w:rPr>
                <w:rFonts w:asciiTheme="majorHAnsi" w:eastAsia="Times New Roman" w:hAnsiTheme="majorHAnsi" w:cstheme="majorHAnsi"/>
                <w:b/>
                <w:bCs/>
                <w:color w:val="0081E3"/>
                <w:szCs w:val="18"/>
              </w:rPr>
            </w:pPr>
            <w:r>
              <w:rPr>
                <w:rFonts w:asciiTheme="majorHAnsi" w:eastAsia="Times New Roman" w:hAnsiTheme="majorHAnsi" w:cstheme="majorHAnsi"/>
                <w:b/>
                <w:bCs/>
                <w:color w:val="0081E3"/>
                <w:szCs w:val="18"/>
              </w:rPr>
              <w:t>FIGURE</w:t>
            </w:r>
            <w:r w:rsidR="001126E5" w:rsidRPr="001126E5">
              <w:rPr>
                <w:rFonts w:asciiTheme="majorHAnsi" w:eastAsia="Times New Roman" w:hAnsiTheme="majorHAnsi" w:cstheme="majorHAnsi"/>
                <w:b/>
                <w:bCs/>
                <w:color w:val="0081E3"/>
                <w:szCs w:val="18"/>
              </w:rPr>
              <w:t xml:space="preserve"> </w:t>
            </w:r>
            <w:r w:rsidR="0056637D">
              <w:rPr>
                <w:rFonts w:asciiTheme="majorHAnsi" w:eastAsia="Times New Roman" w:hAnsiTheme="majorHAnsi" w:cstheme="majorHAnsi"/>
                <w:b/>
                <w:bCs/>
                <w:color w:val="0081E3"/>
                <w:szCs w:val="18"/>
              </w:rPr>
              <w:t>1</w:t>
            </w:r>
            <w:r w:rsidR="00273A3D">
              <w:rPr>
                <w:rFonts w:asciiTheme="majorHAnsi" w:eastAsia="Times New Roman" w:hAnsiTheme="majorHAnsi" w:cstheme="majorHAnsi"/>
                <w:b/>
                <w:bCs/>
                <w:color w:val="0081E3"/>
                <w:szCs w:val="18"/>
              </w:rPr>
              <w:t>6</w:t>
            </w:r>
            <w:r>
              <w:rPr>
                <w:rFonts w:asciiTheme="majorHAnsi" w:eastAsia="Times New Roman" w:hAnsiTheme="majorHAnsi" w:cstheme="majorHAnsi"/>
                <w:b/>
                <w:bCs/>
                <w:color w:val="0081E3"/>
                <w:szCs w:val="18"/>
              </w:rPr>
              <w:t>: ANNUALIZED UNIT COST TREND ASSUMPTIONS</w:t>
            </w:r>
          </w:p>
        </w:tc>
      </w:tr>
      <w:tr w:rsidR="00E3726A" w:rsidRPr="001126E5" w14:paraId="317CC4A5" w14:textId="77777777" w:rsidTr="001126E5">
        <w:trPr>
          <w:trHeight w:val="525"/>
          <w:jc w:val="center"/>
        </w:trPr>
        <w:tc>
          <w:tcPr>
            <w:tcW w:w="970" w:type="pct"/>
            <w:tcBorders>
              <w:top w:val="nil"/>
              <w:left w:val="nil"/>
              <w:bottom w:val="single" w:sz="4" w:space="0" w:color="C6C9CA"/>
              <w:right w:val="nil"/>
            </w:tcBorders>
            <w:shd w:val="clear" w:color="auto" w:fill="auto"/>
            <w:vAlign w:val="bottom"/>
            <w:hideMark/>
          </w:tcPr>
          <w:p w14:paraId="65ADDFEE" w14:textId="77777777" w:rsidR="00E3726A" w:rsidRPr="001126E5" w:rsidRDefault="00E3726A" w:rsidP="00E3726A">
            <w:pPr>
              <w:spacing w:after="0" w:line="240" w:lineRule="auto"/>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Population</w:t>
            </w:r>
          </w:p>
        </w:tc>
        <w:tc>
          <w:tcPr>
            <w:tcW w:w="458" w:type="pct"/>
            <w:tcBorders>
              <w:top w:val="nil"/>
              <w:left w:val="nil"/>
              <w:bottom w:val="single" w:sz="4" w:space="0" w:color="C6C9CA"/>
              <w:right w:val="nil"/>
            </w:tcBorders>
            <w:shd w:val="clear" w:color="auto" w:fill="auto"/>
            <w:vAlign w:val="bottom"/>
            <w:hideMark/>
          </w:tcPr>
          <w:p w14:paraId="5A749EAD" w14:textId="77777777" w:rsidR="00E3726A" w:rsidRPr="001126E5" w:rsidRDefault="00E3726A" w:rsidP="00E3726A">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Inpatient</w:t>
            </w:r>
          </w:p>
        </w:tc>
        <w:tc>
          <w:tcPr>
            <w:tcW w:w="549" w:type="pct"/>
            <w:tcBorders>
              <w:top w:val="nil"/>
              <w:left w:val="nil"/>
              <w:bottom w:val="single" w:sz="4" w:space="0" w:color="C6C9CA"/>
              <w:right w:val="nil"/>
            </w:tcBorders>
            <w:shd w:val="clear" w:color="auto" w:fill="auto"/>
            <w:vAlign w:val="bottom"/>
            <w:hideMark/>
          </w:tcPr>
          <w:p w14:paraId="46F83E4B" w14:textId="77777777" w:rsidR="00E3726A" w:rsidRPr="001126E5" w:rsidRDefault="00E3726A" w:rsidP="00E3726A">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Outpatient</w:t>
            </w:r>
          </w:p>
        </w:tc>
        <w:tc>
          <w:tcPr>
            <w:tcW w:w="576" w:type="pct"/>
            <w:tcBorders>
              <w:top w:val="nil"/>
              <w:left w:val="nil"/>
              <w:bottom w:val="single" w:sz="4" w:space="0" w:color="C6C9CA"/>
              <w:right w:val="nil"/>
            </w:tcBorders>
            <w:shd w:val="clear" w:color="auto" w:fill="auto"/>
            <w:vAlign w:val="bottom"/>
            <w:hideMark/>
          </w:tcPr>
          <w:p w14:paraId="3C7AAF38" w14:textId="77777777" w:rsidR="00E3726A" w:rsidRPr="001126E5" w:rsidRDefault="00E3726A" w:rsidP="00E3726A">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Emergency Room</w:t>
            </w:r>
          </w:p>
        </w:tc>
        <w:tc>
          <w:tcPr>
            <w:tcW w:w="616" w:type="pct"/>
            <w:tcBorders>
              <w:top w:val="nil"/>
              <w:left w:val="nil"/>
              <w:bottom w:val="single" w:sz="4" w:space="0" w:color="C6C9CA"/>
              <w:right w:val="nil"/>
            </w:tcBorders>
            <w:shd w:val="clear" w:color="auto" w:fill="auto"/>
            <w:vAlign w:val="bottom"/>
            <w:hideMark/>
          </w:tcPr>
          <w:p w14:paraId="49A0C75E" w14:textId="77777777" w:rsidR="00E3726A" w:rsidRPr="001126E5" w:rsidRDefault="00E3726A" w:rsidP="00E3726A">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Professional</w:t>
            </w:r>
          </w:p>
        </w:tc>
        <w:tc>
          <w:tcPr>
            <w:tcW w:w="457" w:type="pct"/>
            <w:tcBorders>
              <w:top w:val="nil"/>
              <w:left w:val="nil"/>
              <w:bottom w:val="single" w:sz="4" w:space="0" w:color="C6C9CA"/>
              <w:right w:val="nil"/>
            </w:tcBorders>
            <w:shd w:val="clear" w:color="auto" w:fill="auto"/>
            <w:vAlign w:val="bottom"/>
            <w:hideMark/>
          </w:tcPr>
          <w:p w14:paraId="380D3AB0" w14:textId="77777777" w:rsidR="00E3726A" w:rsidRPr="001126E5" w:rsidRDefault="00E3726A" w:rsidP="00E3726A">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Ancillary (Non-Hospice)</w:t>
            </w:r>
          </w:p>
        </w:tc>
        <w:tc>
          <w:tcPr>
            <w:tcW w:w="510" w:type="pct"/>
            <w:tcBorders>
              <w:top w:val="nil"/>
              <w:left w:val="nil"/>
              <w:bottom w:val="single" w:sz="4" w:space="0" w:color="C6C9CA"/>
              <w:right w:val="nil"/>
            </w:tcBorders>
            <w:shd w:val="clear" w:color="auto" w:fill="auto"/>
            <w:vAlign w:val="bottom"/>
            <w:hideMark/>
          </w:tcPr>
          <w:p w14:paraId="6E914E19" w14:textId="77777777" w:rsidR="00E3726A" w:rsidRPr="001126E5" w:rsidRDefault="00E3726A" w:rsidP="00E3726A">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Nursing Home and Hospice</w:t>
            </w:r>
          </w:p>
        </w:tc>
        <w:tc>
          <w:tcPr>
            <w:tcW w:w="358" w:type="pct"/>
            <w:tcBorders>
              <w:top w:val="nil"/>
              <w:left w:val="nil"/>
              <w:bottom w:val="single" w:sz="4" w:space="0" w:color="C6C9CA"/>
              <w:right w:val="nil"/>
            </w:tcBorders>
            <w:shd w:val="clear" w:color="auto" w:fill="auto"/>
            <w:vAlign w:val="bottom"/>
            <w:hideMark/>
          </w:tcPr>
          <w:p w14:paraId="576DFEF4" w14:textId="77777777" w:rsidR="00E3726A" w:rsidRPr="001126E5" w:rsidRDefault="00E3726A" w:rsidP="00E3726A">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HCBS</w:t>
            </w:r>
          </w:p>
        </w:tc>
        <w:tc>
          <w:tcPr>
            <w:tcW w:w="506" w:type="pct"/>
            <w:tcBorders>
              <w:top w:val="nil"/>
              <w:left w:val="nil"/>
              <w:bottom w:val="single" w:sz="4" w:space="0" w:color="C6C9CA"/>
              <w:right w:val="nil"/>
            </w:tcBorders>
            <w:shd w:val="clear" w:color="auto" w:fill="auto"/>
            <w:vAlign w:val="bottom"/>
            <w:hideMark/>
          </w:tcPr>
          <w:p w14:paraId="31DAC9CE" w14:textId="66B451F9" w:rsidR="00E3726A" w:rsidRPr="001126E5" w:rsidRDefault="00E3726A" w:rsidP="00E3726A">
            <w:pPr>
              <w:spacing w:after="0" w:line="240" w:lineRule="auto"/>
              <w:jc w:val="center"/>
              <w:rPr>
                <w:rFonts w:asciiTheme="majorHAnsi" w:eastAsia="Times New Roman" w:hAnsiTheme="majorHAnsi" w:cstheme="majorHAnsi"/>
                <w:b/>
                <w:bCs/>
                <w:sz w:val="16"/>
                <w:szCs w:val="16"/>
              </w:rPr>
            </w:pPr>
            <w:r>
              <w:rPr>
                <w:rFonts w:asciiTheme="majorHAnsi" w:eastAsia="Times New Roman" w:hAnsiTheme="majorHAnsi" w:cstheme="majorHAnsi"/>
                <w:b/>
                <w:bCs/>
                <w:color w:val="39414D"/>
                <w:sz w:val="16"/>
                <w:szCs w:val="16"/>
              </w:rPr>
              <w:t>Retail Pharmacy</w:t>
            </w:r>
          </w:p>
        </w:tc>
      </w:tr>
      <w:tr w:rsidR="00E3726A" w:rsidRPr="001126E5" w14:paraId="0D16ADAA" w14:textId="77777777" w:rsidTr="005B1D59">
        <w:trPr>
          <w:trHeight w:val="240"/>
          <w:jc w:val="center"/>
        </w:trPr>
        <w:tc>
          <w:tcPr>
            <w:tcW w:w="970" w:type="pct"/>
            <w:tcBorders>
              <w:top w:val="nil"/>
              <w:left w:val="nil"/>
              <w:bottom w:val="nil"/>
              <w:right w:val="nil"/>
            </w:tcBorders>
            <w:shd w:val="clear" w:color="auto" w:fill="auto"/>
            <w:noWrap/>
            <w:vAlign w:val="center"/>
            <w:hideMark/>
          </w:tcPr>
          <w:p w14:paraId="1A90BB7F" w14:textId="5CFEED65" w:rsidR="00E3726A" w:rsidRPr="003E5EAF" w:rsidRDefault="00E3726A" w:rsidP="00E3726A">
            <w:pPr>
              <w:spacing w:after="0" w:line="240" w:lineRule="auto"/>
              <w:rPr>
                <w:rFonts w:asciiTheme="majorHAnsi" w:eastAsia="Times New Roman" w:hAnsiTheme="majorHAnsi" w:cstheme="majorHAnsi"/>
                <w:color w:val="39414D"/>
                <w:sz w:val="16"/>
                <w:szCs w:val="16"/>
              </w:rPr>
            </w:pPr>
            <w:r w:rsidRPr="00BF5D11">
              <w:rPr>
                <w:rFonts w:ascii="Arial" w:hAnsi="Arial" w:cs="Arial"/>
                <w:color w:val="39414D"/>
                <w:sz w:val="16"/>
                <w:szCs w:val="16"/>
              </w:rPr>
              <w:t>RIte Care &lt;15</w:t>
            </w:r>
          </w:p>
        </w:tc>
        <w:tc>
          <w:tcPr>
            <w:tcW w:w="458" w:type="pct"/>
            <w:tcBorders>
              <w:top w:val="nil"/>
              <w:left w:val="nil"/>
              <w:bottom w:val="nil"/>
              <w:right w:val="nil"/>
            </w:tcBorders>
            <w:shd w:val="clear" w:color="auto" w:fill="auto"/>
            <w:noWrap/>
            <w:vAlign w:val="center"/>
            <w:hideMark/>
          </w:tcPr>
          <w:p w14:paraId="3D75AA8A" w14:textId="2EB9B711"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49" w:type="pct"/>
            <w:tcBorders>
              <w:top w:val="nil"/>
              <w:left w:val="nil"/>
              <w:bottom w:val="nil"/>
              <w:right w:val="nil"/>
            </w:tcBorders>
            <w:shd w:val="clear" w:color="auto" w:fill="auto"/>
            <w:noWrap/>
            <w:vAlign w:val="center"/>
            <w:hideMark/>
          </w:tcPr>
          <w:p w14:paraId="661C3AD6" w14:textId="25B0D973"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76" w:type="pct"/>
            <w:tcBorders>
              <w:top w:val="nil"/>
              <w:left w:val="nil"/>
              <w:bottom w:val="nil"/>
              <w:right w:val="nil"/>
            </w:tcBorders>
            <w:shd w:val="clear" w:color="auto" w:fill="auto"/>
            <w:noWrap/>
            <w:vAlign w:val="center"/>
            <w:hideMark/>
          </w:tcPr>
          <w:p w14:paraId="640A0140" w14:textId="0C92D531"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616" w:type="pct"/>
            <w:tcBorders>
              <w:top w:val="nil"/>
              <w:left w:val="nil"/>
              <w:bottom w:val="nil"/>
              <w:right w:val="nil"/>
            </w:tcBorders>
            <w:shd w:val="clear" w:color="auto" w:fill="auto"/>
            <w:noWrap/>
            <w:vAlign w:val="center"/>
            <w:hideMark/>
          </w:tcPr>
          <w:p w14:paraId="6EDEE876" w14:textId="7809660E"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457" w:type="pct"/>
            <w:tcBorders>
              <w:top w:val="nil"/>
              <w:left w:val="nil"/>
              <w:bottom w:val="nil"/>
              <w:right w:val="nil"/>
            </w:tcBorders>
            <w:shd w:val="clear" w:color="auto" w:fill="auto"/>
            <w:noWrap/>
            <w:vAlign w:val="center"/>
            <w:hideMark/>
          </w:tcPr>
          <w:p w14:paraId="7888EC80" w14:textId="1B9D1C34"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10" w:type="pct"/>
            <w:tcBorders>
              <w:top w:val="nil"/>
              <w:left w:val="nil"/>
              <w:bottom w:val="nil"/>
              <w:right w:val="nil"/>
            </w:tcBorders>
            <w:shd w:val="clear" w:color="auto" w:fill="auto"/>
            <w:noWrap/>
            <w:vAlign w:val="center"/>
            <w:hideMark/>
          </w:tcPr>
          <w:p w14:paraId="37E5F199" w14:textId="754FA6C4"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2.3% </w:t>
            </w:r>
          </w:p>
        </w:tc>
        <w:tc>
          <w:tcPr>
            <w:tcW w:w="358" w:type="pct"/>
            <w:tcBorders>
              <w:top w:val="nil"/>
              <w:left w:val="nil"/>
              <w:bottom w:val="nil"/>
              <w:right w:val="nil"/>
            </w:tcBorders>
            <w:shd w:val="clear" w:color="auto" w:fill="auto"/>
            <w:noWrap/>
            <w:vAlign w:val="center"/>
            <w:hideMark/>
          </w:tcPr>
          <w:p w14:paraId="0B72413E" w14:textId="0BBDB00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506" w:type="pct"/>
            <w:tcBorders>
              <w:top w:val="nil"/>
              <w:left w:val="nil"/>
              <w:bottom w:val="nil"/>
              <w:right w:val="nil"/>
            </w:tcBorders>
            <w:shd w:val="clear" w:color="auto" w:fill="auto"/>
            <w:noWrap/>
            <w:vAlign w:val="center"/>
            <w:hideMark/>
          </w:tcPr>
          <w:p w14:paraId="393DA604" w14:textId="0716DC15"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3.5% </w:t>
            </w:r>
          </w:p>
        </w:tc>
      </w:tr>
      <w:tr w:rsidR="00E3726A" w:rsidRPr="001126E5" w14:paraId="176DABFE" w14:textId="77777777" w:rsidTr="005B1D59">
        <w:trPr>
          <w:trHeight w:val="240"/>
          <w:jc w:val="center"/>
        </w:trPr>
        <w:tc>
          <w:tcPr>
            <w:tcW w:w="970" w:type="pct"/>
            <w:tcBorders>
              <w:top w:val="nil"/>
              <w:left w:val="nil"/>
              <w:bottom w:val="nil"/>
              <w:right w:val="nil"/>
            </w:tcBorders>
            <w:shd w:val="clear" w:color="000000" w:fill="E8E9E9"/>
            <w:noWrap/>
            <w:vAlign w:val="center"/>
            <w:hideMark/>
          </w:tcPr>
          <w:p w14:paraId="3A110DCD" w14:textId="05AECCBC" w:rsidR="00E3726A" w:rsidRPr="003E5EAF" w:rsidRDefault="00E3726A" w:rsidP="00E3726A">
            <w:pPr>
              <w:spacing w:after="0" w:line="240" w:lineRule="auto"/>
              <w:rPr>
                <w:rFonts w:asciiTheme="majorHAnsi" w:eastAsia="Times New Roman" w:hAnsiTheme="majorHAnsi" w:cstheme="majorHAnsi"/>
                <w:color w:val="39414D"/>
                <w:sz w:val="16"/>
                <w:szCs w:val="16"/>
              </w:rPr>
            </w:pPr>
            <w:r w:rsidRPr="00BF5D11">
              <w:rPr>
                <w:rFonts w:ascii="Arial" w:hAnsi="Arial" w:cs="Arial"/>
                <w:color w:val="39414D"/>
                <w:sz w:val="16"/>
                <w:szCs w:val="16"/>
              </w:rPr>
              <w:t>RIte Care 15+</w:t>
            </w:r>
          </w:p>
        </w:tc>
        <w:tc>
          <w:tcPr>
            <w:tcW w:w="458" w:type="pct"/>
            <w:tcBorders>
              <w:top w:val="nil"/>
              <w:left w:val="nil"/>
              <w:bottom w:val="nil"/>
              <w:right w:val="nil"/>
            </w:tcBorders>
            <w:shd w:val="clear" w:color="000000" w:fill="E8E9E9"/>
            <w:noWrap/>
            <w:vAlign w:val="center"/>
            <w:hideMark/>
          </w:tcPr>
          <w:p w14:paraId="3B4B5068" w14:textId="1305B573"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49" w:type="pct"/>
            <w:tcBorders>
              <w:top w:val="nil"/>
              <w:left w:val="nil"/>
              <w:bottom w:val="nil"/>
              <w:right w:val="nil"/>
            </w:tcBorders>
            <w:shd w:val="clear" w:color="000000" w:fill="E8E9E9"/>
            <w:noWrap/>
            <w:vAlign w:val="center"/>
            <w:hideMark/>
          </w:tcPr>
          <w:p w14:paraId="535884F0" w14:textId="5D0EA982"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76" w:type="pct"/>
            <w:tcBorders>
              <w:top w:val="nil"/>
              <w:left w:val="nil"/>
              <w:bottom w:val="nil"/>
              <w:right w:val="nil"/>
            </w:tcBorders>
            <w:shd w:val="clear" w:color="000000" w:fill="E8E9E9"/>
            <w:noWrap/>
            <w:vAlign w:val="center"/>
            <w:hideMark/>
          </w:tcPr>
          <w:p w14:paraId="05F0DF41" w14:textId="1689CAE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616" w:type="pct"/>
            <w:tcBorders>
              <w:top w:val="nil"/>
              <w:left w:val="nil"/>
              <w:bottom w:val="nil"/>
              <w:right w:val="nil"/>
            </w:tcBorders>
            <w:shd w:val="clear" w:color="000000" w:fill="E8E9E9"/>
            <w:noWrap/>
            <w:vAlign w:val="center"/>
            <w:hideMark/>
          </w:tcPr>
          <w:p w14:paraId="04B181F4" w14:textId="3F3AB2C0"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457" w:type="pct"/>
            <w:tcBorders>
              <w:top w:val="nil"/>
              <w:left w:val="nil"/>
              <w:bottom w:val="nil"/>
              <w:right w:val="nil"/>
            </w:tcBorders>
            <w:shd w:val="clear" w:color="000000" w:fill="E8E9E9"/>
            <w:noWrap/>
            <w:vAlign w:val="center"/>
            <w:hideMark/>
          </w:tcPr>
          <w:p w14:paraId="28D3301B" w14:textId="49E8429F"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10" w:type="pct"/>
            <w:tcBorders>
              <w:top w:val="nil"/>
              <w:left w:val="nil"/>
              <w:bottom w:val="nil"/>
              <w:right w:val="nil"/>
            </w:tcBorders>
            <w:shd w:val="clear" w:color="000000" w:fill="E8E9E9"/>
            <w:noWrap/>
            <w:vAlign w:val="center"/>
            <w:hideMark/>
          </w:tcPr>
          <w:p w14:paraId="48E933B4" w14:textId="6E50A38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2.3% </w:t>
            </w:r>
          </w:p>
        </w:tc>
        <w:tc>
          <w:tcPr>
            <w:tcW w:w="358" w:type="pct"/>
            <w:tcBorders>
              <w:top w:val="nil"/>
              <w:left w:val="nil"/>
              <w:bottom w:val="nil"/>
              <w:right w:val="nil"/>
            </w:tcBorders>
            <w:shd w:val="clear" w:color="000000" w:fill="E8E9E9"/>
            <w:noWrap/>
            <w:vAlign w:val="center"/>
            <w:hideMark/>
          </w:tcPr>
          <w:p w14:paraId="35716D90" w14:textId="269F579A"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506" w:type="pct"/>
            <w:tcBorders>
              <w:top w:val="nil"/>
              <w:left w:val="nil"/>
              <w:bottom w:val="nil"/>
              <w:right w:val="nil"/>
            </w:tcBorders>
            <w:shd w:val="clear" w:color="000000" w:fill="E8E9E9"/>
            <w:noWrap/>
            <w:vAlign w:val="center"/>
            <w:hideMark/>
          </w:tcPr>
          <w:p w14:paraId="5B84F9BD" w14:textId="49F080B1"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5.5% </w:t>
            </w:r>
          </w:p>
        </w:tc>
      </w:tr>
      <w:tr w:rsidR="00E3726A" w:rsidRPr="001126E5" w14:paraId="6D89B436" w14:textId="77777777" w:rsidTr="005B1D59">
        <w:trPr>
          <w:trHeight w:val="240"/>
          <w:jc w:val="center"/>
        </w:trPr>
        <w:tc>
          <w:tcPr>
            <w:tcW w:w="970" w:type="pct"/>
            <w:tcBorders>
              <w:top w:val="nil"/>
              <w:left w:val="nil"/>
              <w:bottom w:val="nil"/>
              <w:right w:val="nil"/>
            </w:tcBorders>
            <w:shd w:val="clear" w:color="auto" w:fill="auto"/>
            <w:noWrap/>
            <w:vAlign w:val="center"/>
            <w:hideMark/>
          </w:tcPr>
          <w:p w14:paraId="656BEB10" w14:textId="75C3F830" w:rsidR="00E3726A" w:rsidRPr="003E5EAF" w:rsidRDefault="00E3726A" w:rsidP="00E3726A">
            <w:pPr>
              <w:spacing w:after="0" w:line="240" w:lineRule="auto"/>
              <w:rPr>
                <w:rFonts w:asciiTheme="majorHAnsi" w:eastAsia="Times New Roman" w:hAnsiTheme="majorHAnsi" w:cstheme="majorHAnsi"/>
                <w:color w:val="39414D"/>
                <w:sz w:val="16"/>
                <w:szCs w:val="16"/>
              </w:rPr>
            </w:pPr>
            <w:r w:rsidRPr="00BF5D11">
              <w:rPr>
                <w:rFonts w:ascii="Arial" w:hAnsi="Arial" w:cs="Arial"/>
                <w:color w:val="39414D"/>
                <w:sz w:val="16"/>
                <w:szCs w:val="16"/>
              </w:rPr>
              <w:t>EFP</w:t>
            </w:r>
          </w:p>
        </w:tc>
        <w:tc>
          <w:tcPr>
            <w:tcW w:w="458" w:type="pct"/>
            <w:tcBorders>
              <w:top w:val="nil"/>
              <w:left w:val="nil"/>
              <w:bottom w:val="nil"/>
              <w:right w:val="nil"/>
            </w:tcBorders>
            <w:shd w:val="clear" w:color="auto" w:fill="auto"/>
            <w:noWrap/>
            <w:vAlign w:val="center"/>
            <w:hideMark/>
          </w:tcPr>
          <w:p w14:paraId="7825C310" w14:textId="2A85E6A9"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49" w:type="pct"/>
            <w:tcBorders>
              <w:top w:val="nil"/>
              <w:left w:val="nil"/>
              <w:bottom w:val="nil"/>
              <w:right w:val="nil"/>
            </w:tcBorders>
            <w:shd w:val="clear" w:color="auto" w:fill="auto"/>
            <w:noWrap/>
            <w:vAlign w:val="center"/>
            <w:hideMark/>
          </w:tcPr>
          <w:p w14:paraId="5BB93F7C" w14:textId="6DEEAB7F"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76" w:type="pct"/>
            <w:tcBorders>
              <w:top w:val="nil"/>
              <w:left w:val="nil"/>
              <w:bottom w:val="nil"/>
              <w:right w:val="nil"/>
            </w:tcBorders>
            <w:shd w:val="clear" w:color="auto" w:fill="auto"/>
            <w:noWrap/>
            <w:vAlign w:val="center"/>
            <w:hideMark/>
          </w:tcPr>
          <w:p w14:paraId="6CC56FDB" w14:textId="783619A0"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616" w:type="pct"/>
            <w:tcBorders>
              <w:top w:val="nil"/>
              <w:left w:val="nil"/>
              <w:bottom w:val="nil"/>
              <w:right w:val="nil"/>
            </w:tcBorders>
            <w:shd w:val="clear" w:color="auto" w:fill="auto"/>
            <w:noWrap/>
            <w:vAlign w:val="center"/>
            <w:hideMark/>
          </w:tcPr>
          <w:p w14:paraId="6D610F67" w14:textId="4E81FDF2"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457" w:type="pct"/>
            <w:tcBorders>
              <w:top w:val="nil"/>
              <w:left w:val="nil"/>
              <w:bottom w:val="nil"/>
              <w:right w:val="nil"/>
            </w:tcBorders>
            <w:shd w:val="clear" w:color="auto" w:fill="auto"/>
            <w:noWrap/>
            <w:vAlign w:val="center"/>
            <w:hideMark/>
          </w:tcPr>
          <w:p w14:paraId="3F98E385" w14:textId="6BF7F943"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10" w:type="pct"/>
            <w:tcBorders>
              <w:top w:val="nil"/>
              <w:left w:val="nil"/>
              <w:bottom w:val="nil"/>
              <w:right w:val="nil"/>
            </w:tcBorders>
            <w:shd w:val="clear" w:color="auto" w:fill="auto"/>
            <w:noWrap/>
            <w:vAlign w:val="center"/>
            <w:hideMark/>
          </w:tcPr>
          <w:p w14:paraId="675D3DF4" w14:textId="23228311"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2.3% </w:t>
            </w:r>
          </w:p>
        </w:tc>
        <w:tc>
          <w:tcPr>
            <w:tcW w:w="358" w:type="pct"/>
            <w:tcBorders>
              <w:top w:val="nil"/>
              <w:left w:val="nil"/>
              <w:bottom w:val="nil"/>
              <w:right w:val="nil"/>
            </w:tcBorders>
            <w:shd w:val="clear" w:color="auto" w:fill="auto"/>
            <w:noWrap/>
            <w:vAlign w:val="center"/>
            <w:hideMark/>
          </w:tcPr>
          <w:p w14:paraId="7F1EB545" w14:textId="7E0AE33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506" w:type="pct"/>
            <w:tcBorders>
              <w:top w:val="nil"/>
              <w:left w:val="nil"/>
              <w:bottom w:val="nil"/>
              <w:right w:val="nil"/>
            </w:tcBorders>
            <w:shd w:val="clear" w:color="auto" w:fill="auto"/>
            <w:noWrap/>
            <w:vAlign w:val="center"/>
            <w:hideMark/>
          </w:tcPr>
          <w:p w14:paraId="581D0D07" w14:textId="02BC809E"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2.0% </w:t>
            </w:r>
          </w:p>
        </w:tc>
      </w:tr>
      <w:tr w:rsidR="00E3726A" w:rsidRPr="001126E5" w14:paraId="2E5257BE" w14:textId="77777777" w:rsidTr="005B1D59">
        <w:trPr>
          <w:trHeight w:val="240"/>
          <w:jc w:val="center"/>
        </w:trPr>
        <w:tc>
          <w:tcPr>
            <w:tcW w:w="970" w:type="pct"/>
            <w:tcBorders>
              <w:top w:val="nil"/>
              <w:left w:val="nil"/>
              <w:bottom w:val="nil"/>
              <w:right w:val="nil"/>
            </w:tcBorders>
            <w:shd w:val="clear" w:color="000000" w:fill="E8E9E9"/>
            <w:noWrap/>
            <w:vAlign w:val="center"/>
            <w:hideMark/>
          </w:tcPr>
          <w:p w14:paraId="56D36052" w14:textId="5D76133F" w:rsidR="00E3726A" w:rsidRPr="003E5EAF" w:rsidRDefault="00E3726A" w:rsidP="00E3726A">
            <w:pPr>
              <w:spacing w:after="0" w:line="240" w:lineRule="auto"/>
              <w:rPr>
                <w:rFonts w:asciiTheme="majorHAnsi" w:eastAsia="Times New Roman" w:hAnsiTheme="majorHAnsi" w:cstheme="majorHAnsi"/>
                <w:color w:val="39414D"/>
                <w:sz w:val="16"/>
                <w:szCs w:val="16"/>
              </w:rPr>
            </w:pPr>
            <w:r w:rsidRPr="00BF5D11">
              <w:rPr>
                <w:rFonts w:ascii="Arial" w:hAnsi="Arial" w:cs="Arial"/>
                <w:color w:val="39414D"/>
                <w:sz w:val="16"/>
                <w:szCs w:val="16"/>
              </w:rPr>
              <w:t>CSHCN</w:t>
            </w:r>
          </w:p>
        </w:tc>
        <w:tc>
          <w:tcPr>
            <w:tcW w:w="458" w:type="pct"/>
            <w:tcBorders>
              <w:top w:val="nil"/>
              <w:left w:val="nil"/>
              <w:bottom w:val="nil"/>
              <w:right w:val="nil"/>
            </w:tcBorders>
            <w:shd w:val="clear" w:color="000000" w:fill="E8E9E9"/>
            <w:noWrap/>
            <w:vAlign w:val="center"/>
            <w:hideMark/>
          </w:tcPr>
          <w:p w14:paraId="0623086D" w14:textId="149EDEC7"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49" w:type="pct"/>
            <w:tcBorders>
              <w:top w:val="nil"/>
              <w:left w:val="nil"/>
              <w:bottom w:val="nil"/>
              <w:right w:val="nil"/>
            </w:tcBorders>
            <w:shd w:val="clear" w:color="000000" w:fill="E8E9E9"/>
            <w:noWrap/>
            <w:vAlign w:val="center"/>
            <w:hideMark/>
          </w:tcPr>
          <w:p w14:paraId="090700E3" w14:textId="2DD546A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76" w:type="pct"/>
            <w:tcBorders>
              <w:top w:val="nil"/>
              <w:left w:val="nil"/>
              <w:bottom w:val="nil"/>
              <w:right w:val="nil"/>
            </w:tcBorders>
            <w:shd w:val="clear" w:color="000000" w:fill="E8E9E9"/>
            <w:noWrap/>
            <w:vAlign w:val="center"/>
            <w:hideMark/>
          </w:tcPr>
          <w:p w14:paraId="6CB9BC49" w14:textId="6A04FED0"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616" w:type="pct"/>
            <w:tcBorders>
              <w:top w:val="nil"/>
              <w:left w:val="nil"/>
              <w:bottom w:val="nil"/>
              <w:right w:val="nil"/>
            </w:tcBorders>
            <w:shd w:val="clear" w:color="000000" w:fill="E8E9E9"/>
            <w:noWrap/>
            <w:vAlign w:val="center"/>
            <w:hideMark/>
          </w:tcPr>
          <w:p w14:paraId="2C7922B9" w14:textId="5CB0529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457" w:type="pct"/>
            <w:tcBorders>
              <w:top w:val="nil"/>
              <w:left w:val="nil"/>
              <w:bottom w:val="nil"/>
              <w:right w:val="nil"/>
            </w:tcBorders>
            <w:shd w:val="clear" w:color="000000" w:fill="E8E9E9"/>
            <w:noWrap/>
            <w:vAlign w:val="center"/>
            <w:hideMark/>
          </w:tcPr>
          <w:p w14:paraId="3E35E3C1" w14:textId="735D73A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10" w:type="pct"/>
            <w:tcBorders>
              <w:top w:val="nil"/>
              <w:left w:val="nil"/>
              <w:bottom w:val="nil"/>
              <w:right w:val="nil"/>
            </w:tcBorders>
            <w:shd w:val="clear" w:color="000000" w:fill="E8E9E9"/>
            <w:noWrap/>
            <w:vAlign w:val="center"/>
            <w:hideMark/>
          </w:tcPr>
          <w:p w14:paraId="346F4712" w14:textId="632B813F"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2.3% </w:t>
            </w:r>
          </w:p>
        </w:tc>
        <w:tc>
          <w:tcPr>
            <w:tcW w:w="358" w:type="pct"/>
            <w:tcBorders>
              <w:top w:val="nil"/>
              <w:left w:val="nil"/>
              <w:bottom w:val="nil"/>
              <w:right w:val="nil"/>
            </w:tcBorders>
            <w:shd w:val="clear" w:color="000000" w:fill="E8E9E9"/>
            <w:noWrap/>
            <w:vAlign w:val="center"/>
            <w:hideMark/>
          </w:tcPr>
          <w:p w14:paraId="2C063CDB" w14:textId="170A402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06" w:type="pct"/>
            <w:tcBorders>
              <w:top w:val="nil"/>
              <w:left w:val="nil"/>
              <w:bottom w:val="nil"/>
              <w:right w:val="nil"/>
            </w:tcBorders>
            <w:shd w:val="clear" w:color="000000" w:fill="E8E9E9"/>
            <w:noWrap/>
            <w:vAlign w:val="center"/>
            <w:hideMark/>
          </w:tcPr>
          <w:p w14:paraId="065963B2" w14:textId="7F4BF214"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3.5% </w:t>
            </w:r>
          </w:p>
        </w:tc>
      </w:tr>
      <w:tr w:rsidR="00E3726A" w:rsidRPr="001126E5" w14:paraId="381AFCCD" w14:textId="77777777" w:rsidTr="005B1D59">
        <w:trPr>
          <w:trHeight w:val="240"/>
          <w:jc w:val="center"/>
        </w:trPr>
        <w:tc>
          <w:tcPr>
            <w:tcW w:w="970" w:type="pct"/>
            <w:tcBorders>
              <w:top w:val="nil"/>
              <w:left w:val="nil"/>
              <w:bottom w:val="nil"/>
              <w:right w:val="nil"/>
            </w:tcBorders>
            <w:shd w:val="clear" w:color="auto" w:fill="auto"/>
            <w:noWrap/>
            <w:vAlign w:val="center"/>
            <w:hideMark/>
          </w:tcPr>
          <w:p w14:paraId="27FCD0B8" w14:textId="77777777" w:rsidR="00E3726A" w:rsidRPr="001126E5" w:rsidRDefault="00E3726A" w:rsidP="00E3726A">
            <w:pPr>
              <w:spacing w:after="0" w:line="240" w:lineRule="auto"/>
              <w:rPr>
                <w:rFonts w:asciiTheme="majorHAnsi" w:eastAsia="Times New Roman" w:hAnsiTheme="majorHAnsi" w:cstheme="majorHAnsi"/>
                <w:color w:val="39414D"/>
                <w:sz w:val="16"/>
                <w:szCs w:val="16"/>
              </w:rPr>
            </w:pPr>
            <w:r w:rsidRPr="001126E5">
              <w:rPr>
                <w:rFonts w:asciiTheme="majorHAnsi" w:eastAsia="Times New Roman" w:hAnsiTheme="majorHAnsi" w:cstheme="majorHAnsi"/>
                <w:color w:val="39414D"/>
                <w:sz w:val="16"/>
                <w:szCs w:val="16"/>
              </w:rPr>
              <w:t>Medicaid Expansion</w:t>
            </w:r>
          </w:p>
        </w:tc>
        <w:tc>
          <w:tcPr>
            <w:tcW w:w="458" w:type="pct"/>
            <w:tcBorders>
              <w:top w:val="nil"/>
              <w:left w:val="nil"/>
              <w:bottom w:val="nil"/>
              <w:right w:val="nil"/>
            </w:tcBorders>
            <w:shd w:val="clear" w:color="auto" w:fill="auto"/>
            <w:noWrap/>
            <w:vAlign w:val="center"/>
            <w:hideMark/>
          </w:tcPr>
          <w:p w14:paraId="28DFDB44" w14:textId="1F92E845"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49" w:type="pct"/>
            <w:tcBorders>
              <w:top w:val="nil"/>
              <w:left w:val="nil"/>
              <w:bottom w:val="nil"/>
              <w:right w:val="nil"/>
            </w:tcBorders>
            <w:shd w:val="clear" w:color="auto" w:fill="auto"/>
            <w:noWrap/>
            <w:vAlign w:val="center"/>
            <w:hideMark/>
          </w:tcPr>
          <w:p w14:paraId="2EEB90ED" w14:textId="61E5746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76" w:type="pct"/>
            <w:tcBorders>
              <w:top w:val="nil"/>
              <w:left w:val="nil"/>
              <w:bottom w:val="nil"/>
              <w:right w:val="nil"/>
            </w:tcBorders>
            <w:shd w:val="clear" w:color="auto" w:fill="auto"/>
            <w:noWrap/>
            <w:vAlign w:val="center"/>
            <w:hideMark/>
          </w:tcPr>
          <w:p w14:paraId="1E23AA0B" w14:textId="3AAFB5B7"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616" w:type="pct"/>
            <w:tcBorders>
              <w:top w:val="nil"/>
              <w:left w:val="nil"/>
              <w:bottom w:val="nil"/>
              <w:right w:val="nil"/>
            </w:tcBorders>
            <w:shd w:val="clear" w:color="auto" w:fill="auto"/>
            <w:noWrap/>
            <w:vAlign w:val="center"/>
            <w:hideMark/>
          </w:tcPr>
          <w:p w14:paraId="593F2895" w14:textId="01DAF19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457" w:type="pct"/>
            <w:tcBorders>
              <w:top w:val="nil"/>
              <w:left w:val="nil"/>
              <w:bottom w:val="nil"/>
              <w:right w:val="nil"/>
            </w:tcBorders>
            <w:shd w:val="clear" w:color="auto" w:fill="auto"/>
            <w:noWrap/>
            <w:vAlign w:val="center"/>
            <w:hideMark/>
          </w:tcPr>
          <w:p w14:paraId="6704CBFF" w14:textId="47730BF7"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10" w:type="pct"/>
            <w:tcBorders>
              <w:top w:val="nil"/>
              <w:left w:val="nil"/>
              <w:bottom w:val="nil"/>
              <w:right w:val="nil"/>
            </w:tcBorders>
            <w:shd w:val="clear" w:color="auto" w:fill="auto"/>
            <w:noWrap/>
            <w:vAlign w:val="center"/>
            <w:hideMark/>
          </w:tcPr>
          <w:p w14:paraId="3E12D6BF" w14:textId="239EE1F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2.3% </w:t>
            </w:r>
          </w:p>
        </w:tc>
        <w:tc>
          <w:tcPr>
            <w:tcW w:w="358" w:type="pct"/>
            <w:tcBorders>
              <w:top w:val="nil"/>
              <w:left w:val="nil"/>
              <w:bottom w:val="nil"/>
              <w:right w:val="nil"/>
            </w:tcBorders>
            <w:shd w:val="clear" w:color="auto" w:fill="auto"/>
            <w:noWrap/>
            <w:vAlign w:val="center"/>
            <w:hideMark/>
          </w:tcPr>
          <w:p w14:paraId="73C52072" w14:textId="214FAC6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506" w:type="pct"/>
            <w:tcBorders>
              <w:top w:val="nil"/>
              <w:left w:val="nil"/>
              <w:bottom w:val="nil"/>
              <w:right w:val="nil"/>
            </w:tcBorders>
            <w:shd w:val="clear" w:color="auto" w:fill="auto"/>
            <w:noWrap/>
            <w:vAlign w:val="center"/>
            <w:hideMark/>
          </w:tcPr>
          <w:p w14:paraId="6C7AA50E" w14:textId="0895C5EF"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5.5% </w:t>
            </w:r>
          </w:p>
        </w:tc>
      </w:tr>
      <w:tr w:rsidR="00E3726A" w:rsidRPr="001126E5" w14:paraId="34B062C3" w14:textId="77777777" w:rsidTr="005B1D59">
        <w:trPr>
          <w:trHeight w:val="240"/>
          <w:jc w:val="center"/>
        </w:trPr>
        <w:tc>
          <w:tcPr>
            <w:tcW w:w="970" w:type="pct"/>
            <w:tcBorders>
              <w:top w:val="nil"/>
              <w:left w:val="nil"/>
              <w:bottom w:val="nil"/>
              <w:right w:val="nil"/>
            </w:tcBorders>
            <w:shd w:val="clear" w:color="000000" w:fill="E8E9E9"/>
            <w:noWrap/>
            <w:vAlign w:val="center"/>
            <w:hideMark/>
          </w:tcPr>
          <w:p w14:paraId="7E6121E8" w14:textId="77777777" w:rsidR="00E3726A" w:rsidRPr="001126E5" w:rsidRDefault="00E3726A" w:rsidP="00E3726A">
            <w:pPr>
              <w:spacing w:after="0" w:line="240" w:lineRule="auto"/>
              <w:rPr>
                <w:rFonts w:asciiTheme="majorHAnsi" w:eastAsia="Times New Roman" w:hAnsiTheme="majorHAnsi" w:cstheme="majorHAnsi"/>
                <w:color w:val="39414D"/>
                <w:sz w:val="16"/>
                <w:szCs w:val="16"/>
              </w:rPr>
            </w:pPr>
            <w:r w:rsidRPr="001126E5">
              <w:rPr>
                <w:rFonts w:asciiTheme="majorHAnsi" w:eastAsia="Times New Roman" w:hAnsiTheme="majorHAnsi" w:cstheme="majorHAnsi"/>
                <w:color w:val="39414D"/>
                <w:sz w:val="16"/>
                <w:szCs w:val="16"/>
              </w:rPr>
              <w:t>Rhody Health Partners</w:t>
            </w:r>
          </w:p>
        </w:tc>
        <w:tc>
          <w:tcPr>
            <w:tcW w:w="458" w:type="pct"/>
            <w:tcBorders>
              <w:top w:val="nil"/>
              <w:left w:val="nil"/>
              <w:bottom w:val="nil"/>
              <w:right w:val="nil"/>
            </w:tcBorders>
            <w:shd w:val="clear" w:color="000000" w:fill="E8E9E9"/>
            <w:noWrap/>
            <w:vAlign w:val="center"/>
            <w:hideMark/>
          </w:tcPr>
          <w:p w14:paraId="6F5EAE86" w14:textId="74D7257B"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49" w:type="pct"/>
            <w:tcBorders>
              <w:top w:val="nil"/>
              <w:left w:val="nil"/>
              <w:bottom w:val="nil"/>
              <w:right w:val="nil"/>
            </w:tcBorders>
            <w:shd w:val="clear" w:color="000000" w:fill="E8E9E9"/>
            <w:noWrap/>
            <w:vAlign w:val="center"/>
            <w:hideMark/>
          </w:tcPr>
          <w:p w14:paraId="1E5A4497" w14:textId="7CC5E0B5"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76" w:type="pct"/>
            <w:tcBorders>
              <w:top w:val="nil"/>
              <w:left w:val="nil"/>
              <w:bottom w:val="nil"/>
              <w:right w:val="nil"/>
            </w:tcBorders>
            <w:shd w:val="clear" w:color="000000" w:fill="E8E9E9"/>
            <w:noWrap/>
            <w:vAlign w:val="center"/>
            <w:hideMark/>
          </w:tcPr>
          <w:p w14:paraId="08061CB7" w14:textId="4E4A77D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616" w:type="pct"/>
            <w:tcBorders>
              <w:top w:val="nil"/>
              <w:left w:val="nil"/>
              <w:bottom w:val="nil"/>
              <w:right w:val="nil"/>
            </w:tcBorders>
            <w:shd w:val="clear" w:color="000000" w:fill="E8E9E9"/>
            <w:noWrap/>
            <w:vAlign w:val="center"/>
            <w:hideMark/>
          </w:tcPr>
          <w:p w14:paraId="6D88535F" w14:textId="19E539B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457" w:type="pct"/>
            <w:tcBorders>
              <w:top w:val="nil"/>
              <w:left w:val="nil"/>
              <w:bottom w:val="nil"/>
              <w:right w:val="nil"/>
            </w:tcBorders>
            <w:shd w:val="clear" w:color="000000" w:fill="E8E9E9"/>
            <w:noWrap/>
            <w:vAlign w:val="center"/>
            <w:hideMark/>
          </w:tcPr>
          <w:p w14:paraId="21F35AE0" w14:textId="09E418EB"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510" w:type="pct"/>
            <w:tcBorders>
              <w:top w:val="nil"/>
              <w:left w:val="nil"/>
              <w:bottom w:val="nil"/>
              <w:right w:val="nil"/>
            </w:tcBorders>
            <w:shd w:val="clear" w:color="000000" w:fill="E8E9E9"/>
            <w:noWrap/>
            <w:vAlign w:val="center"/>
            <w:hideMark/>
          </w:tcPr>
          <w:p w14:paraId="0FF2047E" w14:textId="0E9CB761"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2.3% </w:t>
            </w:r>
          </w:p>
        </w:tc>
        <w:tc>
          <w:tcPr>
            <w:tcW w:w="358" w:type="pct"/>
            <w:tcBorders>
              <w:top w:val="nil"/>
              <w:left w:val="nil"/>
              <w:bottom w:val="nil"/>
              <w:right w:val="nil"/>
            </w:tcBorders>
            <w:shd w:val="clear" w:color="000000" w:fill="E8E9E9"/>
            <w:noWrap/>
            <w:vAlign w:val="center"/>
            <w:hideMark/>
          </w:tcPr>
          <w:p w14:paraId="52A30354" w14:textId="2D33CD12"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506" w:type="pct"/>
            <w:tcBorders>
              <w:top w:val="nil"/>
              <w:left w:val="nil"/>
              <w:bottom w:val="nil"/>
              <w:right w:val="nil"/>
            </w:tcBorders>
            <w:shd w:val="clear" w:color="000000" w:fill="E8E9E9"/>
            <w:noWrap/>
            <w:vAlign w:val="center"/>
            <w:hideMark/>
          </w:tcPr>
          <w:p w14:paraId="52C39823" w14:textId="374EF44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6.0% </w:t>
            </w:r>
          </w:p>
        </w:tc>
      </w:tr>
      <w:tr w:rsidR="00E3726A" w:rsidRPr="001126E5" w14:paraId="5C8D5BB9" w14:textId="77777777" w:rsidTr="005B1D59">
        <w:trPr>
          <w:trHeight w:val="240"/>
          <w:jc w:val="center"/>
        </w:trPr>
        <w:tc>
          <w:tcPr>
            <w:tcW w:w="970" w:type="pct"/>
            <w:tcBorders>
              <w:top w:val="nil"/>
              <w:left w:val="nil"/>
              <w:bottom w:val="nil"/>
              <w:right w:val="nil"/>
            </w:tcBorders>
            <w:shd w:val="clear" w:color="auto" w:fill="auto"/>
            <w:noWrap/>
            <w:vAlign w:val="center"/>
            <w:hideMark/>
          </w:tcPr>
          <w:p w14:paraId="6DC9A9D4" w14:textId="77777777" w:rsidR="00E3726A" w:rsidRPr="001126E5" w:rsidRDefault="00E3726A" w:rsidP="00E3726A">
            <w:pPr>
              <w:spacing w:after="0" w:line="240" w:lineRule="auto"/>
              <w:rPr>
                <w:rFonts w:asciiTheme="majorHAnsi" w:eastAsia="Times New Roman" w:hAnsiTheme="majorHAnsi" w:cstheme="majorHAnsi"/>
                <w:color w:val="39414D"/>
                <w:sz w:val="16"/>
                <w:szCs w:val="16"/>
              </w:rPr>
            </w:pPr>
            <w:r w:rsidRPr="001126E5">
              <w:rPr>
                <w:rFonts w:asciiTheme="majorHAnsi" w:eastAsia="Times New Roman" w:hAnsiTheme="majorHAnsi" w:cstheme="majorHAnsi"/>
                <w:color w:val="39414D"/>
                <w:sz w:val="16"/>
                <w:szCs w:val="16"/>
              </w:rPr>
              <w:t>SOBRA</w:t>
            </w:r>
          </w:p>
        </w:tc>
        <w:tc>
          <w:tcPr>
            <w:tcW w:w="458" w:type="pct"/>
            <w:tcBorders>
              <w:top w:val="nil"/>
              <w:left w:val="nil"/>
              <w:bottom w:val="nil"/>
              <w:right w:val="nil"/>
            </w:tcBorders>
            <w:shd w:val="clear" w:color="auto" w:fill="auto"/>
            <w:noWrap/>
            <w:vAlign w:val="center"/>
            <w:hideMark/>
          </w:tcPr>
          <w:p w14:paraId="6C8525CB" w14:textId="6AFEC965"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49" w:type="pct"/>
            <w:tcBorders>
              <w:top w:val="nil"/>
              <w:left w:val="nil"/>
              <w:bottom w:val="nil"/>
              <w:right w:val="nil"/>
            </w:tcBorders>
            <w:shd w:val="clear" w:color="auto" w:fill="auto"/>
            <w:noWrap/>
            <w:vAlign w:val="center"/>
            <w:hideMark/>
          </w:tcPr>
          <w:p w14:paraId="4B07DFA5" w14:textId="4B8113F6"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576" w:type="pct"/>
            <w:tcBorders>
              <w:top w:val="nil"/>
              <w:left w:val="nil"/>
              <w:bottom w:val="nil"/>
              <w:right w:val="nil"/>
            </w:tcBorders>
            <w:shd w:val="clear" w:color="auto" w:fill="auto"/>
            <w:noWrap/>
            <w:vAlign w:val="center"/>
            <w:hideMark/>
          </w:tcPr>
          <w:p w14:paraId="081BA35F" w14:textId="31E7B057"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3.0% </w:t>
            </w:r>
          </w:p>
        </w:tc>
        <w:tc>
          <w:tcPr>
            <w:tcW w:w="616" w:type="pct"/>
            <w:tcBorders>
              <w:top w:val="nil"/>
              <w:left w:val="nil"/>
              <w:bottom w:val="nil"/>
              <w:right w:val="nil"/>
            </w:tcBorders>
            <w:shd w:val="clear" w:color="auto" w:fill="auto"/>
            <w:noWrap/>
            <w:vAlign w:val="center"/>
            <w:hideMark/>
          </w:tcPr>
          <w:p w14:paraId="2757329A" w14:textId="2064C9A2"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457" w:type="pct"/>
            <w:tcBorders>
              <w:top w:val="nil"/>
              <w:left w:val="nil"/>
              <w:bottom w:val="nil"/>
              <w:right w:val="nil"/>
            </w:tcBorders>
            <w:shd w:val="clear" w:color="auto" w:fill="auto"/>
            <w:noWrap/>
            <w:vAlign w:val="center"/>
            <w:hideMark/>
          </w:tcPr>
          <w:p w14:paraId="573D1589" w14:textId="5597FF07"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2.0% </w:t>
            </w:r>
          </w:p>
        </w:tc>
        <w:tc>
          <w:tcPr>
            <w:tcW w:w="510" w:type="pct"/>
            <w:tcBorders>
              <w:top w:val="nil"/>
              <w:left w:val="nil"/>
              <w:bottom w:val="nil"/>
              <w:right w:val="nil"/>
            </w:tcBorders>
            <w:shd w:val="clear" w:color="auto" w:fill="auto"/>
            <w:noWrap/>
            <w:vAlign w:val="center"/>
            <w:hideMark/>
          </w:tcPr>
          <w:p w14:paraId="5D700F92" w14:textId="431F8BB4"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2.3% </w:t>
            </w:r>
          </w:p>
        </w:tc>
        <w:tc>
          <w:tcPr>
            <w:tcW w:w="358" w:type="pct"/>
            <w:tcBorders>
              <w:top w:val="nil"/>
              <w:left w:val="nil"/>
              <w:bottom w:val="nil"/>
              <w:right w:val="nil"/>
            </w:tcBorders>
            <w:shd w:val="clear" w:color="auto" w:fill="auto"/>
            <w:noWrap/>
            <w:vAlign w:val="center"/>
            <w:hideMark/>
          </w:tcPr>
          <w:p w14:paraId="2F1235F9" w14:textId="2C3F6244"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506" w:type="pct"/>
            <w:tcBorders>
              <w:top w:val="nil"/>
              <w:left w:val="nil"/>
              <w:bottom w:val="nil"/>
              <w:right w:val="nil"/>
            </w:tcBorders>
            <w:shd w:val="clear" w:color="auto" w:fill="auto"/>
            <w:noWrap/>
            <w:vAlign w:val="center"/>
            <w:hideMark/>
          </w:tcPr>
          <w:p w14:paraId="68AD5471" w14:textId="16A9976F"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0.0% </w:t>
            </w:r>
          </w:p>
        </w:tc>
      </w:tr>
    </w:tbl>
    <w:p w14:paraId="12A620C8" w14:textId="5A24B25D" w:rsidR="001126E5" w:rsidRPr="00920110" w:rsidRDefault="007C6A2F" w:rsidP="00920110">
      <w:pPr>
        <w:pStyle w:val="RRNumberedBullet1"/>
        <w:numPr>
          <w:ilvl w:val="0"/>
          <w:numId w:val="0"/>
        </w:numPr>
        <w:spacing w:before="120" w:after="120"/>
        <w:ind w:left="-180"/>
        <w:jc w:val="both"/>
        <w:rPr>
          <w:sz w:val="16"/>
          <w:szCs w:val="20"/>
        </w:rPr>
      </w:pPr>
      <w:r w:rsidRPr="00920110">
        <w:rPr>
          <w:rFonts w:ascii="Arial" w:eastAsia="Times New Roman" w:hAnsi="Arial" w:cs="Arial"/>
          <w:color w:val="727A7D"/>
          <w:sz w:val="16"/>
          <w:szCs w:val="16"/>
        </w:rPr>
        <w:t>Note: The professional unit cost trend adjustment is not applied to services reimbursed under an FQHC PPS reimbursement methodology. These services were separately repriced to the SFY 202</w:t>
      </w:r>
      <w:r w:rsidR="00220790">
        <w:rPr>
          <w:rFonts w:ascii="Arial" w:eastAsia="Times New Roman" w:hAnsi="Arial" w:cs="Arial"/>
          <w:color w:val="727A7D"/>
          <w:sz w:val="16"/>
          <w:szCs w:val="16"/>
        </w:rPr>
        <w:t>3</w:t>
      </w:r>
      <w:r w:rsidRPr="00920110">
        <w:rPr>
          <w:rFonts w:ascii="Arial" w:eastAsia="Times New Roman" w:hAnsi="Arial" w:cs="Arial"/>
          <w:color w:val="727A7D"/>
          <w:sz w:val="16"/>
          <w:szCs w:val="16"/>
        </w:rPr>
        <w:t xml:space="preserve"> PPS rate.</w:t>
      </w:r>
    </w:p>
    <w:p w14:paraId="3E5D2864" w14:textId="7F87634C" w:rsidR="00B40D56" w:rsidRDefault="00A21260" w:rsidP="00210B59">
      <w:r>
        <w:lastRenderedPageBreak/>
        <w:t>Figure</w:t>
      </w:r>
      <w:r w:rsidR="007613B6" w:rsidRPr="007613B6">
        <w:t xml:space="preserve"> </w:t>
      </w:r>
      <w:r w:rsidR="00E13406">
        <w:t>1</w:t>
      </w:r>
      <w:r w:rsidR="00273A3D">
        <w:t>7</w:t>
      </w:r>
      <w:r w:rsidR="00E13406" w:rsidRPr="007613B6">
        <w:t xml:space="preserve"> </w:t>
      </w:r>
      <w:r w:rsidR="007613B6" w:rsidRPr="007613B6">
        <w:t>illustrates the utilization component of the tren</w:t>
      </w:r>
      <w:r w:rsidR="00C04D9D">
        <w:t>d</w:t>
      </w:r>
      <w:r w:rsidR="007613B6" w:rsidRPr="007613B6">
        <w:t>.</w:t>
      </w:r>
    </w:p>
    <w:tbl>
      <w:tblPr>
        <w:tblW w:w="5240" w:type="pct"/>
        <w:jc w:val="center"/>
        <w:tblLayout w:type="fixed"/>
        <w:tblLook w:val="04A0" w:firstRow="1" w:lastRow="0" w:firstColumn="1" w:lastColumn="0" w:noHBand="0" w:noVBand="1"/>
      </w:tblPr>
      <w:tblGrid>
        <w:gridCol w:w="1902"/>
        <w:gridCol w:w="899"/>
        <w:gridCol w:w="1077"/>
        <w:gridCol w:w="1130"/>
        <w:gridCol w:w="1208"/>
        <w:gridCol w:w="897"/>
        <w:gridCol w:w="1001"/>
        <w:gridCol w:w="702"/>
        <w:gridCol w:w="993"/>
      </w:tblGrid>
      <w:tr w:rsidR="001126E5" w:rsidRPr="001126E5" w14:paraId="271FBC15" w14:textId="77777777" w:rsidTr="00BE5D44">
        <w:trPr>
          <w:trHeight w:val="76"/>
          <w:jc w:val="center"/>
        </w:trPr>
        <w:tc>
          <w:tcPr>
            <w:tcW w:w="5000" w:type="pct"/>
            <w:gridSpan w:val="9"/>
            <w:tcBorders>
              <w:top w:val="nil"/>
              <w:left w:val="nil"/>
              <w:bottom w:val="nil"/>
              <w:right w:val="nil"/>
            </w:tcBorders>
            <w:shd w:val="clear" w:color="auto" w:fill="auto"/>
            <w:noWrap/>
            <w:vAlign w:val="bottom"/>
            <w:hideMark/>
          </w:tcPr>
          <w:p w14:paraId="524E765D" w14:textId="0473EB6F" w:rsidR="001126E5" w:rsidRPr="001126E5" w:rsidRDefault="00A21260" w:rsidP="00B31FE5">
            <w:pPr>
              <w:spacing w:after="0" w:line="240" w:lineRule="auto"/>
              <w:rPr>
                <w:rFonts w:asciiTheme="majorHAnsi" w:eastAsia="Times New Roman" w:hAnsiTheme="majorHAnsi" w:cstheme="majorHAnsi"/>
                <w:b/>
                <w:bCs/>
                <w:color w:val="0081E3"/>
                <w:szCs w:val="18"/>
              </w:rPr>
            </w:pPr>
            <w:r>
              <w:rPr>
                <w:rFonts w:asciiTheme="majorHAnsi" w:eastAsia="Times New Roman" w:hAnsiTheme="majorHAnsi" w:cstheme="majorHAnsi"/>
                <w:b/>
                <w:bCs/>
                <w:color w:val="0081E3"/>
                <w:szCs w:val="18"/>
              </w:rPr>
              <w:t>FIGURE</w:t>
            </w:r>
            <w:r w:rsidR="001126E5" w:rsidRPr="001126E5">
              <w:rPr>
                <w:rFonts w:asciiTheme="majorHAnsi" w:eastAsia="Times New Roman" w:hAnsiTheme="majorHAnsi" w:cstheme="majorHAnsi"/>
                <w:b/>
                <w:bCs/>
                <w:color w:val="0081E3"/>
                <w:szCs w:val="18"/>
              </w:rPr>
              <w:t xml:space="preserve"> </w:t>
            </w:r>
            <w:r w:rsidR="0056637D">
              <w:rPr>
                <w:rFonts w:asciiTheme="majorHAnsi" w:eastAsia="Times New Roman" w:hAnsiTheme="majorHAnsi" w:cstheme="majorHAnsi"/>
                <w:b/>
                <w:bCs/>
                <w:color w:val="0081E3"/>
                <w:szCs w:val="18"/>
              </w:rPr>
              <w:t>1</w:t>
            </w:r>
            <w:r w:rsidR="00273A3D">
              <w:rPr>
                <w:rFonts w:asciiTheme="majorHAnsi" w:eastAsia="Times New Roman" w:hAnsiTheme="majorHAnsi" w:cstheme="majorHAnsi"/>
                <w:b/>
                <w:bCs/>
                <w:color w:val="0081E3"/>
                <w:szCs w:val="18"/>
              </w:rPr>
              <w:t>7</w:t>
            </w:r>
            <w:r>
              <w:rPr>
                <w:rFonts w:asciiTheme="majorHAnsi" w:eastAsia="Times New Roman" w:hAnsiTheme="majorHAnsi" w:cstheme="majorHAnsi"/>
                <w:b/>
                <w:bCs/>
                <w:color w:val="0081E3"/>
                <w:szCs w:val="18"/>
              </w:rPr>
              <w:t xml:space="preserve">: </w:t>
            </w:r>
            <w:r w:rsidR="00B31FE5">
              <w:rPr>
                <w:rFonts w:asciiTheme="majorHAnsi" w:eastAsia="Times New Roman" w:hAnsiTheme="majorHAnsi" w:cstheme="majorHAnsi"/>
                <w:b/>
                <w:bCs/>
                <w:color w:val="0081E3"/>
                <w:szCs w:val="18"/>
              </w:rPr>
              <w:t>ANNUALIZED UTILIZATION TREND ASSUMPTIONS</w:t>
            </w:r>
          </w:p>
        </w:tc>
      </w:tr>
      <w:tr w:rsidR="001126E5" w:rsidRPr="001126E5" w14:paraId="6B7056E3" w14:textId="77777777" w:rsidTr="00BE5D44">
        <w:trPr>
          <w:trHeight w:val="525"/>
          <w:jc w:val="center"/>
        </w:trPr>
        <w:tc>
          <w:tcPr>
            <w:tcW w:w="970" w:type="pct"/>
            <w:tcBorders>
              <w:top w:val="nil"/>
              <w:left w:val="nil"/>
              <w:bottom w:val="single" w:sz="4" w:space="0" w:color="C6C9CA"/>
              <w:right w:val="nil"/>
            </w:tcBorders>
            <w:shd w:val="clear" w:color="auto" w:fill="auto"/>
            <w:vAlign w:val="bottom"/>
            <w:hideMark/>
          </w:tcPr>
          <w:p w14:paraId="14C6CF86" w14:textId="77777777" w:rsidR="001126E5" w:rsidRPr="001126E5" w:rsidRDefault="001126E5" w:rsidP="00BE5D44">
            <w:pPr>
              <w:spacing w:after="0" w:line="240" w:lineRule="auto"/>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Population</w:t>
            </w:r>
          </w:p>
        </w:tc>
        <w:tc>
          <w:tcPr>
            <w:tcW w:w="458" w:type="pct"/>
            <w:tcBorders>
              <w:top w:val="nil"/>
              <w:left w:val="nil"/>
              <w:bottom w:val="single" w:sz="4" w:space="0" w:color="C6C9CA"/>
              <w:right w:val="nil"/>
            </w:tcBorders>
            <w:shd w:val="clear" w:color="auto" w:fill="auto"/>
            <w:vAlign w:val="bottom"/>
            <w:hideMark/>
          </w:tcPr>
          <w:p w14:paraId="2A140C17" w14:textId="77777777" w:rsidR="001126E5" w:rsidRPr="001126E5" w:rsidRDefault="001126E5" w:rsidP="00BE5D44">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Inpatient</w:t>
            </w:r>
          </w:p>
        </w:tc>
        <w:tc>
          <w:tcPr>
            <w:tcW w:w="549" w:type="pct"/>
            <w:tcBorders>
              <w:top w:val="nil"/>
              <w:left w:val="nil"/>
              <w:bottom w:val="single" w:sz="4" w:space="0" w:color="C6C9CA"/>
              <w:right w:val="nil"/>
            </w:tcBorders>
            <w:shd w:val="clear" w:color="auto" w:fill="auto"/>
            <w:vAlign w:val="bottom"/>
            <w:hideMark/>
          </w:tcPr>
          <w:p w14:paraId="5E20A1F9" w14:textId="77777777" w:rsidR="001126E5" w:rsidRPr="001126E5" w:rsidRDefault="001126E5" w:rsidP="00BE5D44">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Outpatient</w:t>
            </w:r>
          </w:p>
        </w:tc>
        <w:tc>
          <w:tcPr>
            <w:tcW w:w="576" w:type="pct"/>
            <w:tcBorders>
              <w:top w:val="nil"/>
              <w:left w:val="nil"/>
              <w:bottom w:val="single" w:sz="4" w:space="0" w:color="C6C9CA"/>
              <w:right w:val="nil"/>
            </w:tcBorders>
            <w:shd w:val="clear" w:color="auto" w:fill="auto"/>
            <w:vAlign w:val="bottom"/>
            <w:hideMark/>
          </w:tcPr>
          <w:p w14:paraId="24F2C292" w14:textId="77777777" w:rsidR="001126E5" w:rsidRPr="001126E5" w:rsidRDefault="001126E5" w:rsidP="00BE5D44">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Emergency Room</w:t>
            </w:r>
          </w:p>
        </w:tc>
        <w:tc>
          <w:tcPr>
            <w:tcW w:w="616" w:type="pct"/>
            <w:tcBorders>
              <w:top w:val="nil"/>
              <w:left w:val="nil"/>
              <w:bottom w:val="single" w:sz="4" w:space="0" w:color="C6C9CA"/>
              <w:right w:val="nil"/>
            </w:tcBorders>
            <w:shd w:val="clear" w:color="auto" w:fill="auto"/>
            <w:vAlign w:val="bottom"/>
            <w:hideMark/>
          </w:tcPr>
          <w:p w14:paraId="101F3136" w14:textId="77777777" w:rsidR="001126E5" w:rsidRPr="001126E5" w:rsidRDefault="001126E5" w:rsidP="00BE5D44">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Professional</w:t>
            </w:r>
          </w:p>
        </w:tc>
        <w:tc>
          <w:tcPr>
            <w:tcW w:w="457" w:type="pct"/>
            <w:tcBorders>
              <w:top w:val="nil"/>
              <w:left w:val="nil"/>
              <w:bottom w:val="single" w:sz="4" w:space="0" w:color="C6C9CA"/>
              <w:right w:val="nil"/>
            </w:tcBorders>
            <w:shd w:val="clear" w:color="auto" w:fill="auto"/>
            <w:vAlign w:val="bottom"/>
            <w:hideMark/>
          </w:tcPr>
          <w:p w14:paraId="17AF93C0" w14:textId="77777777" w:rsidR="001126E5" w:rsidRPr="001126E5" w:rsidRDefault="001126E5" w:rsidP="00BE5D44">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Ancillary (Non-Hospice)</w:t>
            </w:r>
          </w:p>
        </w:tc>
        <w:tc>
          <w:tcPr>
            <w:tcW w:w="510" w:type="pct"/>
            <w:tcBorders>
              <w:top w:val="nil"/>
              <w:left w:val="nil"/>
              <w:bottom w:val="single" w:sz="4" w:space="0" w:color="C6C9CA"/>
              <w:right w:val="nil"/>
            </w:tcBorders>
            <w:shd w:val="clear" w:color="auto" w:fill="auto"/>
            <w:vAlign w:val="bottom"/>
            <w:hideMark/>
          </w:tcPr>
          <w:p w14:paraId="45C3E9E4" w14:textId="77777777" w:rsidR="001126E5" w:rsidRPr="001126E5" w:rsidRDefault="001126E5" w:rsidP="00BE5D44">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Nursing Home and Hospice</w:t>
            </w:r>
          </w:p>
        </w:tc>
        <w:tc>
          <w:tcPr>
            <w:tcW w:w="358" w:type="pct"/>
            <w:tcBorders>
              <w:top w:val="nil"/>
              <w:left w:val="nil"/>
              <w:bottom w:val="single" w:sz="4" w:space="0" w:color="C6C9CA"/>
              <w:right w:val="nil"/>
            </w:tcBorders>
            <w:shd w:val="clear" w:color="auto" w:fill="auto"/>
            <w:vAlign w:val="bottom"/>
            <w:hideMark/>
          </w:tcPr>
          <w:p w14:paraId="07F0B210" w14:textId="77777777" w:rsidR="001126E5" w:rsidRPr="001126E5" w:rsidRDefault="001126E5" w:rsidP="00BE5D44">
            <w:pPr>
              <w:spacing w:after="0" w:line="240" w:lineRule="auto"/>
              <w:jc w:val="center"/>
              <w:rPr>
                <w:rFonts w:asciiTheme="majorHAnsi" w:eastAsia="Times New Roman" w:hAnsiTheme="majorHAnsi" w:cstheme="majorHAnsi"/>
                <w:b/>
                <w:bCs/>
                <w:color w:val="39414D"/>
                <w:sz w:val="16"/>
                <w:szCs w:val="16"/>
              </w:rPr>
            </w:pPr>
            <w:r w:rsidRPr="001126E5">
              <w:rPr>
                <w:rFonts w:asciiTheme="majorHAnsi" w:eastAsia="Times New Roman" w:hAnsiTheme="majorHAnsi" w:cstheme="majorHAnsi"/>
                <w:b/>
                <w:bCs/>
                <w:color w:val="39414D"/>
                <w:sz w:val="16"/>
                <w:szCs w:val="16"/>
              </w:rPr>
              <w:t>HCBS</w:t>
            </w:r>
          </w:p>
        </w:tc>
        <w:tc>
          <w:tcPr>
            <w:tcW w:w="506" w:type="pct"/>
            <w:tcBorders>
              <w:top w:val="nil"/>
              <w:left w:val="nil"/>
              <w:bottom w:val="single" w:sz="4" w:space="0" w:color="C6C9CA"/>
              <w:right w:val="nil"/>
            </w:tcBorders>
            <w:shd w:val="clear" w:color="auto" w:fill="auto"/>
            <w:vAlign w:val="bottom"/>
            <w:hideMark/>
          </w:tcPr>
          <w:p w14:paraId="37EBC84F" w14:textId="032330CE" w:rsidR="001126E5" w:rsidRPr="001126E5" w:rsidRDefault="00E3726A" w:rsidP="00BE5D44">
            <w:pPr>
              <w:spacing w:after="0" w:line="240" w:lineRule="auto"/>
              <w:jc w:val="center"/>
              <w:rPr>
                <w:rFonts w:asciiTheme="majorHAnsi" w:eastAsia="Times New Roman" w:hAnsiTheme="majorHAnsi" w:cstheme="majorHAnsi"/>
                <w:b/>
                <w:bCs/>
                <w:sz w:val="16"/>
                <w:szCs w:val="16"/>
              </w:rPr>
            </w:pPr>
            <w:r>
              <w:rPr>
                <w:rFonts w:asciiTheme="majorHAnsi" w:eastAsia="Times New Roman" w:hAnsiTheme="majorHAnsi" w:cstheme="majorHAnsi"/>
                <w:b/>
                <w:bCs/>
                <w:color w:val="39414D"/>
                <w:sz w:val="16"/>
                <w:szCs w:val="16"/>
              </w:rPr>
              <w:t>Retail Pharmacy</w:t>
            </w:r>
          </w:p>
        </w:tc>
      </w:tr>
      <w:tr w:rsidR="00E3726A" w:rsidRPr="001126E5" w14:paraId="6B48F34D" w14:textId="77777777" w:rsidTr="005B1D59">
        <w:trPr>
          <w:trHeight w:val="240"/>
          <w:jc w:val="center"/>
        </w:trPr>
        <w:tc>
          <w:tcPr>
            <w:tcW w:w="970" w:type="pct"/>
            <w:tcBorders>
              <w:top w:val="nil"/>
              <w:left w:val="nil"/>
              <w:bottom w:val="nil"/>
              <w:right w:val="nil"/>
            </w:tcBorders>
            <w:shd w:val="clear" w:color="auto" w:fill="auto"/>
            <w:noWrap/>
            <w:vAlign w:val="center"/>
            <w:hideMark/>
          </w:tcPr>
          <w:p w14:paraId="4FC23AA6" w14:textId="3F8FD480" w:rsidR="00E3726A" w:rsidRPr="003E5EAF" w:rsidRDefault="00E3726A" w:rsidP="00E3726A">
            <w:pPr>
              <w:spacing w:after="0" w:line="240" w:lineRule="auto"/>
              <w:rPr>
                <w:rFonts w:asciiTheme="majorHAnsi" w:eastAsia="Times New Roman" w:hAnsiTheme="majorHAnsi" w:cstheme="majorHAnsi"/>
                <w:color w:val="39414D"/>
                <w:sz w:val="16"/>
                <w:szCs w:val="16"/>
              </w:rPr>
            </w:pPr>
            <w:r w:rsidRPr="00BF5D11">
              <w:rPr>
                <w:rFonts w:ascii="Arial" w:hAnsi="Arial" w:cs="Arial"/>
                <w:color w:val="39414D"/>
                <w:sz w:val="16"/>
                <w:szCs w:val="16"/>
              </w:rPr>
              <w:t>RIte Care &lt;15</w:t>
            </w:r>
          </w:p>
        </w:tc>
        <w:tc>
          <w:tcPr>
            <w:tcW w:w="458" w:type="pct"/>
            <w:tcBorders>
              <w:top w:val="nil"/>
              <w:left w:val="nil"/>
              <w:bottom w:val="nil"/>
              <w:right w:val="nil"/>
            </w:tcBorders>
            <w:shd w:val="clear" w:color="auto" w:fill="auto"/>
            <w:noWrap/>
            <w:vAlign w:val="center"/>
            <w:hideMark/>
          </w:tcPr>
          <w:p w14:paraId="6950D9A1" w14:textId="7813FA24"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549" w:type="pct"/>
            <w:tcBorders>
              <w:top w:val="nil"/>
              <w:left w:val="nil"/>
              <w:bottom w:val="nil"/>
              <w:right w:val="nil"/>
            </w:tcBorders>
            <w:shd w:val="clear" w:color="auto" w:fill="auto"/>
            <w:noWrap/>
            <w:vAlign w:val="center"/>
            <w:hideMark/>
          </w:tcPr>
          <w:p w14:paraId="5DB9E1D5" w14:textId="317036D6"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76" w:type="pct"/>
            <w:tcBorders>
              <w:top w:val="nil"/>
              <w:left w:val="nil"/>
              <w:bottom w:val="nil"/>
              <w:right w:val="nil"/>
            </w:tcBorders>
            <w:shd w:val="clear" w:color="auto" w:fill="auto"/>
            <w:noWrap/>
            <w:vAlign w:val="center"/>
            <w:hideMark/>
          </w:tcPr>
          <w:p w14:paraId="3F199B3F" w14:textId="38F46E9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616" w:type="pct"/>
            <w:tcBorders>
              <w:top w:val="nil"/>
              <w:left w:val="nil"/>
              <w:bottom w:val="nil"/>
              <w:right w:val="nil"/>
            </w:tcBorders>
            <w:shd w:val="clear" w:color="auto" w:fill="auto"/>
            <w:noWrap/>
            <w:vAlign w:val="center"/>
            <w:hideMark/>
          </w:tcPr>
          <w:p w14:paraId="546584D2" w14:textId="1444195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457" w:type="pct"/>
            <w:tcBorders>
              <w:top w:val="nil"/>
              <w:left w:val="nil"/>
              <w:bottom w:val="nil"/>
              <w:right w:val="nil"/>
            </w:tcBorders>
            <w:shd w:val="clear" w:color="auto" w:fill="auto"/>
            <w:noWrap/>
            <w:vAlign w:val="center"/>
            <w:hideMark/>
          </w:tcPr>
          <w:p w14:paraId="55A54A53" w14:textId="138DAB3A"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10" w:type="pct"/>
            <w:tcBorders>
              <w:top w:val="nil"/>
              <w:left w:val="nil"/>
              <w:bottom w:val="nil"/>
              <w:right w:val="nil"/>
            </w:tcBorders>
            <w:shd w:val="clear" w:color="auto" w:fill="auto"/>
            <w:noWrap/>
            <w:vAlign w:val="center"/>
            <w:hideMark/>
          </w:tcPr>
          <w:p w14:paraId="41212A6B" w14:textId="3CEE8A84"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358" w:type="pct"/>
            <w:tcBorders>
              <w:top w:val="nil"/>
              <w:left w:val="nil"/>
              <w:bottom w:val="nil"/>
              <w:right w:val="nil"/>
            </w:tcBorders>
            <w:shd w:val="clear" w:color="auto" w:fill="auto"/>
            <w:noWrap/>
            <w:vAlign w:val="center"/>
            <w:hideMark/>
          </w:tcPr>
          <w:p w14:paraId="306523AA" w14:textId="2644B781"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06" w:type="pct"/>
            <w:tcBorders>
              <w:top w:val="nil"/>
              <w:left w:val="nil"/>
              <w:bottom w:val="nil"/>
              <w:right w:val="nil"/>
            </w:tcBorders>
            <w:shd w:val="clear" w:color="auto" w:fill="auto"/>
            <w:noWrap/>
            <w:vAlign w:val="center"/>
            <w:hideMark/>
          </w:tcPr>
          <w:p w14:paraId="3315ED9A" w14:textId="3540A9A1"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r>
      <w:tr w:rsidR="00E3726A" w:rsidRPr="001126E5" w14:paraId="3F6914DD" w14:textId="77777777" w:rsidTr="005B1D59">
        <w:trPr>
          <w:trHeight w:val="240"/>
          <w:jc w:val="center"/>
        </w:trPr>
        <w:tc>
          <w:tcPr>
            <w:tcW w:w="970" w:type="pct"/>
            <w:tcBorders>
              <w:top w:val="nil"/>
              <w:left w:val="nil"/>
              <w:bottom w:val="nil"/>
              <w:right w:val="nil"/>
            </w:tcBorders>
            <w:shd w:val="clear" w:color="000000" w:fill="E8E9E9"/>
            <w:noWrap/>
            <w:vAlign w:val="center"/>
            <w:hideMark/>
          </w:tcPr>
          <w:p w14:paraId="68AAC050" w14:textId="33355846" w:rsidR="00E3726A" w:rsidRPr="003E5EAF" w:rsidRDefault="00E3726A" w:rsidP="00E3726A">
            <w:pPr>
              <w:spacing w:after="0" w:line="240" w:lineRule="auto"/>
              <w:rPr>
                <w:rFonts w:asciiTheme="majorHAnsi" w:eastAsia="Times New Roman" w:hAnsiTheme="majorHAnsi" w:cstheme="majorHAnsi"/>
                <w:color w:val="39414D"/>
                <w:sz w:val="16"/>
                <w:szCs w:val="16"/>
              </w:rPr>
            </w:pPr>
            <w:r w:rsidRPr="00BF5D11">
              <w:rPr>
                <w:rFonts w:ascii="Arial" w:hAnsi="Arial" w:cs="Arial"/>
                <w:color w:val="39414D"/>
                <w:sz w:val="16"/>
                <w:szCs w:val="16"/>
              </w:rPr>
              <w:t>RIte Care 15+</w:t>
            </w:r>
          </w:p>
        </w:tc>
        <w:tc>
          <w:tcPr>
            <w:tcW w:w="458" w:type="pct"/>
            <w:tcBorders>
              <w:top w:val="nil"/>
              <w:left w:val="nil"/>
              <w:bottom w:val="nil"/>
              <w:right w:val="nil"/>
            </w:tcBorders>
            <w:shd w:val="clear" w:color="000000" w:fill="E8E9E9"/>
            <w:noWrap/>
            <w:vAlign w:val="center"/>
            <w:hideMark/>
          </w:tcPr>
          <w:p w14:paraId="79A0BA44" w14:textId="0CB85032"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49" w:type="pct"/>
            <w:tcBorders>
              <w:top w:val="nil"/>
              <w:left w:val="nil"/>
              <w:bottom w:val="nil"/>
              <w:right w:val="nil"/>
            </w:tcBorders>
            <w:shd w:val="clear" w:color="000000" w:fill="E8E9E9"/>
            <w:noWrap/>
            <w:vAlign w:val="center"/>
            <w:hideMark/>
          </w:tcPr>
          <w:p w14:paraId="2616B08D" w14:textId="15E94550"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76" w:type="pct"/>
            <w:tcBorders>
              <w:top w:val="nil"/>
              <w:left w:val="nil"/>
              <w:bottom w:val="nil"/>
              <w:right w:val="nil"/>
            </w:tcBorders>
            <w:shd w:val="clear" w:color="000000" w:fill="E8E9E9"/>
            <w:noWrap/>
            <w:vAlign w:val="center"/>
            <w:hideMark/>
          </w:tcPr>
          <w:p w14:paraId="4F7FCFCA" w14:textId="3114DBEA"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616" w:type="pct"/>
            <w:tcBorders>
              <w:top w:val="nil"/>
              <w:left w:val="nil"/>
              <w:bottom w:val="nil"/>
              <w:right w:val="nil"/>
            </w:tcBorders>
            <w:shd w:val="clear" w:color="000000" w:fill="E8E9E9"/>
            <w:noWrap/>
            <w:vAlign w:val="center"/>
            <w:hideMark/>
          </w:tcPr>
          <w:p w14:paraId="7553458E" w14:textId="08456F49"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457" w:type="pct"/>
            <w:tcBorders>
              <w:top w:val="nil"/>
              <w:left w:val="nil"/>
              <w:bottom w:val="nil"/>
              <w:right w:val="nil"/>
            </w:tcBorders>
            <w:shd w:val="clear" w:color="000000" w:fill="E8E9E9"/>
            <w:noWrap/>
            <w:vAlign w:val="center"/>
            <w:hideMark/>
          </w:tcPr>
          <w:p w14:paraId="16A05C3D" w14:textId="6ACAFDB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10" w:type="pct"/>
            <w:tcBorders>
              <w:top w:val="nil"/>
              <w:left w:val="nil"/>
              <w:bottom w:val="nil"/>
              <w:right w:val="nil"/>
            </w:tcBorders>
            <w:shd w:val="clear" w:color="000000" w:fill="E8E9E9"/>
            <w:noWrap/>
            <w:vAlign w:val="center"/>
            <w:hideMark/>
          </w:tcPr>
          <w:p w14:paraId="20FF492F" w14:textId="08751AA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358" w:type="pct"/>
            <w:tcBorders>
              <w:top w:val="nil"/>
              <w:left w:val="nil"/>
              <w:bottom w:val="nil"/>
              <w:right w:val="nil"/>
            </w:tcBorders>
            <w:shd w:val="clear" w:color="000000" w:fill="E8E9E9"/>
            <w:noWrap/>
            <w:vAlign w:val="center"/>
            <w:hideMark/>
          </w:tcPr>
          <w:p w14:paraId="7CA74C50" w14:textId="0F8CF840"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06" w:type="pct"/>
            <w:tcBorders>
              <w:top w:val="nil"/>
              <w:left w:val="nil"/>
              <w:bottom w:val="nil"/>
              <w:right w:val="nil"/>
            </w:tcBorders>
            <w:shd w:val="clear" w:color="000000" w:fill="E8E9E9"/>
            <w:noWrap/>
            <w:vAlign w:val="center"/>
            <w:hideMark/>
          </w:tcPr>
          <w:p w14:paraId="39279AC4" w14:textId="2E1C78D5"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r>
      <w:tr w:rsidR="00E3726A" w:rsidRPr="001126E5" w14:paraId="580C36A5" w14:textId="77777777" w:rsidTr="005B1D59">
        <w:trPr>
          <w:trHeight w:val="240"/>
          <w:jc w:val="center"/>
        </w:trPr>
        <w:tc>
          <w:tcPr>
            <w:tcW w:w="970" w:type="pct"/>
            <w:tcBorders>
              <w:top w:val="nil"/>
              <w:left w:val="nil"/>
              <w:bottom w:val="nil"/>
              <w:right w:val="nil"/>
            </w:tcBorders>
            <w:shd w:val="clear" w:color="auto" w:fill="auto"/>
            <w:noWrap/>
            <w:vAlign w:val="center"/>
            <w:hideMark/>
          </w:tcPr>
          <w:p w14:paraId="3D523CF3" w14:textId="7E988E9D" w:rsidR="00E3726A" w:rsidRPr="003E5EAF" w:rsidRDefault="00E3726A" w:rsidP="00E3726A">
            <w:pPr>
              <w:spacing w:after="0" w:line="240" w:lineRule="auto"/>
              <w:rPr>
                <w:rFonts w:asciiTheme="majorHAnsi" w:eastAsia="Times New Roman" w:hAnsiTheme="majorHAnsi" w:cstheme="majorHAnsi"/>
                <w:color w:val="39414D"/>
                <w:sz w:val="16"/>
                <w:szCs w:val="16"/>
              </w:rPr>
            </w:pPr>
            <w:r w:rsidRPr="00BF5D11">
              <w:rPr>
                <w:rFonts w:ascii="Arial" w:hAnsi="Arial" w:cs="Arial"/>
                <w:color w:val="39414D"/>
                <w:sz w:val="16"/>
                <w:szCs w:val="16"/>
              </w:rPr>
              <w:t>EFP</w:t>
            </w:r>
          </w:p>
        </w:tc>
        <w:tc>
          <w:tcPr>
            <w:tcW w:w="458" w:type="pct"/>
            <w:tcBorders>
              <w:top w:val="nil"/>
              <w:left w:val="nil"/>
              <w:bottom w:val="nil"/>
              <w:right w:val="nil"/>
            </w:tcBorders>
            <w:shd w:val="clear" w:color="auto" w:fill="auto"/>
            <w:noWrap/>
            <w:vAlign w:val="center"/>
            <w:hideMark/>
          </w:tcPr>
          <w:p w14:paraId="16F907E1" w14:textId="1554451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0.0% </w:t>
            </w:r>
          </w:p>
        </w:tc>
        <w:tc>
          <w:tcPr>
            <w:tcW w:w="549" w:type="pct"/>
            <w:tcBorders>
              <w:top w:val="nil"/>
              <w:left w:val="nil"/>
              <w:bottom w:val="nil"/>
              <w:right w:val="nil"/>
            </w:tcBorders>
            <w:shd w:val="clear" w:color="auto" w:fill="auto"/>
            <w:noWrap/>
            <w:vAlign w:val="center"/>
            <w:hideMark/>
          </w:tcPr>
          <w:p w14:paraId="6AAFEECB" w14:textId="5CEB68A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576" w:type="pct"/>
            <w:tcBorders>
              <w:top w:val="nil"/>
              <w:left w:val="nil"/>
              <w:bottom w:val="nil"/>
              <w:right w:val="nil"/>
            </w:tcBorders>
            <w:shd w:val="clear" w:color="auto" w:fill="auto"/>
            <w:noWrap/>
            <w:vAlign w:val="center"/>
            <w:hideMark/>
          </w:tcPr>
          <w:p w14:paraId="7A68DA74" w14:textId="4E1AE50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616" w:type="pct"/>
            <w:tcBorders>
              <w:top w:val="nil"/>
              <w:left w:val="nil"/>
              <w:bottom w:val="nil"/>
              <w:right w:val="nil"/>
            </w:tcBorders>
            <w:shd w:val="clear" w:color="auto" w:fill="auto"/>
            <w:noWrap/>
            <w:vAlign w:val="center"/>
            <w:hideMark/>
          </w:tcPr>
          <w:p w14:paraId="239185E2" w14:textId="78D1EC66"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457" w:type="pct"/>
            <w:tcBorders>
              <w:top w:val="nil"/>
              <w:left w:val="nil"/>
              <w:bottom w:val="nil"/>
              <w:right w:val="nil"/>
            </w:tcBorders>
            <w:shd w:val="clear" w:color="auto" w:fill="auto"/>
            <w:noWrap/>
            <w:vAlign w:val="center"/>
            <w:hideMark/>
          </w:tcPr>
          <w:p w14:paraId="20C9FEC1" w14:textId="28670C9A"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10" w:type="pct"/>
            <w:tcBorders>
              <w:top w:val="nil"/>
              <w:left w:val="nil"/>
              <w:bottom w:val="nil"/>
              <w:right w:val="nil"/>
            </w:tcBorders>
            <w:shd w:val="clear" w:color="auto" w:fill="auto"/>
            <w:noWrap/>
            <w:vAlign w:val="center"/>
            <w:hideMark/>
          </w:tcPr>
          <w:p w14:paraId="003EE8D1" w14:textId="145B3A0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358" w:type="pct"/>
            <w:tcBorders>
              <w:top w:val="nil"/>
              <w:left w:val="nil"/>
              <w:bottom w:val="nil"/>
              <w:right w:val="nil"/>
            </w:tcBorders>
            <w:shd w:val="clear" w:color="auto" w:fill="auto"/>
            <w:noWrap/>
            <w:vAlign w:val="center"/>
            <w:hideMark/>
          </w:tcPr>
          <w:p w14:paraId="08763DF8" w14:textId="0ACED0DA"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06" w:type="pct"/>
            <w:tcBorders>
              <w:top w:val="nil"/>
              <w:left w:val="nil"/>
              <w:bottom w:val="nil"/>
              <w:right w:val="nil"/>
            </w:tcBorders>
            <w:shd w:val="clear" w:color="auto" w:fill="auto"/>
            <w:noWrap/>
            <w:vAlign w:val="center"/>
            <w:hideMark/>
          </w:tcPr>
          <w:p w14:paraId="3B3414BC" w14:textId="3B2F03A7"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r>
      <w:tr w:rsidR="00E3726A" w:rsidRPr="001126E5" w14:paraId="5B55AECA" w14:textId="77777777" w:rsidTr="005B1D59">
        <w:trPr>
          <w:trHeight w:val="240"/>
          <w:jc w:val="center"/>
        </w:trPr>
        <w:tc>
          <w:tcPr>
            <w:tcW w:w="970" w:type="pct"/>
            <w:tcBorders>
              <w:top w:val="nil"/>
              <w:left w:val="nil"/>
              <w:bottom w:val="nil"/>
              <w:right w:val="nil"/>
            </w:tcBorders>
            <w:shd w:val="clear" w:color="000000" w:fill="E8E9E9"/>
            <w:noWrap/>
            <w:vAlign w:val="center"/>
            <w:hideMark/>
          </w:tcPr>
          <w:p w14:paraId="679937FF" w14:textId="590DEA1D" w:rsidR="00E3726A" w:rsidRPr="003E5EAF" w:rsidRDefault="00E3726A" w:rsidP="00E3726A">
            <w:pPr>
              <w:spacing w:after="0" w:line="240" w:lineRule="auto"/>
              <w:rPr>
                <w:rFonts w:asciiTheme="majorHAnsi" w:eastAsia="Times New Roman" w:hAnsiTheme="majorHAnsi" w:cstheme="majorHAnsi"/>
                <w:color w:val="39414D"/>
                <w:sz w:val="16"/>
                <w:szCs w:val="16"/>
              </w:rPr>
            </w:pPr>
            <w:r w:rsidRPr="00BF5D11">
              <w:rPr>
                <w:rFonts w:ascii="Arial" w:hAnsi="Arial" w:cs="Arial"/>
                <w:color w:val="39414D"/>
                <w:sz w:val="16"/>
                <w:szCs w:val="16"/>
              </w:rPr>
              <w:t>CSHCN</w:t>
            </w:r>
          </w:p>
        </w:tc>
        <w:tc>
          <w:tcPr>
            <w:tcW w:w="458" w:type="pct"/>
            <w:tcBorders>
              <w:top w:val="nil"/>
              <w:left w:val="nil"/>
              <w:bottom w:val="nil"/>
              <w:right w:val="nil"/>
            </w:tcBorders>
            <w:shd w:val="clear" w:color="000000" w:fill="E8E9E9"/>
            <w:noWrap/>
            <w:vAlign w:val="center"/>
            <w:hideMark/>
          </w:tcPr>
          <w:p w14:paraId="7C062C97" w14:textId="15ABE9F3"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549" w:type="pct"/>
            <w:tcBorders>
              <w:top w:val="nil"/>
              <w:left w:val="nil"/>
              <w:bottom w:val="nil"/>
              <w:right w:val="nil"/>
            </w:tcBorders>
            <w:shd w:val="clear" w:color="000000" w:fill="E8E9E9"/>
            <w:noWrap/>
            <w:vAlign w:val="center"/>
            <w:hideMark/>
          </w:tcPr>
          <w:p w14:paraId="13E99FD5" w14:textId="7F3ABF4E"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576" w:type="pct"/>
            <w:tcBorders>
              <w:top w:val="nil"/>
              <w:left w:val="nil"/>
              <w:bottom w:val="nil"/>
              <w:right w:val="nil"/>
            </w:tcBorders>
            <w:shd w:val="clear" w:color="000000" w:fill="E8E9E9"/>
            <w:noWrap/>
            <w:vAlign w:val="center"/>
            <w:hideMark/>
          </w:tcPr>
          <w:p w14:paraId="04A57557" w14:textId="0BC9FDB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616" w:type="pct"/>
            <w:tcBorders>
              <w:top w:val="nil"/>
              <w:left w:val="nil"/>
              <w:bottom w:val="nil"/>
              <w:right w:val="nil"/>
            </w:tcBorders>
            <w:shd w:val="clear" w:color="000000" w:fill="E8E9E9"/>
            <w:noWrap/>
            <w:vAlign w:val="center"/>
            <w:hideMark/>
          </w:tcPr>
          <w:p w14:paraId="5A933E9B" w14:textId="5F17EC70"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1.5% </w:t>
            </w:r>
          </w:p>
        </w:tc>
        <w:tc>
          <w:tcPr>
            <w:tcW w:w="457" w:type="pct"/>
            <w:tcBorders>
              <w:top w:val="nil"/>
              <w:left w:val="nil"/>
              <w:bottom w:val="nil"/>
              <w:right w:val="nil"/>
            </w:tcBorders>
            <w:shd w:val="clear" w:color="000000" w:fill="E8E9E9"/>
            <w:noWrap/>
            <w:vAlign w:val="center"/>
            <w:hideMark/>
          </w:tcPr>
          <w:p w14:paraId="5DD59C65" w14:textId="33D6680B"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10" w:type="pct"/>
            <w:tcBorders>
              <w:top w:val="nil"/>
              <w:left w:val="nil"/>
              <w:bottom w:val="nil"/>
              <w:right w:val="nil"/>
            </w:tcBorders>
            <w:shd w:val="clear" w:color="000000" w:fill="E8E9E9"/>
            <w:noWrap/>
            <w:vAlign w:val="center"/>
            <w:hideMark/>
          </w:tcPr>
          <w:p w14:paraId="66DDB198" w14:textId="4362424A"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358" w:type="pct"/>
            <w:tcBorders>
              <w:top w:val="nil"/>
              <w:left w:val="nil"/>
              <w:bottom w:val="nil"/>
              <w:right w:val="nil"/>
            </w:tcBorders>
            <w:shd w:val="clear" w:color="000000" w:fill="E8E9E9"/>
            <w:noWrap/>
            <w:vAlign w:val="center"/>
            <w:hideMark/>
          </w:tcPr>
          <w:p w14:paraId="61F30B6E" w14:textId="2B95F7F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06" w:type="pct"/>
            <w:tcBorders>
              <w:top w:val="nil"/>
              <w:left w:val="nil"/>
              <w:bottom w:val="nil"/>
              <w:right w:val="nil"/>
            </w:tcBorders>
            <w:shd w:val="clear" w:color="000000" w:fill="E8E9E9"/>
            <w:noWrap/>
            <w:vAlign w:val="center"/>
            <w:hideMark/>
          </w:tcPr>
          <w:p w14:paraId="440A546D" w14:textId="335755F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r>
      <w:tr w:rsidR="00E3726A" w:rsidRPr="001126E5" w14:paraId="052AB9C3" w14:textId="77777777" w:rsidTr="005B1D59">
        <w:trPr>
          <w:trHeight w:val="240"/>
          <w:jc w:val="center"/>
        </w:trPr>
        <w:tc>
          <w:tcPr>
            <w:tcW w:w="970" w:type="pct"/>
            <w:tcBorders>
              <w:top w:val="nil"/>
              <w:left w:val="nil"/>
              <w:bottom w:val="nil"/>
              <w:right w:val="nil"/>
            </w:tcBorders>
            <w:shd w:val="clear" w:color="auto" w:fill="auto"/>
            <w:noWrap/>
            <w:vAlign w:val="center"/>
            <w:hideMark/>
          </w:tcPr>
          <w:p w14:paraId="011F6962" w14:textId="77777777" w:rsidR="00E3726A" w:rsidRPr="001126E5" w:rsidRDefault="00E3726A" w:rsidP="00E3726A">
            <w:pPr>
              <w:spacing w:after="0" w:line="240" w:lineRule="auto"/>
              <w:rPr>
                <w:rFonts w:asciiTheme="majorHAnsi" w:eastAsia="Times New Roman" w:hAnsiTheme="majorHAnsi" w:cstheme="majorHAnsi"/>
                <w:color w:val="39414D"/>
                <w:sz w:val="16"/>
                <w:szCs w:val="16"/>
              </w:rPr>
            </w:pPr>
            <w:r w:rsidRPr="001126E5">
              <w:rPr>
                <w:rFonts w:asciiTheme="majorHAnsi" w:eastAsia="Times New Roman" w:hAnsiTheme="majorHAnsi" w:cstheme="majorHAnsi"/>
                <w:color w:val="39414D"/>
                <w:sz w:val="16"/>
                <w:szCs w:val="16"/>
              </w:rPr>
              <w:t>Medicaid Expansion</w:t>
            </w:r>
          </w:p>
        </w:tc>
        <w:tc>
          <w:tcPr>
            <w:tcW w:w="458" w:type="pct"/>
            <w:tcBorders>
              <w:top w:val="nil"/>
              <w:left w:val="nil"/>
              <w:bottom w:val="nil"/>
              <w:right w:val="nil"/>
            </w:tcBorders>
            <w:shd w:val="clear" w:color="auto" w:fill="auto"/>
            <w:noWrap/>
            <w:vAlign w:val="center"/>
            <w:hideMark/>
          </w:tcPr>
          <w:p w14:paraId="2D1A7A97" w14:textId="388AA3C7"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549" w:type="pct"/>
            <w:tcBorders>
              <w:top w:val="nil"/>
              <w:left w:val="nil"/>
              <w:bottom w:val="nil"/>
              <w:right w:val="nil"/>
            </w:tcBorders>
            <w:shd w:val="clear" w:color="auto" w:fill="auto"/>
            <w:noWrap/>
            <w:vAlign w:val="center"/>
            <w:hideMark/>
          </w:tcPr>
          <w:p w14:paraId="6BDDD037" w14:textId="39B9CD1B"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76" w:type="pct"/>
            <w:tcBorders>
              <w:top w:val="nil"/>
              <w:left w:val="nil"/>
              <w:bottom w:val="nil"/>
              <w:right w:val="nil"/>
            </w:tcBorders>
            <w:shd w:val="clear" w:color="auto" w:fill="auto"/>
            <w:noWrap/>
            <w:vAlign w:val="center"/>
            <w:hideMark/>
          </w:tcPr>
          <w:p w14:paraId="3789BFC3" w14:textId="27FE470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616" w:type="pct"/>
            <w:tcBorders>
              <w:top w:val="nil"/>
              <w:left w:val="nil"/>
              <w:bottom w:val="nil"/>
              <w:right w:val="nil"/>
            </w:tcBorders>
            <w:shd w:val="clear" w:color="auto" w:fill="auto"/>
            <w:noWrap/>
            <w:vAlign w:val="center"/>
            <w:hideMark/>
          </w:tcPr>
          <w:p w14:paraId="3A8E5BC1" w14:textId="60F860B6"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457" w:type="pct"/>
            <w:tcBorders>
              <w:top w:val="nil"/>
              <w:left w:val="nil"/>
              <w:bottom w:val="nil"/>
              <w:right w:val="nil"/>
            </w:tcBorders>
            <w:shd w:val="clear" w:color="auto" w:fill="auto"/>
            <w:noWrap/>
            <w:vAlign w:val="center"/>
            <w:hideMark/>
          </w:tcPr>
          <w:p w14:paraId="0262D2A2" w14:textId="33A31FA7"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10" w:type="pct"/>
            <w:tcBorders>
              <w:top w:val="nil"/>
              <w:left w:val="nil"/>
              <w:bottom w:val="nil"/>
              <w:right w:val="nil"/>
            </w:tcBorders>
            <w:shd w:val="clear" w:color="auto" w:fill="auto"/>
            <w:noWrap/>
            <w:vAlign w:val="center"/>
            <w:hideMark/>
          </w:tcPr>
          <w:p w14:paraId="24374A53" w14:textId="140214F9"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358" w:type="pct"/>
            <w:tcBorders>
              <w:top w:val="nil"/>
              <w:left w:val="nil"/>
              <w:bottom w:val="nil"/>
              <w:right w:val="nil"/>
            </w:tcBorders>
            <w:shd w:val="clear" w:color="auto" w:fill="auto"/>
            <w:noWrap/>
            <w:vAlign w:val="center"/>
            <w:hideMark/>
          </w:tcPr>
          <w:p w14:paraId="782B11D7" w14:textId="2EEB5CF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06" w:type="pct"/>
            <w:tcBorders>
              <w:top w:val="nil"/>
              <w:left w:val="nil"/>
              <w:bottom w:val="nil"/>
              <w:right w:val="nil"/>
            </w:tcBorders>
            <w:shd w:val="clear" w:color="auto" w:fill="auto"/>
            <w:noWrap/>
            <w:vAlign w:val="center"/>
            <w:hideMark/>
          </w:tcPr>
          <w:p w14:paraId="27586516" w14:textId="165B2929"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r>
      <w:tr w:rsidR="00E3726A" w:rsidRPr="001126E5" w14:paraId="5BC59421" w14:textId="77777777" w:rsidTr="005B1D59">
        <w:trPr>
          <w:trHeight w:val="240"/>
          <w:jc w:val="center"/>
        </w:trPr>
        <w:tc>
          <w:tcPr>
            <w:tcW w:w="970" w:type="pct"/>
            <w:tcBorders>
              <w:top w:val="nil"/>
              <w:left w:val="nil"/>
              <w:bottom w:val="nil"/>
              <w:right w:val="nil"/>
            </w:tcBorders>
            <w:shd w:val="clear" w:color="000000" w:fill="E8E9E9"/>
            <w:noWrap/>
            <w:vAlign w:val="center"/>
            <w:hideMark/>
          </w:tcPr>
          <w:p w14:paraId="53252D3A" w14:textId="77777777" w:rsidR="00E3726A" w:rsidRPr="001126E5" w:rsidRDefault="00E3726A" w:rsidP="00E3726A">
            <w:pPr>
              <w:spacing w:after="0" w:line="240" w:lineRule="auto"/>
              <w:rPr>
                <w:rFonts w:asciiTheme="majorHAnsi" w:eastAsia="Times New Roman" w:hAnsiTheme="majorHAnsi" w:cstheme="majorHAnsi"/>
                <w:color w:val="39414D"/>
                <w:sz w:val="16"/>
                <w:szCs w:val="16"/>
              </w:rPr>
            </w:pPr>
            <w:r w:rsidRPr="001126E5">
              <w:rPr>
                <w:rFonts w:asciiTheme="majorHAnsi" w:eastAsia="Times New Roman" w:hAnsiTheme="majorHAnsi" w:cstheme="majorHAnsi"/>
                <w:color w:val="39414D"/>
                <w:sz w:val="16"/>
                <w:szCs w:val="16"/>
              </w:rPr>
              <w:t>Rhody Health Partners</w:t>
            </w:r>
          </w:p>
        </w:tc>
        <w:tc>
          <w:tcPr>
            <w:tcW w:w="458" w:type="pct"/>
            <w:tcBorders>
              <w:top w:val="nil"/>
              <w:left w:val="nil"/>
              <w:bottom w:val="nil"/>
              <w:right w:val="nil"/>
            </w:tcBorders>
            <w:shd w:val="clear" w:color="000000" w:fill="E8E9E9"/>
            <w:noWrap/>
            <w:vAlign w:val="center"/>
            <w:hideMark/>
          </w:tcPr>
          <w:p w14:paraId="5444FD89" w14:textId="4246B5C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549" w:type="pct"/>
            <w:tcBorders>
              <w:top w:val="nil"/>
              <w:left w:val="nil"/>
              <w:bottom w:val="nil"/>
              <w:right w:val="nil"/>
            </w:tcBorders>
            <w:shd w:val="clear" w:color="000000" w:fill="E8E9E9"/>
            <w:noWrap/>
            <w:vAlign w:val="center"/>
            <w:hideMark/>
          </w:tcPr>
          <w:p w14:paraId="75BF4715" w14:textId="2DB9643F"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576" w:type="pct"/>
            <w:tcBorders>
              <w:top w:val="nil"/>
              <w:left w:val="nil"/>
              <w:bottom w:val="nil"/>
              <w:right w:val="nil"/>
            </w:tcBorders>
            <w:shd w:val="clear" w:color="000000" w:fill="E8E9E9"/>
            <w:noWrap/>
            <w:vAlign w:val="center"/>
            <w:hideMark/>
          </w:tcPr>
          <w:p w14:paraId="4616FA6C" w14:textId="3C479882"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616" w:type="pct"/>
            <w:tcBorders>
              <w:top w:val="nil"/>
              <w:left w:val="nil"/>
              <w:bottom w:val="nil"/>
              <w:right w:val="nil"/>
            </w:tcBorders>
            <w:shd w:val="clear" w:color="000000" w:fill="E8E9E9"/>
            <w:noWrap/>
            <w:vAlign w:val="center"/>
            <w:hideMark/>
          </w:tcPr>
          <w:p w14:paraId="7A91DC92" w14:textId="21B281FA"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457" w:type="pct"/>
            <w:tcBorders>
              <w:top w:val="nil"/>
              <w:left w:val="nil"/>
              <w:bottom w:val="nil"/>
              <w:right w:val="nil"/>
            </w:tcBorders>
            <w:shd w:val="clear" w:color="000000" w:fill="E8E9E9"/>
            <w:noWrap/>
            <w:vAlign w:val="center"/>
            <w:hideMark/>
          </w:tcPr>
          <w:p w14:paraId="48C7B6FD" w14:textId="583129F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510" w:type="pct"/>
            <w:tcBorders>
              <w:top w:val="nil"/>
              <w:left w:val="nil"/>
              <w:bottom w:val="nil"/>
              <w:right w:val="nil"/>
            </w:tcBorders>
            <w:shd w:val="clear" w:color="000000" w:fill="E8E9E9"/>
            <w:noWrap/>
            <w:vAlign w:val="center"/>
            <w:hideMark/>
          </w:tcPr>
          <w:p w14:paraId="30C3DBC2" w14:textId="7124A467"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358" w:type="pct"/>
            <w:tcBorders>
              <w:top w:val="nil"/>
              <w:left w:val="nil"/>
              <w:bottom w:val="nil"/>
              <w:right w:val="nil"/>
            </w:tcBorders>
            <w:shd w:val="clear" w:color="000000" w:fill="E8E9E9"/>
            <w:noWrap/>
            <w:vAlign w:val="center"/>
            <w:hideMark/>
          </w:tcPr>
          <w:p w14:paraId="64D25EC4" w14:textId="25C3E6ED"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06" w:type="pct"/>
            <w:tcBorders>
              <w:top w:val="nil"/>
              <w:left w:val="nil"/>
              <w:bottom w:val="nil"/>
              <w:right w:val="nil"/>
            </w:tcBorders>
            <w:shd w:val="clear" w:color="000000" w:fill="E8E9E9"/>
            <w:noWrap/>
            <w:vAlign w:val="center"/>
            <w:hideMark/>
          </w:tcPr>
          <w:p w14:paraId="758A755E" w14:textId="677ECDF7"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r>
      <w:tr w:rsidR="00E3726A" w:rsidRPr="001126E5" w14:paraId="2B89E9D8" w14:textId="77777777" w:rsidTr="005B1D59">
        <w:trPr>
          <w:trHeight w:val="240"/>
          <w:jc w:val="center"/>
        </w:trPr>
        <w:tc>
          <w:tcPr>
            <w:tcW w:w="970" w:type="pct"/>
            <w:tcBorders>
              <w:top w:val="nil"/>
              <w:left w:val="nil"/>
              <w:bottom w:val="nil"/>
              <w:right w:val="nil"/>
            </w:tcBorders>
            <w:shd w:val="clear" w:color="auto" w:fill="auto"/>
            <w:noWrap/>
            <w:vAlign w:val="center"/>
            <w:hideMark/>
          </w:tcPr>
          <w:p w14:paraId="45D08EEE" w14:textId="77777777" w:rsidR="00E3726A" w:rsidRPr="001126E5" w:rsidRDefault="00E3726A" w:rsidP="00E3726A">
            <w:pPr>
              <w:spacing w:after="0" w:line="240" w:lineRule="auto"/>
              <w:rPr>
                <w:rFonts w:asciiTheme="majorHAnsi" w:eastAsia="Times New Roman" w:hAnsiTheme="majorHAnsi" w:cstheme="majorHAnsi"/>
                <w:color w:val="39414D"/>
                <w:sz w:val="16"/>
                <w:szCs w:val="16"/>
              </w:rPr>
            </w:pPr>
            <w:r w:rsidRPr="001126E5">
              <w:rPr>
                <w:rFonts w:asciiTheme="majorHAnsi" w:eastAsia="Times New Roman" w:hAnsiTheme="majorHAnsi" w:cstheme="majorHAnsi"/>
                <w:color w:val="39414D"/>
                <w:sz w:val="16"/>
                <w:szCs w:val="16"/>
              </w:rPr>
              <w:t>SOBRA</w:t>
            </w:r>
          </w:p>
        </w:tc>
        <w:tc>
          <w:tcPr>
            <w:tcW w:w="458" w:type="pct"/>
            <w:tcBorders>
              <w:top w:val="nil"/>
              <w:left w:val="nil"/>
              <w:bottom w:val="nil"/>
              <w:right w:val="nil"/>
            </w:tcBorders>
            <w:shd w:val="clear" w:color="auto" w:fill="auto"/>
            <w:noWrap/>
            <w:vAlign w:val="center"/>
            <w:hideMark/>
          </w:tcPr>
          <w:p w14:paraId="6D080B3D" w14:textId="06B05B98"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0.0% </w:t>
            </w:r>
          </w:p>
        </w:tc>
        <w:tc>
          <w:tcPr>
            <w:tcW w:w="549" w:type="pct"/>
            <w:tcBorders>
              <w:top w:val="nil"/>
              <w:left w:val="nil"/>
              <w:bottom w:val="nil"/>
              <w:right w:val="nil"/>
            </w:tcBorders>
            <w:shd w:val="clear" w:color="auto" w:fill="auto"/>
            <w:noWrap/>
            <w:vAlign w:val="center"/>
            <w:hideMark/>
          </w:tcPr>
          <w:p w14:paraId="68A407A3" w14:textId="36B6880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576" w:type="pct"/>
            <w:tcBorders>
              <w:top w:val="nil"/>
              <w:left w:val="nil"/>
              <w:bottom w:val="nil"/>
              <w:right w:val="nil"/>
            </w:tcBorders>
            <w:shd w:val="clear" w:color="auto" w:fill="auto"/>
            <w:noWrap/>
            <w:vAlign w:val="center"/>
            <w:hideMark/>
          </w:tcPr>
          <w:p w14:paraId="77C5E861" w14:textId="138E062F"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616" w:type="pct"/>
            <w:tcBorders>
              <w:top w:val="nil"/>
              <w:left w:val="nil"/>
              <w:bottom w:val="nil"/>
              <w:right w:val="nil"/>
            </w:tcBorders>
            <w:shd w:val="clear" w:color="auto" w:fill="auto"/>
            <w:noWrap/>
            <w:vAlign w:val="center"/>
            <w:hideMark/>
          </w:tcPr>
          <w:p w14:paraId="7E70CE37" w14:textId="4A8FFA09"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457" w:type="pct"/>
            <w:tcBorders>
              <w:top w:val="nil"/>
              <w:left w:val="nil"/>
              <w:bottom w:val="nil"/>
              <w:right w:val="nil"/>
            </w:tcBorders>
            <w:shd w:val="clear" w:color="auto" w:fill="auto"/>
            <w:noWrap/>
            <w:vAlign w:val="center"/>
            <w:hideMark/>
          </w:tcPr>
          <w:p w14:paraId="48A41349" w14:textId="1078179E"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510" w:type="pct"/>
            <w:tcBorders>
              <w:top w:val="nil"/>
              <w:left w:val="nil"/>
              <w:bottom w:val="nil"/>
              <w:right w:val="nil"/>
            </w:tcBorders>
            <w:shd w:val="clear" w:color="auto" w:fill="auto"/>
            <w:noWrap/>
            <w:vAlign w:val="center"/>
            <w:hideMark/>
          </w:tcPr>
          <w:p w14:paraId="5984A25F" w14:textId="6A2ED4E6"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0.5% </w:t>
            </w:r>
          </w:p>
        </w:tc>
        <w:tc>
          <w:tcPr>
            <w:tcW w:w="358" w:type="pct"/>
            <w:tcBorders>
              <w:top w:val="nil"/>
              <w:left w:val="nil"/>
              <w:bottom w:val="nil"/>
              <w:right w:val="nil"/>
            </w:tcBorders>
            <w:shd w:val="clear" w:color="auto" w:fill="auto"/>
            <w:noWrap/>
            <w:vAlign w:val="center"/>
            <w:hideMark/>
          </w:tcPr>
          <w:p w14:paraId="505601F5" w14:textId="21AA66DB"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1.0% </w:t>
            </w:r>
          </w:p>
        </w:tc>
        <w:tc>
          <w:tcPr>
            <w:tcW w:w="506" w:type="pct"/>
            <w:tcBorders>
              <w:top w:val="nil"/>
              <w:left w:val="nil"/>
              <w:bottom w:val="nil"/>
              <w:right w:val="nil"/>
            </w:tcBorders>
            <w:shd w:val="clear" w:color="auto" w:fill="auto"/>
            <w:noWrap/>
            <w:vAlign w:val="center"/>
            <w:hideMark/>
          </w:tcPr>
          <w:p w14:paraId="0E95FFFB" w14:textId="2138973C" w:rsidR="00E3726A" w:rsidRPr="00E3726A" w:rsidRDefault="00E3726A" w:rsidP="00E3726A">
            <w:pPr>
              <w:spacing w:after="0" w:line="240" w:lineRule="auto"/>
              <w:jc w:val="right"/>
              <w:rPr>
                <w:rFonts w:ascii="Arial" w:eastAsia="Times New Roman" w:hAnsi="Arial" w:cs="Arial"/>
                <w:color w:val="39414D"/>
                <w:sz w:val="16"/>
                <w:szCs w:val="16"/>
              </w:rPr>
            </w:pPr>
            <w:r w:rsidRPr="00FF30C6">
              <w:rPr>
                <w:rFonts w:ascii="Arial" w:hAnsi="Arial" w:cs="Arial"/>
                <w:color w:val="39414D"/>
                <w:sz w:val="16"/>
                <w:szCs w:val="16"/>
              </w:rPr>
              <w:t xml:space="preserve">0.0% </w:t>
            </w:r>
          </w:p>
        </w:tc>
      </w:tr>
    </w:tbl>
    <w:p w14:paraId="797E033E" w14:textId="2D72F20A" w:rsidR="00B40D56" w:rsidRDefault="00B40D56" w:rsidP="00622097">
      <w:pPr>
        <w:jc w:val="both"/>
      </w:pPr>
    </w:p>
    <w:p w14:paraId="3FF358FA" w14:textId="77777777" w:rsidR="0088012E" w:rsidRDefault="0088012E" w:rsidP="00622097">
      <w:pPr>
        <w:pStyle w:val="Heading5"/>
        <w:jc w:val="both"/>
      </w:pPr>
      <w:bookmarkStart w:id="239" w:name="_Toc454354197"/>
      <w:bookmarkStart w:id="240" w:name="_Toc484701198"/>
      <w:bookmarkStart w:id="241" w:name="_Toc504389044"/>
      <w:r w:rsidRPr="007533EB">
        <w:t>Variation</w:t>
      </w:r>
      <w:bookmarkEnd w:id="239"/>
      <w:bookmarkEnd w:id="240"/>
      <w:bookmarkEnd w:id="241"/>
      <w:r w:rsidRPr="007533EB">
        <w:t xml:space="preserve"> </w:t>
      </w:r>
    </w:p>
    <w:p w14:paraId="75A952FF" w14:textId="77777777" w:rsidR="007B536F" w:rsidRPr="007B536F" w:rsidRDefault="007B536F" w:rsidP="00622097">
      <w:pPr>
        <w:pStyle w:val="Heading6"/>
        <w:numPr>
          <w:ilvl w:val="0"/>
          <w:numId w:val="63"/>
        </w:numPr>
        <w:jc w:val="both"/>
      </w:pPr>
      <w:r>
        <w:t>Medicaid populations</w:t>
      </w:r>
    </w:p>
    <w:p w14:paraId="7BE1FB37" w14:textId="5A1D0D02" w:rsidR="009D5CA5" w:rsidRDefault="0088012E" w:rsidP="00622097">
      <w:pPr>
        <w:pStyle w:val="RRBody"/>
        <w:jc w:val="both"/>
      </w:pPr>
      <w:bookmarkStart w:id="242" w:name="_Toc454354198"/>
      <w:bookmarkStart w:id="243" w:name="_Toc484701199"/>
      <w:bookmarkStart w:id="244" w:name="_Toc504389045"/>
      <w:r w:rsidRPr="0076558C">
        <w:t xml:space="preserve">To limit the variation in benefit cost that is present across the Medicaid population as a whole, we developed trends by population category and major category of service. </w:t>
      </w:r>
      <w:r w:rsidR="00210A9F">
        <w:t>T</w:t>
      </w:r>
      <w:r w:rsidR="009D5CA5">
        <w:t xml:space="preserve">rend variations between populations and service categories reflect observed variation in the underlying historical experience and actuarial judgement based on the sources listed in the section above.  </w:t>
      </w:r>
    </w:p>
    <w:p w14:paraId="276F737B" w14:textId="3C8CECE7" w:rsidR="007B536F" w:rsidRDefault="007B536F" w:rsidP="00622097">
      <w:pPr>
        <w:pStyle w:val="Heading6"/>
        <w:jc w:val="both"/>
      </w:pPr>
      <w:r>
        <w:t>Rate cells</w:t>
      </w:r>
    </w:p>
    <w:p w14:paraId="79ADEAF4" w14:textId="747C3B95" w:rsidR="00B132DE" w:rsidRDefault="005C0869" w:rsidP="00622097">
      <w:pPr>
        <w:jc w:val="both"/>
      </w:pPr>
      <w:r>
        <w:t xml:space="preserve">We split out several populations by rate cell, </w:t>
      </w:r>
      <w:r w:rsidR="00B40D56">
        <w:t>to</w:t>
      </w:r>
      <w:r>
        <w:t xml:space="preserve"> appropriately reflect the material difference in rate cell morbidity. The Rite Care population was split into R</w:t>
      </w:r>
      <w:r w:rsidR="00B40D56">
        <w:t>I</w:t>
      </w:r>
      <w:r>
        <w:t xml:space="preserve">te Care </w:t>
      </w:r>
      <w:r w:rsidR="001454AB">
        <w:t xml:space="preserve">Children </w:t>
      </w:r>
      <w:r w:rsidR="00B40D56">
        <w:t>(up to age 15)</w:t>
      </w:r>
      <w:r>
        <w:t>, R</w:t>
      </w:r>
      <w:r w:rsidR="00B40D56">
        <w:t>I</w:t>
      </w:r>
      <w:r>
        <w:t xml:space="preserve">te Care </w:t>
      </w:r>
      <w:r w:rsidR="00B40D56">
        <w:t>Adults (over age 15)</w:t>
      </w:r>
      <w:r>
        <w:t xml:space="preserve">, </w:t>
      </w:r>
      <w:r w:rsidR="003E5EAF">
        <w:t xml:space="preserve">and </w:t>
      </w:r>
      <w:r>
        <w:t>EFP.</w:t>
      </w:r>
    </w:p>
    <w:p w14:paraId="2E8787FE" w14:textId="77777777" w:rsidR="007B536F" w:rsidRPr="00B132DE" w:rsidRDefault="007B536F" w:rsidP="00E54F84">
      <w:pPr>
        <w:spacing w:line="264" w:lineRule="auto"/>
        <w:rPr>
          <w:sz w:val="2"/>
        </w:rPr>
      </w:pPr>
    </w:p>
    <w:p w14:paraId="201B9877" w14:textId="1EE1E05A" w:rsidR="007B536F" w:rsidRPr="007B536F" w:rsidRDefault="007B536F" w:rsidP="00622097">
      <w:pPr>
        <w:pStyle w:val="Heading6"/>
        <w:jc w:val="both"/>
      </w:pPr>
      <w:r>
        <w:t>Subsets of benefits within a category of services</w:t>
      </w:r>
    </w:p>
    <w:p w14:paraId="11F3513D" w14:textId="105F9B6A" w:rsidR="00622097" w:rsidRDefault="0088012E" w:rsidP="00622097">
      <w:pPr>
        <w:pStyle w:val="RRBody"/>
        <w:jc w:val="both"/>
      </w:pPr>
      <w:r w:rsidRPr="0076558C">
        <w:t xml:space="preserve">For the pharmacy trend assumption development, we further reviewed experience </w:t>
      </w:r>
      <w:r w:rsidR="00220790">
        <w:t>by therapeutic class</w:t>
      </w:r>
      <w:r w:rsidRPr="0076558C">
        <w:t xml:space="preserve">. The variation that occurs between </w:t>
      </w:r>
      <w:r w:rsidR="00220790">
        <w:t>the therapeutic class</w:t>
      </w:r>
      <w:r w:rsidRPr="0076558C">
        <w:t xml:space="preserve"> prescription drug stratifications and further within each major population category contributes to the variation in the pharmacy trend assumptions applied across the managed care program in the </w:t>
      </w:r>
      <w:r w:rsidR="00332B9F">
        <w:t>SFY</w:t>
      </w:r>
      <w:r w:rsidR="00332B9F" w:rsidRPr="0076558C">
        <w:t xml:space="preserve"> </w:t>
      </w:r>
      <w:r w:rsidR="00E13406" w:rsidRPr="0076558C">
        <w:t>20</w:t>
      </w:r>
      <w:r w:rsidR="00E13406">
        <w:t>23</w:t>
      </w:r>
      <w:r w:rsidR="00E13406" w:rsidRPr="0076558C">
        <w:t xml:space="preserve"> </w:t>
      </w:r>
      <w:r w:rsidRPr="0076558C">
        <w:t>capitation rate development.</w:t>
      </w:r>
    </w:p>
    <w:p w14:paraId="7D602CCE" w14:textId="77777777" w:rsidR="0088012E" w:rsidRPr="007533EB" w:rsidRDefault="0088012E" w:rsidP="00622097">
      <w:pPr>
        <w:pStyle w:val="Heading5"/>
        <w:jc w:val="both"/>
      </w:pPr>
      <w:r w:rsidRPr="007533EB">
        <w:t>Material adjustments</w:t>
      </w:r>
      <w:bookmarkEnd w:id="242"/>
      <w:bookmarkEnd w:id="243"/>
      <w:bookmarkEnd w:id="244"/>
    </w:p>
    <w:p w14:paraId="1AB9BC89" w14:textId="23E534DF" w:rsidR="007A08E0" w:rsidRDefault="009D5CA5" w:rsidP="00622097">
      <w:pPr>
        <w:pStyle w:val="RRBody"/>
        <w:jc w:val="both"/>
      </w:pPr>
      <w:r>
        <w:t xml:space="preserve">We </w:t>
      </w:r>
      <w:r w:rsidR="001B3E25">
        <w:t>adjusted</w:t>
      </w:r>
      <w:r>
        <w:t xml:space="preserve"> the trends derived from historical experience in cases where the resulting trends did not appear reasonably </w:t>
      </w:r>
      <w:r w:rsidR="001B3E25">
        <w:t>sustainable or</w:t>
      </w:r>
      <w:r>
        <w:t xml:space="preserve"> were not within consensus parameters derived from other sources. </w:t>
      </w:r>
    </w:p>
    <w:p w14:paraId="3A804383" w14:textId="028746F4" w:rsidR="00F37935" w:rsidRDefault="009D5CA5" w:rsidP="00622097">
      <w:pPr>
        <w:pStyle w:val="RRBody"/>
        <w:jc w:val="both"/>
      </w:pPr>
      <w:r>
        <w:t xml:space="preserve">For many rate cells and categories of services, raw model output was outside of a range of reasonable results. In these situations, we relied on the sources identified to develop prospective trend. </w:t>
      </w:r>
    </w:p>
    <w:p w14:paraId="40C3AFA4" w14:textId="542A3DCB" w:rsidR="00EB42A5" w:rsidRPr="00512FB7" w:rsidRDefault="006A3555" w:rsidP="00622097">
      <w:pPr>
        <w:pStyle w:val="RRBody"/>
        <w:jc w:val="both"/>
        <w:rPr>
          <w:rFonts w:cs="Arial"/>
        </w:rPr>
      </w:pPr>
      <w:r>
        <w:t xml:space="preserve">As noted previously, the cost trend for the Inpatient Hospital, Outpatient Hospital, Emergency Room, Nursing Home </w:t>
      </w:r>
      <w:r w:rsidR="00E12ED0">
        <w:t xml:space="preserve">and Hospice </w:t>
      </w:r>
      <w:r>
        <w:t>service categories were prescribed by</w:t>
      </w:r>
      <w:r w:rsidR="00C56DA3">
        <w:t xml:space="preserve"> legislatively mandated reimbursement changes</w:t>
      </w:r>
      <w:r>
        <w:t>.</w:t>
      </w:r>
    </w:p>
    <w:p w14:paraId="2E35FA93" w14:textId="77777777" w:rsidR="00CE2634" w:rsidRPr="007533EB" w:rsidRDefault="00CE2634" w:rsidP="00622097">
      <w:pPr>
        <w:pStyle w:val="Heading5"/>
        <w:jc w:val="both"/>
      </w:pPr>
      <w:r w:rsidRPr="007533EB">
        <w:t>Any other adjustments</w:t>
      </w:r>
      <w:bookmarkEnd w:id="221"/>
      <w:bookmarkEnd w:id="222"/>
    </w:p>
    <w:p w14:paraId="67DAA4A1" w14:textId="77777777" w:rsidR="00CE2634" w:rsidRPr="007533EB" w:rsidRDefault="00CE2634" w:rsidP="00622097">
      <w:pPr>
        <w:pStyle w:val="Heading6"/>
        <w:numPr>
          <w:ilvl w:val="0"/>
          <w:numId w:val="64"/>
        </w:numPr>
        <w:jc w:val="both"/>
      </w:pPr>
      <w:bookmarkStart w:id="245" w:name="_Toc484701201"/>
      <w:bookmarkStart w:id="246" w:name="_Toc504389047"/>
      <w:r w:rsidRPr="007533EB">
        <w:t>Impact of managed care</w:t>
      </w:r>
      <w:bookmarkEnd w:id="245"/>
      <w:bookmarkEnd w:id="246"/>
    </w:p>
    <w:p w14:paraId="49EA9C6A" w14:textId="77777777" w:rsidR="00AE7C85" w:rsidRPr="000B1911" w:rsidRDefault="00AE7C85" w:rsidP="00622097">
      <w:pPr>
        <w:pStyle w:val="RRBody"/>
        <w:jc w:val="both"/>
      </w:pPr>
      <w:bookmarkStart w:id="247" w:name="_Toc484701202"/>
      <w:bookmarkStart w:id="248" w:name="_Toc504389048"/>
      <w:r w:rsidRPr="0076558C">
        <w:t xml:space="preserve">We did not adjust the trend rates to reflect a managed care impact on utilization or unit cost. The capitation rates have an explicit adjustment for the managed care </w:t>
      </w:r>
      <w:r w:rsidR="00C93267">
        <w:t>efficiencies</w:t>
      </w:r>
      <w:r>
        <w:t>.</w:t>
      </w:r>
    </w:p>
    <w:p w14:paraId="487F65E0" w14:textId="170329CF" w:rsidR="00CE2634" w:rsidRPr="007533EB" w:rsidRDefault="00CE2634" w:rsidP="00622097">
      <w:pPr>
        <w:pStyle w:val="Heading6"/>
        <w:jc w:val="both"/>
      </w:pPr>
      <w:r w:rsidRPr="007533EB">
        <w:t>Trend changes other than utilization and cost</w:t>
      </w:r>
      <w:bookmarkEnd w:id="247"/>
      <w:bookmarkEnd w:id="248"/>
    </w:p>
    <w:p w14:paraId="5A741445" w14:textId="6DB4069B" w:rsidR="00CE2634" w:rsidRPr="00541C09" w:rsidRDefault="00CE2634" w:rsidP="00622097">
      <w:pPr>
        <w:jc w:val="both"/>
      </w:pPr>
      <w:r w:rsidRPr="00541C09">
        <w:t xml:space="preserve">We did not adjust the benefit cost trend for changes other than </w:t>
      </w:r>
      <w:r w:rsidR="00950B91">
        <w:t xml:space="preserve">regular </w:t>
      </w:r>
      <w:r w:rsidRPr="00541C09">
        <w:t>utilization or unit cost.</w:t>
      </w:r>
      <w:r w:rsidR="00950B91">
        <w:t xml:space="preserve"> Adjustments for prospective program adjustments described in Section I.3.B.ii.</w:t>
      </w:r>
    </w:p>
    <w:p w14:paraId="323A895D" w14:textId="77777777" w:rsidR="00CE2634" w:rsidRPr="00013033" w:rsidRDefault="00CE2634" w:rsidP="00622097">
      <w:pPr>
        <w:pStyle w:val="Heading4"/>
      </w:pPr>
      <w:bookmarkStart w:id="249" w:name="_Toc484701203"/>
      <w:bookmarkStart w:id="250" w:name="_Toc504389049"/>
      <w:bookmarkStart w:id="251" w:name="_Toc8985018"/>
      <w:bookmarkStart w:id="252" w:name="_Toc100260713"/>
      <w:r w:rsidRPr="00013033">
        <w:t>Mental Health Parity and Addiction Equity Act Service Adjustment</w:t>
      </w:r>
      <w:bookmarkEnd w:id="249"/>
      <w:bookmarkEnd w:id="250"/>
      <w:bookmarkEnd w:id="251"/>
      <w:bookmarkEnd w:id="252"/>
    </w:p>
    <w:p w14:paraId="0AB476A7" w14:textId="3E3CC8E5" w:rsidR="00CE2634" w:rsidRPr="00541C09" w:rsidRDefault="00F37935" w:rsidP="00622097">
      <w:pPr>
        <w:jc w:val="both"/>
      </w:pPr>
      <w:r>
        <w:t xml:space="preserve">The projected benefit cost </w:t>
      </w:r>
      <w:r w:rsidR="001B3E25">
        <w:t>does</w:t>
      </w:r>
      <w:r>
        <w:t xml:space="preserve"> not include</w:t>
      </w:r>
      <w:r w:rsidR="00002A9A" w:rsidRPr="00002A9A">
        <w:t xml:space="preserve"> any</w:t>
      </w:r>
      <w:r w:rsidR="007A08E0">
        <w:t xml:space="preserve"> additional</w:t>
      </w:r>
      <w:r w:rsidR="00002A9A" w:rsidRPr="00002A9A">
        <w:t xml:space="preserve"> </w:t>
      </w:r>
      <w:r>
        <w:t>services deemed by the state necessary</w:t>
      </w:r>
      <w:r w:rsidR="00002A9A" w:rsidRPr="00002A9A">
        <w:t xml:space="preserve"> to accommodate parity compliance.</w:t>
      </w:r>
      <w:r w:rsidR="00CE2634" w:rsidRPr="00541C09">
        <w:t xml:space="preserve">  </w:t>
      </w:r>
    </w:p>
    <w:p w14:paraId="48388B2E" w14:textId="77777777" w:rsidR="00CE2634" w:rsidRPr="00013033" w:rsidRDefault="00CE2634" w:rsidP="00622097">
      <w:pPr>
        <w:pStyle w:val="Heading4"/>
      </w:pPr>
      <w:bookmarkStart w:id="253" w:name="_Toc466028089"/>
      <w:bookmarkStart w:id="254" w:name="_Toc484701204"/>
      <w:bookmarkStart w:id="255" w:name="_Toc504389050"/>
      <w:bookmarkStart w:id="256" w:name="_Toc8985019"/>
      <w:bookmarkStart w:id="257" w:name="_Toc100260714"/>
      <w:r w:rsidRPr="00013033">
        <w:lastRenderedPageBreak/>
        <w:t>In Lieu of Services</w:t>
      </w:r>
      <w:bookmarkEnd w:id="253"/>
      <w:bookmarkEnd w:id="254"/>
      <w:bookmarkEnd w:id="255"/>
      <w:bookmarkEnd w:id="256"/>
      <w:bookmarkEnd w:id="257"/>
    </w:p>
    <w:p w14:paraId="3C404B7D" w14:textId="40C2A9A1" w:rsidR="00AE7C85" w:rsidRDefault="00F37935" w:rsidP="00622097">
      <w:pPr>
        <w:pStyle w:val="RRBody"/>
        <w:jc w:val="both"/>
      </w:pPr>
      <w:bookmarkStart w:id="258" w:name="_Toc466028091"/>
      <w:bookmarkStart w:id="259" w:name="_Toc484701205"/>
      <w:bookmarkStart w:id="260" w:name="_Toc504389051"/>
      <w:r>
        <w:t>As discussed in Section I.3.A.iv, t</w:t>
      </w:r>
      <w:r w:rsidR="005A55B3">
        <w:t xml:space="preserve">he </w:t>
      </w:r>
      <w:r w:rsidR="003F6D76">
        <w:t>reported benefit costs for in-lieu-of-services are described in this section.</w:t>
      </w:r>
      <w:r w:rsidR="003F6D76" w:rsidDel="003F6D76">
        <w:t xml:space="preserve"> </w:t>
      </w:r>
    </w:p>
    <w:p w14:paraId="72A244CF" w14:textId="3E1F7E98" w:rsidR="003F6D76" w:rsidRPr="007533EB" w:rsidRDefault="003F6D76" w:rsidP="003F6D76">
      <w:pPr>
        <w:pStyle w:val="Heading5"/>
        <w:jc w:val="both"/>
      </w:pPr>
      <w:r>
        <w:t>Categories of covered service</w:t>
      </w:r>
    </w:p>
    <w:p w14:paraId="5636B2BB" w14:textId="3DB8F2A7" w:rsidR="003F6D76" w:rsidRPr="00541C09" w:rsidRDefault="003F6D76" w:rsidP="003F6D76">
      <w:pPr>
        <w:jc w:val="both"/>
      </w:pPr>
      <w:r>
        <w:t xml:space="preserve">MCOs reported offering in-lieu-of services for facility and professional service categories. The services approved by EOHHS to be utilized this way </w:t>
      </w:r>
      <w:r w:rsidR="004B4F2B">
        <w:t>include</w:t>
      </w:r>
      <w:r>
        <w:t xml:space="preserve"> acupuncture, chiropractic services, and massage therapy.</w:t>
      </w:r>
    </w:p>
    <w:p w14:paraId="0B73A1C1" w14:textId="00B8871C" w:rsidR="003F6D76" w:rsidRPr="007533EB" w:rsidRDefault="003F6D76" w:rsidP="003F6D76">
      <w:pPr>
        <w:pStyle w:val="Heading5"/>
        <w:jc w:val="both"/>
      </w:pPr>
      <w:r>
        <w:t>Percentage of cost</w:t>
      </w:r>
    </w:p>
    <w:p w14:paraId="6E111937" w14:textId="18546880" w:rsidR="003F6D76" w:rsidRDefault="003F6D76" w:rsidP="003F6D76">
      <w:pPr>
        <w:pStyle w:val="RRBody"/>
        <w:jc w:val="both"/>
      </w:pPr>
      <w:r>
        <w:t>The reported cost for in-lieu-of services</w:t>
      </w:r>
      <w:r w:rsidR="004B4F2B">
        <w:t xml:space="preserve"> were </w:t>
      </w:r>
      <w:r w:rsidR="009C3057">
        <w:t>approximately $</w:t>
      </w:r>
      <w:r w:rsidR="00DE3B38">
        <w:t>5</w:t>
      </w:r>
      <w:r w:rsidR="009C3057">
        <w:t>.</w:t>
      </w:r>
      <w:r w:rsidR="00DE3B38">
        <w:t xml:space="preserve">1 </w:t>
      </w:r>
      <w:r w:rsidR="009C3057">
        <w:t>million</w:t>
      </w:r>
      <w:r w:rsidR="004B4F2B">
        <w:t xml:space="preserve"> in </w:t>
      </w:r>
      <w:r w:rsidR="00DE3B38">
        <w:t xml:space="preserve">CY </w:t>
      </w:r>
      <w:r w:rsidR="004B4F2B">
        <w:t>2019</w:t>
      </w:r>
      <w:r>
        <w:t>.</w:t>
      </w:r>
      <w:r w:rsidR="004B4F2B">
        <w:t xml:space="preserve"> </w:t>
      </w:r>
      <w:r w:rsidR="00E5449E">
        <w:t xml:space="preserve">The following figure illustrates that in-lieu-of services </w:t>
      </w:r>
      <w:r w:rsidR="004B4F2B">
        <w:t xml:space="preserve">represent </w:t>
      </w:r>
      <w:r w:rsidR="00E5449E">
        <w:t>approximately</w:t>
      </w:r>
      <w:r w:rsidR="004B4F2B">
        <w:t xml:space="preserve"> 0.</w:t>
      </w:r>
      <w:r w:rsidR="00DE3B38">
        <w:t>4</w:t>
      </w:r>
      <w:r w:rsidR="004B4F2B">
        <w:t xml:space="preserve">% of the base benefit cost </w:t>
      </w:r>
      <w:r w:rsidR="009C3057">
        <w:t>in</w:t>
      </w:r>
      <w:r w:rsidR="004B4F2B">
        <w:t xml:space="preserve"> </w:t>
      </w:r>
      <w:r w:rsidR="00DE3B38">
        <w:t xml:space="preserve">CY </w:t>
      </w:r>
      <w:r w:rsidR="004B4F2B">
        <w:t>2019.</w:t>
      </w:r>
      <w:r w:rsidR="00E5449E">
        <w:t xml:space="preserve"> </w:t>
      </w:r>
    </w:p>
    <w:tbl>
      <w:tblPr>
        <w:tblW w:w="8584" w:type="dxa"/>
        <w:tblLayout w:type="fixed"/>
        <w:tblLook w:val="04A0" w:firstRow="1" w:lastRow="0" w:firstColumn="1" w:lastColumn="0" w:noHBand="0" w:noVBand="1"/>
      </w:tblPr>
      <w:tblGrid>
        <w:gridCol w:w="2728"/>
        <w:gridCol w:w="1464"/>
        <w:gridCol w:w="1464"/>
        <w:gridCol w:w="1464"/>
        <w:gridCol w:w="1464"/>
      </w:tblGrid>
      <w:tr w:rsidR="00E5449E" w:rsidRPr="00E5449E" w14:paraId="10C21152" w14:textId="77777777" w:rsidTr="00411135">
        <w:trPr>
          <w:trHeight w:val="240"/>
        </w:trPr>
        <w:tc>
          <w:tcPr>
            <w:tcW w:w="8584" w:type="dxa"/>
            <w:gridSpan w:val="5"/>
            <w:tcBorders>
              <w:top w:val="nil"/>
              <w:left w:val="nil"/>
              <w:bottom w:val="nil"/>
              <w:right w:val="nil"/>
            </w:tcBorders>
            <w:shd w:val="clear" w:color="auto" w:fill="auto"/>
            <w:noWrap/>
            <w:vAlign w:val="center"/>
            <w:hideMark/>
          </w:tcPr>
          <w:p w14:paraId="5EDE49CC" w14:textId="37AA4F7D" w:rsidR="00E5449E" w:rsidRPr="00E5449E" w:rsidRDefault="00E5449E" w:rsidP="00E5449E">
            <w:pPr>
              <w:spacing w:after="0" w:line="240" w:lineRule="auto"/>
              <w:rPr>
                <w:rFonts w:ascii="Times New Roman" w:eastAsia="Times New Roman" w:hAnsi="Times New Roman" w:cs="Times New Roman"/>
                <w:sz w:val="20"/>
                <w:szCs w:val="20"/>
              </w:rPr>
            </w:pPr>
            <w:r w:rsidRPr="00E5449E">
              <w:rPr>
                <w:rFonts w:ascii="Arial" w:eastAsia="Times New Roman" w:hAnsi="Arial" w:cs="Arial"/>
                <w:b/>
                <w:bCs/>
                <w:color w:val="0081E3"/>
                <w:szCs w:val="18"/>
              </w:rPr>
              <w:t xml:space="preserve">FIGURE </w:t>
            </w:r>
            <w:r w:rsidR="0056637D">
              <w:rPr>
                <w:rFonts w:ascii="Arial" w:eastAsia="Times New Roman" w:hAnsi="Arial" w:cs="Arial"/>
                <w:b/>
                <w:bCs/>
                <w:color w:val="0081E3"/>
                <w:szCs w:val="18"/>
              </w:rPr>
              <w:t>1</w:t>
            </w:r>
            <w:r w:rsidR="00273A3D">
              <w:rPr>
                <w:rFonts w:ascii="Arial" w:eastAsia="Times New Roman" w:hAnsi="Arial" w:cs="Arial"/>
                <w:b/>
                <w:bCs/>
                <w:color w:val="0081E3"/>
                <w:szCs w:val="18"/>
              </w:rPr>
              <w:t>8</w:t>
            </w:r>
            <w:r w:rsidRPr="00E5449E">
              <w:rPr>
                <w:rFonts w:ascii="Arial" w:eastAsia="Times New Roman" w:hAnsi="Arial" w:cs="Arial"/>
                <w:b/>
                <w:bCs/>
                <w:color w:val="0081E3"/>
                <w:szCs w:val="18"/>
              </w:rPr>
              <w:t xml:space="preserve">: </w:t>
            </w:r>
            <w:r w:rsidR="009C3057" w:rsidRPr="00072C4C">
              <w:rPr>
                <w:rFonts w:ascii="Arial" w:eastAsia="Times New Roman" w:hAnsi="Arial" w:cs="Arial"/>
                <w:b/>
                <w:bCs/>
                <w:caps/>
                <w:color w:val="0081E3"/>
                <w:szCs w:val="18"/>
              </w:rPr>
              <w:t>In</w:t>
            </w:r>
            <w:r w:rsidRPr="00072C4C">
              <w:rPr>
                <w:rFonts w:ascii="Arial" w:eastAsia="Times New Roman" w:hAnsi="Arial" w:cs="Arial"/>
                <w:b/>
                <w:bCs/>
                <w:caps/>
                <w:color w:val="0081E3"/>
                <w:szCs w:val="18"/>
              </w:rPr>
              <w:t>-L</w:t>
            </w:r>
            <w:r w:rsidR="009C3057" w:rsidRPr="00072C4C">
              <w:rPr>
                <w:rFonts w:ascii="Arial" w:eastAsia="Times New Roman" w:hAnsi="Arial" w:cs="Arial"/>
                <w:b/>
                <w:bCs/>
                <w:caps/>
                <w:color w:val="0081E3"/>
                <w:szCs w:val="18"/>
              </w:rPr>
              <w:t>ieu</w:t>
            </w:r>
            <w:r w:rsidRPr="00072C4C">
              <w:rPr>
                <w:rFonts w:ascii="Arial" w:eastAsia="Times New Roman" w:hAnsi="Arial" w:cs="Arial"/>
                <w:b/>
                <w:bCs/>
                <w:caps/>
                <w:color w:val="0081E3"/>
                <w:szCs w:val="18"/>
              </w:rPr>
              <w:t>-O</w:t>
            </w:r>
            <w:r w:rsidR="009C3057" w:rsidRPr="00072C4C">
              <w:rPr>
                <w:rFonts w:ascii="Arial" w:eastAsia="Times New Roman" w:hAnsi="Arial" w:cs="Arial"/>
                <w:b/>
                <w:bCs/>
                <w:caps/>
                <w:color w:val="0081E3"/>
                <w:szCs w:val="18"/>
              </w:rPr>
              <w:t>f</w:t>
            </w:r>
            <w:r w:rsidRPr="00072C4C">
              <w:rPr>
                <w:rFonts w:ascii="Arial" w:eastAsia="Times New Roman" w:hAnsi="Arial" w:cs="Arial"/>
                <w:b/>
                <w:bCs/>
                <w:caps/>
                <w:color w:val="0081E3"/>
                <w:szCs w:val="18"/>
              </w:rPr>
              <w:t xml:space="preserve"> </w:t>
            </w:r>
            <w:r w:rsidR="009C3057" w:rsidRPr="00072C4C">
              <w:rPr>
                <w:rFonts w:ascii="Arial" w:eastAsia="Times New Roman" w:hAnsi="Arial" w:cs="Arial"/>
                <w:b/>
                <w:bCs/>
                <w:caps/>
                <w:color w:val="0081E3"/>
                <w:szCs w:val="18"/>
              </w:rPr>
              <w:t xml:space="preserve">Services as a Percentage of </w:t>
            </w:r>
            <w:r w:rsidR="00DE3B38">
              <w:rPr>
                <w:rFonts w:ascii="Arial" w:eastAsia="Times New Roman" w:hAnsi="Arial" w:cs="Arial"/>
                <w:b/>
                <w:bCs/>
                <w:caps/>
                <w:color w:val="0081E3"/>
                <w:szCs w:val="18"/>
              </w:rPr>
              <w:t>C</w:t>
            </w:r>
            <w:r w:rsidR="00DE3B38" w:rsidRPr="00072C4C">
              <w:rPr>
                <w:rFonts w:ascii="Arial" w:eastAsia="Times New Roman" w:hAnsi="Arial" w:cs="Arial"/>
                <w:b/>
                <w:bCs/>
                <w:caps/>
                <w:color w:val="0081E3"/>
                <w:szCs w:val="18"/>
              </w:rPr>
              <w:t xml:space="preserve">Y </w:t>
            </w:r>
            <w:r w:rsidR="009C3057" w:rsidRPr="00072C4C">
              <w:rPr>
                <w:rFonts w:ascii="Arial" w:eastAsia="Times New Roman" w:hAnsi="Arial" w:cs="Arial"/>
                <w:b/>
                <w:bCs/>
                <w:caps/>
                <w:color w:val="0081E3"/>
                <w:szCs w:val="18"/>
              </w:rPr>
              <w:t>2019 Benefit Cost</w:t>
            </w:r>
            <w:r w:rsidR="009C3057">
              <w:rPr>
                <w:rFonts w:ascii="Arial" w:eastAsia="Times New Roman" w:hAnsi="Arial" w:cs="Arial"/>
                <w:b/>
                <w:bCs/>
                <w:color w:val="0081E3"/>
                <w:szCs w:val="18"/>
              </w:rPr>
              <w:t xml:space="preserve"> </w:t>
            </w:r>
          </w:p>
        </w:tc>
      </w:tr>
      <w:tr w:rsidR="009C3057" w:rsidRPr="00E5449E" w14:paraId="1B63E421" w14:textId="77777777" w:rsidTr="00411135">
        <w:trPr>
          <w:trHeight w:val="480"/>
        </w:trPr>
        <w:tc>
          <w:tcPr>
            <w:tcW w:w="2728" w:type="dxa"/>
            <w:tcBorders>
              <w:top w:val="nil"/>
              <w:left w:val="nil"/>
              <w:bottom w:val="single" w:sz="4" w:space="0" w:color="C6C9CA"/>
              <w:right w:val="nil"/>
            </w:tcBorders>
            <w:shd w:val="clear" w:color="auto" w:fill="auto"/>
            <w:vAlign w:val="center"/>
            <w:hideMark/>
          </w:tcPr>
          <w:p w14:paraId="001F3416" w14:textId="77777777" w:rsidR="009C3057" w:rsidRPr="00E5449E" w:rsidRDefault="009C3057" w:rsidP="00E5449E">
            <w:pPr>
              <w:spacing w:after="0" w:line="240" w:lineRule="auto"/>
              <w:rPr>
                <w:rFonts w:ascii="Arial" w:eastAsia="Times New Roman" w:hAnsi="Arial" w:cs="Arial"/>
                <w:b/>
                <w:bCs/>
                <w:color w:val="39414D"/>
                <w:szCs w:val="18"/>
              </w:rPr>
            </w:pPr>
            <w:r w:rsidRPr="00E5449E">
              <w:rPr>
                <w:rFonts w:ascii="Arial" w:eastAsia="Times New Roman" w:hAnsi="Arial" w:cs="Arial"/>
                <w:b/>
                <w:bCs/>
                <w:color w:val="39414D"/>
                <w:szCs w:val="18"/>
              </w:rPr>
              <w:t>Population</w:t>
            </w:r>
          </w:p>
        </w:tc>
        <w:tc>
          <w:tcPr>
            <w:tcW w:w="1464" w:type="dxa"/>
            <w:tcBorders>
              <w:top w:val="nil"/>
              <w:left w:val="nil"/>
              <w:bottom w:val="single" w:sz="4" w:space="0" w:color="C6C9CA"/>
              <w:right w:val="nil"/>
            </w:tcBorders>
            <w:shd w:val="clear" w:color="auto" w:fill="auto"/>
            <w:vAlign w:val="center"/>
            <w:hideMark/>
          </w:tcPr>
          <w:p w14:paraId="481DD36F" w14:textId="77777777" w:rsidR="009C3057" w:rsidRPr="00E5449E" w:rsidRDefault="009C3057" w:rsidP="00E5449E">
            <w:pPr>
              <w:spacing w:after="0" w:line="240" w:lineRule="auto"/>
              <w:jc w:val="center"/>
              <w:rPr>
                <w:rFonts w:ascii="Arial" w:eastAsia="Times New Roman" w:hAnsi="Arial" w:cs="Arial"/>
                <w:b/>
                <w:bCs/>
                <w:color w:val="39414D"/>
                <w:szCs w:val="18"/>
              </w:rPr>
            </w:pPr>
            <w:r w:rsidRPr="00E5449E">
              <w:rPr>
                <w:rFonts w:ascii="Arial" w:eastAsia="Times New Roman" w:hAnsi="Arial" w:cs="Arial"/>
                <w:b/>
                <w:bCs/>
                <w:color w:val="39414D"/>
                <w:szCs w:val="18"/>
              </w:rPr>
              <w:t>Facility</w:t>
            </w:r>
          </w:p>
        </w:tc>
        <w:tc>
          <w:tcPr>
            <w:tcW w:w="1464" w:type="dxa"/>
            <w:tcBorders>
              <w:top w:val="nil"/>
              <w:left w:val="nil"/>
              <w:bottom w:val="single" w:sz="4" w:space="0" w:color="C6C9CA"/>
              <w:right w:val="nil"/>
            </w:tcBorders>
            <w:shd w:val="clear" w:color="auto" w:fill="auto"/>
            <w:vAlign w:val="center"/>
            <w:hideMark/>
          </w:tcPr>
          <w:p w14:paraId="3B451FF2" w14:textId="77777777" w:rsidR="009C3057" w:rsidRPr="00E5449E" w:rsidRDefault="009C3057" w:rsidP="00E5449E">
            <w:pPr>
              <w:spacing w:after="0" w:line="240" w:lineRule="auto"/>
              <w:jc w:val="center"/>
              <w:rPr>
                <w:rFonts w:ascii="Arial" w:eastAsia="Times New Roman" w:hAnsi="Arial" w:cs="Arial"/>
                <w:b/>
                <w:bCs/>
                <w:color w:val="39414D"/>
                <w:szCs w:val="18"/>
              </w:rPr>
            </w:pPr>
            <w:r w:rsidRPr="00E5449E">
              <w:rPr>
                <w:rFonts w:ascii="Arial" w:eastAsia="Times New Roman" w:hAnsi="Arial" w:cs="Arial"/>
                <w:b/>
                <w:bCs/>
                <w:color w:val="39414D"/>
                <w:szCs w:val="18"/>
              </w:rPr>
              <w:t>Professional</w:t>
            </w:r>
          </w:p>
        </w:tc>
        <w:tc>
          <w:tcPr>
            <w:tcW w:w="1464" w:type="dxa"/>
            <w:tcBorders>
              <w:top w:val="nil"/>
              <w:left w:val="nil"/>
              <w:bottom w:val="single" w:sz="4" w:space="0" w:color="C6C9CA"/>
              <w:right w:val="nil"/>
            </w:tcBorders>
            <w:shd w:val="clear" w:color="auto" w:fill="auto"/>
            <w:vAlign w:val="center"/>
            <w:hideMark/>
          </w:tcPr>
          <w:p w14:paraId="74BD48B8" w14:textId="77777777" w:rsidR="009C3057" w:rsidRPr="00E5449E" w:rsidRDefault="009C3057" w:rsidP="00E5449E">
            <w:pPr>
              <w:spacing w:after="0" w:line="240" w:lineRule="auto"/>
              <w:jc w:val="center"/>
              <w:rPr>
                <w:rFonts w:ascii="Arial" w:eastAsia="Times New Roman" w:hAnsi="Arial" w:cs="Arial"/>
                <w:b/>
                <w:bCs/>
                <w:color w:val="39414D"/>
                <w:szCs w:val="18"/>
              </w:rPr>
            </w:pPr>
            <w:r w:rsidRPr="00E5449E">
              <w:rPr>
                <w:rFonts w:ascii="Arial" w:eastAsia="Times New Roman" w:hAnsi="Arial" w:cs="Arial"/>
                <w:b/>
                <w:bCs/>
                <w:color w:val="39414D"/>
                <w:szCs w:val="18"/>
              </w:rPr>
              <w:t xml:space="preserve">All Other </w:t>
            </w:r>
          </w:p>
        </w:tc>
        <w:tc>
          <w:tcPr>
            <w:tcW w:w="1464" w:type="dxa"/>
            <w:tcBorders>
              <w:top w:val="nil"/>
              <w:left w:val="nil"/>
              <w:bottom w:val="single" w:sz="4" w:space="0" w:color="C6C9CA"/>
              <w:right w:val="nil"/>
            </w:tcBorders>
            <w:shd w:val="clear" w:color="auto" w:fill="auto"/>
            <w:vAlign w:val="center"/>
            <w:hideMark/>
          </w:tcPr>
          <w:p w14:paraId="1C9BADB6" w14:textId="77777777" w:rsidR="009C3057" w:rsidRPr="00E5449E" w:rsidRDefault="009C3057" w:rsidP="00E5449E">
            <w:pPr>
              <w:spacing w:after="0" w:line="240" w:lineRule="auto"/>
              <w:jc w:val="center"/>
              <w:rPr>
                <w:rFonts w:ascii="Arial" w:eastAsia="Times New Roman" w:hAnsi="Arial" w:cs="Arial"/>
                <w:b/>
                <w:bCs/>
                <w:color w:val="39414D"/>
                <w:szCs w:val="18"/>
              </w:rPr>
            </w:pPr>
            <w:r w:rsidRPr="00E5449E">
              <w:rPr>
                <w:rFonts w:ascii="Arial" w:eastAsia="Times New Roman" w:hAnsi="Arial" w:cs="Arial"/>
                <w:b/>
                <w:bCs/>
                <w:color w:val="39414D"/>
                <w:szCs w:val="18"/>
              </w:rPr>
              <w:t>Composite</w:t>
            </w:r>
          </w:p>
        </w:tc>
      </w:tr>
      <w:tr w:rsidR="003E5EAF" w:rsidRPr="00E5449E" w14:paraId="2E0A0C5D" w14:textId="77777777" w:rsidTr="00411135">
        <w:trPr>
          <w:trHeight w:val="240"/>
        </w:trPr>
        <w:tc>
          <w:tcPr>
            <w:tcW w:w="2728" w:type="dxa"/>
            <w:tcBorders>
              <w:top w:val="nil"/>
              <w:left w:val="nil"/>
              <w:bottom w:val="nil"/>
              <w:right w:val="nil"/>
            </w:tcBorders>
            <w:shd w:val="clear" w:color="auto" w:fill="auto"/>
            <w:noWrap/>
            <w:vAlign w:val="center"/>
            <w:hideMark/>
          </w:tcPr>
          <w:p w14:paraId="623384A0" w14:textId="5D3D688A" w:rsidR="003E5EAF" w:rsidRPr="00E5449E" w:rsidRDefault="003E5EAF" w:rsidP="003E5EAF">
            <w:pPr>
              <w:spacing w:after="0" w:line="240" w:lineRule="auto"/>
              <w:rPr>
                <w:rFonts w:ascii="Arial" w:eastAsia="Times New Roman" w:hAnsi="Arial" w:cs="Arial"/>
                <w:color w:val="39414D"/>
                <w:szCs w:val="18"/>
              </w:rPr>
            </w:pPr>
            <w:r>
              <w:rPr>
                <w:rFonts w:ascii="Arial" w:hAnsi="Arial" w:cs="Arial"/>
                <w:color w:val="39414D"/>
                <w:szCs w:val="18"/>
              </w:rPr>
              <w:t>RIte Care</w:t>
            </w:r>
          </w:p>
        </w:tc>
        <w:tc>
          <w:tcPr>
            <w:tcW w:w="1464" w:type="dxa"/>
            <w:tcBorders>
              <w:top w:val="nil"/>
              <w:left w:val="nil"/>
              <w:bottom w:val="nil"/>
              <w:right w:val="nil"/>
            </w:tcBorders>
            <w:shd w:val="clear" w:color="auto" w:fill="auto"/>
            <w:noWrap/>
            <w:vAlign w:val="center"/>
            <w:hideMark/>
          </w:tcPr>
          <w:p w14:paraId="6D73E8A1" w14:textId="17E066AE" w:rsidR="003E5EAF" w:rsidRPr="00E5449E"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0.1% </w:t>
            </w:r>
          </w:p>
        </w:tc>
        <w:tc>
          <w:tcPr>
            <w:tcW w:w="1464" w:type="dxa"/>
            <w:tcBorders>
              <w:top w:val="nil"/>
              <w:left w:val="nil"/>
              <w:bottom w:val="nil"/>
              <w:right w:val="nil"/>
            </w:tcBorders>
            <w:shd w:val="clear" w:color="auto" w:fill="auto"/>
            <w:noWrap/>
            <w:vAlign w:val="center"/>
            <w:hideMark/>
          </w:tcPr>
          <w:p w14:paraId="12B06805" w14:textId="16CFCDF2" w:rsidR="003E5EAF" w:rsidRPr="00E5449E"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0.2% </w:t>
            </w:r>
          </w:p>
        </w:tc>
        <w:tc>
          <w:tcPr>
            <w:tcW w:w="1464" w:type="dxa"/>
            <w:tcBorders>
              <w:top w:val="nil"/>
              <w:left w:val="nil"/>
              <w:bottom w:val="nil"/>
              <w:right w:val="nil"/>
            </w:tcBorders>
            <w:shd w:val="clear" w:color="auto" w:fill="auto"/>
            <w:noWrap/>
            <w:vAlign w:val="center"/>
            <w:hideMark/>
          </w:tcPr>
          <w:p w14:paraId="703C7392" w14:textId="3D1C8140" w:rsidR="003E5EAF" w:rsidRPr="00E5449E"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464" w:type="dxa"/>
            <w:tcBorders>
              <w:top w:val="nil"/>
              <w:left w:val="nil"/>
              <w:bottom w:val="nil"/>
              <w:right w:val="nil"/>
            </w:tcBorders>
            <w:shd w:val="clear" w:color="auto" w:fill="auto"/>
            <w:noWrap/>
            <w:vAlign w:val="center"/>
            <w:hideMark/>
          </w:tcPr>
          <w:p w14:paraId="5A2A9103" w14:textId="099740E8" w:rsidR="003E5EAF" w:rsidRPr="00E5449E" w:rsidRDefault="003E5EAF" w:rsidP="003E5EA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0.1% </w:t>
            </w:r>
          </w:p>
        </w:tc>
      </w:tr>
      <w:tr w:rsidR="003E5EAF" w:rsidRPr="00E5449E" w14:paraId="718AEB6A" w14:textId="77777777" w:rsidTr="00411135">
        <w:trPr>
          <w:trHeight w:val="240"/>
        </w:trPr>
        <w:tc>
          <w:tcPr>
            <w:tcW w:w="2728" w:type="dxa"/>
            <w:tcBorders>
              <w:top w:val="nil"/>
              <w:left w:val="nil"/>
              <w:bottom w:val="nil"/>
              <w:right w:val="nil"/>
            </w:tcBorders>
            <w:shd w:val="clear" w:color="000000" w:fill="E8E9E9"/>
            <w:noWrap/>
            <w:vAlign w:val="center"/>
            <w:hideMark/>
          </w:tcPr>
          <w:p w14:paraId="52891151" w14:textId="0AA1B0CB" w:rsidR="003E5EAF" w:rsidRPr="00E5449E" w:rsidRDefault="003E5EAF" w:rsidP="003E5EAF">
            <w:pPr>
              <w:spacing w:after="0" w:line="240" w:lineRule="auto"/>
              <w:rPr>
                <w:rFonts w:ascii="Arial" w:eastAsia="Times New Roman" w:hAnsi="Arial" w:cs="Arial"/>
                <w:color w:val="39414D"/>
                <w:szCs w:val="18"/>
              </w:rPr>
            </w:pPr>
            <w:r>
              <w:rPr>
                <w:rFonts w:ascii="Arial" w:hAnsi="Arial" w:cs="Arial"/>
                <w:color w:val="39414D"/>
                <w:szCs w:val="18"/>
              </w:rPr>
              <w:t>CSHCN</w:t>
            </w:r>
          </w:p>
        </w:tc>
        <w:tc>
          <w:tcPr>
            <w:tcW w:w="1464" w:type="dxa"/>
            <w:tcBorders>
              <w:top w:val="nil"/>
              <w:left w:val="nil"/>
              <w:bottom w:val="nil"/>
              <w:right w:val="nil"/>
            </w:tcBorders>
            <w:shd w:val="clear" w:color="000000" w:fill="E8E9E9"/>
            <w:noWrap/>
            <w:vAlign w:val="center"/>
            <w:hideMark/>
          </w:tcPr>
          <w:p w14:paraId="6F6A3FD7" w14:textId="78080B2C" w:rsidR="003E5EAF" w:rsidRPr="00E5449E"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0.3% </w:t>
            </w:r>
          </w:p>
        </w:tc>
        <w:tc>
          <w:tcPr>
            <w:tcW w:w="1464" w:type="dxa"/>
            <w:tcBorders>
              <w:top w:val="nil"/>
              <w:left w:val="nil"/>
              <w:bottom w:val="nil"/>
              <w:right w:val="nil"/>
            </w:tcBorders>
            <w:shd w:val="clear" w:color="000000" w:fill="E8E9E9"/>
            <w:noWrap/>
            <w:vAlign w:val="center"/>
            <w:hideMark/>
          </w:tcPr>
          <w:p w14:paraId="5A201F21" w14:textId="67A1965C" w:rsidR="003E5EAF" w:rsidRPr="00E5449E"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0.9% </w:t>
            </w:r>
          </w:p>
        </w:tc>
        <w:tc>
          <w:tcPr>
            <w:tcW w:w="1464" w:type="dxa"/>
            <w:tcBorders>
              <w:top w:val="nil"/>
              <w:left w:val="nil"/>
              <w:bottom w:val="nil"/>
              <w:right w:val="nil"/>
            </w:tcBorders>
            <w:shd w:val="clear" w:color="000000" w:fill="E8E9E9"/>
            <w:noWrap/>
            <w:vAlign w:val="center"/>
            <w:hideMark/>
          </w:tcPr>
          <w:p w14:paraId="30312911" w14:textId="3D123F88" w:rsidR="003E5EAF" w:rsidRPr="00E5449E"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464" w:type="dxa"/>
            <w:tcBorders>
              <w:top w:val="nil"/>
              <w:left w:val="nil"/>
              <w:bottom w:val="nil"/>
              <w:right w:val="nil"/>
            </w:tcBorders>
            <w:shd w:val="clear" w:color="000000" w:fill="E8E9E9"/>
            <w:noWrap/>
            <w:vAlign w:val="center"/>
            <w:hideMark/>
          </w:tcPr>
          <w:p w14:paraId="69014A43" w14:textId="001C24C5" w:rsidR="003E5EAF" w:rsidRPr="00E5449E" w:rsidRDefault="003E5EAF" w:rsidP="003E5EA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0.4% </w:t>
            </w:r>
          </w:p>
        </w:tc>
      </w:tr>
      <w:tr w:rsidR="00947263" w:rsidRPr="00E5449E" w14:paraId="7AF0723C" w14:textId="77777777" w:rsidTr="00411135">
        <w:trPr>
          <w:trHeight w:val="240"/>
        </w:trPr>
        <w:tc>
          <w:tcPr>
            <w:tcW w:w="2728" w:type="dxa"/>
            <w:tcBorders>
              <w:top w:val="nil"/>
              <w:left w:val="nil"/>
              <w:bottom w:val="nil"/>
              <w:right w:val="nil"/>
            </w:tcBorders>
            <w:shd w:val="clear" w:color="auto" w:fill="auto"/>
            <w:noWrap/>
            <w:vAlign w:val="center"/>
            <w:hideMark/>
          </w:tcPr>
          <w:p w14:paraId="7976441B" w14:textId="77777777" w:rsidR="00947263" w:rsidRPr="00E5449E" w:rsidRDefault="00947263" w:rsidP="00947263">
            <w:pPr>
              <w:spacing w:after="0" w:line="240" w:lineRule="auto"/>
              <w:rPr>
                <w:rFonts w:ascii="Arial" w:eastAsia="Times New Roman" w:hAnsi="Arial" w:cs="Arial"/>
                <w:color w:val="39414D"/>
                <w:szCs w:val="18"/>
              </w:rPr>
            </w:pPr>
            <w:r w:rsidRPr="00E5449E">
              <w:rPr>
                <w:rFonts w:ascii="Arial" w:eastAsia="Times New Roman" w:hAnsi="Arial" w:cs="Arial"/>
                <w:color w:val="39414D"/>
                <w:szCs w:val="18"/>
              </w:rPr>
              <w:t>Medicaid Expansion</w:t>
            </w:r>
          </w:p>
        </w:tc>
        <w:tc>
          <w:tcPr>
            <w:tcW w:w="1464" w:type="dxa"/>
            <w:tcBorders>
              <w:top w:val="nil"/>
              <w:left w:val="nil"/>
              <w:bottom w:val="nil"/>
              <w:right w:val="nil"/>
            </w:tcBorders>
            <w:shd w:val="clear" w:color="auto" w:fill="auto"/>
            <w:noWrap/>
            <w:vAlign w:val="center"/>
            <w:hideMark/>
          </w:tcPr>
          <w:p w14:paraId="491FB0BA" w14:textId="6D02E693" w:rsidR="00947263" w:rsidRPr="00E5449E" w:rsidRDefault="00947263" w:rsidP="00947263">
            <w:pPr>
              <w:spacing w:after="0" w:line="240" w:lineRule="auto"/>
              <w:jc w:val="right"/>
              <w:rPr>
                <w:rFonts w:ascii="Arial" w:eastAsia="Times New Roman" w:hAnsi="Arial" w:cs="Arial"/>
                <w:color w:val="39414D"/>
                <w:szCs w:val="18"/>
              </w:rPr>
            </w:pPr>
            <w:r>
              <w:rPr>
                <w:rFonts w:ascii="Arial" w:hAnsi="Arial" w:cs="Arial"/>
                <w:color w:val="39414D"/>
                <w:szCs w:val="18"/>
              </w:rPr>
              <w:t xml:space="preserve">0.4% </w:t>
            </w:r>
          </w:p>
        </w:tc>
        <w:tc>
          <w:tcPr>
            <w:tcW w:w="1464" w:type="dxa"/>
            <w:tcBorders>
              <w:top w:val="nil"/>
              <w:left w:val="nil"/>
              <w:bottom w:val="nil"/>
              <w:right w:val="nil"/>
            </w:tcBorders>
            <w:shd w:val="clear" w:color="auto" w:fill="auto"/>
            <w:noWrap/>
            <w:vAlign w:val="center"/>
            <w:hideMark/>
          </w:tcPr>
          <w:p w14:paraId="5FCB9F38" w14:textId="23547B62" w:rsidR="00947263" w:rsidRPr="00E5449E" w:rsidRDefault="00947263" w:rsidP="00947263">
            <w:pPr>
              <w:spacing w:after="0" w:line="240" w:lineRule="auto"/>
              <w:jc w:val="right"/>
              <w:rPr>
                <w:rFonts w:ascii="Arial" w:eastAsia="Times New Roman" w:hAnsi="Arial" w:cs="Arial"/>
                <w:color w:val="39414D"/>
                <w:szCs w:val="18"/>
              </w:rPr>
            </w:pPr>
            <w:r>
              <w:rPr>
                <w:rFonts w:ascii="Arial" w:hAnsi="Arial" w:cs="Arial"/>
                <w:color w:val="39414D"/>
                <w:szCs w:val="18"/>
              </w:rPr>
              <w:t xml:space="preserve">1.4% </w:t>
            </w:r>
          </w:p>
        </w:tc>
        <w:tc>
          <w:tcPr>
            <w:tcW w:w="1464" w:type="dxa"/>
            <w:tcBorders>
              <w:top w:val="nil"/>
              <w:left w:val="nil"/>
              <w:bottom w:val="nil"/>
              <w:right w:val="nil"/>
            </w:tcBorders>
            <w:shd w:val="clear" w:color="auto" w:fill="auto"/>
            <w:noWrap/>
            <w:vAlign w:val="center"/>
            <w:hideMark/>
          </w:tcPr>
          <w:p w14:paraId="45BDD42F" w14:textId="7B0E1A51" w:rsidR="00947263" w:rsidRPr="00E5449E" w:rsidRDefault="00947263" w:rsidP="00947263">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464" w:type="dxa"/>
            <w:tcBorders>
              <w:top w:val="nil"/>
              <w:left w:val="nil"/>
              <w:bottom w:val="nil"/>
              <w:right w:val="nil"/>
            </w:tcBorders>
            <w:shd w:val="clear" w:color="auto" w:fill="auto"/>
            <w:noWrap/>
            <w:vAlign w:val="center"/>
            <w:hideMark/>
          </w:tcPr>
          <w:p w14:paraId="1E81F714" w14:textId="67148CB6" w:rsidR="00947263" w:rsidRPr="00E5449E" w:rsidRDefault="00947263" w:rsidP="00947263">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0.5% </w:t>
            </w:r>
          </w:p>
        </w:tc>
      </w:tr>
      <w:tr w:rsidR="00947263" w:rsidRPr="00E5449E" w14:paraId="1DA0B490" w14:textId="77777777" w:rsidTr="00411135">
        <w:trPr>
          <w:trHeight w:val="240"/>
        </w:trPr>
        <w:tc>
          <w:tcPr>
            <w:tcW w:w="2728" w:type="dxa"/>
            <w:tcBorders>
              <w:top w:val="nil"/>
              <w:left w:val="nil"/>
              <w:bottom w:val="nil"/>
              <w:right w:val="nil"/>
            </w:tcBorders>
            <w:shd w:val="clear" w:color="000000" w:fill="E8E9E9"/>
            <w:noWrap/>
            <w:vAlign w:val="center"/>
            <w:hideMark/>
          </w:tcPr>
          <w:p w14:paraId="755B5BEF" w14:textId="77777777" w:rsidR="00947263" w:rsidRPr="00E5449E" w:rsidRDefault="00947263" w:rsidP="00947263">
            <w:pPr>
              <w:spacing w:after="0" w:line="240" w:lineRule="auto"/>
              <w:rPr>
                <w:rFonts w:ascii="Arial" w:eastAsia="Times New Roman" w:hAnsi="Arial" w:cs="Arial"/>
                <w:color w:val="39414D"/>
                <w:szCs w:val="18"/>
              </w:rPr>
            </w:pPr>
            <w:r w:rsidRPr="00E5449E">
              <w:rPr>
                <w:rFonts w:ascii="Arial" w:eastAsia="Times New Roman" w:hAnsi="Arial" w:cs="Arial"/>
                <w:color w:val="39414D"/>
                <w:szCs w:val="18"/>
              </w:rPr>
              <w:t>Rhody Health Partners</w:t>
            </w:r>
          </w:p>
        </w:tc>
        <w:tc>
          <w:tcPr>
            <w:tcW w:w="1464" w:type="dxa"/>
            <w:tcBorders>
              <w:top w:val="nil"/>
              <w:left w:val="nil"/>
              <w:bottom w:val="nil"/>
              <w:right w:val="nil"/>
            </w:tcBorders>
            <w:shd w:val="clear" w:color="000000" w:fill="E8E9E9"/>
            <w:noWrap/>
            <w:vAlign w:val="center"/>
            <w:hideMark/>
          </w:tcPr>
          <w:p w14:paraId="4CE2CEA5" w14:textId="1A67028D" w:rsidR="00947263" w:rsidRPr="00E5449E" w:rsidRDefault="00947263" w:rsidP="00947263">
            <w:pPr>
              <w:spacing w:after="0" w:line="240" w:lineRule="auto"/>
              <w:jc w:val="right"/>
              <w:rPr>
                <w:rFonts w:ascii="Arial" w:eastAsia="Times New Roman" w:hAnsi="Arial" w:cs="Arial"/>
                <w:color w:val="39414D"/>
                <w:szCs w:val="18"/>
              </w:rPr>
            </w:pPr>
            <w:r>
              <w:rPr>
                <w:rFonts w:ascii="Arial" w:hAnsi="Arial" w:cs="Arial"/>
                <w:color w:val="39414D"/>
                <w:szCs w:val="18"/>
              </w:rPr>
              <w:t xml:space="preserve">0.2% </w:t>
            </w:r>
          </w:p>
        </w:tc>
        <w:tc>
          <w:tcPr>
            <w:tcW w:w="1464" w:type="dxa"/>
            <w:tcBorders>
              <w:top w:val="nil"/>
              <w:left w:val="nil"/>
              <w:bottom w:val="nil"/>
              <w:right w:val="nil"/>
            </w:tcBorders>
            <w:shd w:val="clear" w:color="000000" w:fill="E8E9E9"/>
            <w:noWrap/>
            <w:vAlign w:val="center"/>
            <w:hideMark/>
          </w:tcPr>
          <w:p w14:paraId="341E5C4B" w14:textId="7CD9AC4B" w:rsidR="00947263" w:rsidRPr="00E5449E" w:rsidRDefault="00947263" w:rsidP="00947263">
            <w:pPr>
              <w:spacing w:after="0" w:line="240" w:lineRule="auto"/>
              <w:jc w:val="right"/>
              <w:rPr>
                <w:rFonts w:ascii="Arial" w:eastAsia="Times New Roman" w:hAnsi="Arial" w:cs="Arial"/>
                <w:color w:val="39414D"/>
                <w:szCs w:val="18"/>
              </w:rPr>
            </w:pPr>
            <w:r>
              <w:rPr>
                <w:rFonts w:ascii="Arial" w:hAnsi="Arial" w:cs="Arial"/>
                <w:color w:val="39414D"/>
                <w:szCs w:val="18"/>
              </w:rPr>
              <w:t xml:space="preserve">0.5% </w:t>
            </w:r>
          </w:p>
        </w:tc>
        <w:tc>
          <w:tcPr>
            <w:tcW w:w="1464" w:type="dxa"/>
            <w:tcBorders>
              <w:top w:val="nil"/>
              <w:left w:val="nil"/>
              <w:bottom w:val="nil"/>
              <w:right w:val="nil"/>
            </w:tcBorders>
            <w:shd w:val="clear" w:color="000000" w:fill="E8E9E9"/>
            <w:noWrap/>
            <w:vAlign w:val="center"/>
            <w:hideMark/>
          </w:tcPr>
          <w:p w14:paraId="0083CE97" w14:textId="45B3A79E" w:rsidR="00947263" w:rsidRPr="00E5449E" w:rsidRDefault="00947263" w:rsidP="00947263">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464" w:type="dxa"/>
            <w:tcBorders>
              <w:top w:val="nil"/>
              <w:left w:val="nil"/>
              <w:bottom w:val="nil"/>
              <w:right w:val="nil"/>
            </w:tcBorders>
            <w:shd w:val="clear" w:color="000000" w:fill="E8E9E9"/>
            <w:noWrap/>
            <w:vAlign w:val="center"/>
            <w:hideMark/>
          </w:tcPr>
          <w:p w14:paraId="5B992802" w14:textId="1832214E" w:rsidR="00947263" w:rsidRPr="00E5449E" w:rsidRDefault="00947263" w:rsidP="00947263">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0.2% </w:t>
            </w:r>
          </w:p>
        </w:tc>
      </w:tr>
      <w:tr w:rsidR="00947263" w:rsidRPr="00E5449E" w14:paraId="63CA1FC7" w14:textId="77777777" w:rsidTr="00411135">
        <w:trPr>
          <w:trHeight w:val="240"/>
        </w:trPr>
        <w:tc>
          <w:tcPr>
            <w:tcW w:w="2728" w:type="dxa"/>
            <w:tcBorders>
              <w:top w:val="nil"/>
              <w:left w:val="nil"/>
              <w:bottom w:val="nil"/>
              <w:right w:val="nil"/>
            </w:tcBorders>
            <w:shd w:val="clear" w:color="auto" w:fill="auto"/>
            <w:noWrap/>
            <w:vAlign w:val="center"/>
            <w:hideMark/>
          </w:tcPr>
          <w:p w14:paraId="393BC377" w14:textId="77777777" w:rsidR="00947263" w:rsidRPr="00E5449E" w:rsidRDefault="00947263" w:rsidP="00947263">
            <w:pPr>
              <w:spacing w:after="0" w:line="240" w:lineRule="auto"/>
              <w:rPr>
                <w:rFonts w:ascii="Arial" w:eastAsia="Times New Roman" w:hAnsi="Arial" w:cs="Arial"/>
                <w:b/>
                <w:bCs/>
                <w:color w:val="39414D"/>
                <w:szCs w:val="18"/>
              </w:rPr>
            </w:pPr>
            <w:r w:rsidRPr="00E5449E">
              <w:rPr>
                <w:rFonts w:ascii="Arial" w:eastAsia="Times New Roman" w:hAnsi="Arial" w:cs="Arial"/>
                <w:b/>
                <w:bCs/>
                <w:color w:val="39414D"/>
                <w:szCs w:val="18"/>
              </w:rPr>
              <w:t>Composite</w:t>
            </w:r>
          </w:p>
        </w:tc>
        <w:tc>
          <w:tcPr>
            <w:tcW w:w="1464" w:type="dxa"/>
            <w:tcBorders>
              <w:top w:val="nil"/>
              <w:left w:val="nil"/>
              <w:bottom w:val="nil"/>
              <w:right w:val="nil"/>
            </w:tcBorders>
            <w:shd w:val="clear" w:color="auto" w:fill="auto"/>
            <w:noWrap/>
            <w:vAlign w:val="center"/>
            <w:hideMark/>
          </w:tcPr>
          <w:p w14:paraId="44C68D30" w14:textId="56347D0F" w:rsidR="00947263" w:rsidRPr="00E5449E" w:rsidRDefault="00947263" w:rsidP="00947263">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0.3% </w:t>
            </w:r>
          </w:p>
        </w:tc>
        <w:tc>
          <w:tcPr>
            <w:tcW w:w="1464" w:type="dxa"/>
            <w:tcBorders>
              <w:top w:val="nil"/>
              <w:left w:val="nil"/>
              <w:bottom w:val="nil"/>
              <w:right w:val="nil"/>
            </w:tcBorders>
            <w:shd w:val="clear" w:color="auto" w:fill="auto"/>
            <w:noWrap/>
            <w:vAlign w:val="center"/>
            <w:hideMark/>
          </w:tcPr>
          <w:p w14:paraId="102345EE" w14:textId="36AE8C7B" w:rsidR="00947263" w:rsidRPr="00E5449E" w:rsidRDefault="00947263" w:rsidP="00947263">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0.9% </w:t>
            </w:r>
          </w:p>
        </w:tc>
        <w:tc>
          <w:tcPr>
            <w:tcW w:w="1464" w:type="dxa"/>
            <w:tcBorders>
              <w:top w:val="nil"/>
              <w:left w:val="nil"/>
              <w:bottom w:val="nil"/>
              <w:right w:val="nil"/>
            </w:tcBorders>
            <w:shd w:val="clear" w:color="auto" w:fill="auto"/>
            <w:noWrap/>
            <w:vAlign w:val="center"/>
            <w:hideMark/>
          </w:tcPr>
          <w:p w14:paraId="58F3AD37" w14:textId="615010F7" w:rsidR="00947263" w:rsidRPr="00E5449E" w:rsidRDefault="00947263" w:rsidP="00947263">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0.0% </w:t>
            </w:r>
          </w:p>
        </w:tc>
        <w:tc>
          <w:tcPr>
            <w:tcW w:w="1464" w:type="dxa"/>
            <w:tcBorders>
              <w:top w:val="nil"/>
              <w:left w:val="nil"/>
              <w:bottom w:val="nil"/>
              <w:right w:val="nil"/>
            </w:tcBorders>
            <w:shd w:val="clear" w:color="auto" w:fill="auto"/>
            <w:noWrap/>
            <w:vAlign w:val="center"/>
            <w:hideMark/>
          </w:tcPr>
          <w:p w14:paraId="1748ED73" w14:textId="57A7BC1B" w:rsidR="00947263" w:rsidRPr="00E5449E" w:rsidRDefault="00947263" w:rsidP="00947263">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0.4% </w:t>
            </w:r>
          </w:p>
        </w:tc>
      </w:tr>
    </w:tbl>
    <w:p w14:paraId="6B2CA854" w14:textId="57D844D2" w:rsidR="00E5449E" w:rsidRPr="00920110" w:rsidRDefault="00493329" w:rsidP="003F6D76">
      <w:pPr>
        <w:pStyle w:val="RRBody"/>
        <w:jc w:val="both"/>
        <w:rPr>
          <w:rFonts w:cstheme="minorHAnsi"/>
          <w:sz w:val="16"/>
          <w:szCs w:val="16"/>
        </w:rPr>
      </w:pPr>
      <w:r w:rsidRPr="00920110">
        <w:rPr>
          <w:rFonts w:ascii="Arial" w:eastAsia="Times New Roman" w:hAnsi="Arial" w:cs="Arial"/>
          <w:color w:val="727A7D"/>
          <w:sz w:val="16"/>
          <w:szCs w:val="16"/>
        </w:rPr>
        <w:t>Note: The values in this exhibit reflect the percent of in-lieu-of expenditures relative to the specific category of service and population illustrated.</w:t>
      </w:r>
    </w:p>
    <w:p w14:paraId="21014459" w14:textId="22FF79AA" w:rsidR="003F6D76" w:rsidRPr="007533EB" w:rsidRDefault="003F6D76" w:rsidP="003F6D76">
      <w:pPr>
        <w:pStyle w:val="Heading5"/>
        <w:jc w:val="both"/>
      </w:pPr>
      <w:r>
        <w:t>Development of projected benefit costs</w:t>
      </w:r>
    </w:p>
    <w:p w14:paraId="48A7DD6D" w14:textId="0FA14D48" w:rsidR="003F6D76" w:rsidRPr="00541C09" w:rsidRDefault="00E5449E" w:rsidP="003F6D76">
      <w:pPr>
        <w:pStyle w:val="RRBody"/>
        <w:jc w:val="both"/>
        <w:rPr>
          <w:rFonts w:cstheme="minorHAnsi"/>
          <w:szCs w:val="18"/>
        </w:rPr>
      </w:pPr>
      <w:r>
        <w:t xml:space="preserve">In-lieu-of services were included in the base data and are treated consistently with other service expenditures. </w:t>
      </w:r>
      <w:r w:rsidR="004B4F2B">
        <w:t xml:space="preserve">The development of the projected benefit costs did not vary for in-lieu-of services. </w:t>
      </w:r>
    </w:p>
    <w:p w14:paraId="6AE6894B" w14:textId="6BC7D3D1" w:rsidR="003F6D76" w:rsidRPr="007533EB" w:rsidRDefault="003F6D76" w:rsidP="003F6D76">
      <w:pPr>
        <w:pStyle w:val="Heading5"/>
        <w:jc w:val="both"/>
      </w:pPr>
      <w:r>
        <w:t>IMDs as an in-lieu-of-service</w:t>
      </w:r>
    </w:p>
    <w:p w14:paraId="292DF543" w14:textId="77C0E3A3" w:rsidR="003F6D76" w:rsidRPr="00541C09" w:rsidRDefault="003F6D76" w:rsidP="003F6D76">
      <w:pPr>
        <w:jc w:val="both"/>
      </w:pPr>
      <w:r>
        <w:t xml:space="preserve">The rate development complies with the requirements of </w:t>
      </w:r>
      <w:r w:rsidRPr="0076558C">
        <w:t>42 CFR 438.</w:t>
      </w:r>
      <w:r>
        <w:t>6</w:t>
      </w:r>
      <w:r w:rsidRPr="0076558C">
        <w:t>(</w:t>
      </w:r>
      <w:r>
        <w:t>e</w:t>
      </w:r>
      <w:r w:rsidRPr="0076558C">
        <w:t>)</w:t>
      </w:r>
      <w:r>
        <w:t xml:space="preserve">. </w:t>
      </w:r>
      <w:r w:rsidR="009C3057">
        <w:t>S</w:t>
      </w:r>
      <w:r w:rsidR="004B4F2B">
        <w:t xml:space="preserve">ee Section </w:t>
      </w:r>
      <w:r w:rsidR="009C3057">
        <w:t xml:space="preserve">I, item </w:t>
      </w:r>
      <w:r w:rsidR="004B4F2B">
        <w:t xml:space="preserve">3.A.v for explanation of </w:t>
      </w:r>
      <w:r w:rsidR="009C3057">
        <w:t xml:space="preserve">the treatment of </w:t>
      </w:r>
      <w:r>
        <w:t xml:space="preserve">IMD </w:t>
      </w:r>
      <w:r w:rsidR="009C3057">
        <w:t xml:space="preserve">service costs </w:t>
      </w:r>
      <w:r>
        <w:t>in rate development.</w:t>
      </w:r>
    </w:p>
    <w:p w14:paraId="099CC3D8" w14:textId="77777777" w:rsidR="00CE2634" w:rsidRPr="00013033" w:rsidRDefault="00CE2634" w:rsidP="00622097">
      <w:pPr>
        <w:pStyle w:val="Heading4"/>
      </w:pPr>
      <w:bookmarkStart w:id="261" w:name="_Toc100260715"/>
      <w:bookmarkStart w:id="262" w:name="_Toc8985020"/>
      <w:bookmarkStart w:id="263" w:name="_Toc100260716"/>
      <w:bookmarkEnd w:id="261"/>
      <w:r w:rsidRPr="00013033">
        <w:t>Retrospective Eligibility Periods</w:t>
      </w:r>
      <w:bookmarkEnd w:id="258"/>
      <w:bookmarkEnd w:id="259"/>
      <w:bookmarkEnd w:id="260"/>
      <w:bookmarkEnd w:id="262"/>
      <w:bookmarkEnd w:id="263"/>
    </w:p>
    <w:p w14:paraId="5E11E93E" w14:textId="77777777" w:rsidR="00CE2634" w:rsidRPr="007533EB" w:rsidRDefault="00CE2634" w:rsidP="00622097">
      <w:pPr>
        <w:pStyle w:val="Heading5"/>
        <w:jc w:val="both"/>
      </w:pPr>
      <w:bookmarkStart w:id="264" w:name="_Toc466028092"/>
      <w:bookmarkStart w:id="265" w:name="_Toc484701206"/>
      <w:bookmarkStart w:id="266" w:name="_Toc504389052"/>
      <w:bookmarkStart w:id="267" w:name="_Toc466028096"/>
      <w:bookmarkStart w:id="268" w:name="_Toc484701210"/>
      <w:r w:rsidRPr="007533EB">
        <w:t>MCO responsibility</w:t>
      </w:r>
      <w:bookmarkEnd w:id="264"/>
      <w:bookmarkEnd w:id="265"/>
      <w:bookmarkEnd w:id="266"/>
    </w:p>
    <w:p w14:paraId="702DDD11" w14:textId="301481CD" w:rsidR="00CE2634" w:rsidRPr="00541C09" w:rsidRDefault="00F37935" w:rsidP="00622097">
      <w:pPr>
        <w:jc w:val="both"/>
      </w:pPr>
      <w:r>
        <w:t>The MCOs</w:t>
      </w:r>
      <w:r w:rsidR="00E665ED" w:rsidRPr="00E665ED">
        <w:t xml:space="preserve"> </w:t>
      </w:r>
      <w:r>
        <w:t xml:space="preserve">are not </w:t>
      </w:r>
      <w:r w:rsidR="00E665ED" w:rsidRPr="00E665ED">
        <w:t>responsible for retrospective eligibility periods</w:t>
      </w:r>
      <w:r w:rsidR="00CE2634" w:rsidRPr="00541C09">
        <w:t>.</w:t>
      </w:r>
      <w:r>
        <w:t xml:space="preserve"> Coverage in the managed care program does not begin until a member is enrolled in an MCO.</w:t>
      </w:r>
      <w:r w:rsidR="00CE2634" w:rsidRPr="00541C09">
        <w:t xml:space="preserve"> </w:t>
      </w:r>
    </w:p>
    <w:p w14:paraId="2A86C472" w14:textId="77777777" w:rsidR="00CE2634" w:rsidRPr="007533EB" w:rsidRDefault="00CE2634" w:rsidP="00622097">
      <w:pPr>
        <w:pStyle w:val="Heading5"/>
        <w:jc w:val="both"/>
      </w:pPr>
      <w:bookmarkStart w:id="269" w:name="_Toc504389053"/>
      <w:bookmarkStart w:id="270" w:name="_Toc466028093"/>
      <w:r w:rsidRPr="007533EB">
        <w:t>Claims treatment</w:t>
      </w:r>
      <w:bookmarkEnd w:id="269"/>
    </w:p>
    <w:p w14:paraId="0F2B1937" w14:textId="031CDC84" w:rsidR="00CE2634" w:rsidRPr="00541C09" w:rsidRDefault="00CA0BB1" w:rsidP="00622097">
      <w:pPr>
        <w:pStyle w:val="RRBody"/>
        <w:jc w:val="both"/>
        <w:rPr>
          <w:rFonts w:cstheme="minorHAnsi"/>
          <w:szCs w:val="18"/>
        </w:rPr>
      </w:pPr>
      <w:r>
        <w:t>MCOs are not responsible for claims incurred before enrollment in the managed care program</w:t>
      </w:r>
      <w:r w:rsidR="00AE7C85">
        <w:t>.</w:t>
      </w:r>
      <w:r>
        <w:t xml:space="preserve"> The base data experience is consistent with this requirement.</w:t>
      </w:r>
    </w:p>
    <w:p w14:paraId="0373179E" w14:textId="77777777" w:rsidR="00CE2634" w:rsidRPr="007533EB" w:rsidRDefault="00CE2634" w:rsidP="00622097">
      <w:pPr>
        <w:pStyle w:val="Heading5"/>
        <w:jc w:val="both"/>
      </w:pPr>
      <w:bookmarkStart w:id="271" w:name="_Toc484701208"/>
      <w:bookmarkStart w:id="272" w:name="_Toc504389054"/>
      <w:r w:rsidRPr="007533EB">
        <w:t>Enrollment treatment</w:t>
      </w:r>
      <w:bookmarkEnd w:id="270"/>
      <w:bookmarkEnd w:id="271"/>
      <w:bookmarkEnd w:id="272"/>
    </w:p>
    <w:p w14:paraId="715DCA8F" w14:textId="77777777" w:rsidR="00CE2634" w:rsidRPr="00541C09" w:rsidRDefault="00AE7C85" w:rsidP="00622097">
      <w:pPr>
        <w:pStyle w:val="RRBody"/>
        <w:jc w:val="both"/>
        <w:rPr>
          <w:rFonts w:cstheme="minorHAnsi"/>
          <w:szCs w:val="18"/>
        </w:rPr>
      </w:pPr>
      <w:r w:rsidRPr="0076558C">
        <w:t>Enrollment is treated consistently with claims. We have not included retrospective eligibility in the base experience period</w:t>
      </w:r>
      <w:r>
        <w:t>.</w:t>
      </w:r>
    </w:p>
    <w:p w14:paraId="3630B8B3" w14:textId="77777777" w:rsidR="00CE2634" w:rsidRPr="007533EB" w:rsidRDefault="00CE2634" w:rsidP="00622097">
      <w:pPr>
        <w:pStyle w:val="Heading5"/>
        <w:jc w:val="both"/>
      </w:pPr>
      <w:bookmarkStart w:id="273" w:name="_Toc466028094"/>
      <w:bookmarkStart w:id="274" w:name="_Toc484701209"/>
      <w:bookmarkStart w:id="275" w:name="_Toc504389055"/>
      <w:r w:rsidRPr="007533EB">
        <w:t>Adjustments</w:t>
      </w:r>
      <w:bookmarkEnd w:id="273"/>
      <w:bookmarkEnd w:id="274"/>
      <w:bookmarkEnd w:id="275"/>
    </w:p>
    <w:p w14:paraId="062A8279" w14:textId="05FB04F9" w:rsidR="00CE2634" w:rsidRPr="00541C09" w:rsidRDefault="00CA0BB1" w:rsidP="00622097">
      <w:pPr>
        <w:jc w:val="both"/>
      </w:pPr>
      <w:r>
        <w:t>N</w:t>
      </w:r>
      <w:r w:rsidR="00E665ED" w:rsidRPr="00E665ED">
        <w:t xml:space="preserve">o explicit </w:t>
      </w:r>
      <w:r w:rsidR="003517B7">
        <w:t xml:space="preserve">retroactive enrollment </w:t>
      </w:r>
      <w:r w:rsidR="00E665ED" w:rsidRPr="00E665ED">
        <w:t xml:space="preserve">adjustment was applied </w:t>
      </w:r>
      <w:r w:rsidR="00790980">
        <w:t>for</w:t>
      </w:r>
      <w:r w:rsidR="00E665ED" w:rsidRPr="00E665ED">
        <w:t xml:space="preserve"> the </w:t>
      </w:r>
      <w:r w:rsidR="005A55B3">
        <w:t>SF</w:t>
      </w:r>
      <w:r w:rsidR="005A55B3" w:rsidRPr="00E665ED">
        <w:t xml:space="preserve">Y </w:t>
      </w:r>
      <w:r w:rsidR="00EF0EFB">
        <w:t>2023</w:t>
      </w:r>
      <w:r w:rsidR="00EF0EFB" w:rsidRPr="00E665ED">
        <w:t xml:space="preserve"> </w:t>
      </w:r>
      <w:r w:rsidR="00E665ED" w:rsidRPr="00E665ED">
        <w:t>rate setting</w:t>
      </w:r>
      <w:r w:rsidR="00CE2634" w:rsidRPr="00541C09">
        <w:t>.</w:t>
      </w:r>
    </w:p>
    <w:p w14:paraId="27DC0E76" w14:textId="77777777" w:rsidR="00CE2634" w:rsidRPr="00013033" w:rsidRDefault="00CE2634" w:rsidP="00622097">
      <w:pPr>
        <w:pStyle w:val="Heading4"/>
      </w:pPr>
      <w:bookmarkStart w:id="276" w:name="_Toc504389056"/>
      <w:bookmarkStart w:id="277" w:name="_Toc8985021"/>
      <w:bookmarkStart w:id="278" w:name="_Toc100260717"/>
      <w:r w:rsidRPr="00013033">
        <w:t>Impact of Material Changes</w:t>
      </w:r>
      <w:bookmarkEnd w:id="267"/>
      <w:bookmarkEnd w:id="268"/>
      <w:bookmarkEnd w:id="276"/>
      <w:bookmarkEnd w:id="277"/>
      <w:bookmarkEnd w:id="278"/>
    </w:p>
    <w:p w14:paraId="402388AD" w14:textId="0B76A4C2" w:rsidR="00AE7C85" w:rsidRPr="0076558C" w:rsidRDefault="00AE7C85" w:rsidP="00622097">
      <w:pPr>
        <w:pStyle w:val="RRBody"/>
        <w:jc w:val="both"/>
      </w:pPr>
      <w:bookmarkStart w:id="279" w:name="_Toc454354210"/>
      <w:bookmarkStart w:id="280" w:name="_Toc484701211"/>
      <w:bookmarkStart w:id="281" w:name="_Toc504389057"/>
      <w:r w:rsidRPr="0076558C">
        <w:t xml:space="preserve">This </w:t>
      </w:r>
      <w:r w:rsidR="00E665ED" w:rsidRPr="00E665ED">
        <w:t xml:space="preserve">section relates to material changes to covered benefits or services since the last rate certification. The last rate certification was for the July </w:t>
      </w:r>
      <w:r w:rsidR="00EF0EFB">
        <w:t xml:space="preserve">2021 </w:t>
      </w:r>
      <w:r w:rsidR="00E665ED" w:rsidRPr="00E665ED">
        <w:t xml:space="preserve">through </w:t>
      </w:r>
      <w:r w:rsidR="005A55B3">
        <w:t>June</w:t>
      </w:r>
      <w:r w:rsidR="005A55B3" w:rsidRPr="00E665ED">
        <w:t xml:space="preserve"> </w:t>
      </w:r>
      <w:r w:rsidR="00EF0EFB">
        <w:t xml:space="preserve">2022 </w:t>
      </w:r>
      <w:r w:rsidR="00A2061A">
        <w:t xml:space="preserve">(SFY </w:t>
      </w:r>
      <w:r w:rsidR="00EF0EFB">
        <w:t>2022</w:t>
      </w:r>
      <w:r w:rsidR="00A2061A">
        <w:t xml:space="preserve">) </w:t>
      </w:r>
      <w:r w:rsidR="00E665ED">
        <w:t>rating period.</w:t>
      </w:r>
    </w:p>
    <w:p w14:paraId="2E3F3D73" w14:textId="77777777" w:rsidR="00CE2634" w:rsidRPr="007533EB" w:rsidRDefault="00CE2634" w:rsidP="00622097">
      <w:pPr>
        <w:pStyle w:val="Heading5"/>
        <w:jc w:val="both"/>
      </w:pPr>
      <w:r w:rsidRPr="007533EB">
        <w:t>Change to covered benefits</w:t>
      </w:r>
      <w:bookmarkEnd w:id="279"/>
      <w:bookmarkEnd w:id="280"/>
      <w:bookmarkEnd w:id="281"/>
    </w:p>
    <w:p w14:paraId="4B252E22" w14:textId="6D3AFED5" w:rsidR="00131B55" w:rsidRPr="00256528" w:rsidRDefault="00A020D2" w:rsidP="00622097">
      <w:pPr>
        <w:jc w:val="both"/>
      </w:pPr>
      <w:r>
        <w:t>There were no material changes to covered benefits compared to the previous certification</w:t>
      </w:r>
      <w:r w:rsidR="00256528">
        <w:t xml:space="preserve">. </w:t>
      </w:r>
    </w:p>
    <w:p w14:paraId="6C67A185" w14:textId="77777777" w:rsidR="00CE2634" w:rsidRPr="007533EB" w:rsidRDefault="00CE2634" w:rsidP="00622097">
      <w:pPr>
        <w:pStyle w:val="Heading5"/>
        <w:jc w:val="both"/>
      </w:pPr>
      <w:bookmarkStart w:id="282" w:name="_Toc434745349"/>
      <w:bookmarkStart w:id="283" w:name="_Toc484701212"/>
      <w:bookmarkStart w:id="284" w:name="_Toc504389058"/>
      <w:bookmarkStart w:id="285" w:name="_Toc454354211"/>
      <w:bookmarkEnd w:id="282"/>
      <w:r w:rsidRPr="007533EB">
        <w:lastRenderedPageBreak/>
        <w:t>Recoveries of overpayments</w:t>
      </w:r>
      <w:bookmarkEnd w:id="283"/>
      <w:bookmarkEnd w:id="284"/>
    </w:p>
    <w:p w14:paraId="7E50B57A" w14:textId="65657038" w:rsidR="00131B55" w:rsidRPr="00895F8C" w:rsidRDefault="00E665ED" w:rsidP="00622097">
      <w:pPr>
        <w:pStyle w:val="RRBody"/>
        <w:jc w:val="both"/>
        <w:rPr>
          <w:sz w:val="2"/>
          <w:szCs w:val="4"/>
        </w:rPr>
      </w:pPr>
      <w:bookmarkStart w:id="286" w:name="_Toc484701213"/>
      <w:bookmarkStart w:id="287" w:name="_Toc504389059"/>
      <w:r>
        <w:t xml:space="preserve">To the best of our knowledge, all information related to any payment recoveries not reflected in the base period encounter data was provided to us by the </w:t>
      </w:r>
      <w:r w:rsidR="00A020D2">
        <w:t xml:space="preserve">MCOs </w:t>
      </w:r>
      <w:r>
        <w:t xml:space="preserve">in their </w:t>
      </w:r>
      <w:r w:rsidR="003517B7">
        <w:t xml:space="preserve">FDCR </w:t>
      </w:r>
      <w:r>
        <w:t>responses</w:t>
      </w:r>
      <w:r w:rsidR="00CA0BB1">
        <w:t>,</w:t>
      </w:r>
      <w:r>
        <w:t xml:space="preserve"> and an adjustment was applied to reflect any such recoveries</w:t>
      </w:r>
      <w:r w:rsidR="00131B55">
        <w:t>.</w:t>
      </w:r>
    </w:p>
    <w:p w14:paraId="1577F828" w14:textId="77777777" w:rsidR="00CE2634" w:rsidRPr="007533EB" w:rsidRDefault="00CE2634" w:rsidP="00622097">
      <w:pPr>
        <w:pStyle w:val="Heading5"/>
        <w:jc w:val="both"/>
      </w:pPr>
      <w:r w:rsidRPr="007533EB">
        <w:t>Change to payment requirements</w:t>
      </w:r>
      <w:bookmarkEnd w:id="285"/>
      <w:bookmarkEnd w:id="286"/>
      <w:bookmarkEnd w:id="287"/>
    </w:p>
    <w:p w14:paraId="3677CA62" w14:textId="21022590" w:rsidR="00131B55" w:rsidRPr="0076558C" w:rsidRDefault="00A020D2" w:rsidP="00622097">
      <w:pPr>
        <w:pStyle w:val="RRBody"/>
        <w:jc w:val="both"/>
      </w:pPr>
      <w:bookmarkStart w:id="288" w:name="_Toc454354212"/>
      <w:bookmarkStart w:id="289" w:name="_Toc484701214"/>
      <w:bookmarkStart w:id="290" w:name="_Toc504389060"/>
      <w:r>
        <w:t>There were no m</w:t>
      </w:r>
      <w:r w:rsidR="00E665ED" w:rsidRPr="0076558C">
        <w:t xml:space="preserve">aterial changes to </w:t>
      </w:r>
      <w:r w:rsidR="00CA0BB1">
        <w:t>requirements for provider payment</w:t>
      </w:r>
      <w:r>
        <w:t xml:space="preserve"> compared to the previous certification.</w:t>
      </w:r>
    </w:p>
    <w:p w14:paraId="2C9BDFC1" w14:textId="77777777" w:rsidR="00CE2634" w:rsidRPr="007533EB" w:rsidRDefault="00CE2634" w:rsidP="00622097">
      <w:pPr>
        <w:pStyle w:val="Heading5"/>
        <w:jc w:val="both"/>
      </w:pPr>
      <w:r w:rsidRPr="007533EB">
        <w:t>Change to waiver requirements</w:t>
      </w:r>
      <w:bookmarkEnd w:id="288"/>
      <w:bookmarkEnd w:id="289"/>
      <w:bookmarkEnd w:id="290"/>
    </w:p>
    <w:p w14:paraId="72E3B3E5" w14:textId="77777777" w:rsidR="00131B55" w:rsidRPr="0076558C" w:rsidRDefault="00131B55" w:rsidP="00622097">
      <w:pPr>
        <w:pStyle w:val="RRBody"/>
        <w:jc w:val="both"/>
      </w:pPr>
      <w:bookmarkStart w:id="291" w:name="_Toc454354213"/>
      <w:bookmarkStart w:id="292" w:name="_Toc484701215"/>
      <w:bookmarkStart w:id="293" w:name="_Toc504389061"/>
      <w:r w:rsidRPr="0076558C">
        <w:t>There were no material changes related to waiver requirements or conditions</w:t>
      </w:r>
      <w:r>
        <w:t>.</w:t>
      </w:r>
    </w:p>
    <w:p w14:paraId="24794EA8" w14:textId="77777777" w:rsidR="00CE2634" w:rsidRPr="007533EB" w:rsidRDefault="00CE2634" w:rsidP="00622097">
      <w:pPr>
        <w:pStyle w:val="Heading5"/>
        <w:jc w:val="both"/>
      </w:pPr>
      <w:r w:rsidRPr="007533EB">
        <w:t>Change due to litigation</w:t>
      </w:r>
      <w:bookmarkEnd w:id="291"/>
      <w:bookmarkEnd w:id="292"/>
      <w:bookmarkEnd w:id="293"/>
    </w:p>
    <w:p w14:paraId="5CCB3D40" w14:textId="77777777" w:rsidR="00CE2634" w:rsidRPr="00541C09" w:rsidRDefault="00CE2634" w:rsidP="00622097">
      <w:pPr>
        <w:jc w:val="both"/>
      </w:pPr>
      <w:r w:rsidRPr="00541C09">
        <w:t>There were no material changes due to litigation.</w:t>
      </w:r>
    </w:p>
    <w:p w14:paraId="7BF99F41" w14:textId="77777777" w:rsidR="00CE2634" w:rsidRPr="00013033" w:rsidRDefault="00CE2634" w:rsidP="00622097">
      <w:pPr>
        <w:pStyle w:val="Heading4"/>
      </w:pPr>
      <w:bookmarkStart w:id="294" w:name="_Toc466028101"/>
      <w:bookmarkStart w:id="295" w:name="_Toc484701216"/>
      <w:bookmarkStart w:id="296" w:name="_Toc504389062"/>
      <w:bookmarkStart w:id="297" w:name="_Toc8985022"/>
      <w:bookmarkStart w:id="298" w:name="_Toc100260718"/>
      <w:r w:rsidRPr="00013033">
        <w:t>Documentation of Material Changes</w:t>
      </w:r>
      <w:bookmarkEnd w:id="294"/>
      <w:bookmarkEnd w:id="295"/>
      <w:bookmarkEnd w:id="296"/>
      <w:bookmarkEnd w:id="297"/>
      <w:bookmarkEnd w:id="298"/>
    </w:p>
    <w:p w14:paraId="786D2312" w14:textId="7252EA78" w:rsidR="00C94FE3" w:rsidRDefault="002C3D48" w:rsidP="00622097">
      <w:pPr>
        <w:pStyle w:val="RRBody"/>
        <w:jc w:val="both"/>
      </w:pPr>
      <w:r>
        <w:t>All</w:t>
      </w:r>
      <w:r w:rsidR="00A020D2">
        <w:t xml:space="preserve"> m</w:t>
      </w:r>
      <w:r w:rsidR="00131B55" w:rsidRPr="0076558C">
        <w:t xml:space="preserve">aterial changes to covered benefits and </w:t>
      </w:r>
      <w:r w:rsidR="00A020D2">
        <w:t>services compared to the previous certification</w:t>
      </w:r>
      <w:r>
        <w:t xml:space="preserve"> are described in this report</w:t>
      </w:r>
      <w:r w:rsidR="00A020D2">
        <w:t>.</w:t>
      </w:r>
    </w:p>
    <w:p w14:paraId="4518393C" w14:textId="16B725D7" w:rsidR="00551D00" w:rsidRDefault="00551D00" w:rsidP="00072C4C">
      <w:pPr>
        <w:pStyle w:val="Heading5"/>
        <w:jc w:val="both"/>
      </w:pPr>
      <w:r>
        <w:t>Non-material changes</w:t>
      </w:r>
    </w:p>
    <w:p w14:paraId="4D587A6E" w14:textId="6BDC2793" w:rsidR="00551D00" w:rsidRDefault="00551D00" w:rsidP="00551D00">
      <w:pPr>
        <w:pStyle w:val="RRBody"/>
        <w:spacing w:before="120"/>
        <w:jc w:val="both"/>
      </w:pPr>
      <w:r w:rsidRPr="00E62854">
        <w:t xml:space="preserve">Adjustment factors were developed for policy and program changes estimated to </w:t>
      </w:r>
      <w:r w:rsidRPr="00E86A44">
        <w:t>materially</w:t>
      </w:r>
      <w:r w:rsidRPr="00E62854">
        <w:t xml:space="preserve"> affect the managed care program during </w:t>
      </w:r>
      <w:r>
        <w:t>SFY</w:t>
      </w:r>
      <w:r w:rsidRPr="00E62854">
        <w:t xml:space="preserve"> </w:t>
      </w:r>
      <w:r w:rsidR="00E8385F" w:rsidRPr="00E62854">
        <w:t>2</w:t>
      </w:r>
      <w:r w:rsidR="00E8385F">
        <w:t>023</w:t>
      </w:r>
      <w:r w:rsidR="00E8385F" w:rsidRPr="00E62854">
        <w:t xml:space="preserve"> </w:t>
      </w:r>
      <w:r w:rsidRPr="00E62854">
        <w:t>that are not fully reflected in the base experience</w:t>
      </w:r>
      <w:r w:rsidRPr="00E86A44">
        <w:t xml:space="preserve">. We defined a program adjustment to be ‘material’ if the total benefit expense for any individual rate cell is impacted by more than 0.1%. </w:t>
      </w:r>
      <w:r w:rsidRPr="00E62854">
        <w:t xml:space="preserve">The following </w:t>
      </w:r>
      <w:r>
        <w:t>outlines</w:t>
      </w:r>
      <w:r w:rsidRPr="00E62854">
        <w:t xml:space="preserve"> program adjustments deemed immaterial based on our review of the experience data and policy change.</w:t>
      </w:r>
      <w:r w:rsidR="002C3D48">
        <w:t xml:space="preserve"> No adjustment was applied for these non-material changes.</w:t>
      </w:r>
    </w:p>
    <w:p w14:paraId="78EE5BD5" w14:textId="060E2D60" w:rsidR="002C3D48" w:rsidRPr="00072C4C" w:rsidRDefault="002C3D48" w:rsidP="00551D00">
      <w:pPr>
        <w:pStyle w:val="RRNumberedBullet1"/>
        <w:numPr>
          <w:ilvl w:val="0"/>
          <w:numId w:val="52"/>
        </w:numPr>
        <w:spacing w:before="60"/>
        <w:jc w:val="both"/>
        <w:rPr>
          <w:b/>
        </w:rPr>
      </w:pPr>
      <w:r>
        <w:rPr>
          <w:b/>
        </w:rPr>
        <w:t xml:space="preserve">COVID-19 Vaccinations: </w:t>
      </w:r>
      <w:r w:rsidRPr="00315405">
        <w:rPr>
          <w:bCs/>
        </w:rPr>
        <w:t xml:space="preserve">COVID-19 vaccines </w:t>
      </w:r>
      <w:r>
        <w:rPr>
          <w:bCs/>
        </w:rPr>
        <w:t xml:space="preserve">are </w:t>
      </w:r>
      <w:r w:rsidRPr="00315405">
        <w:rPr>
          <w:bCs/>
        </w:rPr>
        <w:t xml:space="preserve">paid for and provided by the federal government, and professional administration fees paid by the MCOs </w:t>
      </w:r>
      <w:r>
        <w:rPr>
          <w:bCs/>
        </w:rPr>
        <w:t xml:space="preserve">are </w:t>
      </w:r>
      <w:r w:rsidRPr="00315405">
        <w:rPr>
          <w:bCs/>
        </w:rPr>
        <w:t xml:space="preserve">fully reimbursed through a non-risk payment for COVID-19 vaccine administration. </w:t>
      </w:r>
    </w:p>
    <w:p w14:paraId="565D9A50" w14:textId="18C5D7A4" w:rsidR="00551D00" w:rsidRPr="002332F3" w:rsidRDefault="00551D00" w:rsidP="00551D00">
      <w:pPr>
        <w:pStyle w:val="RRNumberedBullet1"/>
        <w:numPr>
          <w:ilvl w:val="0"/>
          <w:numId w:val="52"/>
        </w:numPr>
        <w:spacing w:before="60"/>
        <w:jc w:val="both"/>
        <w:rPr>
          <w:b/>
        </w:rPr>
      </w:pPr>
      <w:r w:rsidRPr="00054418">
        <w:rPr>
          <w:b/>
        </w:rPr>
        <w:t>Department of Children, Youth, &amp; Families Custody Eligibility Pathway:</w:t>
      </w:r>
      <w:r>
        <w:rPr>
          <w:bCs/>
        </w:rPr>
        <w:t xml:space="preserve"> A limited number of children were enrolled in the substitute care rate cell through a new Medicaid eligibility pathway allowing children to obtain Medicaid eligibility without the parents relinquishing custody. We reviewed emerging experience for this population and determined any cost differential for members to be immaterial. </w:t>
      </w:r>
    </w:p>
    <w:p w14:paraId="73B03182" w14:textId="445DC7B3" w:rsidR="00551D00" w:rsidRPr="00072C4C" w:rsidRDefault="00551D00" w:rsidP="00551D00">
      <w:pPr>
        <w:pStyle w:val="RRNumberedBullet1"/>
        <w:numPr>
          <w:ilvl w:val="0"/>
          <w:numId w:val="52"/>
        </w:numPr>
        <w:spacing w:before="60" w:after="120"/>
        <w:jc w:val="both"/>
        <w:rPr>
          <w:b/>
        </w:rPr>
      </w:pPr>
      <w:r>
        <w:rPr>
          <w:b/>
        </w:rPr>
        <w:t xml:space="preserve">Category 1 Terminations: </w:t>
      </w:r>
      <w:r w:rsidRPr="00BC1BD2">
        <w:rPr>
          <w:bCs/>
        </w:rPr>
        <w:t>EOHHS</w:t>
      </w:r>
      <w:r>
        <w:rPr>
          <w:b/>
        </w:rPr>
        <w:t xml:space="preserve"> </w:t>
      </w:r>
      <w:r>
        <w:rPr>
          <w:bCs/>
        </w:rPr>
        <w:t>suspended the termination of member eligibility as part of the Category 1 enrollment cleanup until the end of the COVID emergency period. This affects approximately 1,700 members that were originally expected to be terminated in April 2020. We reviewed the estimated acuity of this population relative to the remainder of the Medicaid population and determined the acuity differential to be immaterial.</w:t>
      </w:r>
    </w:p>
    <w:p w14:paraId="5CC2F5FE" w14:textId="748FC0A1" w:rsidR="002C3D48" w:rsidRPr="005B5634" w:rsidRDefault="002C3D48" w:rsidP="00551D00">
      <w:pPr>
        <w:pStyle w:val="RRNumberedBullet1"/>
        <w:numPr>
          <w:ilvl w:val="0"/>
          <w:numId w:val="52"/>
        </w:numPr>
        <w:spacing w:before="60" w:after="120"/>
        <w:jc w:val="both"/>
        <w:rPr>
          <w:b/>
        </w:rPr>
      </w:pPr>
      <w:r>
        <w:rPr>
          <w:b/>
        </w:rPr>
        <w:t xml:space="preserve">Section 210 of Consolidated Appropriations Act, 2021: </w:t>
      </w:r>
      <w:r>
        <w:rPr>
          <w:bCs/>
        </w:rPr>
        <w:t xml:space="preserve">Effective January 1, 2022, routine patient costs provided to Medicaid members participating in qualified clinical trials, not including the item or service that is the subject of the trial, must be covered by Medicaid programs. Any incremental cost associated with the coverage of such services is estimated to be immaterial for purposes of the SFY </w:t>
      </w:r>
      <w:r w:rsidR="00B9799C">
        <w:rPr>
          <w:bCs/>
        </w:rPr>
        <w:t xml:space="preserve">2023 </w:t>
      </w:r>
      <w:r>
        <w:rPr>
          <w:bCs/>
        </w:rPr>
        <w:t>capitation rate development.</w:t>
      </w:r>
    </w:p>
    <w:p w14:paraId="325F8D1B" w14:textId="3D0D5F92" w:rsidR="00CE2634" w:rsidRPr="00131B55" w:rsidRDefault="00CE2634" w:rsidP="00622097">
      <w:pPr>
        <w:pStyle w:val="RRBody"/>
        <w:jc w:val="both"/>
      </w:pPr>
      <w:r w:rsidRPr="00541C09">
        <w:rPr>
          <w:rFonts w:cstheme="minorHAnsi"/>
          <w:szCs w:val="18"/>
        </w:rPr>
        <w:br w:type="page"/>
      </w:r>
    </w:p>
    <w:p w14:paraId="16B50E77" w14:textId="446AC949" w:rsidR="00CE2634" w:rsidRPr="001D7F4A" w:rsidRDefault="00CE2634" w:rsidP="00622097">
      <w:pPr>
        <w:pStyle w:val="Heading2"/>
        <w:jc w:val="both"/>
      </w:pPr>
      <w:bookmarkStart w:id="299" w:name="_Toc8985023"/>
      <w:bookmarkStart w:id="300" w:name="_Toc100260719"/>
      <w:r w:rsidRPr="001D7F4A">
        <w:lastRenderedPageBreak/>
        <w:t>Special Contract Provisions Related to Payment</w:t>
      </w:r>
      <w:bookmarkEnd w:id="299"/>
      <w:bookmarkEnd w:id="300"/>
    </w:p>
    <w:p w14:paraId="3AF8B3E9" w14:textId="4E43D1AD" w:rsidR="00CE2634" w:rsidRPr="00D705D5" w:rsidRDefault="00CE2634" w:rsidP="00622097">
      <w:pPr>
        <w:pStyle w:val="Heading3"/>
        <w:numPr>
          <w:ilvl w:val="1"/>
          <w:numId w:val="33"/>
        </w:numPr>
        <w:jc w:val="both"/>
      </w:pPr>
      <w:bookmarkStart w:id="301" w:name="_Toc484701218"/>
      <w:bookmarkStart w:id="302" w:name="_Toc504389064"/>
      <w:bookmarkStart w:id="303" w:name="_Toc8985024"/>
      <w:bookmarkStart w:id="304" w:name="_Toc100260720"/>
      <w:r w:rsidRPr="00D705D5">
        <w:t>Incentive Arrangements</w:t>
      </w:r>
      <w:bookmarkEnd w:id="301"/>
      <w:bookmarkEnd w:id="302"/>
      <w:bookmarkEnd w:id="303"/>
      <w:bookmarkEnd w:id="304"/>
    </w:p>
    <w:p w14:paraId="721AD2D3" w14:textId="77777777" w:rsidR="00CE2634" w:rsidRPr="009B069E" w:rsidRDefault="00CE2634" w:rsidP="00622097">
      <w:pPr>
        <w:pStyle w:val="Heading4"/>
      </w:pPr>
      <w:bookmarkStart w:id="305" w:name="_Toc484701219"/>
      <w:bookmarkStart w:id="306" w:name="_Toc504389065"/>
      <w:bookmarkStart w:id="307" w:name="_Toc8985025"/>
      <w:bookmarkStart w:id="308" w:name="_Toc100260721"/>
      <w:r w:rsidRPr="009B069E">
        <w:t>Rate Development Standards</w:t>
      </w:r>
      <w:bookmarkEnd w:id="305"/>
      <w:bookmarkEnd w:id="306"/>
      <w:bookmarkEnd w:id="307"/>
      <w:bookmarkEnd w:id="308"/>
    </w:p>
    <w:p w14:paraId="0A16D90C" w14:textId="68A422C7" w:rsidR="00131B55" w:rsidRPr="00933BDB" w:rsidRDefault="005F3F4E" w:rsidP="00622097">
      <w:pPr>
        <w:pStyle w:val="RRBody"/>
        <w:jc w:val="both"/>
      </w:pPr>
      <w:bookmarkStart w:id="309" w:name="_Toc484701220"/>
      <w:bookmarkStart w:id="310" w:name="_Toc504389066"/>
      <w:r>
        <w:t xml:space="preserve">This section provides documentation of the incentive payment structure in the </w:t>
      </w:r>
      <w:r w:rsidR="00671A3C">
        <w:t>Medicaid managed care</w:t>
      </w:r>
      <w:r>
        <w:t xml:space="preserve"> program</w:t>
      </w:r>
      <w:r w:rsidR="00131B55" w:rsidRPr="00933BDB">
        <w:t xml:space="preserve">.  </w:t>
      </w:r>
    </w:p>
    <w:p w14:paraId="29916685" w14:textId="77777777" w:rsidR="00CE2634" w:rsidRPr="009B069E" w:rsidRDefault="00CE2634" w:rsidP="00622097">
      <w:pPr>
        <w:pStyle w:val="Heading4"/>
      </w:pPr>
      <w:bookmarkStart w:id="311" w:name="_Toc8985026"/>
      <w:bookmarkStart w:id="312" w:name="_Toc100260722"/>
      <w:r w:rsidRPr="009B069E">
        <w:t>Appropriate Documentation</w:t>
      </w:r>
      <w:bookmarkEnd w:id="309"/>
      <w:bookmarkEnd w:id="310"/>
      <w:bookmarkEnd w:id="311"/>
      <w:bookmarkEnd w:id="312"/>
      <w:r w:rsidRPr="009B069E">
        <w:t xml:space="preserve"> </w:t>
      </w:r>
    </w:p>
    <w:p w14:paraId="72008A31" w14:textId="7FB70E95" w:rsidR="00F32691" w:rsidRDefault="00131B55" w:rsidP="00622097">
      <w:pPr>
        <w:pStyle w:val="RRBody"/>
        <w:jc w:val="both"/>
      </w:pPr>
      <w:bookmarkStart w:id="313" w:name="_Toc484701221"/>
      <w:bookmarkStart w:id="314" w:name="_Toc504389067"/>
      <w:r w:rsidRPr="00933BDB">
        <w:t>Incentive</w:t>
      </w:r>
      <w:r w:rsidR="005F3F4E">
        <w:t xml:space="preserve"> </w:t>
      </w:r>
      <w:r w:rsidR="005F3F4E" w:rsidRPr="00933BDB">
        <w:t xml:space="preserve">payments under this plan are below 105% of the certified </w:t>
      </w:r>
      <w:r w:rsidR="005F3F4E">
        <w:t xml:space="preserve">capitation </w:t>
      </w:r>
      <w:r w:rsidR="005F3F4E" w:rsidRPr="00933BDB">
        <w:t xml:space="preserve">rates paid under the contract. </w:t>
      </w:r>
      <w:r w:rsidR="00F32691">
        <w:t>EOHHS operates the following incentive program for its MCO</w:t>
      </w:r>
      <w:r w:rsidR="00555958">
        <w:t>s.</w:t>
      </w:r>
    </w:p>
    <w:p w14:paraId="6FB0613F" w14:textId="71FA04C3" w:rsidR="00F32691" w:rsidRDefault="00F32691" w:rsidP="00622097">
      <w:pPr>
        <w:pStyle w:val="RRNumberedBullet1"/>
        <w:spacing w:before="60"/>
        <w:jc w:val="both"/>
      </w:pPr>
      <w:r w:rsidRPr="001E4200">
        <w:rPr>
          <w:b/>
        </w:rPr>
        <w:t>Health System Transformation Program</w:t>
      </w:r>
      <w:r>
        <w:t xml:space="preserve">: The Health System Transformation Program invests in the development of certified accountable entities through the </w:t>
      </w:r>
      <w:r w:rsidR="0068292A">
        <w:t>approval</w:t>
      </w:r>
      <w:r>
        <w:t xml:space="preserve"> of the Rhode Island 1115 waiver </w:t>
      </w:r>
      <w:r w:rsidR="0068292A">
        <w:t xml:space="preserve">Special Terms and Conditions. Incentive payments for the development of </w:t>
      </w:r>
      <w:r w:rsidR="00063050">
        <w:t xml:space="preserve">accountable entities </w:t>
      </w:r>
      <w:r w:rsidR="00EC6E2B">
        <w:t>are</w:t>
      </w:r>
      <w:r w:rsidR="0068292A">
        <w:t xml:space="preserve"> funded via an incentive payment to the MCOs with EOHHS approval</w:t>
      </w:r>
      <w:r>
        <w:t>.</w:t>
      </w:r>
      <w:r w:rsidR="0068292A">
        <w:t xml:space="preserve"> MCOs may be eligible for incentive payment under this program up to the PMPM illustrated in the </w:t>
      </w:r>
      <w:r w:rsidR="00B06709">
        <w:t>figure</w:t>
      </w:r>
      <w:r w:rsidR="0068292A">
        <w:t xml:space="preserve"> below</w:t>
      </w:r>
      <w:r w:rsidR="00364618">
        <w:t>.</w:t>
      </w:r>
    </w:p>
    <w:tbl>
      <w:tblPr>
        <w:tblW w:w="6390" w:type="dxa"/>
        <w:tblLook w:val="04A0" w:firstRow="1" w:lastRow="0" w:firstColumn="1" w:lastColumn="0" w:noHBand="0" w:noVBand="1"/>
      </w:tblPr>
      <w:tblGrid>
        <w:gridCol w:w="2070"/>
        <w:gridCol w:w="1440"/>
        <w:gridCol w:w="1440"/>
        <w:gridCol w:w="1440"/>
      </w:tblGrid>
      <w:tr w:rsidR="00D65334" w:rsidRPr="00D65334" w14:paraId="5EB3C29A" w14:textId="77777777" w:rsidTr="00411135">
        <w:trPr>
          <w:trHeight w:val="240"/>
        </w:trPr>
        <w:tc>
          <w:tcPr>
            <w:tcW w:w="6390" w:type="dxa"/>
            <w:gridSpan w:val="4"/>
            <w:tcBorders>
              <w:top w:val="nil"/>
              <w:left w:val="nil"/>
              <w:bottom w:val="nil"/>
              <w:right w:val="nil"/>
            </w:tcBorders>
            <w:shd w:val="clear" w:color="auto" w:fill="auto"/>
            <w:noWrap/>
            <w:vAlign w:val="bottom"/>
            <w:hideMark/>
          </w:tcPr>
          <w:p w14:paraId="4A7752E4" w14:textId="318900BA" w:rsidR="00D65334" w:rsidRPr="00D65334" w:rsidRDefault="00B06709" w:rsidP="00B06709">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00D65334" w:rsidRPr="00D65334">
              <w:rPr>
                <w:rFonts w:ascii="Arial" w:eastAsia="Times New Roman" w:hAnsi="Arial" w:cs="Arial"/>
                <w:b/>
                <w:bCs/>
                <w:color w:val="0081E3"/>
                <w:szCs w:val="18"/>
              </w:rPr>
              <w:t xml:space="preserve"> </w:t>
            </w:r>
            <w:r w:rsidR="0056637D">
              <w:rPr>
                <w:rFonts w:ascii="Arial" w:eastAsia="Times New Roman" w:hAnsi="Arial" w:cs="Arial"/>
                <w:b/>
                <w:bCs/>
                <w:color w:val="0081E3"/>
                <w:szCs w:val="18"/>
              </w:rPr>
              <w:t>1</w:t>
            </w:r>
            <w:r w:rsidR="00273A3D">
              <w:rPr>
                <w:rFonts w:ascii="Arial" w:eastAsia="Times New Roman" w:hAnsi="Arial" w:cs="Arial"/>
                <w:b/>
                <w:bCs/>
                <w:color w:val="0081E3"/>
                <w:szCs w:val="18"/>
              </w:rPr>
              <w:t>9</w:t>
            </w:r>
            <w:r>
              <w:rPr>
                <w:rFonts w:ascii="Arial" w:eastAsia="Times New Roman" w:hAnsi="Arial" w:cs="Arial"/>
                <w:b/>
                <w:bCs/>
                <w:color w:val="0081E3"/>
                <w:szCs w:val="18"/>
              </w:rPr>
              <w:t>:</w:t>
            </w:r>
            <w:r w:rsidRPr="00D65334">
              <w:rPr>
                <w:rFonts w:ascii="Arial" w:eastAsia="Times New Roman" w:hAnsi="Arial" w:cs="Arial"/>
                <w:b/>
                <w:bCs/>
                <w:color w:val="0081E3"/>
                <w:szCs w:val="18"/>
              </w:rPr>
              <w:t xml:space="preserve"> </w:t>
            </w:r>
            <w:r>
              <w:rPr>
                <w:rFonts w:ascii="Arial" w:eastAsia="Times New Roman" w:hAnsi="Arial" w:cs="Arial"/>
                <w:b/>
                <w:bCs/>
                <w:color w:val="0081E3"/>
                <w:szCs w:val="18"/>
              </w:rPr>
              <w:t>MAXIMUM INCENTIVE PAYMENT</w:t>
            </w:r>
            <w:r w:rsidRPr="00D65334">
              <w:rPr>
                <w:rFonts w:ascii="Arial" w:eastAsia="Times New Roman" w:hAnsi="Arial" w:cs="Arial"/>
                <w:b/>
                <w:bCs/>
                <w:color w:val="0081E3"/>
                <w:szCs w:val="18"/>
              </w:rPr>
              <w:t xml:space="preserve"> (PMPM)</w:t>
            </w:r>
          </w:p>
        </w:tc>
      </w:tr>
      <w:tr w:rsidR="00587E8A" w:rsidRPr="00D65334" w14:paraId="0A96F5AB" w14:textId="77777777" w:rsidTr="00411135">
        <w:trPr>
          <w:trHeight w:val="720"/>
        </w:trPr>
        <w:tc>
          <w:tcPr>
            <w:tcW w:w="2070" w:type="dxa"/>
            <w:tcBorders>
              <w:top w:val="nil"/>
              <w:left w:val="nil"/>
              <w:bottom w:val="single" w:sz="4" w:space="0" w:color="C6C9CA"/>
              <w:right w:val="nil"/>
            </w:tcBorders>
            <w:shd w:val="clear" w:color="auto" w:fill="auto"/>
            <w:vAlign w:val="bottom"/>
            <w:hideMark/>
          </w:tcPr>
          <w:p w14:paraId="7FCBB04C" w14:textId="77777777" w:rsidR="00587E8A" w:rsidRPr="00D65334" w:rsidRDefault="00587E8A" w:rsidP="00D65334">
            <w:pPr>
              <w:spacing w:after="0" w:line="240" w:lineRule="auto"/>
              <w:rPr>
                <w:rFonts w:ascii="Arial" w:eastAsia="Times New Roman" w:hAnsi="Arial" w:cs="Arial"/>
                <w:b/>
                <w:bCs/>
                <w:color w:val="39414D"/>
                <w:szCs w:val="18"/>
              </w:rPr>
            </w:pPr>
            <w:r w:rsidRPr="00D65334">
              <w:rPr>
                <w:rFonts w:ascii="Arial" w:eastAsia="Times New Roman" w:hAnsi="Arial" w:cs="Arial"/>
                <w:b/>
                <w:bCs/>
                <w:color w:val="39414D"/>
                <w:szCs w:val="18"/>
              </w:rPr>
              <w:t>Population</w:t>
            </w:r>
          </w:p>
        </w:tc>
        <w:tc>
          <w:tcPr>
            <w:tcW w:w="1440" w:type="dxa"/>
            <w:tcBorders>
              <w:top w:val="nil"/>
              <w:left w:val="nil"/>
              <w:bottom w:val="single" w:sz="4" w:space="0" w:color="C6C9CA"/>
              <w:right w:val="nil"/>
            </w:tcBorders>
            <w:shd w:val="clear" w:color="auto" w:fill="auto"/>
            <w:vAlign w:val="bottom"/>
            <w:hideMark/>
          </w:tcPr>
          <w:p w14:paraId="09BDC66F" w14:textId="372EEA09" w:rsidR="00587E8A" w:rsidRPr="00D65334" w:rsidRDefault="00587E8A" w:rsidP="00D65334">
            <w:pPr>
              <w:spacing w:after="0" w:line="240" w:lineRule="auto"/>
              <w:jc w:val="center"/>
              <w:rPr>
                <w:rFonts w:ascii="Arial" w:eastAsia="Times New Roman" w:hAnsi="Arial" w:cs="Arial"/>
                <w:b/>
                <w:bCs/>
                <w:color w:val="39414D"/>
                <w:szCs w:val="18"/>
              </w:rPr>
            </w:pPr>
            <w:r w:rsidRPr="00D65334">
              <w:rPr>
                <w:rFonts w:ascii="Arial" w:eastAsia="Times New Roman" w:hAnsi="Arial" w:cs="Arial"/>
                <w:b/>
                <w:bCs/>
                <w:color w:val="39414D"/>
                <w:szCs w:val="18"/>
              </w:rPr>
              <w:t xml:space="preserve">SFY </w:t>
            </w:r>
            <w:r w:rsidR="0056637D" w:rsidRPr="00D65334">
              <w:rPr>
                <w:rFonts w:ascii="Arial" w:eastAsia="Times New Roman" w:hAnsi="Arial" w:cs="Arial"/>
                <w:b/>
                <w:bCs/>
                <w:color w:val="39414D"/>
                <w:szCs w:val="18"/>
              </w:rPr>
              <w:t>202</w:t>
            </w:r>
            <w:r w:rsidR="0056637D">
              <w:rPr>
                <w:rFonts w:ascii="Arial" w:eastAsia="Times New Roman" w:hAnsi="Arial" w:cs="Arial"/>
                <w:b/>
                <w:bCs/>
                <w:color w:val="39414D"/>
                <w:szCs w:val="18"/>
              </w:rPr>
              <w:t>3</w:t>
            </w:r>
            <w:r w:rsidR="0056637D" w:rsidRPr="00D65334">
              <w:rPr>
                <w:rFonts w:ascii="Arial" w:eastAsia="Times New Roman" w:hAnsi="Arial" w:cs="Arial"/>
                <w:b/>
                <w:bCs/>
                <w:color w:val="39414D"/>
                <w:szCs w:val="18"/>
              </w:rPr>
              <w:t xml:space="preserve"> </w:t>
            </w:r>
            <w:r w:rsidRPr="00D65334">
              <w:rPr>
                <w:rFonts w:ascii="Arial" w:eastAsia="Times New Roman" w:hAnsi="Arial" w:cs="Arial"/>
                <w:b/>
                <w:bCs/>
                <w:color w:val="39414D"/>
                <w:szCs w:val="18"/>
              </w:rPr>
              <w:t>Composite Rates</w:t>
            </w:r>
          </w:p>
        </w:tc>
        <w:tc>
          <w:tcPr>
            <w:tcW w:w="1440" w:type="dxa"/>
            <w:tcBorders>
              <w:top w:val="nil"/>
              <w:left w:val="nil"/>
              <w:bottom w:val="single" w:sz="4" w:space="0" w:color="C6C9CA"/>
              <w:right w:val="nil"/>
            </w:tcBorders>
            <w:shd w:val="clear" w:color="auto" w:fill="auto"/>
            <w:vAlign w:val="bottom"/>
            <w:hideMark/>
          </w:tcPr>
          <w:p w14:paraId="50723377" w14:textId="77777777" w:rsidR="00587E8A" w:rsidRPr="00D65334" w:rsidRDefault="00587E8A" w:rsidP="00D65334">
            <w:pPr>
              <w:spacing w:after="0" w:line="240" w:lineRule="auto"/>
              <w:jc w:val="center"/>
              <w:rPr>
                <w:rFonts w:ascii="Arial" w:eastAsia="Times New Roman" w:hAnsi="Arial" w:cs="Arial"/>
                <w:b/>
                <w:bCs/>
                <w:color w:val="39414D"/>
                <w:szCs w:val="18"/>
              </w:rPr>
            </w:pPr>
            <w:r w:rsidRPr="00D65334">
              <w:rPr>
                <w:rFonts w:ascii="Arial" w:eastAsia="Times New Roman" w:hAnsi="Arial" w:cs="Arial"/>
                <w:b/>
                <w:bCs/>
                <w:color w:val="39414D"/>
                <w:szCs w:val="18"/>
              </w:rPr>
              <w:t>105% of Capitation Rates</w:t>
            </w:r>
          </w:p>
        </w:tc>
        <w:tc>
          <w:tcPr>
            <w:tcW w:w="1440" w:type="dxa"/>
            <w:tcBorders>
              <w:top w:val="nil"/>
              <w:left w:val="nil"/>
              <w:bottom w:val="single" w:sz="4" w:space="0" w:color="C6C9CA"/>
              <w:right w:val="nil"/>
            </w:tcBorders>
            <w:shd w:val="clear" w:color="auto" w:fill="auto"/>
            <w:vAlign w:val="bottom"/>
            <w:hideMark/>
          </w:tcPr>
          <w:p w14:paraId="482D3D56" w14:textId="77777777" w:rsidR="00587E8A" w:rsidRPr="00D65334" w:rsidRDefault="00587E8A" w:rsidP="00D65334">
            <w:pPr>
              <w:spacing w:after="0" w:line="240" w:lineRule="auto"/>
              <w:jc w:val="center"/>
              <w:rPr>
                <w:rFonts w:ascii="Arial" w:eastAsia="Times New Roman" w:hAnsi="Arial" w:cs="Arial"/>
                <w:b/>
                <w:bCs/>
                <w:color w:val="39414D"/>
                <w:szCs w:val="18"/>
              </w:rPr>
            </w:pPr>
            <w:r w:rsidRPr="00D65334">
              <w:rPr>
                <w:rFonts w:ascii="Arial" w:eastAsia="Times New Roman" w:hAnsi="Arial" w:cs="Arial"/>
                <w:b/>
                <w:bCs/>
                <w:color w:val="39414D"/>
                <w:szCs w:val="18"/>
              </w:rPr>
              <w:t>Maximum Incentive Payment</w:t>
            </w:r>
          </w:p>
        </w:tc>
      </w:tr>
      <w:tr w:rsidR="00A24E21" w:rsidRPr="00D65334" w14:paraId="2D8E0823" w14:textId="77777777" w:rsidTr="00411135">
        <w:trPr>
          <w:trHeight w:val="240"/>
        </w:trPr>
        <w:tc>
          <w:tcPr>
            <w:tcW w:w="2070" w:type="dxa"/>
            <w:tcBorders>
              <w:top w:val="nil"/>
              <w:left w:val="nil"/>
              <w:bottom w:val="nil"/>
              <w:right w:val="nil"/>
            </w:tcBorders>
            <w:shd w:val="clear" w:color="auto" w:fill="auto"/>
            <w:noWrap/>
            <w:vAlign w:val="center"/>
            <w:hideMark/>
          </w:tcPr>
          <w:p w14:paraId="5C5B6A66" w14:textId="52BB3D4E" w:rsidR="00A24E21" w:rsidRPr="00D65334" w:rsidRDefault="00A24E21" w:rsidP="00A24E21">
            <w:pPr>
              <w:spacing w:after="0" w:line="240" w:lineRule="auto"/>
              <w:rPr>
                <w:rFonts w:ascii="Arial" w:eastAsia="Times New Roman" w:hAnsi="Arial" w:cs="Arial"/>
                <w:color w:val="39414D"/>
                <w:szCs w:val="18"/>
              </w:rPr>
            </w:pPr>
            <w:r>
              <w:rPr>
                <w:rFonts w:ascii="Arial" w:hAnsi="Arial" w:cs="Arial"/>
                <w:color w:val="39414D"/>
                <w:szCs w:val="18"/>
              </w:rPr>
              <w:t>RIte Care</w:t>
            </w:r>
          </w:p>
        </w:tc>
        <w:tc>
          <w:tcPr>
            <w:tcW w:w="1440" w:type="dxa"/>
            <w:tcBorders>
              <w:top w:val="nil"/>
              <w:left w:val="nil"/>
              <w:bottom w:val="nil"/>
              <w:right w:val="nil"/>
            </w:tcBorders>
            <w:shd w:val="clear" w:color="auto" w:fill="auto"/>
            <w:noWrap/>
            <w:vAlign w:val="center"/>
            <w:hideMark/>
          </w:tcPr>
          <w:p w14:paraId="23E79598" w14:textId="480A1183"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$ 315.20 </w:t>
            </w:r>
          </w:p>
        </w:tc>
        <w:tc>
          <w:tcPr>
            <w:tcW w:w="1440" w:type="dxa"/>
            <w:tcBorders>
              <w:top w:val="nil"/>
              <w:left w:val="nil"/>
              <w:bottom w:val="nil"/>
              <w:right w:val="nil"/>
            </w:tcBorders>
            <w:shd w:val="clear" w:color="auto" w:fill="auto"/>
            <w:noWrap/>
            <w:vAlign w:val="center"/>
            <w:hideMark/>
          </w:tcPr>
          <w:p w14:paraId="0662BEFD" w14:textId="454EA548"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$ 330.96 </w:t>
            </w:r>
          </w:p>
        </w:tc>
        <w:tc>
          <w:tcPr>
            <w:tcW w:w="1440" w:type="dxa"/>
            <w:tcBorders>
              <w:top w:val="nil"/>
              <w:left w:val="nil"/>
              <w:bottom w:val="nil"/>
              <w:right w:val="nil"/>
            </w:tcBorders>
            <w:shd w:val="clear" w:color="auto" w:fill="auto"/>
            <w:noWrap/>
            <w:vAlign w:val="center"/>
            <w:hideMark/>
          </w:tcPr>
          <w:p w14:paraId="1545B06D" w14:textId="75279B10"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$ 15.76 </w:t>
            </w:r>
          </w:p>
        </w:tc>
      </w:tr>
      <w:tr w:rsidR="00A24E21" w:rsidRPr="00D65334" w14:paraId="6A413E82" w14:textId="77777777" w:rsidTr="00411135">
        <w:trPr>
          <w:trHeight w:val="240"/>
        </w:trPr>
        <w:tc>
          <w:tcPr>
            <w:tcW w:w="2070" w:type="dxa"/>
            <w:tcBorders>
              <w:top w:val="nil"/>
              <w:left w:val="nil"/>
              <w:bottom w:val="nil"/>
              <w:right w:val="nil"/>
            </w:tcBorders>
            <w:shd w:val="clear" w:color="000000" w:fill="E8E9E9"/>
            <w:noWrap/>
            <w:vAlign w:val="center"/>
            <w:hideMark/>
          </w:tcPr>
          <w:p w14:paraId="3CDAE595" w14:textId="2D700AA9" w:rsidR="00A24E21" w:rsidRPr="00D65334" w:rsidRDefault="00A24E21" w:rsidP="00A24E21">
            <w:pPr>
              <w:spacing w:after="0" w:line="240" w:lineRule="auto"/>
              <w:rPr>
                <w:rFonts w:ascii="Arial" w:eastAsia="Times New Roman" w:hAnsi="Arial" w:cs="Arial"/>
                <w:color w:val="39414D"/>
                <w:szCs w:val="18"/>
              </w:rPr>
            </w:pPr>
            <w:r>
              <w:rPr>
                <w:rFonts w:ascii="Arial" w:hAnsi="Arial" w:cs="Arial"/>
                <w:color w:val="39414D"/>
                <w:szCs w:val="18"/>
              </w:rPr>
              <w:t>CSHCN</w:t>
            </w:r>
          </w:p>
        </w:tc>
        <w:tc>
          <w:tcPr>
            <w:tcW w:w="1440" w:type="dxa"/>
            <w:tcBorders>
              <w:top w:val="nil"/>
              <w:left w:val="nil"/>
              <w:bottom w:val="nil"/>
              <w:right w:val="nil"/>
            </w:tcBorders>
            <w:shd w:val="clear" w:color="000000" w:fill="E8E9E9"/>
            <w:noWrap/>
            <w:vAlign w:val="center"/>
            <w:hideMark/>
          </w:tcPr>
          <w:p w14:paraId="189C6561" w14:textId="0B74A1D6"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1,208.59 </w:t>
            </w:r>
          </w:p>
        </w:tc>
        <w:tc>
          <w:tcPr>
            <w:tcW w:w="1440" w:type="dxa"/>
            <w:tcBorders>
              <w:top w:val="nil"/>
              <w:left w:val="nil"/>
              <w:bottom w:val="nil"/>
              <w:right w:val="nil"/>
            </w:tcBorders>
            <w:shd w:val="clear" w:color="000000" w:fill="E8E9E9"/>
            <w:noWrap/>
            <w:vAlign w:val="center"/>
            <w:hideMark/>
          </w:tcPr>
          <w:p w14:paraId="42EA07CA" w14:textId="14714D4F"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1,269.02 </w:t>
            </w:r>
          </w:p>
        </w:tc>
        <w:tc>
          <w:tcPr>
            <w:tcW w:w="1440" w:type="dxa"/>
            <w:tcBorders>
              <w:top w:val="nil"/>
              <w:left w:val="nil"/>
              <w:bottom w:val="nil"/>
              <w:right w:val="nil"/>
            </w:tcBorders>
            <w:shd w:val="clear" w:color="000000" w:fill="E8E9E9"/>
            <w:noWrap/>
            <w:vAlign w:val="center"/>
            <w:hideMark/>
          </w:tcPr>
          <w:p w14:paraId="2739AA26" w14:textId="59AF9CE0"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60.43 </w:t>
            </w:r>
          </w:p>
        </w:tc>
      </w:tr>
      <w:tr w:rsidR="00A24E21" w:rsidRPr="00D65334" w14:paraId="3D630479" w14:textId="77777777" w:rsidTr="00411135">
        <w:trPr>
          <w:trHeight w:val="240"/>
        </w:trPr>
        <w:tc>
          <w:tcPr>
            <w:tcW w:w="2070" w:type="dxa"/>
            <w:tcBorders>
              <w:top w:val="nil"/>
              <w:left w:val="nil"/>
              <w:bottom w:val="nil"/>
              <w:right w:val="nil"/>
            </w:tcBorders>
            <w:shd w:val="clear" w:color="auto" w:fill="auto"/>
            <w:noWrap/>
            <w:vAlign w:val="center"/>
            <w:hideMark/>
          </w:tcPr>
          <w:p w14:paraId="6407DEBC" w14:textId="33DF80E1" w:rsidR="00A24E21" w:rsidRPr="00D65334" w:rsidRDefault="00A24E21" w:rsidP="00A24E21">
            <w:pPr>
              <w:spacing w:after="0" w:line="240" w:lineRule="auto"/>
              <w:rPr>
                <w:rFonts w:ascii="Arial" w:eastAsia="Times New Roman" w:hAnsi="Arial" w:cs="Arial"/>
                <w:color w:val="39414D"/>
                <w:szCs w:val="18"/>
              </w:rPr>
            </w:pPr>
            <w:r>
              <w:rPr>
                <w:rFonts w:ascii="Arial" w:hAnsi="Arial" w:cs="Arial"/>
                <w:color w:val="39414D"/>
                <w:szCs w:val="18"/>
              </w:rPr>
              <w:t>Medicaid Expansion</w:t>
            </w:r>
          </w:p>
        </w:tc>
        <w:tc>
          <w:tcPr>
            <w:tcW w:w="1440" w:type="dxa"/>
            <w:tcBorders>
              <w:top w:val="nil"/>
              <w:left w:val="nil"/>
              <w:bottom w:val="nil"/>
              <w:right w:val="nil"/>
            </w:tcBorders>
            <w:shd w:val="clear" w:color="auto" w:fill="auto"/>
            <w:noWrap/>
            <w:vAlign w:val="center"/>
            <w:hideMark/>
          </w:tcPr>
          <w:p w14:paraId="6A1824DE" w14:textId="41221AA9"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647.97 </w:t>
            </w:r>
          </w:p>
        </w:tc>
        <w:tc>
          <w:tcPr>
            <w:tcW w:w="1440" w:type="dxa"/>
            <w:tcBorders>
              <w:top w:val="nil"/>
              <w:left w:val="nil"/>
              <w:bottom w:val="nil"/>
              <w:right w:val="nil"/>
            </w:tcBorders>
            <w:shd w:val="clear" w:color="auto" w:fill="auto"/>
            <w:noWrap/>
            <w:vAlign w:val="center"/>
            <w:hideMark/>
          </w:tcPr>
          <w:p w14:paraId="3B4B37A8" w14:textId="5465A4B4"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680.37 </w:t>
            </w:r>
          </w:p>
        </w:tc>
        <w:tc>
          <w:tcPr>
            <w:tcW w:w="1440" w:type="dxa"/>
            <w:tcBorders>
              <w:top w:val="nil"/>
              <w:left w:val="nil"/>
              <w:bottom w:val="nil"/>
              <w:right w:val="nil"/>
            </w:tcBorders>
            <w:shd w:val="clear" w:color="auto" w:fill="auto"/>
            <w:noWrap/>
            <w:vAlign w:val="center"/>
            <w:hideMark/>
          </w:tcPr>
          <w:p w14:paraId="4FA30E28" w14:textId="5A6C6907"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32.40 </w:t>
            </w:r>
          </w:p>
        </w:tc>
      </w:tr>
      <w:tr w:rsidR="00A24E21" w:rsidRPr="00D65334" w14:paraId="502D5083" w14:textId="77777777" w:rsidTr="00411135">
        <w:trPr>
          <w:trHeight w:val="240"/>
        </w:trPr>
        <w:tc>
          <w:tcPr>
            <w:tcW w:w="2070" w:type="dxa"/>
            <w:tcBorders>
              <w:top w:val="nil"/>
              <w:left w:val="nil"/>
              <w:bottom w:val="nil"/>
              <w:right w:val="nil"/>
            </w:tcBorders>
            <w:shd w:val="clear" w:color="000000" w:fill="E8E9E9"/>
            <w:noWrap/>
            <w:vAlign w:val="center"/>
            <w:hideMark/>
          </w:tcPr>
          <w:p w14:paraId="1AAF7E09" w14:textId="13201D9D" w:rsidR="00A24E21" w:rsidRPr="00D65334" w:rsidRDefault="00A24E21" w:rsidP="00A24E21">
            <w:pPr>
              <w:spacing w:after="0" w:line="240" w:lineRule="auto"/>
              <w:rPr>
                <w:rFonts w:ascii="Arial" w:eastAsia="Times New Roman" w:hAnsi="Arial" w:cs="Arial"/>
                <w:color w:val="39414D"/>
                <w:szCs w:val="18"/>
              </w:rPr>
            </w:pPr>
            <w:r>
              <w:rPr>
                <w:rFonts w:ascii="Arial" w:hAnsi="Arial" w:cs="Arial"/>
                <w:color w:val="39414D"/>
                <w:szCs w:val="18"/>
              </w:rPr>
              <w:t>Rhody Health Partners</w:t>
            </w:r>
          </w:p>
        </w:tc>
        <w:tc>
          <w:tcPr>
            <w:tcW w:w="1440" w:type="dxa"/>
            <w:tcBorders>
              <w:top w:val="nil"/>
              <w:left w:val="nil"/>
              <w:bottom w:val="nil"/>
              <w:right w:val="nil"/>
            </w:tcBorders>
            <w:shd w:val="clear" w:color="000000" w:fill="E8E9E9"/>
            <w:noWrap/>
            <w:vAlign w:val="center"/>
            <w:hideMark/>
          </w:tcPr>
          <w:p w14:paraId="12B9511D" w14:textId="0C061101"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1,980.85 </w:t>
            </w:r>
          </w:p>
        </w:tc>
        <w:tc>
          <w:tcPr>
            <w:tcW w:w="1440" w:type="dxa"/>
            <w:tcBorders>
              <w:top w:val="nil"/>
              <w:left w:val="nil"/>
              <w:bottom w:val="nil"/>
              <w:right w:val="nil"/>
            </w:tcBorders>
            <w:shd w:val="clear" w:color="000000" w:fill="E8E9E9"/>
            <w:noWrap/>
            <w:vAlign w:val="center"/>
            <w:hideMark/>
          </w:tcPr>
          <w:p w14:paraId="6A69805A" w14:textId="5FC71693"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2,079.89 </w:t>
            </w:r>
          </w:p>
        </w:tc>
        <w:tc>
          <w:tcPr>
            <w:tcW w:w="1440" w:type="dxa"/>
            <w:tcBorders>
              <w:top w:val="nil"/>
              <w:left w:val="nil"/>
              <w:bottom w:val="nil"/>
              <w:right w:val="nil"/>
            </w:tcBorders>
            <w:shd w:val="clear" w:color="000000" w:fill="E8E9E9"/>
            <w:noWrap/>
            <w:vAlign w:val="center"/>
            <w:hideMark/>
          </w:tcPr>
          <w:p w14:paraId="6C6DED16" w14:textId="73B9DC9E" w:rsidR="00A24E21" w:rsidRPr="00D65334" w:rsidRDefault="00A24E21" w:rsidP="00A24E21">
            <w:pPr>
              <w:spacing w:after="0" w:line="240" w:lineRule="auto"/>
              <w:jc w:val="right"/>
              <w:rPr>
                <w:rFonts w:ascii="Arial" w:eastAsia="Times New Roman" w:hAnsi="Arial" w:cs="Arial"/>
                <w:color w:val="39414D"/>
                <w:szCs w:val="18"/>
              </w:rPr>
            </w:pPr>
            <w:r>
              <w:rPr>
                <w:rFonts w:ascii="Arial" w:hAnsi="Arial" w:cs="Arial"/>
                <w:color w:val="39414D"/>
                <w:szCs w:val="18"/>
              </w:rPr>
              <w:t xml:space="preserve">99.04 </w:t>
            </w:r>
          </w:p>
        </w:tc>
      </w:tr>
      <w:tr w:rsidR="00A24E21" w:rsidRPr="00D65334" w14:paraId="0A63D659" w14:textId="77777777" w:rsidTr="00920110">
        <w:trPr>
          <w:trHeight w:val="240"/>
        </w:trPr>
        <w:tc>
          <w:tcPr>
            <w:tcW w:w="2070" w:type="dxa"/>
            <w:tcBorders>
              <w:top w:val="nil"/>
              <w:left w:val="nil"/>
              <w:bottom w:val="nil"/>
              <w:right w:val="nil"/>
            </w:tcBorders>
            <w:shd w:val="clear" w:color="auto" w:fill="auto"/>
            <w:noWrap/>
            <w:vAlign w:val="center"/>
          </w:tcPr>
          <w:p w14:paraId="5FA1D047" w14:textId="2477B3C7" w:rsidR="00A24E21" w:rsidRDefault="00A24E21" w:rsidP="00A24E21">
            <w:pPr>
              <w:spacing w:after="0" w:line="240" w:lineRule="auto"/>
              <w:rPr>
                <w:rFonts w:ascii="Arial" w:hAnsi="Arial" w:cs="Arial"/>
                <w:color w:val="39414D"/>
                <w:szCs w:val="18"/>
              </w:rPr>
            </w:pPr>
            <w:r>
              <w:rPr>
                <w:rFonts w:ascii="Arial" w:hAnsi="Arial" w:cs="Arial"/>
                <w:color w:val="39414D"/>
                <w:szCs w:val="18"/>
              </w:rPr>
              <w:t>SOBRA</w:t>
            </w:r>
          </w:p>
        </w:tc>
        <w:tc>
          <w:tcPr>
            <w:tcW w:w="1440" w:type="dxa"/>
            <w:tcBorders>
              <w:top w:val="nil"/>
              <w:left w:val="nil"/>
              <w:bottom w:val="nil"/>
              <w:right w:val="nil"/>
            </w:tcBorders>
            <w:shd w:val="clear" w:color="auto" w:fill="auto"/>
            <w:noWrap/>
            <w:vAlign w:val="center"/>
          </w:tcPr>
          <w:p w14:paraId="5DC02DA0" w14:textId="3C5183B9" w:rsidR="00A24E21" w:rsidRDefault="00A24E21" w:rsidP="00A24E21">
            <w:pPr>
              <w:spacing w:after="0" w:line="240" w:lineRule="auto"/>
              <w:jc w:val="right"/>
              <w:rPr>
                <w:rFonts w:ascii="Arial" w:hAnsi="Arial" w:cs="Arial"/>
                <w:color w:val="39414D"/>
                <w:szCs w:val="18"/>
              </w:rPr>
            </w:pPr>
            <w:r>
              <w:rPr>
                <w:rFonts w:ascii="Arial" w:hAnsi="Arial" w:cs="Arial"/>
                <w:color w:val="39414D"/>
                <w:szCs w:val="18"/>
              </w:rPr>
              <w:t xml:space="preserve">14,552.46 </w:t>
            </w:r>
          </w:p>
        </w:tc>
        <w:tc>
          <w:tcPr>
            <w:tcW w:w="1440" w:type="dxa"/>
            <w:tcBorders>
              <w:top w:val="nil"/>
              <w:left w:val="nil"/>
              <w:bottom w:val="nil"/>
              <w:right w:val="nil"/>
            </w:tcBorders>
            <w:shd w:val="clear" w:color="auto" w:fill="auto"/>
            <w:noWrap/>
            <w:vAlign w:val="center"/>
          </w:tcPr>
          <w:p w14:paraId="30A33A4D" w14:textId="1E372075" w:rsidR="00A24E21" w:rsidRDefault="00A24E21" w:rsidP="00A24E21">
            <w:pPr>
              <w:spacing w:after="0" w:line="240" w:lineRule="auto"/>
              <w:jc w:val="right"/>
              <w:rPr>
                <w:rFonts w:ascii="Arial" w:hAnsi="Arial" w:cs="Arial"/>
                <w:color w:val="39414D"/>
                <w:szCs w:val="18"/>
              </w:rPr>
            </w:pPr>
            <w:r>
              <w:rPr>
                <w:rFonts w:ascii="Arial" w:hAnsi="Arial" w:cs="Arial"/>
                <w:color w:val="39414D"/>
                <w:szCs w:val="18"/>
              </w:rPr>
              <w:t xml:space="preserve">15,280.08 </w:t>
            </w:r>
          </w:p>
        </w:tc>
        <w:tc>
          <w:tcPr>
            <w:tcW w:w="1440" w:type="dxa"/>
            <w:tcBorders>
              <w:top w:val="nil"/>
              <w:left w:val="nil"/>
              <w:bottom w:val="nil"/>
              <w:right w:val="nil"/>
            </w:tcBorders>
            <w:shd w:val="clear" w:color="auto" w:fill="auto"/>
            <w:noWrap/>
            <w:vAlign w:val="center"/>
          </w:tcPr>
          <w:p w14:paraId="01007A63" w14:textId="43E4F096" w:rsidR="00A24E21" w:rsidRDefault="00A24E21" w:rsidP="00A24E21">
            <w:pPr>
              <w:spacing w:after="0" w:line="240" w:lineRule="auto"/>
              <w:jc w:val="right"/>
              <w:rPr>
                <w:rFonts w:ascii="Arial" w:hAnsi="Arial" w:cs="Arial"/>
                <w:color w:val="39414D"/>
                <w:szCs w:val="18"/>
              </w:rPr>
            </w:pPr>
            <w:r>
              <w:rPr>
                <w:rFonts w:ascii="Arial" w:hAnsi="Arial" w:cs="Arial"/>
                <w:color w:val="39414D"/>
                <w:szCs w:val="18"/>
              </w:rPr>
              <w:t>N/A</w:t>
            </w:r>
          </w:p>
        </w:tc>
      </w:tr>
    </w:tbl>
    <w:p w14:paraId="53BD465B" w14:textId="0411C9CE" w:rsidR="00197A2E" w:rsidRPr="00920110" w:rsidRDefault="00084CC9" w:rsidP="00920110">
      <w:pPr>
        <w:pStyle w:val="RRNumberedBullet1"/>
        <w:numPr>
          <w:ilvl w:val="0"/>
          <w:numId w:val="0"/>
        </w:numPr>
        <w:spacing w:before="60" w:after="120"/>
        <w:rPr>
          <w:sz w:val="16"/>
          <w:szCs w:val="20"/>
        </w:rPr>
      </w:pPr>
      <w:r w:rsidRPr="00920110">
        <w:rPr>
          <w:rFonts w:ascii="Arial" w:eastAsia="Times New Roman" w:hAnsi="Arial" w:cs="Arial"/>
          <w:color w:val="727A7D"/>
          <w:sz w:val="16"/>
          <w:szCs w:val="16"/>
        </w:rPr>
        <w:t>Note: Health System Transformation Program incentive payments do not include the SOBRA or extended family planning rate cells.</w:t>
      </w:r>
    </w:p>
    <w:p w14:paraId="52FABF1D" w14:textId="0212FE33" w:rsidR="00F32691" w:rsidRDefault="0068292A" w:rsidP="00622097">
      <w:pPr>
        <w:pStyle w:val="RRNumberedBullet1"/>
        <w:numPr>
          <w:ilvl w:val="0"/>
          <w:numId w:val="0"/>
        </w:numPr>
        <w:spacing w:before="60"/>
        <w:jc w:val="both"/>
      </w:pPr>
      <w:r>
        <w:t>The sum of the incentive payments does not exceed 105% of the certified capitation rates.</w:t>
      </w:r>
      <w:r w:rsidR="00F156DB">
        <w:t xml:space="preserve"> There is no explicit adjustment to the capitation rates for the incentive arrangement.</w:t>
      </w:r>
    </w:p>
    <w:p w14:paraId="6725C517" w14:textId="5DAF4255" w:rsidR="00CE2634" w:rsidRPr="00D705D5" w:rsidRDefault="00CE2634" w:rsidP="00622097">
      <w:pPr>
        <w:pStyle w:val="Heading3"/>
        <w:jc w:val="both"/>
      </w:pPr>
      <w:bookmarkStart w:id="315" w:name="_Toc8985027"/>
      <w:bookmarkStart w:id="316" w:name="_Toc100260723"/>
      <w:r w:rsidRPr="00D705D5">
        <w:t>Withhold Arrangements</w:t>
      </w:r>
      <w:bookmarkEnd w:id="313"/>
      <w:bookmarkEnd w:id="314"/>
      <w:bookmarkEnd w:id="315"/>
      <w:bookmarkEnd w:id="316"/>
    </w:p>
    <w:p w14:paraId="2F0703A2" w14:textId="77777777" w:rsidR="00CE2634" w:rsidRPr="009B069E" w:rsidRDefault="00CE2634" w:rsidP="00622097">
      <w:pPr>
        <w:pStyle w:val="Heading4"/>
      </w:pPr>
      <w:bookmarkStart w:id="317" w:name="_Toc484701222"/>
      <w:bookmarkStart w:id="318" w:name="_Toc504389068"/>
      <w:bookmarkStart w:id="319" w:name="_Toc8985028"/>
      <w:bookmarkStart w:id="320" w:name="_Toc100260724"/>
      <w:r w:rsidRPr="009B069E">
        <w:t>Rate Development Standards</w:t>
      </w:r>
      <w:bookmarkEnd w:id="317"/>
      <w:bookmarkEnd w:id="318"/>
      <w:bookmarkEnd w:id="319"/>
      <w:bookmarkEnd w:id="320"/>
    </w:p>
    <w:p w14:paraId="3B23367E" w14:textId="25BA23F4" w:rsidR="00131B55" w:rsidRPr="00933BDB" w:rsidRDefault="005F3F4E" w:rsidP="00622097">
      <w:pPr>
        <w:pStyle w:val="RRBody"/>
        <w:jc w:val="both"/>
      </w:pPr>
      <w:bookmarkStart w:id="321" w:name="_Toc484701223"/>
      <w:bookmarkStart w:id="322" w:name="_Toc504389069"/>
      <w:r>
        <w:t xml:space="preserve">This section provides documentation of the withhold arrangement in the </w:t>
      </w:r>
      <w:r w:rsidR="0068292A">
        <w:t>Medicaid managed care</w:t>
      </w:r>
      <w:r>
        <w:t xml:space="preserve"> program</w:t>
      </w:r>
      <w:r w:rsidR="00131B55" w:rsidRPr="00933BDB">
        <w:t xml:space="preserve">.  </w:t>
      </w:r>
    </w:p>
    <w:p w14:paraId="50EE550B" w14:textId="77777777" w:rsidR="00CE2634" w:rsidRPr="009B069E" w:rsidRDefault="00CE2634" w:rsidP="00622097">
      <w:pPr>
        <w:pStyle w:val="Heading4"/>
      </w:pPr>
      <w:bookmarkStart w:id="323" w:name="_Toc8985029"/>
      <w:bookmarkStart w:id="324" w:name="_Toc100260725"/>
      <w:r w:rsidRPr="009B069E">
        <w:t>Appropriate Documentation</w:t>
      </w:r>
      <w:bookmarkEnd w:id="321"/>
      <w:bookmarkEnd w:id="322"/>
      <w:bookmarkEnd w:id="323"/>
      <w:bookmarkEnd w:id="324"/>
      <w:r w:rsidRPr="009B069E">
        <w:t xml:space="preserve"> </w:t>
      </w:r>
    </w:p>
    <w:p w14:paraId="62415598" w14:textId="77777777" w:rsidR="00CE2634" w:rsidRPr="005055F5" w:rsidRDefault="00CE2634" w:rsidP="00622097">
      <w:pPr>
        <w:pStyle w:val="Heading5"/>
        <w:jc w:val="both"/>
      </w:pPr>
      <w:bookmarkStart w:id="325" w:name="_Toc484701224"/>
      <w:bookmarkStart w:id="326" w:name="_Toc504389070"/>
      <w:r w:rsidRPr="005055F5">
        <w:t>Description of the Withhold Arrangement</w:t>
      </w:r>
      <w:bookmarkEnd w:id="325"/>
      <w:bookmarkEnd w:id="326"/>
    </w:p>
    <w:p w14:paraId="7F7D96CF" w14:textId="01B1A841" w:rsidR="00CE2634" w:rsidRPr="005055F5" w:rsidRDefault="00CE2634" w:rsidP="00072C4C">
      <w:pPr>
        <w:pStyle w:val="Heading6"/>
        <w:numPr>
          <w:ilvl w:val="0"/>
          <w:numId w:val="76"/>
        </w:numPr>
        <w:jc w:val="both"/>
      </w:pPr>
      <w:bookmarkStart w:id="327" w:name="_Toc484701225"/>
      <w:bookmarkStart w:id="328" w:name="_Toc504389071"/>
      <w:r w:rsidRPr="005055F5">
        <w:t>Time period</w:t>
      </w:r>
      <w:bookmarkEnd w:id="327"/>
      <w:bookmarkEnd w:id="328"/>
    </w:p>
    <w:p w14:paraId="100F874D" w14:textId="14642685" w:rsidR="00131B55" w:rsidRDefault="0068292A" w:rsidP="00622097">
      <w:pPr>
        <w:pStyle w:val="RRBody"/>
        <w:jc w:val="both"/>
      </w:pPr>
      <w:bookmarkStart w:id="329" w:name="_Toc484701226"/>
      <w:bookmarkStart w:id="330" w:name="_Toc504389072"/>
      <w:r w:rsidRPr="0068292A">
        <w:t xml:space="preserve">The Alternative Payment Methodology (APM) withhold will continue in SFY </w:t>
      </w:r>
      <w:r w:rsidR="00484E49" w:rsidRPr="0068292A">
        <w:t>202</w:t>
      </w:r>
      <w:r w:rsidR="00484E49">
        <w:t>3</w:t>
      </w:r>
      <w:r w:rsidRPr="0068292A">
        <w:t>.</w:t>
      </w:r>
      <w:r w:rsidR="003054B6">
        <w:t xml:space="preserve"> Withhold metrics will be reviewed and paid </w:t>
      </w:r>
      <w:r w:rsidR="00C53CBE">
        <w:t>annually</w:t>
      </w:r>
      <w:r w:rsidR="003054B6">
        <w:t>.</w:t>
      </w:r>
      <w:r w:rsidRPr="0068292A">
        <w:t xml:space="preserve"> </w:t>
      </w:r>
    </w:p>
    <w:p w14:paraId="3E3A8195" w14:textId="3FCFA04B" w:rsidR="00814B99" w:rsidRPr="005055F5" w:rsidRDefault="00814B99" w:rsidP="00072C4C">
      <w:pPr>
        <w:pStyle w:val="Heading6"/>
      </w:pPr>
      <w:r>
        <w:t>Enrollees, services, and providers covered</w:t>
      </w:r>
    </w:p>
    <w:p w14:paraId="6589F709" w14:textId="2099818D" w:rsidR="00814B99" w:rsidRDefault="00485130" w:rsidP="00814B99">
      <w:pPr>
        <w:pStyle w:val="RRBody"/>
        <w:jc w:val="both"/>
      </w:pPr>
      <w:r>
        <w:t xml:space="preserve">All </w:t>
      </w:r>
      <w:r w:rsidR="00F156DB">
        <w:t>rate cells</w:t>
      </w:r>
      <w:r>
        <w:t xml:space="preserve"> are covered by </w:t>
      </w:r>
      <w:r w:rsidR="00BB6D27" w:rsidRPr="00BB6D27">
        <w:t>the withhold arrangement</w:t>
      </w:r>
      <w:r w:rsidR="00F156DB">
        <w:t xml:space="preserve">, with the exception of </w:t>
      </w:r>
      <w:r>
        <w:t>the RIte Care Extended Family Planning or SOBRA capitation rates.</w:t>
      </w:r>
      <w:r w:rsidR="00F156DB">
        <w:t xml:space="preserve"> No withhold is applied to the Extended Family Planning or SOBRA capitation rates.</w:t>
      </w:r>
    </w:p>
    <w:p w14:paraId="4631ABDB" w14:textId="24CCFB81" w:rsidR="00814B99" w:rsidRPr="005055F5" w:rsidRDefault="00BB6D27" w:rsidP="00072C4C">
      <w:pPr>
        <w:pStyle w:val="Heading6"/>
      </w:pPr>
      <w:r>
        <w:t>P</w:t>
      </w:r>
      <w:r w:rsidR="00814B99" w:rsidRPr="005055F5">
        <w:t>urpose</w:t>
      </w:r>
    </w:p>
    <w:p w14:paraId="0BC5CC47" w14:textId="7AD24DB6" w:rsidR="00814B99" w:rsidRDefault="00F156DB" w:rsidP="00BB6D27">
      <w:pPr>
        <w:pStyle w:val="RRBody"/>
        <w:jc w:val="both"/>
      </w:pPr>
      <w:r w:rsidRPr="00F156DB">
        <w:t xml:space="preserve">The goals of Rhode Island’s Medicaid Quality Strategy are based on a commitment to the following principles: consumer empowerment and choice, </w:t>
      </w:r>
      <w:r w:rsidR="005D0ED4" w:rsidRPr="00F156DB">
        <w:t>community-based</w:t>
      </w:r>
      <w:r w:rsidRPr="00F156DB">
        <w:t xml:space="preserve"> solutions, prevention/wellness, </w:t>
      </w:r>
      <w:r w:rsidR="00AC24A5" w:rsidRPr="00F156DB">
        <w:t>value-based</w:t>
      </w:r>
      <w:r w:rsidRPr="00F156DB">
        <w:t xml:space="preserve"> purchasing, integration of physical and behavioral health, care coordination/care management, attention to social determinants of health, and improved technology. </w:t>
      </w:r>
      <w:r>
        <w:t>The withhold</w:t>
      </w:r>
      <w:r w:rsidRPr="00F156DB">
        <w:t xml:space="preserve"> promotes the transition from </w:t>
      </w:r>
      <w:r w:rsidR="001E71A8">
        <w:t>fee-for-service</w:t>
      </w:r>
      <w:r w:rsidRPr="00F156DB">
        <w:t xml:space="preserve"> towards </w:t>
      </w:r>
      <w:r w:rsidR="001E71A8">
        <w:t xml:space="preserve">a </w:t>
      </w:r>
      <w:r w:rsidRPr="00F156DB">
        <w:t>population health model, thereby encouraging greater coordination of care and rewarding both cost efficiency and quality of care outcomes</w:t>
      </w:r>
      <w:r w:rsidR="00DA1551">
        <w:t xml:space="preserve">. </w:t>
      </w:r>
    </w:p>
    <w:p w14:paraId="0F90D598" w14:textId="77777777" w:rsidR="00F156DB" w:rsidRPr="00BA6022" w:rsidRDefault="00F156DB" w:rsidP="00BB6D27">
      <w:pPr>
        <w:pStyle w:val="RRBody"/>
        <w:jc w:val="both"/>
      </w:pPr>
    </w:p>
    <w:p w14:paraId="3EC65171" w14:textId="5293FE2C" w:rsidR="00CE2634" w:rsidRPr="005055F5" w:rsidRDefault="00CE2634" w:rsidP="00622097">
      <w:pPr>
        <w:pStyle w:val="Heading6"/>
        <w:jc w:val="both"/>
      </w:pPr>
      <w:r w:rsidRPr="005055F5">
        <w:lastRenderedPageBreak/>
        <w:t>Description of total percentage withheld</w:t>
      </w:r>
      <w:bookmarkEnd w:id="329"/>
      <w:bookmarkEnd w:id="330"/>
    </w:p>
    <w:p w14:paraId="1421CB9C" w14:textId="7479F737" w:rsidR="0068292A" w:rsidRDefault="0068292A" w:rsidP="00622097">
      <w:pPr>
        <w:pStyle w:val="RRBody"/>
        <w:jc w:val="both"/>
      </w:pPr>
      <w:bookmarkStart w:id="331" w:name="_Toc484701227"/>
      <w:bookmarkStart w:id="332" w:name="_Toc504389073"/>
      <w:r w:rsidRPr="0068292A">
        <w:t xml:space="preserve">The withhold will remain at 0.5% </w:t>
      </w:r>
      <w:r w:rsidR="003054B6">
        <w:t xml:space="preserve">in SFY </w:t>
      </w:r>
      <w:r w:rsidR="00484E49">
        <w:t xml:space="preserve">2023 </w:t>
      </w:r>
      <w:r w:rsidRPr="0068292A">
        <w:t>and be returned in accordance to the “Alternative Payment Methodology Requirements for Each Contract Period”</w:t>
      </w:r>
      <w:r w:rsidR="00E24DCF">
        <w:t xml:space="preserve"> of the MCO contract</w:t>
      </w:r>
      <w:r>
        <w:t xml:space="preserve">. </w:t>
      </w:r>
    </w:p>
    <w:p w14:paraId="00CEF90D" w14:textId="1147B71C" w:rsidR="00CE2634" w:rsidRPr="005055F5" w:rsidRDefault="00CE2634" w:rsidP="00622097">
      <w:pPr>
        <w:pStyle w:val="Heading6"/>
        <w:jc w:val="both"/>
      </w:pPr>
      <w:r w:rsidRPr="005055F5">
        <w:t>Estimate of percent to be returned</w:t>
      </w:r>
      <w:bookmarkEnd w:id="331"/>
      <w:bookmarkEnd w:id="332"/>
    </w:p>
    <w:p w14:paraId="0F0A7673" w14:textId="48ED2B5C" w:rsidR="00870C68" w:rsidRPr="00B132DE" w:rsidRDefault="00377BAF" w:rsidP="00072C4C">
      <w:pPr>
        <w:pStyle w:val="RRBody"/>
        <w:jc w:val="both"/>
        <w:rPr>
          <w:rFonts w:cstheme="minorHAnsi"/>
          <w:sz w:val="6"/>
          <w:szCs w:val="18"/>
        </w:rPr>
      </w:pPr>
      <w:r>
        <w:t>Based on discussion with EOHHS</w:t>
      </w:r>
      <w:r w:rsidRPr="00377BAF">
        <w:t>, we believe that a full withhold</w:t>
      </w:r>
      <w:r>
        <w:t xml:space="preserve"> return is attainable by the MCO</w:t>
      </w:r>
      <w:r w:rsidRPr="00377BAF">
        <w:t>s.</w:t>
      </w:r>
    </w:p>
    <w:p w14:paraId="52A0ADDD" w14:textId="53F9E564" w:rsidR="00CE2634" w:rsidRPr="005055F5" w:rsidRDefault="00CE2634" w:rsidP="00622097">
      <w:pPr>
        <w:pStyle w:val="Heading6"/>
        <w:jc w:val="both"/>
      </w:pPr>
      <w:bookmarkStart w:id="333" w:name="_Toc484701228"/>
      <w:bookmarkStart w:id="334" w:name="_Toc504389074"/>
      <w:r w:rsidRPr="005055F5">
        <w:t>Reasonableness of withhold arrangement</w:t>
      </w:r>
      <w:bookmarkEnd w:id="333"/>
      <w:bookmarkEnd w:id="334"/>
    </w:p>
    <w:p w14:paraId="0EFF37C1" w14:textId="55067E7D" w:rsidR="00816BFF" w:rsidRPr="00377BAF" w:rsidRDefault="00377BAF" w:rsidP="00622097">
      <w:pPr>
        <w:pStyle w:val="RRBody"/>
        <w:jc w:val="both"/>
      </w:pPr>
      <w:bookmarkStart w:id="335" w:name="_Toc484701229"/>
      <w:bookmarkStart w:id="336" w:name="_Toc504389075"/>
      <w:r w:rsidRPr="00377BAF">
        <w:t>Our review of th</w:t>
      </w:r>
      <w:r>
        <w:t>e total withhold percentage of 0.5</w:t>
      </w:r>
      <w:r w:rsidRPr="00377BAF">
        <w:t>% of capitation revenue indicates that it is reasonable within the context of the capitation rate development and the magnitude of the withhold does not have</w:t>
      </w:r>
      <w:r>
        <w:t xml:space="preserve"> a detrimental impact on the MCO</w:t>
      </w:r>
      <w:r w:rsidRPr="00377BAF">
        <w:t>’s financial operating needs and capital reserves. Our interpretation of financial operating needs relates to cash flow needs for the MC</w:t>
      </w:r>
      <w:r>
        <w:t>O</w:t>
      </w:r>
      <w:r w:rsidRPr="00377BAF">
        <w:t xml:space="preserve"> to pay claims and administer benefits for its covered population.</w:t>
      </w:r>
    </w:p>
    <w:p w14:paraId="633FDA1F" w14:textId="7C5B0C11" w:rsidR="00CE2634" w:rsidRPr="005055F5" w:rsidRDefault="00CE2634" w:rsidP="00622097">
      <w:pPr>
        <w:pStyle w:val="Heading6"/>
        <w:jc w:val="both"/>
      </w:pPr>
      <w:r w:rsidRPr="005055F5">
        <w:t>Effect on the capitation rates</w:t>
      </w:r>
      <w:bookmarkEnd w:id="335"/>
      <w:bookmarkEnd w:id="336"/>
    </w:p>
    <w:p w14:paraId="73AD15DE" w14:textId="381991E7" w:rsidR="00816BFF" w:rsidRPr="00541C09" w:rsidRDefault="003D488E" w:rsidP="00622097">
      <w:pPr>
        <w:pStyle w:val="RRBody"/>
        <w:jc w:val="both"/>
        <w:rPr>
          <w:rFonts w:cstheme="minorHAnsi"/>
          <w:szCs w:val="18"/>
        </w:rPr>
      </w:pPr>
      <w:r>
        <w:t>The effect of the withhold was considered when developing and reviewing the overall adequacy of the capitation rates. No explicit adjustment was made to the capitation rates to reflect the impact of the withhold</w:t>
      </w:r>
      <w:r w:rsidR="00377BAF" w:rsidRPr="00377BAF">
        <w:t>.</w:t>
      </w:r>
      <w:r>
        <w:t xml:space="preserve"> </w:t>
      </w:r>
    </w:p>
    <w:p w14:paraId="4184F6AB" w14:textId="6B0E1C9F" w:rsidR="0003230F" w:rsidRDefault="00617126" w:rsidP="00622097">
      <w:pPr>
        <w:pStyle w:val="Heading5"/>
        <w:jc w:val="both"/>
      </w:pPr>
      <w:r>
        <w:t>Rate certification consideration of withhold</w:t>
      </w:r>
    </w:p>
    <w:p w14:paraId="7C967B44" w14:textId="5F5CE5FF" w:rsidR="00617126" w:rsidRPr="00541C09" w:rsidRDefault="00377BAF" w:rsidP="00622097">
      <w:pPr>
        <w:pStyle w:val="RRBody"/>
        <w:jc w:val="both"/>
        <w:rPr>
          <w:rFonts w:cstheme="minorHAnsi"/>
          <w:szCs w:val="18"/>
        </w:rPr>
      </w:pPr>
      <w:bookmarkStart w:id="337" w:name="_Toc484701230"/>
      <w:bookmarkStart w:id="338" w:name="_Toc504389076"/>
      <w:bookmarkStart w:id="339" w:name="_Toc8985030"/>
      <w:r>
        <w:t>The rate certification</w:t>
      </w:r>
      <w:r w:rsidR="005D0ED4">
        <w:t xml:space="preserve"> includes consideration of the withhold and </w:t>
      </w:r>
      <w:r>
        <w:t>is included in Appendix 1.</w:t>
      </w:r>
    </w:p>
    <w:p w14:paraId="52169632" w14:textId="57E16C40" w:rsidR="00CE2634" w:rsidRPr="00D705D5" w:rsidRDefault="00CE2634" w:rsidP="00622097">
      <w:pPr>
        <w:pStyle w:val="Heading3"/>
        <w:jc w:val="both"/>
      </w:pPr>
      <w:bookmarkStart w:id="340" w:name="_Toc100260726"/>
      <w:r w:rsidRPr="00D705D5">
        <w:t>Risk Sharing Mechanisms</w:t>
      </w:r>
      <w:bookmarkEnd w:id="337"/>
      <w:bookmarkEnd w:id="338"/>
      <w:bookmarkEnd w:id="339"/>
      <w:bookmarkEnd w:id="340"/>
    </w:p>
    <w:p w14:paraId="478CD94D" w14:textId="77777777" w:rsidR="00CE2634" w:rsidRPr="009B069E" w:rsidRDefault="00CE2634" w:rsidP="00622097">
      <w:pPr>
        <w:pStyle w:val="Heading4"/>
      </w:pPr>
      <w:bookmarkStart w:id="341" w:name="_Toc484701231"/>
      <w:bookmarkStart w:id="342" w:name="_Toc504389077"/>
      <w:bookmarkStart w:id="343" w:name="_Toc8985031"/>
      <w:bookmarkStart w:id="344" w:name="_Toc100260727"/>
      <w:r w:rsidRPr="009B069E">
        <w:t>Rate Development Standards</w:t>
      </w:r>
      <w:bookmarkEnd w:id="341"/>
      <w:bookmarkEnd w:id="342"/>
      <w:bookmarkEnd w:id="343"/>
      <w:bookmarkEnd w:id="344"/>
    </w:p>
    <w:p w14:paraId="01793059" w14:textId="3A8B3799" w:rsidR="00FD3AF4" w:rsidRDefault="00CE2634" w:rsidP="00622097">
      <w:pPr>
        <w:jc w:val="both"/>
      </w:pPr>
      <w:r w:rsidRPr="00541C09">
        <w:t xml:space="preserve">This </w:t>
      </w:r>
      <w:r w:rsidR="00D84E66" w:rsidRPr="00D84E66">
        <w:t xml:space="preserve">section provides documentation of the risk-sharing mechanisms in the </w:t>
      </w:r>
      <w:r w:rsidR="00617126">
        <w:t>Medicaid managed care</w:t>
      </w:r>
      <w:r w:rsidR="00D84E66" w:rsidRPr="00D84E66">
        <w:t xml:space="preserve"> program</w:t>
      </w:r>
      <w:r w:rsidRPr="00541C09">
        <w:t>.</w:t>
      </w:r>
      <w:bookmarkStart w:id="345" w:name="_Toc484701232"/>
      <w:bookmarkStart w:id="346" w:name="_Toc504389078"/>
    </w:p>
    <w:p w14:paraId="214083DA" w14:textId="77777777" w:rsidR="00CE2634" w:rsidRPr="009B069E" w:rsidRDefault="00FD3AF4" w:rsidP="00622097">
      <w:pPr>
        <w:pStyle w:val="Heading4"/>
      </w:pPr>
      <w:bookmarkStart w:id="347" w:name="_Toc8985032"/>
      <w:bookmarkStart w:id="348" w:name="_Toc100260728"/>
      <w:r>
        <w:t>Appropriate Documentation</w:t>
      </w:r>
      <w:bookmarkEnd w:id="345"/>
      <w:bookmarkEnd w:id="346"/>
      <w:bookmarkEnd w:id="347"/>
      <w:bookmarkEnd w:id="348"/>
    </w:p>
    <w:p w14:paraId="430EFA8B" w14:textId="38DCA736" w:rsidR="00CE2634" w:rsidRDefault="00CE2634" w:rsidP="00622097">
      <w:pPr>
        <w:pStyle w:val="Heading5"/>
        <w:jc w:val="both"/>
      </w:pPr>
      <w:bookmarkStart w:id="349" w:name="_Toc484701233"/>
      <w:bookmarkStart w:id="350" w:name="_Toc504389079"/>
      <w:r w:rsidRPr="005055F5">
        <w:t>Description of Risk-sharing Mechanism</w:t>
      </w:r>
      <w:bookmarkEnd w:id="349"/>
      <w:bookmarkEnd w:id="350"/>
    </w:p>
    <w:p w14:paraId="04079AE3" w14:textId="71A04CB3" w:rsidR="00920491" w:rsidRPr="00920491" w:rsidRDefault="00920491" w:rsidP="00A06B75">
      <w:r w:rsidRPr="00920491">
        <w:t xml:space="preserve">The Rhode Island Medicaid managed care program includes a risk-sharing arrangement in SFY </w:t>
      </w:r>
      <w:r w:rsidR="00484E49" w:rsidRPr="00920491">
        <w:t>202</w:t>
      </w:r>
      <w:r w:rsidR="00484E49">
        <w:t>3</w:t>
      </w:r>
      <w:r w:rsidRPr="00920491">
        <w:t>.</w:t>
      </w:r>
    </w:p>
    <w:p w14:paraId="30E18C00" w14:textId="0BB28762" w:rsidR="005C52F9" w:rsidRDefault="003013E3" w:rsidP="00622097">
      <w:pPr>
        <w:pStyle w:val="Heading6"/>
        <w:numPr>
          <w:ilvl w:val="0"/>
          <w:numId w:val="66"/>
        </w:numPr>
        <w:jc w:val="both"/>
      </w:pPr>
      <w:r>
        <w:t>Risk sharing rationale</w:t>
      </w:r>
    </w:p>
    <w:p w14:paraId="1462EBED" w14:textId="2CA92DAE" w:rsidR="00D84E66" w:rsidRPr="0076558C" w:rsidRDefault="00FA0E04" w:rsidP="00622097">
      <w:pPr>
        <w:pStyle w:val="RRBody"/>
        <w:jc w:val="both"/>
      </w:pPr>
      <w:r>
        <w:t xml:space="preserve">The risk sharing mechanisms in the Rhode Island Medicaid managed care program address potential claims volatility and other risk for MCOs participating in the managed care program. </w:t>
      </w:r>
    </w:p>
    <w:p w14:paraId="32018F02" w14:textId="0249A4AE" w:rsidR="005C52F9" w:rsidRDefault="003013E3" w:rsidP="00622097">
      <w:pPr>
        <w:pStyle w:val="Heading6"/>
        <w:jc w:val="both"/>
      </w:pPr>
      <w:r>
        <w:t>Risk sharing implementation</w:t>
      </w:r>
    </w:p>
    <w:p w14:paraId="133DFE29" w14:textId="2341AE7E" w:rsidR="0064325A" w:rsidRDefault="0064325A" w:rsidP="00622097">
      <w:pPr>
        <w:pStyle w:val="RRBody"/>
        <w:jc w:val="both"/>
      </w:pPr>
      <w:r>
        <w:t xml:space="preserve">The risk-sharing arrangement will be maintained in SFY </w:t>
      </w:r>
      <w:r w:rsidR="00484E49">
        <w:t>2023</w:t>
      </w:r>
      <w:r>
        <w:t xml:space="preserve">. </w:t>
      </w:r>
      <w:r w:rsidR="00FA0E04">
        <w:t xml:space="preserve">The risk corridors parameters for the SFY </w:t>
      </w:r>
      <w:r w:rsidR="00484E49">
        <w:t xml:space="preserve">2023 </w:t>
      </w:r>
      <w:r w:rsidR="00FA0E04">
        <w:t xml:space="preserve">contract year are included in the </w:t>
      </w:r>
      <w:r w:rsidR="00B06709">
        <w:t>figure</w:t>
      </w:r>
      <w:r w:rsidR="00FA0E04">
        <w:t xml:space="preserve"> below.</w:t>
      </w:r>
    </w:p>
    <w:tbl>
      <w:tblPr>
        <w:tblW w:w="9450" w:type="dxa"/>
        <w:tblLook w:val="04A0" w:firstRow="1" w:lastRow="0" w:firstColumn="1" w:lastColumn="0" w:noHBand="0" w:noVBand="1"/>
      </w:tblPr>
      <w:tblGrid>
        <w:gridCol w:w="5850"/>
        <w:gridCol w:w="1890"/>
        <w:gridCol w:w="1710"/>
      </w:tblGrid>
      <w:tr w:rsidR="00D65334" w:rsidRPr="00D65334" w14:paraId="2702E2E1" w14:textId="77777777" w:rsidTr="002C280A">
        <w:trPr>
          <w:trHeight w:val="240"/>
        </w:trPr>
        <w:tc>
          <w:tcPr>
            <w:tcW w:w="9450" w:type="dxa"/>
            <w:gridSpan w:val="3"/>
            <w:tcBorders>
              <w:top w:val="nil"/>
              <w:left w:val="nil"/>
              <w:bottom w:val="nil"/>
              <w:right w:val="nil"/>
            </w:tcBorders>
            <w:shd w:val="clear" w:color="auto" w:fill="auto"/>
            <w:noWrap/>
            <w:vAlign w:val="bottom"/>
            <w:hideMark/>
          </w:tcPr>
          <w:p w14:paraId="2B95A5B5" w14:textId="4FECDC3E" w:rsidR="00D65334" w:rsidRPr="00D65334" w:rsidRDefault="00B06709" w:rsidP="00B06709">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00D65334">
              <w:rPr>
                <w:rFonts w:ascii="Arial" w:eastAsia="Times New Roman" w:hAnsi="Arial" w:cs="Arial"/>
                <w:b/>
                <w:bCs/>
                <w:color w:val="0081E3"/>
                <w:szCs w:val="18"/>
              </w:rPr>
              <w:t xml:space="preserve"> </w:t>
            </w:r>
            <w:r w:rsidR="00273A3D">
              <w:rPr>
                <w:rFonts w:ascii="Arial" w:eastAsia="Times New Roman" w:hAnsi="Arial" w:cs="Arial"/>
                <w:b/>
                <w:bCs/>
                <w:color w:val="0081E3"/>
                <w:szCs w:val="18"/>
              </w:rPr>
              <w:t>20</w:t>
            </w:r>
            <w:r>
              <w:rPr>
                <w:rFonts w:ascii="Arial" w:eastAsia="Times New Roman" w:hAnsi="Arial" w:cs="Arial"/>
                <w:b/>
                <w:bCs/>
                <w:color w:val="0081E3"/>
                <w:szCs w:val="18"/>
              </w:rPr>
              <w:t>:</w:t>
            </w:r>
            <w:r w:rsidRPr="00D65334">
              <w:rPr>
                <w:rFonts w:ascii="Arial" w:eastAsia="Times New Roman" w:hAnsi="Arial" w:cs="Arial"/>
                <w:b/>
                <w:bCs/>
                <w:color w:val="0081E3"/>
                <w:szCs w:val="18"/>
              </w:rPr>
              <w:t xml:space="preserve"> </w:t>
            </w:r>
            <w:r>
              <w:rPr>
                <w:rFonts w:ascii="Arial" w:eastAsia="Times New Roman" w:hAnsi="Arial" w:cs="Arial"/>
                <w:b/>
                <w:bCs/>
                <w:color w:val="0081E3"/>
                <w:szCs w:val="18"/>
              </w:rPr>
              <w:t>RISK CORRIDOR PARAMETERS</w:t>
            </w:r>
          </w:p>
        </w:tc>
      </w:tr>
      <w:tr w:rsidR="00D65334" w:rsidRPr="00D65334" w14:paraId="00986DFF" w14:textId="77777777" w:rsidTr="002C280A">
        <w:trPr>
          <w:trHeight w:val="480"/>
        </w:trPr>
        <w:tc>
          <w:tcPr>
            <w:tcW w:w="5850" w:type="dxa"/>
            <w:tcBorders>
              <w:top w:val="nil"/>
              <w:left w:val="nil"/>
              <w:bottom w:val="nil"/>
              <w:right w:val="nil"/>
            </w:tcBorders>
            <w:shd w:val="clear" w:color="auto" w:fill="auto"/>
            <w:noWrap/>
            <w:vAlign w:val="bottom"/>
            <w:hideMark/>
          </w:tcPr>
          <w:p w14:paraId="66EDDBED" w14:textId="77777777" w:rsidR="00D65334" w:rsidRPr="00D65334" w:rsidRDefault="00D65334" w:rsidP="00D65334">
            <w:pPr>
              <w:spacing w:after="0" w:line="240" w:lineRule="auto"/>
              <w:rPr>
                <w:rFonts w:ascii="Arial" w:eastAsia="Times New Roman" w:hAnsi="Arial" w:cs="Arial"/>
                <w:b/>
                <w:bCs/>
                <w:color w:val="000000"/>
                <w:szCs w:val="18"/>
              </w:rPr>
            </w:pPr>
            <w:r w:rsidRPr="00D65334">
              <w:rPr>
                <w:rFonts w:ascii="Arial" w:eastAsia="Times New Roman" w:hAnsi="Arial" w:cs="Arial"/>
                <w:b/>
                <w:bCs/>
                <w:color w:val="000000"/>
                <w:szCs w:val="18"/>
              </w:rPr>
              <w:t>Risk Sharing Provisions</w:t>
            </w:r>
          </w:p>
        </w:tc>
        <w:tc>
          <w:tcPr>
            <w:tcW w:w="1890" w:type="dxa"/>
            <w:tcBorders>
              <w:top w:val="nil"/>
              <w:left w:val="nil"/>
              <w:bottom w:val="nil"/>
              <w:right w:val="nil"/>
            </w:tcBorders>
            <w:shd w:val="clear" w:color="auto" w:fill="auto"/>
            <w:vAlign w:val="bottom"/>
            <w:hideMark/>
          </w:tcPr>
          <w:p w14:paraId="4E1AFB8C" w14:textId="77777777" w:rsidR="00D65334" w:rsidRPr="00D65334" w:rsidRDefault="00D65334" w:rsidP="00D65334">
            <w:pPr>
              <w:spacing w:after="0" w:line="240" w:lineRule="auto"/>
              <w:jc w:val="center"/>
              <w:rPr>
                <w:rFonts w:ascii="Arial" w:eastAsia="Times New Roman" w:hAnsi="Arial" w:cs="Arial"/>
                <w:b/>
                <w:bCs/>
                <w:color w:val="000000"/>
                <w:szCs w:val="18"/>
              </w:rPr>
            </w:pPr>
            <w:r w:rsidRPr="00D65334">
              <w:rPr>
                <w:rFonts w:ascii="Arial" w:eastAsia="Times New Roman" w:hAnsi="Arial" w:cs="Arial"/>
                <w:b/>
                <w:bCs/>
                <w:color w:val="000000"/>
                <w:szCs w:val="18"/>
              </w:rPr>
              <w:t>Plan Share of Expenses</w:t>
            </w:r>
          </w:p>
        </w:tc>
        <w:tc>
          <w:tcPr>
            <w:tcW w:w="1710" w:type="dxa"/>
            <w:tcBorders>
              <w:top w:val="nil"/>
              <w:left w:val="nil"/>
              <w:bottom w:val="nil"/>
              <w:right w:val="nil"/>
            </w:tcBorders>
            <w:shd w:val="clear" w:color="auto" w:fill="auto"/>
            <w:vAlign w:val="bottom"/>
            <w:hideMark/>
          </w:tcPr>
          <w:p w14:paraId="7C310BA3" w14:textId="77777777" w:rsidR="00D65334" w:rsidRPr="00D65334" w:rsidRDefault="00D65334" w:rsidP="00D65334">
            <w:pPr>
              <w:spacing w:after="0" w:line="240" w:lineRule="auto"/>
              <w:jc w:val="center"/>
              <w:rPr>
                <w:rFonts w:ascii="Arial" w:eastAsia="Times New Roman" w:hAnsi="Arial" w:cs="Arial"/>
                <w:b/>
                <w:bCs/>
                <w:color w:val="000000"/>
                <w:szCs w:val="18"/>
              </w:rPr>
            </w:pPr>
            <w:r w:rsidRPr="00D65334">
              <w:rPr>
                <w:rFonts w:ascii="Arial" w:eastAsia="Times New Roman" w:hAnsi="Arial" w:cs="Arial"/>
                <w:b/>
                <w:bCs/>
                <w:color w:val="000000"/>
                <w:szCs w:val="18"/>
              </w:rPr>
              <w:t>EOHHS Share of Expenses</w:t>
            </w:r>
          </w:p>
        </w:tc>
      </w:tr>
      <w:tr w:rsidR="00D65334" w:rsidRPr="00D65334" w14:paraId="483035E3" w14:textId="77777777" w:rsidTr="002C280A">
        <w:trPr>
          <w:trHeight w:val="135"/>
        </w:trPr>
        <w:tc>
          <w:tcPr>
            <w:tcW w:w="5850" w:type="dxa"/>
            <w:tcBorders>
              <w:top w:val="nil"/>
              <w:left w:val="nil"/>
              <w:bottom w:val="nil"/>
              <w:right w:val="nil"/>
            </w:tcBorders>
            <w:shd w:val="clear" w:color="000000" w:fill="E8E9E9"/>
            <w:vAlign w:val="center"/>
            <w:hideMark/>
          </w:tcPr>
          <w:p w14:paraId="72C073D3" w14:textId="5BA3D0AF" w:rsidR="00D65334" w:rsidRPr="00D65334" w:rsidRDefault="00140BA7" w:rsidP="003727F7">
            <w:pPr>
              <w:spacing w:after="0" w:line="240" w:lineRule="auto"/>
              <w:rPr>
                <w:rFonts w:ascii="Arial" w:eastAsia="Times New Roman" w:hAnsi="Arial" w:cs="Arial"/>
                <w:color w:val="000000"/>
                <w:szCs w:val="18"/>
              </w:rPr>
            </w:pPr>
            <w:r>
              <w:rPr>
                <w:rFonts w:ascii="Arial" w:eastAsia="Times New Roman" w:hAnsi="Arial" w:cs="Arial"/>
                <w:color w:val="000000"/>
                <w:szCs w:val="18"/>
              </w:rPr>
              <w:t xml:space="preserve">    </w:t>
            </w:r>
            <w:r w:rsidR="00D65334" w:rsidRPr="00D65334">
              <w:rPr>
                <w:rFonts w:ascii="Arial" w:eastAsia="Times New Roman" w:hAnsi="Arial" w:cs="Arial"/>
                <w:color w:val="000000"/>
                <w:szCs w:val="18"/>
              </w:rPr>
              <w:t>For Medical Expenses between 100% and 10</w:t>
            </w:r>
            <w:r w:rsidR="007B4091">
              <w:rPr>
                <w:rFonts w:ascii="Arial" w:eastAsia="Times New Roman" w:hAnsi="Arial" w:cs="Arial"/>
                <w:color w:val="000000"/>
                <w:szCs w:val="18"/>
              </w:rPr>
              <w:t>3</w:t>
            </w:r>
            <w:r w:rsidR="00D65334" w:rsidRPr="00D65334">
              <w:rPr>
                <w:rFonts w:ascii="Arial" w:eastAsia="Times New Roman" w:hAnsi="Arial" w:cs="Arial"/>
                <w:color w:val="000000"/>
                <w:szCs w:val="18"/>
              </w:rPr>
              <w:t>% of Baseline</w:t>
            </w:r>
          </w:p>
        </w:tc>
        <w:tc>
          <w:tcPr>
            <w:tcW w:w="1890" w:type="dxa"/>
            <w:tcBorders>
              <w:top w:val="nil"/>
              <w:left w:val="nil"/>
              <w:bottom w:val="nil"/>
              <w:right w:val="nil"/>
            </w:tcBorders>
            <w:shd w:val="clear" w:color="000000" w:fill="E8E9E9"/>
            <w:noWrap/>
            <w:vAlign w:val="center"/>
            <w:hideMark/>
          </w:tcPr>
          <w:p w14:paraId="5C285B97"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100%</w:t>
            </w:r>
          </w:p>
        </w:tc>
        <w:tc>
          <w:tcPr>
            <w:tcW w:w="1710" w:type="dxa"/>
            <w:tcBorders>
              <w:top w:val="nil"/>
              <w:left w:val="nil"/>
              <w:bottom w:val="nil"/>
              <w:right w:val="nil"/>
            </w:tcBorders>
            <w:shd w:val="clear" w:color="000000" w:fill="E8E9E9"/>
            <w:noWrap/>
            <w:vAlign w:val="center"/>
            <w:hideMark/>
          </w:tcPr>
          <w:p w14:paraId="134E917D"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0%</w:t>
            </w:r>
          </w:p>
        </w:tc>
      </w:tr>
      <w:tr w:rsidR="00D65334" w:rsidRPr="00D65334" w14:paraId="1CB75511" w14:textId="77777777" w:rsidTr="002C280A">
        <w:trPr>
          <w:trHeight w:val="99"/>
        </w:trPr>
        <w:tc>
          <w:tcPr>
            <w:tcW w:w="5850" w:type="dxa"/>
            <w:tcBorders>
              <w:top w:val="nil"/>
              <w:left w:val="nil"/>
              <w:bottom w:val="nil"/>
              <w:right w:val="nil"/>
            </w:tcBorders>
            <w:shd w:val="clear" w:color="auto" w:fill="auto"/>
            <w:vAlign w:val="center"/>
            <w:hideMark/>
          </w:tcPr>
          <w:p w14:paraId="7C901842" w14:textId="03BC89E6" w:rsidR="00D65334" w:rsidRPr="00D65334" w:rsidRDefault="00D65334" w:rsidP="00B85B84">
            <w:pPr>
              <w:spacing w:after="0" w:line="240" w:lineRule="auto"/>
              <w:ind w:firstLineChars="100" w:firstLine="180"/>
              <w:rPr>
                <w:rFonts w:ascii="Arial" w:eastAsia="Times New Roman" w:hAnsi="Arial" w:cs="Arial"/>
                <w:color w:val="000000"/>
                <w:szCs w:val="18"/>
              </w:rPr>
            </w:pPr>
            <w:r w:rsidRPr="00D65334">
              <w:rPr>
                <w:rFonts w:ascii="Arial" w:eastAsia="Times New Roman" w:hAnsi="Arial" w:cs="Arial"/>
                <w:color w:val="000000"/>
                <w:szCs w:val="18"/>
              </w:rPr>
              <w:t>For Medical Expenses between 10</w:t>
            </w:r>
            <w:r w:rsidR="007B4091">
              <w:rPr>
                <w:rFonts w:ascii="Arial" w:eastAsia="Times New Roman" w:hAnsi="Arial" w:cs="Arial"/>
                <w:color w:val="000000"/>
                <w:szCs w:val="18"/>
              </w:rPr>
              <w:t>3</w:t>
            </w:r>
            <w:r w:rsidRPr="00D65334">
              <w:rPr>
                <w:rFonts w:ascii="Arial" w:eastAsia="Times New Roman" w:hAnsi="Arial" w:cs="Arial"/>
                <w:color w:val="000000"/>
                <w:szCs w:val="18"/>
              </w:rPr>
              <w:t>% and 105% of Baseline</w:t>
            </w:r>
          </w:p>
        </w:tc>
        <w:tc>
          <w:tcPr>
            <w:tcW w:w="1890" w:type="dxa"/>
            <w:tcBorders>
              <w:top w:val="nil"/>
              <w:left w:val="nil"/>
              <w:bottom w:val="nil"/>
              <w:right w:val="nil"/>
            </w:tcBorders>
            <w:shd w:val="clear" w:color="auto" w:fill="auto"/>
            <w:noWrap/>
            <w:vAlign w:val="center"/>
            <w:hideMark/>
          </w:tcPr>
          <w:p w14:paraId="3EFF912A"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40%</w:t>
            </w:r>
          </w:p>
        </w:tc>
        <w:tc>
          <w:tcPr>
            <w:tcW w:w="1710" w:type="dxa"/>
            <w:tcBorders>
              <w:top w:val="nil"/>
              <w:left w:val="nil"/>
              <w:bottom w:val="nil"/>
              <w:right w:val="nil"/>
            </w:tcBorders>
            <w:shd w:val="clear" w:color="auto" w:fill="auto"/>
            <w:noWrap/>
            <w:vAlign w:val="center"/>
            <w:hideMark/>
          </w:tcPr>
          <w:p w14:paraId="6D70D564"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60%</w:t>
            </w:r>
          </w:p>
        </w:tc>
      </w:tr>
      <w:tr w:rsidR="00D65334" w:rsidRPr="00D65334" w14:paraId="2742F271" w14:textId="77777777" w:rsidTr="002C280A">
        <w:trPr>
          <w:trHeight w:val="68"/>
        </w:trPr>
        <w:tc>
          <w:tcPr>
            <w:tcW w:w="5850" w:type="dxa"/>
            <w:tcBorders>
              <w:top w:val="nil"/>
              <w:left w:val="nil"/>
              <w:bottom w:val="nil"/>
              <w:right w:val="nil"/>
            </w:tcBorders>
            <w:shd w:val="clear" w:color="000000" w:fill="E8E9E9"/>
            <w:vAlign w:val="center"/>
            <w:hideMark/>
          </w:tcPr>
          <w:p w14:paraId="40472AD8" w14:textId="77777777" w:rsidR="00D65334" w:rsidRPr="00D65334" w:rsidRDefault="00D65334" w:rsidP="00B85B84">
            <w:pPr>
              <w:spacing w:after="0" w:line="240" w:lineRule="auto"/>
              <w:ind w:firstLineChars="100" w:firstLine="180"/>
              <w:rPr>
                <w:rFonts w:ascii="Arial" w:eastAsia="Times New Roman" w:hAnsi="Arial" w:cs="Arial"/>
                <w:color w:val="000000"/>
                <w:szCs w:val="18"/>
              </w:rPr>
            </w:pPr>
            <w:r w:rsidRPr="00D65334">
              <w:rPr>
                <w:rFonts w:ascii="Arial" w:eastAsia="Times New Roman" w:hAnsi="Arial" w:cs="Arial"/>
                <w:color w:val="000000"/>
                <w:szCs w:val="18"/>
              </w:rPr>
              <w:t>For Medical Expenses greater than 105% of Baseline</w:t>
            </w:r>
          </w:p>
        </w:tc>
        <w:tc>
          <w:tcPr>
            <w:tcW w:w="1890" w:type="dxa"/>
            <w:tcBorders>
              <w:top w:val="nil"/>
              <w:left w:val="nil"/>
              <w:bottom w:val="nil"/>
              <w:right w:val="nil"/>
            </w:tcBorders>
            <w:shd w:val="clear" w:color="000000" w:fill="E8E9E9"/>
            <w:noWrap/>
            <w:vAlign w:val="center"/>
            <w:hideMark/>
          </w:tcPr>
          <w:p w14:paraId="054366C1"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10%</w:t>
            </w:r>
          </w:p>
        </w:tc>
        <w:tc>
          <w:tcPr>
            <w:tcW w:w="1710" w:type="dxa"/>
            <w:tcBorders>
              <w:top w:val="nil"/>
              <w:left w:val="nil"/>
              <w:bottom w:val="nil"/>
              <w:right w:val="nil"/>
            </w:tcBorders>
            <w:shd w:val="clear" w:color="000000" w:fill="E8E9E9"/>
            <w:noWrap/>
            <w:vAlign w:val="center"/>
            <w:hideMark/>
          </w:tcPr>
          <w:p w14:paraId="05C9BC21"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90%</w:t>
            </w:r>
          </w:p>
        </w:tc>
      </w:tr>
      <w:tr w:rsidR="00D65334" w:rsidRPr="00D65334" w14:paraId="05AD41A7" w14:textId="77777777" w:rsidTr="002C280A">
        <w:trPr>
          <w:trHeight w:val="480"/>
        </w:trPr>
        <w:tc>
          <w:tcPr>
            <w:tcW w:w="5850" w:type="dxa"/>
            <w:tcBorders>
              <w:top w:val="nil"/>
              <w:left w:val="nil"/>
              <w:bottom w:val="nil"/>
              <w:right w:val="nil"/>
            </w:tcBorders>
            <w:shd w:val="clear" w:color="auto" w:fill="auto"/>
            <w:noWrap/>
            <w:vAlign w:val="bottom"/>
            <w:hideMark/>
          </w:tcPr>
          <w:p w14:paraId="4E5B9238" w14:textId="77777777" w:rsidR="00D65334" w:rsidRPr="00D65334" w:rsidRDefault="00D65334" w:rsidP="00D65334">
            <w:pPr>
              <w:spacing w:after="0" w:line="240" w:lineRule="auto"/>
              <w:rPr>
                <w:rFonts w:ascii="Arial" w:eastAsia="Times New Roman" w:hAnsi="Arial" w:cs="Arial"/>
                <w:b/>
                <w:bCs/>
                <w:color w:val="000000"/>
                <w:szCs w:val="18"/>
              </w:rPr>
            </w:pPr>
            <w:r w:rsidRPr="00D65334">
              <w:rPr>
                <w:rFonts w:ascii="Arial" w:eastAsia="Times New Roman" w:hAnsi="Arial" w:cs="Arial"/>
                <w:b/>
                <w:bCs/>
                <w:color w:val="000000"/>
                <w:szCs w:val="18"/>
              </w:rPr>
              <w:t>Gain Sharing Provisions</w:t>
            </w:r>
          </w:p>
        </w:tc>
        <w:tc>
          <w:tcPr>
            <w:tcW w:w="1890" w:type="dxa"/>
            <w:tcBorders>
              <w:top w:val="nil"/>
              <w:left w:val="nil"/>
              <w:bottom w:val="nil"/>
              <w:right w:val="nil"/>
            </w:tcBorders>
            <w:shd w:val="clear" w:color="auto" w:fill="auto"/>
            <w:vAlign w:val="bottom"/>
            <w:hideMark/>
          </w:tcPr>
          <w:p w14:paraId="2A055EE3" w14:textId="77777777" w:rsidR="00D65334" w:rsidRPr="00D65334" w:rsidRDefault="00D65334" w:rsidP="00D65334">
            <w:pPr>
              <w:spacing w:after="0" w:line="240" w:lineRule="auto"/>
              <w:jc w:val="center"/>
              <w:rPr>
                <w:rFonts w:ascii="Arial" w:eastAsia="Times New Roman" w:hAnsi="Arial" w:cs="Arial"/>
                <w:b/>
                <w:bCs/>
                <w:color w:val="000000"/>
                <w:szCs w:val="18"/>
              </w:rPr>
            </w:pPr>
            <w:r w:rsidRPr="00D65334">
              <w:rPr>
                <w:rFonts w:ascii="Arial" w:eastAsia="Times New Roman" w:hAnsi="Arial" w:cs="Arial"/>
                <w:b/>
                <w:bCs/>
                <w:color w:val="000000"/>
                <w:szCs w:val="18"/>
              </w:rPr>
              <w:t>Plan Share of Gains</w:t>
            </w:r>
          </w:p>
        </w:tc>
        <w:tc>
          <w:tcPr>
            <w:tcW w:w="1710" w:type="dxa"/>
            <w:tcBorders>
              <w:top w:val="nil"/>
              <w:left w:val="nil"/>
              <w:bottom w:val="nil"/>
              <w:right w:val="nil"/>
            </w:tcBorders>
            <w:shd w:val="clear" w:color="auto" w:fill="auto"/>
            <w:vAlign w:val="bottom"/>
            <w:hideMark/>
          </w:tcPr>
          <w:p w14:paraId="2B15FD90" w14:textId="77777777" w:rsidR="00D65334" w:rsidRPr="00D65334" w:rsidRDefault="00D65334" w:rsidP="00D65334">
            <w:pPr>
              <w:spacing w:after="0" w:line="240" w:lineRule="auto"/>
              <w:jc w:val="center"/>
              <w:rPr>
                <w:rFonts w:ascii="Arial" w:eastAsia="Times New Roman" w:hAnsi="Arial" w:cs="Arial"/>
                <w:b/>
                <w:bCs/>
                <w:color w:val="000000"/>
                <w:szCs w:val="18"/>
              </w:rPr>
            </w:pPr>
            <w:r w:rsidRPr="00D65334">
              <w:rPr>
                <w:rFonts w:ascii="Arial" w:eastAsia="Times New Roman" w:hAnsi="Arial" w:cs="Arial"/>
                <w:b/>
                <w:bCs/>
                <w:color w:val="000000"/>
                <w:szCs w:val="18"/>
              </w:rPr>
              <w:t>EOHHS Share of gains</w:t>
            </w:r>
          </w:p>
        </w:tc>
      </w:tr>
      <w:tr w:rsidR="00D65334" w:rsidRPr="00D65334" w14:paraId="32F7B3B6" w14:textId="77777777" w:rsidTr="002C280A">
        <w:trPr>
          <w:trHeight w:val="252"/>
        </w:trPr>
        <w:tc>
          <w:tcPr>
            <w:tcW w:w="5850" w:type="dxa"/>
            <w:tcBorders>
              <w:top w:val="nil"/>
              <w:left w:val="nil"/>
              <w:bottom w:val="nil"/>
              <w:right w:val="nil"/>
            </w:tcBorders>
            <w:shd w:val="clear" w:color="000000" w:fill="E8E9E9"/>
            <w:vAlign w:val="bottom"/>
            <w:hideMark/>
          </w:tcPr>
          <w:p w14:paraId="62BC49F4" w14:textId="4EB4DA91" w:rsidR="00D65334" w:rsidRPr="00D65334" w:rsidRDefault="00D65334" w:rsidP="00D65334">
            <w:pPr>
              <w:spacing w:after="0" w:line="240" w:lineRule="auto"/>
              <w:ind w:firstLineChars="100" w:firstLine="180"/>
              <w:rPr>
                <w:rFonts w:ascii="Arial" w:eastAsia="Times New Roman" w:hAnsi="Arial" w:cs="Arial"/>
                <w:color w:val="000000"/>
                <w:szCs w:val="18"/>
              </w:rPr>
            </w:pPr>
            <w:r w:rsidRPr="00D65334">
              <w:rPr>
                <w:rFonts w:ascii="Arial" w:eastAsia="Times New Roman" w:hAnsi="Arial" w:cs="Arial"/>
                <w:color w:val="000000"/>
                <w:szCs w:val="18"/>
              </w:rPr>
              <w:t>For Medical Expenses between 9</w:t>
            </w:r>
            <w:r w:rsidR="007B4091">
              <w:rPr>
                <w:rFonts w:ascii="Arial" w:eastAsia="Times New Roman" w:hAnsi="Arial" w:cs="Arial"/>
                <w:color w:val="000000"/>
                <w:szCs w:val="18"/>
              </w:rPr>
              <w:t>7</w:t>
            </w:r>
            <w:r w:rsidRPr="00D65334">
              <w:rPr>
                <w:rFonts w:ascii="Arial" w:eastAsia="Times New Roman" w:hAnsi="Arial" w:cs="Arial"/>
                <w:color w:val="000000"/>
                <w:szCs w:val="18"/>
              </w:rPr>
              <w:t>% and 100% of Baseline</w:t>
            </w:r>
          </w:p>
        </w:tc>
        <w:tc>
          <w:tcPr>
            <w:tcW w:w="1890" w:type="dxa"/>
            <w:tcBorders>
              <w:top w:val="nil"/>
              <w:left w:val="nil"/>
              <w:bottom w:val="nil"/>
              <w:right w:val="nil"/>
            </w:tcBorders>
            <w:shd w:val="clear" w:color="000000" w:fill="E8E9E9"/>
            <w:noWrap/>
            <w:vAlign w:val="center"/>
            <w:hideMark/>
          </w:tcPr>
          <w:p w14:paraId="6C6E0EDF"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100%</w:t>
            </w:r>
          </w:p>
        </w:tc>
        <w:tc>
          <w:tcPr>
            <w:tcW w:w="1710" w:type="dxa"/>
            <w:tcBorders>
              <w:top w:val="nil"/>
              <w:left w:val="nil"/>
              <w:bottom w:val="nil"/>
              <w:right w:val="nil"/>
            </w:tcBorders>
            <w:shd w:val="clear" w:color="000000" w:fill="E8E9E9"/>
            <w:noWrap/>
            <w:vAlign w:val="center"/>
            <w:hideMark/>
          </w:tcPr>
          <w:p w14:paraId="553D7D2B"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0%</w:t>
            </w:r>
          </w:p>
        </w:tc>
      </w:tr>
      <w:tr w:rsidR="00D65334" w:rsidRPr="00D65334" w14:paraId="7DA1B357" w14:textId="77777777" w:rsidTr="002C280A">
        <w:trPr>
          <w:trHeight w:val="180"/>
        </w:trPr>
        <w:tc>
          <w:tcPr>
            <w:tcW w:w="5850" w:type="dxa"/>
            <w:tcBorders>
              <w:top w:val="nil"/>
              <w:left w:val="nil"/>
              <w:bottom w:val="nil"/>
              <w:right w:val="nil"/>
            </w:tcBorders>
            <w:shd w:val="clear" w:color="auto" w:fill="auto"/>
            <w:vAlign w:val="bottom"/>
            <w:hideMark/>
          </w:tcPr>
          <w:p w14:paraId="63B625D5" w14:textId="6988DDB2" w:rsidR="00D65334" w:rsidRPr="00D65334" w:rsidRDefault="00D65334" w:rsidP="00D65334">
            <w:pPr>
              <w:spacing w:after="0" w:line="240" w:lineRule="auto"/>
              <w:ind w:firstLineChars="100" w:firstLine="180"/>
              <w:rPr>
                <w:rFonts w:ascii="Arial" w:eastAsia="Times New Roman" w:hAnsi="Arial" w:cs="Arial"/>
                <w:color w:val="000000"/>
                <w:szCs w:val="18"/>
              </w:rPr>
            </w:pPr>
            <w:r>
              <w:rPr>
                <w:rFonts w:ascii="Arial" w:eastAsia="Times New Roman" w:hAnsi="Arial" w:cs="Arial"/>
                <w:color w:val="000000"/>
                <w:szCs w:val="18"/>
              </w:rPr>
              <w:t>For Medical Expenses</w:t>
            </w:r>
            <w:r w:rsidRPr="00D65334">
              <w:rPr>
                <w:rFonts w:ascii="Arial" w:eastAsia="Times New Roman" w:hAnsi="Arial" w:cs="Arial"/>
                <w:color w:val="000000"/>
                <w:szCs w:val="18"/>
              </w:rPr>
              <w:t xml:space="preserve"> between </w:t>
            </w:r>
            <w:r w:rsidR="007B4091" w:rsidRPr="00D65334">
              <w:rPr>
                <w:rFonts w:ascii="Arial" w:eastAsia="Times New Roman" w:hAnsi="Arial" w:cs="Arial"/>
                <w:color w:val="000000"/>
                <w:szCs w:val="18"/>
              </w:rPr>
              <w:t>9</w:t>
            </w:r>
            <w:r w:rsidR="007B4091">
              <w:rPr>
                <w:rFonts w:ascii="Arial" w:eastAsia="Times New Roman" w:hAnsi="Arial" w:cs="Arial"/>
                <w:color w:val="000000"/>
                <w:szCs w:val="18"/>
              </w:rPr>
              <w:t>7</w:t>
            </w:r>
            <w:r w:rsidRPr="00D65334">
              <w:rPr>
                <w:rFonts w:ascii="Arial" w:eastAsia="Times New Roman" w:hAnsi="Arial" w:cs="Arial"/>
                <w:color w:val="000000"/>
                <w:szCs w:val="18"/>
              </w:rPr>
              <w:t>% and 9</w:t>
            </w:r>
            <w:r w:rsidR="007B4091">
              <w:rPr>
                <w:rFonts w:ascii="Arial" w:eastAsia="Times New Roman" w:hAnsi="Arial" w:cs="Arial"/>
                <w:color w:val="000000"/>
                <w:szCs w:val="18"/>
              </w:rPr>
              <w:t>5</w:t>
            </w:r>
            <w:r w:rsidRPr="00D65334">
              <w:rPr>
                <w:rFonts w:ascii="Arial" w:eastAsia="Times New Roman" w:hAnsi="Arial" w:cs="Arial"/>
                <w:color w:val="000000"/>
                <w:szCs w:val="18"/>
              </w:rPr>
              <w:t>% of Baseline</w:t>
            </w:r>
          </w:p>
        </w:tc>
        <w:tc>
          <w:tcPr>
            <w:tcW w:w="1890" w:type="dxa"/>
            <w:tcBorders>
              <w:top w:val="nil"/>
              <w:left w:val="nil"/>
              <w:bottom w:val="nil"/>
              <w:right w:val="nil"/>
            </w:tcBorders>
            <w:shd w:val="clear" w:color="auto" w:fill="auto"/>
            <w:noWrap/>
            <w:vAlign w:val="center"/>
            <w:hideMark/>
          </w:tcPr>
          <w:p w14:paraId="5DD6389D"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40%</w:t>
            </w:r>
          </w:p>
        </w:tc>
        <w:tc>
          <w:tcPr>
            <w:tcW w:w="1710" w:type="dxa"/>
            <w:tcBorders>
              <w:top w:val="nil"/>
              <w:left w:val="nil"/>
              <w:bottom w:val="nil"/>
              <w:right w:val="nil"/>
            </w:tcBorders>
            <w:shd w:val="clear" w:color="auto" w:fill="auto"/>
            <w:noWrap/>
            <w:vAlign w:val="center"/>
            <w:hideMark/>
          </w:tcPr>
          <w:p w14:paraId="7E46CFE0"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60%</w:t>
            </w:r>
          </w:p>
        </w:tc>
      </w:tr>
      <w:tr w:rsidR="00D65334" w:rsidRPr="00D65334" w14:paraId="010E92C1" w14:textId="77777777" w:rsidTr="002C280A">
        <w:trPr>
          <w:trHeight w:val="234"/>
        </w:trPr>
        <w:tc>
          <w:tcPr>
            <w:tcW w:w="5850" w:type="dxa"/>
            <w:tcBorders>
              <w:top w:val="nil"/>
              <w:left w:val="nil"/>
              <w:bottom w:val="nil"/>
              <w:right w:val="nil"/>
            </w:tcBorders>
            <w:shd w:val="clear" w:color="000000" w:fill="E8E9E9"/>
            <w:vAlign w:val="bottom"/>
            <w:hideMark/>
          </w:tcPr>
          <w:p w14:paraId="3F6A1142" w14:textId="77777777" w:rsidR="00D65334" w:rsidRPr="00D65334" w:rsidRDefault="00D65334" w:rsidP="00D65334">
            <w:pPr>
              <w:spacing w:after="0" w:line="240" w:lineRule="auto"/>
              <w:ind w:firstLineChars="100" w:firstLine="180"/>
              <w:rPr>
                <w:rFonts w:ascii="Arial" w:eastAsia="Times New Roman" w:hAnsi="Arial" w:cs="Arial"/>
                <w:color w:val="000000"/>
                <w:szCs w:val="18"/>
              </w:rPr>
            </w:pPr>
            <w:r w:rsidRPr="00D65334">
              <w:rPr>
                <w:rFonts w:ascii="Arial" w:eastAsia="Times New Roman" w:hAnsi="Arial" w:cs="Arial"/>
                <w:color w:val="000000"/>
                <w:szCs w:val="18"/>
              </w:rPr>
              <w:t>For Medical Expenses less than 95% of Baseline</w:t>
            </w:r>
          </w:p>
        </w:tc>
        <w:tc>
          <w:tcPr>
            <w:tcW w:w="1890" w:type="dxa"/>
            <w:tcBorders>
              <w:top w:val="nil"/>
              <w:left w:val="nil"/>
              <w:bottom w:val="nil"/>
              <w:right w:val="nil"/>
            </w:tcBorders>
            <w:shd w:val="clear" w:color="000000" w:fill="E8E9E9"/>
            <w:noWrap/>
            <w:vAlign w:val="center"/>
            <w:hideMark/>
          </w:tcPr>
          <w:p w14:paraId="6324E62B"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10%</w:t>
            </w:r>
          </w:p>
        </w:tc>
        <w:tc>
          <w:tcPr>
            <w:tcW w:w="1710" w:type="dxa"/>
            <w:tcBorders>
              <w:top w:val="nil"/>
              <w:left w:val="nil"/>
              <w:bottom w:val="nil"/>
              <w:right w:val="nil"/>
            </w:tcBorders>
            <w:shd w:val="clear" w:color="000000" w:fill="E8E9E9"/>
            <w:noWrap/>
            <w:vAlign w:val="center"/>
            <w:hideMark/>
          </w:tcPr>
          <w:p w14:paraId="199EED9E" w14:textId="77777777" w:rsidR="00D65334" w:rsidRPr="00D65334" w:rsidRDefault="00D65334" w:rsidP="00D65334">
            <w:pPr>
              <w:spacing w:after="0" w:line="240" w:lineRule="auto"/>
              <w:jc w:val="center"/>
              <w:rPr>
                <w:rFonts w:ascii="Arial" w:eastAsia="Times New Roman" w:hAnsi="Arial" w:cs="Arial"/>
                <w:color w:val="000000"/>
                <w:szCs w:val="18"/>
              </w:rPr>
            </w:pPr>
            <w:r w:rsidRPr="00D65334">
              <w:rPr>
                <w:rFonts w:ascii="Arial" w:eastAsia="Times New Roman" w:hAnsi="Arial" w:cs="Arial"/>
                <w:color w:val="000000"/>
                <w:szCs w:val="18"/>
              </w:rPr>
              <w:t>90%</w:t>
            </w:r>
          </w:p>
        </w:tc>
      </w:tr>
    </w:tbl>
    <w:p w14:paraId="00C262DA" w14:textId="3A92E505" w:rsidR="003013E3" w:rsidRDefault="003013E3" w:rsidP="000E7E31"/>
    <w:p w14:paraId="6CA1964B" w14:textId="578EFA66" w:rsidR="00063050" w:rsidRDefault="00613AC8" w:rsidP="00622097">
      <w:pPr>
        <w:jc w:val="both"/>
      </w:pPr>
      <w:r>
        <w:t>The baseline medical expenses consist of the base benefit expense, Care Transformation Collaborative adjustment,</w:t>
      </w:r>
      <w:r w:rsidR="002C0C25">
        <w:t xml:space="preserve"> </w:t>
      </w:r>
      <w:r>
        <w:t xml:space="preserve">and care coordination. </w:t>
      </w:r>
      <w:r w:rsidR="003D488E">
        <w:t>C</w:t>
      </w:r>
      <w:r>
        <w:t xml:space="preserve">are coordination expenditures reported by the MCOs for purposes of the risk sharing calculation </w:t>
      </w:r>
      <w:r w:rsidR="003D488E">
        <w:t xml:space="preserve">are </w:t>
      </w:r>
      <w:r>
        <w:t>limited to the care coordination capitation revenue received by the MCO.</w:t>
      </w:r>
      <w:r w:rsidR="003013E3">
        <w:t xml:space="preserve"> </w:t>
      </w:r>
    </w:p>
    <w:p w14:paraId="6E253A29" w14:textId="2A314497" w:rsidR="005C52F9" w:rsidRDefault="003013E3" w:rsidP="00622097">
      <w:pPr>
        <w:pStyle w:val="Heading6"/>
        <w:jc w:val="both"/>
      </w:pPr>
      <w:r>
        <w:lastRenderedPageBreak/>
        <w:t>Impact on capitation rate development</w:t>
      </w:r>
    </w:p>
    <w:p w14:paraId="44AB1C6A" w14:textId="67286E09" w:rsidR="00D84E66" w:rsidRDefault="0064325A" w:rsidP="00622097">
      <w:pPr>
        <w:pStyle w:val="RRBody"/>
        <w:jc w:val="both"/>
      </w:pPr>
      <w:r>
        <w:t xml:space="preserve">The </w:t>
      </w:r>
      <w:r w:rsidR="001E71A8">
        <w:t xml:space="preserve">risk corridor </w:t>
      </w:r>
      <w:r>
        <w:t>incorporated in the Rhode Island Medicaid managed care program reduce</w:t>
      </w:r>
      <w:r w:rsidR="001E71A8">
        <w:t>s</w:t>
      </w:r>
      <w:r>
        <w:t xml:space="preserve"> the overall MCO financial volatility and risk. The impact of the risk</w:t>
      </w:r>
      <w:r w:rsidR="001E71A8">
        <w:t xml:space="preserve"> corridor </w:t>
      </w:r>
      <w:r>
        <w:t xml:space="preserve">was considered when developing the non-benefit expense load as discussed in Section I.5.B.ii. </w:t>
      </w:r>
    </w:p>
    <w:p w14:paraId="736DE725" w14:textId="638CE78B" w:rsidR="005C52F9" w:rsidRDefault="005C52F9" w:rsidP="00622097">
      <w:pPr>
        <w:pStyle w:val="Heading6"/>
        <w:jc w:val="both"/>
      </w:pPr>
      <w:r>
        <w:t>Attestation of the use of generally accepted actuarial principles and practices</w:t>
      </w:r>
    </w:p>
    <w:p w14:paraId="5A497212" w14:textId="3F1404ED" w:rsidR="009F0460" w:rsidRDefault="005C52F9" w:rsidP="00622097">
      <w:pPr>
        <w:pStyle w:val="RRBody"/>
        <w:jc w:val="both"/>
      </w:pPr>
      <w:r w:rsidRPr="00933BDB">
        <w:t xml:space="preserve">The </w:t>
      </w:r>
      <w:r w:rsidR="003013E3">
        <w:t xml:space="preserve">SFY </w:t>
      </w:r>
      <w:r w:rsidR="00484E49">
        <w:t xml:space="preserve">2023 </w:t>
      </w:r>
      <w:r w:rsidR="003013E3">
        <w:t xml:space="preserve">risk sharing </w:t>
      </w:r>
      <w:r w:rsidR="001E71A8">
        <w:t xml:space="preserve">mechanism </w:t>
      </w:r>
      <w:r w:rsidR="00D84E66" w:rsidRPr="00D84E66">
        <w:t>w</w:t>
      </w:r>
      <w:r w:rsidR="001E3A9E">
        <w:t>as</w:t>
      </w:r>
      <w:r w:rsidR="00D84E66" w:rsidRPr="00D84E66">
        <w:t xml:space="preserve"> developed in accordance with generally accepted actuarial principles and practices</w:t>
      </w:r>
      <w:r w:rsidRPr="00933BDB">
        <w:t>.</w:t>
      </w:r>
      <w:bookmarkStart w:id="351" w:name="_Toc504389080"/>
      <w:bookmarkStart w:id="352" w:name="_Toc484701235"/>
    </w:p>
    <w:p w14:paraId="1ED31407" w14:textId="77777777" w:rsidR="00130637" w:rsidRDefault="00130637" w:rsidP="005B5634">
      <w:pPr>
        <w:pStyle w:val="Heading6"/>
      </w:pPr>
      <w:r>
        <w:t>Consistency with pricing assumptions</w:t>
      </w:r>
    </w:p>
    <w:p w14:paraId="22B41D1F" w14:textId="77777777" w:rsidR="00130637" w:rsidRDefault="00130637" w:rsidP="00130637">
      <w:r>
        <w:t>The SFY 2023 risk sharing mechanism was developed consistently with pricing assumptions used in capitation rate development.</w:t>
      </w:r>
    </w:p>
    <w:p w14:paraId="72CDFA29" w14:textId="77777777" w:rsidR="00130637" w:rsidRDefault="00130637" w:rsidP="00130637">
      <w:pPr>
        <w:pStyle w:val="Heading6"/>
      </w:pPr>
      <w:r>
        <w:t>Remittance/payment based on pricing assumptions</w:t>
      </w:r>
    </w:p>
    <w:p w14:paraId="7E0DD621" w14:textId="07A8A992" w:rsidR="00130637" w:rsidRPr="005B5634" w:rsidRDefault="00130637" w:rsidP="005B5634">
      <w:r w:rsidRPr="00933BDB">
        <w:t xml:space="preserve">The </w:t>
      </w:r>
      <w:r>
        <w:t>SFY 2023 risk sharing mechanism will not result in a remittance/payment if SFY 2023 experience is consistent with the pricing assumptions used in capitation rate development.</w:t>
      </w:r>
    </w:p>
    <w:p w14:paraId="4EAA11A7" w14:textId="29D3E089" w:rsidR="00CE2634" w:rsidRPr="005055F5" w:rsidRDefault="00CE2634" w:rsidP="00622097">
      <w:pPr>
        <w:pStyle w:val="Heading5"/>
        <w:jc w:val="both"/>
      </w:pPr>
      <w:r w:rsidRPr="005055F5">
        <w:t>Medical Loss Ratio</w:t>
      </w:r>
      <w:bookmarkEnd w:id="351"/>
    </w:p>
    <w:bookmarkEnd w:id="352"/>
    <w:p w14:paraId="6D7409D5" w14:textId="77777777" w:rsidR="00CE2634" w:rsidRPr="005055F5" w:rsidRDefault="0003230F" w:rsidP="00622097">
      <w:pPr>
        <w:pStyle w:val="Heading6"/>
        <w:numPr>
          <w:ilvl w:val="0"/>
          <w:numId w:val="67"/>
        </w:numPr>
        <w:jc w:val="both"/>
      </w:pPr>
      <w:r>
        <w:t>Methodology</w:t>
      </w:r>
    </w:p>
    <w:p w14:paraId="17AA2C3D" w14:textId="7FF6850A" w:rsidR="005C52F9" w:rsidRDefault="000E7E31" w:rsidP="00622097">
      <w:pPr>
        <w:pStyle w:val="RRBody"/>
        <w:jc w:val="both"/>
      </w:pPr>
      <w:r>
        <w:t xml:space="preserve">The medical loss ratio for SFY </w:t>
      </w:r>
      <w:r w:rsidR="00484E49">
        <w:t xml:space="preserve">2023 </w:t>
      </w:r>
      <w:r>
        <w:t>will be reported to CMS in accordance with 42 CFR 438.8</w:t>
      </w:r>
      <w:r w:rsidR="005C52F9" w:rsidRPr="00933BDB">
        <w:rPr>
          <w:i/>
        </w:rPr>
        <w:t>.</w:t>
      </w:r>
    </w:p>
    <w:p w14:paraId="766FDD60" w14:textId="7AF72102" w:rsidR="0003230F" w:rsidRDefault="0003230F" w:rsidP="00622097">
      <w:pPr>
        <w:pStyle w:val="Heading6"/>
        <w:jc w:val="both"/>
      </w:pPr>
      <w:r>
        <w:t>Formula for Remittance/Payment</w:t>
      </w:r>
    </w:p>
    <w:p w14:paraId="3C8C9513" w14:textId="5EE985CD" w:rsidR="0003230F" w:rsidRPr="0003230F" w:rsidRDefault="000E7E31" w:rsidP="00622097">
      <w:pPr>
        <w:jc w:val="both"/>
      </w:pPr>
      <w:r>
        <w:t>A remittance is not required for having a medical loss ratio above or below any pre-defined thresholds</w:t>
      </w:r>
      <w:r w:rsidR="0003230F">
        <w:t>.</w:t>
      </w:r>
    </w:p>
    <w:p w14:paraId="783FD4A3" w14:textId="22908B94" w:rsidR="005C52F9" w:rsidRPr="005055F5" w:rsidRDefault="005C52F9" w:rsidP="00622097">
      <w:pPr>
        <w:pStyle w:val="Heading6"/>
        <w:jc w:val="both"/>
      </w:pPr>
      <w:r>
        <w:t>Financial consequences</w:t>
      </w:r>
    </w:p>
    <w:p w14:paraId="43CD7025" w14:textId="77777777" w:rsidR="005C52F9" w:rsidRDefault="00D84E66" w:rsidP="00622097">
      <w:pPr>
        <w:pStyle w:val="RRBody"/>
        <w:jc w:val="both"/>
      </w:pPr>
      <w:r>
        <w:t>There are no financial consequences associated with MLR requirements</w:t>
      </w:r>
      <w:r w:rsidR="005C52F9" w:rsidRPr="00933BDB">
        <w:t>.</w:t>
      </w:r>
    </w:p>
    <w:p w14:paraId="3B5409E4" w14:textId="77777777" w:rsidR="00CE2634" w:rsidRPr="005055F5" w:rsidRDefault="00CE2634" w:rsidP="00622097">
      <w:pPr>
        <w:pStyle w:val="Heading5"/>
        <w:jc w:val="both"/>
      </w:pPr>
      <w:bookmarkStart w:id="353" w:name="_Toc484701237"/>
      <w:bookmarkStart w:id="354" w:name="_Toc504389082"/>
      <w:r w:rsidRPr="001B409F">
        <w:t>Reinsurance</w:t>
      </w:r>
      <w:r w:rsidRPr="005055F5">
        <w:t xml:space="preserve"> Requirements and Effect on Capitation Rates</w:t>
      </w:r>
      <w:bookmarkEnd w:id="353"/>
      <w:bookmarkEnd w:id="354"/>
    </w:p>
    <w:p w14:paraId="4409AA39" w14:textId="4E21359C" w:rsidR="000E7E31" w:rsidRDefault="000E7E31" w:rsidP="00622097">
      <w:pPr>
        <w:pStyle w:val="Heading6"/>
        <w:numPr>
          <w:ilvl w:val="0"/>
          <w:numId w:val="68"/>
        </w:numPr>
        <w:jc w:val="both"/>
      </w:pPr>
      <w:r>
        <w:t>Description of reinsurance requirements</w:t>
      </w:r>
    </w:p>
    <w:p w14:paraId="6B12912A" w14:textId="16A7D8F0" w:rsidR="000E7E31" w:rsidRDefault="007D4733" w:rsidP="00622097">
      <w:pPr>
        <w:jc w:val="both"/>
      </w:pPr>
      <w:r>
        <w:t>EOHHS requires the MCOs</w:t>
      </w:r>
      <w:r w:rsidR="000E7E31" w:rsidRPr="000E7E31">
        <w:t xml:space="preserve"> to obtain reinsurance coverage from a source other than EOHHS. The level at which the </w:t>
      </w:r>
      <w:r w:rsidR="003013E3">
        <w:t xml:space="preserve">MCO </w:t>
      </w:r>
      <w:r w:rsidR="000E7E31" w:rsidRPr="000E7E31">
        <w:t xml:space="preserve">establishes reinsurance must be consistent with sound business practices under the financial condition of the </w:t>
      </w:r>
      <w:r w:rsidR="003013E3">
        <w:t>MCO</w:t>
      </w:r>
      <w:r w:rsidR="000E7E31">
        <w:t>.</w:t>
      </w:r>
      <w:r w:rsidR="000E7E31" w:rsidRPr="000E7E31">
        <w:t xml:space="preserve"> EOHHS reserves the right to review </w:t>
      </w:r>
      <w:r>
        <w:t>the</w:t>
      </w:r>
      <w:r w:rsidRPr="000E7E31">
        <w:t xml:space="preserve"> </w:t>
      </w:r>
      <w:r w:rsidR="000E7E31" w:rsidRPr="000E7E31">
        <w:t xml:space="preserve">reinsurance coverage and to require changes to that coverage in the form of lower thresholds if considered necessary based on the </w:t>
      </w:r>
      <w:r>
        <w:t xml:space="preserve">MCO’s </w:t>
      </w:r>
      <w:r w:rsidR="000E7E31" w:rsidRPr="000E7E31">
        <w:t>overall financial condition</w:t>
      </w:r>
      <w:r w:rsidR="003013E3">
        <w:t>.</w:t>
      </w:r>
    </w:p>
    <w:p w14:paraId="41D42473" w14:textId="20DE2965" w:rsidR="000E7E31" w:rsidRDefault="000E7E31" w:rsidP="00622097">
      <w:pPr>
        <w:pStyle w:val="Heading6"/>
        <w:jc w:val="both"/>
      </w:pPr>
      <w:r>
        <w:t xml:space="preserve">Effect on </w:t>
      </w:r>
      <w:r w:rsidRPr="001B409F">
        <w:t>capitation</w:t>
      </w:r>
      <w:r>
        <w:t xml:space="preserve"> rates</w:t>
      </w:r>
    </w:p>
    <w:p w14:paraId="05E6C044" w14:textId="2F5AC466" w:rsidR="003013E3" w:rsidRPr="003013E3" w:rsidRDefault="003013E3" w:rsidP="00622097">
      <w:pPr>
        <w:jc w:val="both"/>
      </w:pPr>
      <w:r>
        <w:t xml:space="preserve">The SFY </w:t>
      </w:r>
      <w:r w:rsidR="00484E49">
        <w:t xml:space="preserve">2023 </w:t>
      </w:r>
      <w:r>
        <w:t xml:space="preserve">capitation rates were adjusted for the </w:t>
      </w:r>
      <w:r w:rsidR="000E3999">
        <w:t>effect</w:t>
      </w:r>
      <w:r>
        <w:t xml:space="preserve"> of reinsurance. Reinsurance premiums reported by the MCOs via the </w:t>
      </w:r>
      <w:r w:rsidR="00B66080">
        <w:t>FDCR</w:t>
      </w:r>
      <w:r w:rsidR="004527AE">
        <w:t>s</w:t>
      </w:r>
      <w:r>
        <w:t xml:space="preserve"> were included in the capitation rate development base data, and the base data was likewise reduced for reinsurance recoveries.</w:t>
      </w:r>
    </w:p>
    <w:p w14:paraId="235D0202" w14:textId="2B936D81" w:rsidR="000E7E31" w:rsidRDefault="003013E3" w:rsidP="00622097">
      <w:pPr>
        <w:pStyle w:val="Heading6"/>
        <w:jc w:val="both"/>
      </w:pPr>
      <w:r>
        <w:t>Attestation of the use of g</w:t>
      </w:r>
      <w:r w:rsidR="000E7E31">
        <w:t>enerally accepted actuarial principles and practices</w:t>
      </w:r>
    </w:p>
    <w:p w14:paraId="443C76B3" w14:textId="711EA029" w:rsidR="003013E3" w:rsidRPr="003013E3" w:rsidRDefault="003013E3" w:rsidP="00622097">
      <w:pPr>
        <w:jc w:val="both"/>
      </w:pPr>
      <w:r>
        <w:t xml:space="preserve">The reinsurance arrangement was reflected in the capitation rate development in accordance with generally accepted actuarial principles and practices. </w:t>
      </w:r>
    </w:p>
    <w:p w14:paraId="4222C7EA" w14:textId="21F5F883" w:rsidR="000E7E31" w:rsidRPr="005055F5" w:rsidRDefault="000E7E31" w:rsidP="00622097">
      <w:pPr>
        <w:pStyle w:val="Heading6"/>
        <w:jc w:val="both"/>
      </w:pPr>
      <w:r>
        <w:t>Reinsurance premium development</w:t>
      </w:r>
    </w:p>
    <w:p w14:paraId="220C507D" w14:textId="5D6DCEA6" w:rsidR="00CE2634" w:rsidRDefault="000E7E31" w:rsidP="00622097">
      <w:pPr>
        <w:pStyle w:val="RRBody"/>
        <w:jc w:val="both"/>
      </w:pPr>
      <w:r>
        <w:t xml:space="preserve">The reinsurance coverage is purchased by the MCOs from a </w:t>
      </w:r>
      <w:r w:rsidR="003013E3">
        <w:t>source other than EOHHS</w:t>
      </w:r>
      <w:r>
        <w:t>. EOHHS is not responsible for the premium development</w:t>
      </w:r>
      <w:r w:rsidR="005C52F9">
        <w:t>.</w:t>
      </w:r>
    </w:p>
    <w:p w14:paraId="589D9337" w14:textId="77777777" w:rsidR="00CB3508" w:rsidRPr="00D84E66" w:rsidRDefault="00CB3508" w:rsidP="00622097">
      <w:pPr>
        <w:pStyle w:val="RRBody"/>
        <w:jc w:val="both"/>
        <w:rPr>
          <w:sz w:val="24"/>
          <w:szCs w:val="24"/>
        </w:rPr>
      </w:pPr>
    </w:p>
    <w:p w14:paraId="4D788B06" w14:textId="483CB4CE" w:rsidR="005C52F9" w:rsidRDefault="005C52F9" w:rsidP="00622097">
      <w:pPr>
        <w:pStyle w:val="Heading3"/>
        <w:jc w:val="both"/>
      </w:pPr>
      <w:bookmarkStart w:id="355" w:name="_Toc8985033"/>
      <w:bookmarkStart w:id="356" w:name="_Toc100260729"/>
      <w:r>
        <w:lastRenderedPageBreak/>
        <w:t>Delivery system and provider payment initiatives</w:t>
      </w:r>
      <w:bookmarkEnd w:id="355"/>
      <w:bookmarkEnd w:id="356"/>
    </w:p>
    <w:p w14:paraId="247A4730" w14:textId="77777777" w:rsidR="00573E12" w:rsidRDefault="00573E12" w:rsidP="00622097">
      <w:pPr>
        <w:pStyle w:val="Heading4"/>
      </w:pPr>
      <w:bookmarkStart w:id="357" w:name="_Toc8985034"/>
      <w:bookmarkStart w:id="358" w:name="_Toc100260730"/>
      <w:r w:rsidRPr="009B069E">
        <w:t>Rate Development Standards</w:t>
      </w:r>
      <w:bookmarkEnd w:id="357"/>
      <w:bookmarkEnd w:id="358"/>
    </w:p>
    <w:p w14:paraId="325F75E3" w14:textId="3A4D5735" w:rsidR="00D815D3" w:rsidRDefault="00D815D3" w:rsidP="00D815D3">
      <w:pPr>
        <w:pStyle w:val="Heading5"/>
        <w:jc w:val="both"/>
      </w:pPr>
      <w:r>
        <w:t>Description of Managed Care Plan Requirement</w:t>
      </w:r>
    </w:p>
    <w:p w14:paraId="1A1C3598" w14:textId="2946E803" w:rsidR="00920491" w:rsidRDefault="00920491" w:rsidP="00920491">
      <w:pPr>
        <w:pStyle w:val="RRBody"/>
        <w:jc w:val="both"/>
      </w:pPr>
      <w:r>
        <w:t>C</w:t>
      </w:r>
      <w:r w:rsidRPr="00456286">
        <w:t xml:space="preserve">onsistent with </w:t>
      </w:r>
      <w:r>
        <w:t>guidance in</w:t>
      </w:r>
      <w:r w:rsidRPr="00456286">
        <w:t xml:space="preserve"> </w:t>
      </w:r>
      <w:r>
        <w:t xml:space="preserve">42 CFR </w:t>
      </w:r>
      <w:r w:rsidRPr="003E3EC1">
        <w:t>§</w:t>
      </w:r>
      <w:r>
        <w:t xml:space="preserve">438.6(c), the capitation rates effective </w:t>
      </w:r>
      <w:r w:rsidR="009C467E">
        <w:t xml:space="preserve">July 1, </w:t>
      </w:r>
      <w:r w:rsidR="00DC30C4">
        <w:t>2023,</w:t>
      </w:r>
      <w:r>
        <w:t xml:space="preserve"> reflect the following delivery and provider payment initiatives:</w:t>
      </w:r>
    </w:p>
    <w:p w14:paraId="4740D013" w14:textId="77777777" w:rsidR="00920491" w:rsidRDefault="00920491" w:rsidP="00A06B75">
      <w:pPr>
        <w:pStyle w:val="RRBody"/>
        <w:numPr>
          <w:ilvl w:val="0"/>
          <w:numId w:val="87"/>
        </w:numPr>
        <w:jc w:val="both"/>
      </w:pPr>
      <w:r>
        <w:t>I</w:t>
      </w:r>
      <w:r w:rsidRPr="00456286">
        <w:t xml:space="preserve">npatient hospital </w:t>
      </w:r>
      <w:r>
        <w:t>state directed uniform percentage increase</w:t>
      </w:r>
    </w:p>
    <w:p w14:paraId="1C7B4A29" w14:textId="77777777" w:rsidR="00920491" w:rsidRDefault="00920491" w:rsidP="00A06B75">
      <w:pPr>
        <w:pStyle w:val="RRBody"/>
        <w:numPr>
          <w:ilvl w:val="0"/>
          <w:numId w:val="87"/>
        </w:numPr>
        <w:jc w:val="both"/>
      </w:pPr>
      <w:r>
        <w:t xml:space="preserve">Outpatient </w:t>
      </w:r>
      <w:r w:rsidRPr="00456286">
        <w:t xml:space="preserve">hospital </w:t>
      </w:r>
      <w:r>
        <w:t>state directed uniform percentage increase</w:t>
      </w:r>
    </w:p>
    <w:p w14:paraId="40D8D7E4" w14:textId="77777777" w:rsidR="00920491" w:rsidRDefault="00920491" w:rsidP="00A06B75">
      <w:pPr>
        <w:pStyle w:val="RRBody"/>
        <w:numPr>
          <w:ilvl w:val="0"/>
          <w:numId w:val="87"/>
        </w:numPr>
        <w:jc w:val="both"/>
      </w:pPr>
      <w:r>
        <w:t>Nursing home</w:t>
      </w:r>
      <w:r w:rsidRPr="00456286">
        <w:t xml:space="preserve"> </w:t>
      </w:r>
      <w:r>
        <w:t>state directed uniform percentage increase</w:t>
      </w:r>
    </w:p>
    <w:p w14:paraId="1613C48F" w14:textId="17D653E2" w:rsidR="001C6A1E" w:rsidRDefault="001C6A1E" w:rsidP="00A06B75">
      <w:pPr>
        <w:pStyle w:val="RRBody"/>
        <w:numPr>
          <w:ilvl w:val="0"/>
          <w:numId w:val="87"/>
        </w:numPr>
        <w:jc w:val="both"/>
      </w:pPr>
      <w:r w:rsidRPr="001C6A1E">
        <w:t xml:space="preserve">Personal Care Shift Differential </w:t>
      </w:r>
    </w:p>
    <w:p w14:paraId="621E5EF4" w14:textId="5A4F27FD" w:rsidR="001C6A1E" w:rsidRDefault="001C6A1E" w:rsidP="00A06B75">
      <w:pPr>
        <w:pStyle w:val="RRNumberedBullet1"/>
        <w:numPr>
          <w:ilvl w:val="0"/>
          <w:numId w:val="87"/>
        </w:numPr>
        <w:spacing w:after="120"/>
        <w:jc w:val="both"/>
      </w:pPr>
      <w:r w:rsidRPr="001C6A1E">
        <w:t>Personal Care Behavioral Health Certification Enhancement</w:t>
      </w:r>
    </w:p>
    <w:p w14:paraId="61D6FD62" w14:textId="7A852D0E" w:rsidR="00920491" w:rsidRDefault="00920491" w:rsidP="00A06B75">
      <w:pPr>
        <w:pStyle w:val="RRNumberedBullet1"/>
        <w:numPr>
          <w:ilvl w:val="0"/>
          <w:numId w:val="87"/>
        </w:numPr>
        <w:spacing w:after="120"/>
        <w:jc w:val="both"/>
      </w:pPr>
      <w:r w:rsidRPr="00CD2666">
        <w:t xml:space="preserve">Care Transformation Collaborative </w:t>
      </w:r>
      <w:r>
        <w:t>of Rhode Island state directed</w:t>
      </w:r>
      <w:r w:rsidDel="00920491">
        <w:t xml:space="preserve"> </w:t>
      </w:r>
      <w:r>
        <w:t>value-based purchasing</w:t>
      </w:r>
    </w:p>
    <w:p w14:paraId="44174F64" w14:textId="6CF376B1" w:rsidR="00920491" w:rsidRPr="006650E6" w:rsidRDefault="00920491" w:rsidP="00A06B75">
      <w:pPr>
        <w:pStyle w:val="RRNumberedBullet1"/>
        <w:numPr>
          <w:ilvl w:val="0"/>
          <w:numId w:val="87"/>
        </w:numPr>
        <w:spacing w:after="120"/>
        <w:jc w:val="both"/>
      </w:pPr>
      <w:r>
        <w:t>Accountable Entity (AE) program state directed</w:t>
      </w:r>
      <w:r w:rsidDel="00920491">
        <w:t xml:space="preserve"> </w:t>
      </w:r>
      <w:r>
        <w:t>value-based purchasing</w:t>
      </w:r>
    </w:p>
    <w:p w14:paraId="45AADAC5" w14:textId="0983E3B7" w:rsidR="00C02A3E" w:rsidRDefault="00C02A3E" w:rsidP="00D815D3">
      <w:pPr>
        <w:pStyle w:val="Heading5"/>
        <w:jc w:val="both"/>
      </w:pPr>
      <w:r>
        <w:t>State directed payments</w:t>
      </w:r>
    </w:p>
    <w:p w14:paraId="23C38BE8" w14:textId="145CC744" w:rsidR="00C02A3E" w:rsidRPr="00B27972" w:rsidRDefault="0015749E" w:rsidP="00344F7A">
      <w:pPr>
        <w:spacing w:line="240" w:lineRule="auto"/>
      </w:pPr>
      <w:r>
        <w:t xml:space="preserve">EOHHS has submitted </w:t>
      </w:r>
      <w:r w:rsidR="00AA52FA">
        <w:t xml:space="preserve">SFY 2023 </w:t>
      </w:r>
      <w:r>
        <w:t>directed payment preprints</w:t>
      </w:r>
      <w:r w:rsidR="005B5634">
        <w:t xml:space="preserve"> for each provider payment initiative</w:t>
      </w:r>
      <w:r w:rsidR="001C6A1E">
        <w:t xml:space="preserve"> except the personal care shift differential and personal care behavioral health certification enhancement</w:t>
      </w:r>
      <w:r>
        <w:t xml:space="preserve">. </w:t>
      </w:r>
      <w:r w:rsidR="001C6A1E">
        <w:t xml:space="preserve">A preprint for personal care shift differential is anticipated to be submitted to CMS. The behavioral health certification enhancement is based on a state plan approved fee schedule and does not have a corresponding preprint. </w:t>
      </w:r>
      <w:r w:rsidR="00AD0A75">
        <w:t>T</w:t>
      </w:r>
      <w:r>
        <w:t xml:space="preserve">he state directed payment arrangements reflected in these certified rates is </w:t>
      </w:r>
      <w:r w:rsidR="00C02A3E">
        <w:t xml:space="preserve">consistent with </w:t>
      </w:r>
      <w:r>
        <w:t xml:space="preserve">what </w:t>
      </w:r>
      <w:r w:rsidR="00AD0A75">
        <w:t xml:space="preserve">has </w:t>
      </w:r>
      <w:r>
        <w:t>be</w:t>
      </w:r>
      <w:r w:rsidR="00AD0A75">
        <w:t>en</w:t>
      </w:r>
      <w:r>
        <w:t xml:space="preserve"> submitted </w:t>
      </w:r>
      <w:r w:rsidR="001C6A1E">
        <w:t>or is anticipated to be submitted to CMS</w:t>
      </w:r>
      <w:r w:rsidR="00C02A3E">
        <w:t>.</w:t>
      </w:r>
      <w:r w:rsidR="009F217E">
        <w:t xml:space="preserve"> </w:t>
      </w:r>
    </w:p>
    <w:p w14:paraId="78469C06" w14:textId="091C218A" w:rsidR="00C02A3E" w:rsidRDefault="00C02A3E" w:rsidP="00D815D3">
      <w:pPr>
        <w:pStyle w:val="Heading5"/>
        <w:jc w:val="both"/>
      </w:pPr>
      <w:r>
        <w:t>Generally accepted actuarial principles</w:t>
      </w:r>
    </w:p>
    <w:p w14:paraId="173F6534" w14:textId="201CD369" w:rsidR="00C02A3E" w:rsidRPr="00B27972" w:rsidRDefault="00C02A3E" w:rsidP="00993A94">
      <w:r>
        <w:t>The contract arrangements that direct MCO expenditures were developed in accordance with guidance in</w:t>
      </w:r>
      <w:r w:rsidRPr="00456286">
        <w:t xml:space="preserve"> </w:t>
      </w:r>
      <w:r>
        <w:t xml:space="preserve">42 CFR </w:t>
      </w:r>
      <w:r w:rsidRPr="003E3EC1">
        <w:t>§</w:t>
      </w:r>
      <w:r>
        <w:t xml:space="preserve">438.4, the standards in </w:t>
      </w:r>
      <w:r w:rsidRPr="003E3EC1">
        <w:t>§</w:t>
      </w:r>
      <w:r>
        <w:t>438.5, and generally accepted actuarial principles</w:t>
      </w:r>
      <w:r w:rsidR="0015749E">
        <w:t xml:space="preserve"> and practices</w:t>
      </w:r>
      <w:r>
        <w:t>.</w:t>
      </w:r>
    </w:p>
    <w:p w14:paraId="6969A35C" w14:textId="0BE24917" w:rsidR="00D815D3" w:rsidRDefault="00D815D3" w:rsidP="00D815D3">
      <w:pPr>
        <w:pStyle w:val="Heading5"/>
        <w:jc w:val="both"/>
      </w:pPr>
      <w:r>
        <w:t xml:space="preserve">How </w:t>
      </w:r>
      <w:r w:rsidR="00C02A3E">
        <w:t>state directed payment arrangement</w:t>
      </w:r>
      <w:r w:rsidR="00315A6B">
        <w:t>s</w:t>
      </w:r>
      <w:r w:rsidR="00C02A3E">
        <w:t xml:space="preserve"> </w:t>
      </w:r>
      <w:r w:rsidR="00315A6B">
        <w:t>are</w:t>
      </w:r>
      <w:r>
        <w:t xml:space="preserve"> </w:t>
      </w:r>
      <w:r w:rsidR="00C02A3E">
        <w:t xml:space="preserve">reflected </w:t>
      </w:r>
      <w:r>
        <w:t xml:space="preserve">in </w:t>
      </w:r>
      <w:r w:rsidR="00C02A3E">
        <w:t>managed care rates</w:t>
      </w:r>
    </w:p>
    <w:p w14:paraId="2CABD50A" w14:textId="031AA657" w:rsidR="00393DB6" w:rsidRDefault="00393DB6" w:rsidP="00393DB6">
      <w:pPr>
        <w:pStyle w:val="RRBody"/>
        <w:jc w:val="both"/>
      </w:pPr>
      <w:r>
        <w:t xml:space="preserve">All the initiatives described above are </w:t>
      </w:r>
      <w:r w:rsidR="00920491">
        <w:t>considered</w:t>
      </w:r>
      <w:r>
        <w:t xml:space="preserve"> in the capitation rates paid to the plans. None are implemented via a separate payment term.</w:t>
      </w:r>
    </w:p>
    <w:p w14:paraId="695E0F14" w14:textId="52F6932A" w:rsidR="00FA0E04" w:rsidRDefault="00573E12" w:rsidP="00622097">
      <w:pPr>
        <w:pStyle w:val="Heading4"/>
      </w:pPr>
      <w:bookmarkStart w:id="359" w:name="_Toc100260731"/>
      <w:r>
        <w:t>Appropriate Documentation</w:t>
      </w:r>
      <w:bookmarkEnd w:id="359"/>
    </w:p>
    <w:p w14:paraId="1416357A" w14:textId="7FA1F0FA" w:rsidR="008077F7" w:rsidRDefault="00B90FC5" w:rsidP="008077F7">
      <w:pPr>
        <w:pStyle w:val="Heading5"/>
        <w:jc w:val="both"/>
      </w:pPr>
      <w:r>
        <w:t xml:space="preserve">Delivery system and provider payment initiatives </w:t>
      </w:r>
    </w:p>
    <w:p w14:paraId="160BF8EC" w14:textId="7A427199" w:rsidR="00B90FC5" w:rsidRDefault="00B90FC5" w:rsidP="00562515">
      <w:pPr>
        <w:pStyle w:val="Heading6"/>
        <w:numPr>
          <w:ilvl w:val="0"/>
          <w:numId w:val="73"/>
        </w:numPr>
        <w:jc w:val="both"/>
      </w:pPr>
      <w:r>
        <w:t>Description d</w:t>
      </w:r>
      <w:r w:rsidRPr="00B90FC5">
        <w:t>elivery system and provider payment initiatives</w:t>
      </w:r>
    </w:p>
    <w:p w14:paraId="254BB639" w14:textId="4B49A7E9" w:rsidR="00B90FC5" w:rsidRDefault="00920491" w:rsidP="00622097">
      <w:pPr>
        <w:pStyle w:val="RRBody"/>
        <w:jc w:val="both"/>
      </w:pPr>
      <w:bookmarkStart w:id="360" w:name="_Hlk77692918"/>
      <w:r>
        <w:rPr>
          <w:b/>
          <w:bCs/>
        </w:rPr>
        <w:t xml:space="preserve">Inpatient </w:t>
      </w:r>
      <w:r w:rsidR="00160663">
        <w:rPr>
          <w:b/>
          <w:bCs/>
        </w:rPr>
        <w:t>Hospital</w:t>
      </w:r>
      <w:r w:rsidR="00265C4E">
        <w:rPr>
          <w:b/>
          <w:bCs/>
        </w:rPr>
        <w:t xml:space="preserve"> (</w:t>
      </w:r>
      <w:r w:rsidR="00265C4E" w:rsidRPr="00AD0A75">
        <w:rPr>
          <w:b/>
          <w:bCs/>
        </w:rPr>
        <w:t>RI_Fee_IPH_Renewal_20220701-20230630</w:t>
      </w:r>
      <w:r w:rsidR="00265C4E">
        <w:rPr>
          <w:b/>
          <w:bCs/>
        </w:rPr>
        <w:t>).</w:t>
      </w:r>
      <w:r w:rsidR="00160663">
        <w:rPr>
          <w:b/>
          <w:bCs/>
        </w:rPr>
        <w:t xml:space="preserve"> </w:t>
      </w:r>
      <w:r w:rsidR="009E6D9D" w:rsidRPr="009E6D9D">
        <w:t xml:space="preserve">The inpatient hospital directed payment </w:t>
      </w:r>
      <w:r w:rsidR="00636A77">
        <w:t>is a</w:t>
      </w:r>
      <w:r w:rsidR="009E6D9D" w:rsidRPr="009E6D9D">
        <w:t xml:space="preserve"> uniform percentage increase</w:t>
      </w:r>
      <w:r w:rsidR="004751B5">
        <w:t xml:space="preserve"> to hospital reimbursement</w:t>
      </w:r>
      <w:r w:rsidR="009E6D9D">
        <w:t>.</w:t>
      </w:r>
      <w:r w:rsidR="009E6D9D" w:rsidRPr="009E6D9D">
        <w:t xml:space="preserve"> Reimbursement for inpatient hospital services </w:t>
      </w:r>
      <w:r w:rsidR="00F64CC3">
        <w:t xml:space="preserve">is </w:t>
      </w:r>
      <w:r w:rsidR="00636A77">
        <w:t xml:space="preserve">mandated to be </w:t>
      </w:r>
      <w:r w:rsidR="009E6D9D" w:rsidRPr="009E6D9D">
        <w:t xml:space="preserve">increased by a uniform </w:t>
      </w:r>
      <w:r w:rsidR="009E6D9D" w:rsidRPr="001D322C">
        <w:t>2.</w:t>
      </w:r>
      <w:r w:rsidR="00315A6B" w:rsidRPr="001D322C">
        <w:t>0</w:t>
      </w:r>
      <w:r w:rsidR="009E6D9D" w:rsidRPr="001D322C">
        <w:t xml:space="preserve">% effective </w:t>
      </w:r>
      <w:r w:rsidR="009C467E" w:rsidRPr="001D322C">
        <w:t>July 1, 2022</w:t>
      </w:r>
      <w:r w:rsidR="004751B5" w:rsidRPr="001D322C">
        <w:t>.</w:t>
      </w:r>
    </w:p>
    <w:p w14:paraId="288BF451" w14:textId="16A0A7E2" w:rsidR="00636A77" w:rsidRDefault="00920491" w:rsidP="00622097">
      <w:pPr>
        <w:pStyle w:val="RRBody"/>
        <w:jc w:val="both"/>
      </w:pPr>
      <w:r>
        <w:rPr>
          <w:b/>
          <w:bCs/>
        </w:rPr>
        <w:t>Outpatient Hospital</w:t>
      </w:r>
      <w:r w:rsidR="00265C4E">
        <w:rPr>
          <w:b/>
          <w:bCs/>
        </w:rPr>
        <w:t xml:space="preserve"> (</w:t>
      </w:r>
      <w:r w:rsidR="00265C4E" w:rsidRPr="00AD0A75">
        <w:rPr>
          <w:b/>
          <w:bCs/>
        </w:rPr>
        <w:t>RI_Fee_OPH_Renewal_20220701-20230630</w:t>
      </w:r>
      <w:r w:rsidR="00265C4E">
        <w:rPr>
          <w:b/>
          <w:bCs/>
        </w:rPr>
        <w:t>)</w:t>
      </w:r>
      <w:r>
        <w:rPr>
          <w:b/>
          <w:bCs/>
        </w:rPr>
        <w:t xml:space="preserve">. </w:t>
      </w:r>
      <w:r w:rsidR="00636A77" w:rsidRPr="009E6D9D">
        <w:t xml:space="preserve">The </w:t>
      </w:r>
      <w:r w:rsidR="00636A77">
        <w:t>outpatient</w:t>
      </w:r>
      <w:r w:rsidR="00636A77" w:rsidRPr="009E6D9D">
        <w:t xml:space="preserve"> hospital directed payment </w:t>
      </w:r>
      <w:r w:rsidR="00636A77">
        <w:t>is a</w:t>
      </w:r>
      <w:r w:rsidR="00636A77" w:rsidRPr="009E6D9D">
        <w:t xml:space="preserve"> uniform percentage increase</w:t>
      </w:r>
      <w:r w:rsidR="00636A77">
        <w:t xml:space="preserve"> to hospital reimbursement.</w:t>
      </w:r>
      <w:r w:rsidR="00636A77" w:rsidRPr="009E6D9D">
        <w:t xml:space="preserve"> Reimbursement for </w:t>
      </w:r>
      <w:r w:rsidR="00636A77">
        <w:t>outpatient</w:t>
      </w:r>
      <w:r w:rsidR="00636A77" w:rsidRPr="009E6D9D">
        <w:t xml:space="preserve"> hospital services </w:t>
      </w:r>
      <w:r w:rsidR="00636A77">
        <w:t xml:space="preserve">is mandated to be </w:t>
      </w:r>
      <w:r w:rsidR="00636A77" w:rsidRPr="009E6D9D">
        <w:t xml:space="preserve">increased by a uniform </w:t>
      </w:r>
      <w:r w:rsidR="00636A77">
        <w:t>2.</w:t>
      </w:r>
      <w:r w:rsidR="00315A6B">
        <w:t>0</w:t>
      </w:r>
      <w:r w:rsidR="00636A77" w:rsidRPr="009E6D9D">
        <w:t xml:space="preserve">% effective </w:t>
      </w:r>
      <w:r w:rsidR="009C467E">
        <w:t>July 1, 2022</w:t>
      </w:r>
      <w:r w:rsidR="00636A77">
        <w:t>.</w:t>
      </w:r>
    </w:p>
    <w:p w14:paraId="48303D05" w14:textId="5908DC63" w:rsidR="00E44FBA" w:rsidRDefault="00160663" w:rsidP="00622097">
      <w:pPr>
        <w:pStyle w:val="RRBody"/>
        <w:jc w:val="both"/>
      </w:pPr>
      <w:bookmarkStart w:id="361" w:name="_Hlk77073928"/>
      <w:bookmarkEnd w:id="360"/>
      <w:r>
        <w:rPr>
          <w:b/>
          <w:bCs/>
        </w:rPr>
        <w:t>Nursing Home</w:t>
      </w:r>
      <w:r w:rsidR="00265C4E">
        <w:rPr>
          <w:b/>
          <w:bCs/>
        </w:rPr>
        <w:t xml:space="preserve"> (</w:t>
      </w:r>
      <w:r w:rsidR="00265C4E" w:rsidRPr="00AD0A75">
        <w:rPr>
          <w:b/>
          <w:bCs/>
        </w:rPr>
        <w:t>RI_Fee_NF_Renewal_20220701-20230630</w:t>
      </w:r>
      <w:r w:rsidR="00265C4E">
        <w:rPr>
          <w:b/>
          <w:bCs/>
        </w:rPr>
        <w:t>)</w:t>
      </w:r>
      <w:r>
        <w:rPr>
          <w:b/>
          <w:bCs/>
        </w:rPr>
        <w:t xml:space="preserve">. </w:t>
      </w:r>
      <w:r w:rsidR="00636A77" w:rsidRPr="009E6D9D">
        <w:t xml:space="preserve">The </w:t>
      </w:r>
      <w:r w:rsidR="00636A77">
        <w:t>nursing home</w:t>
      </w:r>
      <w:r w:rsidR="00636A77" w:rsidRPr="009E6D9D">
        <w:t xml:space="preserve"> directed payment </w:t>
      </w:r>
      <w:r w:rsidR="00636A77">
        <w:t>is a</w:t>
      </w:r>
      <w:r w:rsidR="00636A77" w:rsidRPr="009E6D9D">
        <w:t xml:space="preserve"> uniform percentage increase</w:t>
      </w:r>
      <w:r w:rsidR="00636A77">
        <w:t xml:space="preserve"> to nursing home reimbursement</w:t>
      </w:r>
      <w:r w:rsidR="00CC006C">
        <w:t>, inclusive of hospice services incurred in the nursing home</w:t>
      </w:r>
      <w:r w:rsidR="00636A77">
        <w:t>.</w:t>
      </w:r>
      <w:r w:rsidR="00636A77" w:rsidRPr="009E6D9D">
        <w:t xml:space="preserve"> Reimbursement for </w:t>
      </w:r>
      <w:r w:rsidR="00636A77">
        <w:t>nursing home</w:t>
      </w:r>
      <w:r w:rsidR="00636A77" w:rsidRPr="009E6D9D">
        <w:t xml:space="preserve"> services </w:t>
      </w:r>
      <w:r w:rsidR="00636A77">
        <w:t xml:space="preserve">is mandated to be </w:t>
      </w:r>
      <w:r w:rsidR="00636A77" w:rsidRPr="009E6D9D">
        <w:t xml:space="preserve">increased by a uniform </w:t>
      </w:r>
      <w:r w:rsidR="00636A77">
        <w:t>2.</w:t>
      </w:r>
      <w:r w:rsidR="00F622F0">
        <w:t>0</w:t>
      </w:r>
      <w:r w:rsidR="00636A77" w:rsidRPr="009E6D9D">
        <w:t xml:space="preserve">% effective </w:t>
      </w:r>
      <w:r w:rsidR="00B94605">
        <w:t xml:space="preserve">October </w:t>
      </w:r>
      <w:r w:rsidR="00636A77" w:rsidRPr="009E6D9D">
        <w:t xml:space="preserve">1, </w:t>
      </w:r>
      <w:r w:rsidR="00F622F0" w:rsidRPr="009E6D9D">
        <w:t>20</w:t>
      </w:r>
      <w:r w:rsidR="00F622F0">
        <w:t>22</w:t>
      </w:r>
      <w:r w:rsidR="00636A77">
        <w:t>.</w:t>
      </w:r>
      <w:r w:rsidR="00B94605">
        <w:t xml:space="preserve"> Please note </w:t>
      </w:r>
      <w:r w:rsidR="00470156">
        <w:t xml:space="preserve">that </w:t>
      </w:r>
      <w:r w:rsidR="00B94605">
        <w:t xml:space="preserve">the </w:t>
      </w:r>
      <w:r w:rsidR="00470156">
        <w:t xml:space="preserve">SFY </w:t>
      </w:r>
      <w:r w:rsidR="00F622F0">
        <w:t xml:space="preserve">2023 </w:t>
      </w:r>
      <w:r w:rsidR="00470156">
        <w:t xml:space="preserve">nursing home trend factor </w:t>
      </w:r>
      <w:r w:rsidR="00B94605">
        <w:t xml:space="preserve">illustrated in Figure </w:t>
      </w:r>
      <w:r w:rsidR="00F622F0">
        <w:t>1</w:t>
      </w:r>
      <w:r w:rsidR="00273A3D">
        <w:t>6</w:t>
      </w:r>
      <w:r w:rsidR="00F622F0">
        <w:t xml:space="preserve"> </w:t>
      </w:r>
      <w:r w:rsidR="00B94605">
        <w:t>reflects a combination of 2.</w:t>
      </w:r>
      <w:r w:rsidR="00F622F0">
        <w:t>2</w:t>
      </w:r>
      <w:r w:rsidR="00B94605">
        <w:t xml:space="preserve">% </w:t>
      </w:r>
      <w:r w:rsidR="00CC006C">
        <w:t>reimbursement increase</w:t>
      </w:r>
      <w:r w:rsidR="00470156">
        <w:t xml:space="preserve"> </w:t>
      </w:r>
      <w:r w:rsidR="00B94605">
        <w:t xml:space="preserve">effective </w:t>
      </w:r>
      <w:r w:rsidR="00CC006C">
        <w:t xml:space="preserve">October 1, </w:t>
      </w:r>
      <w:r w:rsidR="00F622F0">
        <w:t xml:space="preserve">2021 </w:t>
      </w:r>
      <w:r w:rsidR="00B94605">
        <w:t xml:space="preserve">and </w:t>
      </w:r>
      <w:r w:rsidR="00CC006C">
        <w:t xml:space="preserve">a </w:t>
      </w:r>
      <w:r w:rsidR="00B94605">
        <w:t>2.</w:t>
      </w:r>
      <w:r w:rsidR="00F622F0">
        <w:t>0</w:t>
      </w:r>
      <w:r w:rsidR="00B94605">
        <w:t xml:space="preserve">% </w:t>
      </w:r>
      <w:r w:rsidR="00CC006C">
        <w:t xml:space="preserve">increase effective October 1, </w:t>
      </w:r>
      <w:r w:rsidR="00F622F0">
        <w:t>2022</w:t>
      </w:r>
      <w:r w:rsidR="00B94605">
        <w:t>.</w:t>
      </w:r>
      <w:r w:rsidR="00CC006C">
        <w:t xml:space="preserve"> </w:t>
      </w:r>
    </w:p>
    <w:p w14:paraId="7720B350" w14:textId="1806E1B0" w:rsidR="00CB309B" w:rsidRDefault="00CB309B" w:rsidP="0027012E">
      <w:pPr>
        <w:spacing w:line="240" w:lineRule="auto"/>
        <w:jc w:val="both"/>
      </w:pPr>
      <w:bookmarkStart w:id="362" w:name="_Hlk78282414"/>
      <w:bookmarkStart w:id="363" w:name="_Hlk77693095"/>
      <w:bookmarkEnd w:id="361"/>
      <w:r>
        <w:rPr>
          <w:b/>
          <w:bCs/>
        </w:rPr>
        <w:t>Personal Care Shift Differential</w:t>
      </w:r>
      <w:r w:rsidR="0052148B">
        <w:rPr>
          <w:b/>
          <w:bCs/>
        </w:rPr>
        <w:t xml:space="preserve"> (TBD)</w:t>
      </w:r>
      <w:r>
        <w:rPr>
          <w:b/>
          <w:bCs/>
        </w:rPr>
        <w:t xml:space="preserve">. </w:t>
      </w:r>
      <w:r>
        <w:t>Effective July 1, 2021, reimbursement for personal care and combined personal care/homemaker services (procedure code S5125) with a shift differential modifier was increased by $0.19 per fifteen minutes. The shift differential applies to services provided on an evening, night, or weekend/holiday (indicated by procedure code modifier values of UH, UJ, and TV</w:t>
      </w:r>
      <w:r w:rsidR="0027012E">
        <w:t>)</w:t>
      </w:r>
      <w:r>
        <w:t xml:space="preserve">. </w:t>
      </w:r>
    </w:p>
    <w:p w14:paraId="6227DAE6" w14:textId="368988B0" w:rsidR="00CB309B" w:rsidRDefault="00CB309B" w:rsidP="0027012E">
      <w:pPr>
        <w:jc w:val="both"/>
      </w:pPr>
      <w:r>
        <w:rPr>
          <w:b/>
          <w:bCs/>
        </w:rPr>
        <w:lastRenderedPageBreak/>
        <w:t>Personal Care Behavioral Health Certification Enhancement</w:t>
      </w:r>
      <w:r w:rsidR="0052148B">
        <w:rPr>
          <w:b/>
          <w:bCs/>
        </w:rPr>
        <w:t xml:space="preserve"> (</w:t>
      </w:r>
      <w:r w:rsidR="001C6A1E">
        <w:rPr>
          <w:b/>
          <w:bCs/>
        </w:rPr>
        <w:t>N/A</w:t>
      </w:r>
      <w:r w:rsidR="0052148B">
        <w:rPr>
          <w:b/>
          <w:bCs/>
        </w:rPr>
        <w:t>)</w:t>
      </w:r>
      <w:r>
        <w:rPr>
          <w:b/>
          <w:bCs/>
        </w:rPr>
        <w:t xml:space="preserve">. </w:t>
      </w:r>
      <w:r>
        <w:t xml:space="preserve">Effective January 1, 2022, a new behavioral health certification enhancement of $0.39 per fifteen minutes of personal care, </w:t>
      </w:r>
      <w:r w:rsidRPr="00E756E9">
        <w:t xml:space="preserve">combined personal care/homemaker, and homemaker only </w:t>
      </w:r>
      <w:r>
        <w:t>services (procedure codes S5125 and S5130) will be implemented for providers who have at least 30% of their direct-care workers certified in behavioral health training.</w:t>
      </w:r>
      <w:r w:rsidRPr="004C4768">
        <w:t xml:space="preserve"> </w:t>
      </w:r>
      <w:r>
        <w:t>We assumed that 15% of these services would be performed by providers who qualify for the behavioral health enhancement based on communication with EOHHS.</w:t>
      </w:r>
    </w:p>
    <w:p w14:paraId="2AD80072" w14:textId="1D92A6D6" w:rsidR="00CB3508" w:rsidRDefault="00A13AF0" w:rsidP="00622097">
      <w:pPr>
        <w:pStyle w:val="RRBody"/>
        <w:jc w:val="both"/>
      </w:pPr>
      <w:r w:rsidRPr="00A13AF0">
        <w:rPr>
          <w:b/>
          <w:bCs/>
        </w:rPr>
        <w:t>Care Transformation Collaborative of Rhode Island</w:t>
      </w:r>
      <w:r w:rsidR="00265C4E">
        <w:rPr>
          <w:b/>
          <w:bCs/>
        </w:rPr>
        <w:t xml:space="preserve"> (</w:t>
      </w:r>
      <w:r w:rsidR="00265C4E" w:rsidRPr="00BE76D3">
        <w:rPr>
          <w:b/>
          <w:bCs/>
        </w:rPr>
        <w:t>RI_VBP_PC_Renewal_20220701-20230630</w:t>
      </w:r>
      <w:r w:rsidR="00265C4E">
        <w:rPr>
          <w:b/>
          <w:bCs/>
        </w:rPr>
        <w:t>)</w:t>
      </w:r>
      <w:r w:rsidR="00160663">
        <w:rPr>
          <w:b/>
          <w:bCs/>
        </w:rPr>
        <w:t xml:space="preserve">. </w:t>
      </w:r>
      <w:r>
        <w:t xml:space="preserve">MCOs are required to participate in the </w:t>
      </w:r>
      <w:r w:rsidRPr="00CD2666">
        <w:t xml:space="preserve">Care Transformation Collaborative </w:t>
      </w:r>
      <w:r>
        <w:t xml:space="preserve">of Rhode Island to </w:t>
      </w:r>
      <w:r w:rsidRPr="00C40517">
        <w:t>promote accessible, comprehensive, coordinated care</w:t>
      </w:r>
      <w:r>
        <w:t xml:space="preserve">. </w:t>
      </w:r>
    </w:p>
    <w:p w14:paraId="431495E9" w14:textId="302587D0" w:rsidR="007008B7" w:rsidRDefault="00A13AF0" w:rsidP="00622097">
      <w:pPr>
        <w:pStyle w:val="RRBody"/>
        <w:jc w:val="both"/>
      </w:pPr>
      <w:r>
        <w:t xml:space="preserve">Payments are made to </w:t>
      </w:r>
      <w:r w:rsidRPr="00A13AF0">
        <w:t>Care Transformation Collaborative</w:t>
      </w:r>
      <w:r>
        <w:t xml:space="preserve"> based on managed care member enrollment in </w:t>
      </w:r>
      <w:r w:rsidR="000132E5">
        <w:t xml:space="preserve">pediatric primary care </w:t>
      </w:r>
      <w:r>
        <w:t xml:space="preserve">practices participating in the </w:t>
      </w:r>
      <w:r w:rsidRPr="00A13AF0">
        <w:t>Care Transformation Collaborative</w:t>
      </w:r>
      <w:r>
        <w:t>.</w:t>
      </w:r>
      <w:r w:rsidRPr="00A13AF0" w:rsidDel="00A13AF0">
        <w:t xml:space="preserve"> </w:t>
      </w:r>
      <w:r w:rsidR="0015749E">
        <w:t xml:space="preserve">In SFY </w:t>
      </w:r>
      <w:r w:rsidR="00E50D93">
        <w:t>2023</w:t>
      </w:r>
      <w:r w:rsidR="0015749E">
        <w:t>, q</w:t>
      </w:r>
      <w:r w:rsidR="003A4E05">
        <w:t xml:space="preserve">ualifying providers receive a uniform $3.00 PMPM once meeting certification requirements </w:t>
      </w:r>
      <w:r w:rsidR="000132E5">
        <w:t xml:space="preserve">established by the Office of the Health Insurance Commissioner </w:t>
      </w:r>
      <w:r w:rsidR="003A4E05">
        <w:t>as a Patient Centered Medical Home.</w:t>
      </w:r>
    </w:p>
    <w:bookmarkEnd w:id="362"/>
    <w:p w14:paraId="185FD9C1" w14:textId="7945F4C8" w:rsidR="005F1F10" w:rsidRDefault="005F1F10" w:rsidP="00622097">
      <w:pPr>
        <w:pStyle w:val="RRBody"/>
        <w:jc w:val="both"/>
      </w:pPr>
      <w:r w:rsidRPr="00A06B75">
        <w:rPr>
          <w:b/>
          <w:bCs/>
        </w:rPr>
        <w:t>Accountable Entity Program</w:t>
      </w:r>
      <w:r w:rsidR="00265C4E">
        <w:rPr>
          <w:b/>
          <w:bCs/>
        </w:rPr>
        <w:t xml:space="preserve"> (</w:t>
      </w:r>
      <w:r w:rsidR="00265C4E" w:rsidRPr="00BE76D3">
        <w:rPr>
          <w:b/>
          <w:bCs/>
        </w:rPr>
        <w:t>RI_VBP_Oth_Renewal_20220701-20230630</w:t>
      </w:r>
      <w:r w:rsidR="00265C4E">
        <w:rPr>
          <w:b/>
          <w:bCs/>
        </w:rPr>
        <w:t>)</w:t>
      </w:r>
      <w:r w:rsidRPr="00A06B75">
        <w:rPr>
          <w:b/>
          <w:bCs/>
        </w:rPr>
        <w:t>.</w:t>
      </w:r>
      <w:r>
        <w:t xml:space="preserve"> Accountable entities are responsible for the cost and quality of an attributed population and participate in shared savings and losses under the program. Shared savings or losses are determined by comparing the total cost of care of an accountable entities’ attributed population to cost thresholds derived using a methodology </w:t>
      </w:r>
      <w:r w:rsidR="00CC006C">
        <w:t xml:space="preserve">generally </w:t>
      </w:r>
      <w:r>
        <w:t xml:space="preserve">consistent with the MCO capitation rate development. Specified quality targets must also be met for accountable entities to qualify for shared savings payments. </w:t>
      </w:r>
      <w:r w:rsidR="00117AE0">
        <w:t>In addition</w:t>
      </w:r>
      <w:r>
        <w:t>, all certified AEs are eligible for performance-based incentive payments, established by the Total Incentive Pool for each MCO-AE relationship. The Total Incentive Pool is determined by EOHHS and is subject to the incentive payment maximum described earlier in this section.</w:t>
      </w:r>
    </w:p>
    <w:p w14:paraId="43383337" w14:textId="77777777" w:rsidR="001D322C" w:rsidRDefault="001D322C" w:rsidP="001D322C">
      <w:pPr>
        <w:pStyle w:val="RRBody"/>
        <w:jc w:val="both"/>
      </w:pPr>
      <w:r w:rsidRPr="00FB1A4F">
        <w:t xml:space="preserve">The specific description for each state directed payment is </w:t>
      </w:r>
      <w:r>
        <w:t>outlined in the figure below.</w:t>
      </w:r>
    </w:p>
    <w:tbl>
      <w:tblPr>
        <w:tblW w:w="9936" w:type="dxa"/>
        <w:tblLook w:val="04A0" w:firstRow="1" w:lastRow="0" w:firstColumn="1" w:lastColumn="0" w:noHBand="0" w:noVBand="1"/>
      </w:tblPr>
      <w:tblGrid>
        <w:gridCol w:w="3774"/>
        <w:gridCol w:w="1879"/>
        <w:gridCol w:w="2807"/>
        <w:gridCol w:w="1476"/>
      </w:tblGrid>
      <w:tr w:rsidR="001D322C" w:rsidRPr="00781234" w14:paraId="6717982A" w14:textId="77777777" w:rsidTr="00DA4895">
        <w:trPr>
          <w:trHeight w:val="225"/>
        </w:trPr>
        <w:tc>
          <w:tcPr>
            <w:tcW w:w="9936" w:type="dxa"/>
            <w:gridSpan w:val="4"/>
            <w:tcBorders>
              <w:top w:val="nil"/>
              <w:left w:val="nil"/>
              <w:bottom w:val="nil"/>
              <w:right w:val="nil"/>
            </w:tcBorders>
            <w:shd w:val="clear" w:color="auto" w:fill="auto"/>
            <w:noWrap/>
            <w:vAlign w:val="center"/>
            <w:hideMark/>
          </w:tcPr>
          <w:p w14:paraId="5E11AC9B" w14:textId="42231948" w:rsidR="001D322C" w:rsidRPr="00781234" w:rsidRDefault="001D322C" w:rsidP="00993A94">
            <w:pPr>
              <w:spacing w:after="0" w:line="240" w:lineRule="auto"/>
              <w:rPr>
                <w:rFonts w:ascii="Arial" w:eastAsia="Times New Roman" w:hAnsi="Arial" w:cs="Arial"/>
                <w:b/>
                <w:bCs/>
                <w:color w:val="0081E3"/>
                <w:sz w:val="16"/>
                <w:szCs w:val="16"/>
              </w:rPr>
            </w:pPr>
            <w:r w:rsidRPr="00781234">
              <w:rPr>
                <w:rFonts w:ascii="Arial" w:eastAsia="Times New Roman" w:hAnsi="Arial" w:cs="Arial"/>
                <w:b/>
                <w:bCs/>
                <w:color w:val="0081E3"/>
                <w:sz w:val="16"/>
                <w:szCs w:val="16"/>
              </w:rPr>
              <w:t>FIGURE 2</w:t>
            </w:r>
            <w:r w:rsidR="00273A3D">
              <w:rPr>
                <w:rFonts w:ascii="Arial" w:eastAsia="Times New Roman" w:hAnsi="Arial" w:cs="Arial"/>
                <w:b/>
                <w:bCs/>
                <w:color w:val="0081E3"/>
                <w:sz w:val="16"/>
                <w:szCs w:val="16"/>
              </w:rPr>
              <w:t>1</w:t>
            </w:r>
            <w:r w:rsidRPr="00781234">
              <w:rPr>
                <w:rFonts w:ascii="Arial" w:eastAsia="Times New Roman" w:hAnsi="Arial" w:cs="Arial"/>
                <w:b/>
                <w:bCs/>
                <w:color w:val="0081E3"/>
                <w:sz w:val="16"/>
                <w:szCs w:val="16"/>
              </w:rPr>
              <w:t>: DESCRIPTION OF STATE DIRECTED PAYMENTS</w:t>
            </w:r>
          </w:p>
        </w:tc>
      </w:tr>
      <w:tr w:rsidR="001D322C" w:rsidRPr="00781234" w14:paraId="7E9A472C" w14:textId="77777777" w:rsidTr="0027012E">
        <w:trPr>
          <w:trHeight w:val="1008"/>
        </w:trPr>
        <w:tc>
          <w:tcPr>
            <w:tcW w:w="3774" w:type="dxa"/>
            <w:tcBorders>
              <w:top w:val="nil"/>
              <w:left w:val="nil"/>
              <w:bottom w:val="single" w:sz="4" w:space="0" w:color="C6C9CA"/>
              <w:right w:val="nil"/>
            </w:tcBorders>
            <w:shd w:val="clear" w:color="auto" w:fill="auto"/>
            <w:vAlign w:val="center"/>
            <w:hideMark/>
          </w:tcPr>
          <w:p w14:paraId="0F3565A4" w14:textId="00D8BC3F" w:rsidR="001D322C" w:rsidRPr="00781234" w:rsidRDefault="001D322C" w:rsidP="00DA4895">
            <w:pPr>
              <w:spacing w:after="0" w:line="240" w:lineRule="auto"/>
              <w:rPr>
                <w:rFonts w:ascii="Arial" w:eastAsia="Times New Roman" w:hAnsi="Arial" w:cs="Arial"/>
                <w:b/>
                <w:bCs/>
                <w:color w:val="39414D"/>
                <w:sz w:val="16"/>
                <w:szCs w:val="16"/>
              </w:rPr>
            </w:pPr>
            <w:r w:rsidRPr="00781234">
              <w:rPr>
                <w:rFonts w:ascii="Arial" w:eastAsia="Times New Roman" w:hAnsi="Arial" w:cs="Arial"/>
                <w:b/>
                <w:bCs/>
                <w:color w:val="39414D"/>
                <w:sz w:val="16"/>
                <w:szCs w:val="16"/>
              </w:rPr>
              <w:t>Control Name of State Directed Payment</w:t>
            </w:r>
          </w:p>
        </w:tc>
        <w:tc>
          <w:tcPr>
            <w:tcW w:w="1879" w:type="dxa"/>
            <w:tcBorders>
              <w:top w:val="nil"/>
              <w:left w:val="nil"/>
              <w:bottom w:val="single" w:sz="4" w:space="0" w:color="C6C9CA"/>
              <w:right w:val="nil"/>
            </w:tcBorders>
            <w:shd w:val="clear" w:color="auto" w:fill="auto"/>
            <w:vAlign w:val="center"/>
            <w:hideMark/>
          </w:tcPr>
          <w:p w14:paraId="0E890B04" w14:textId="77777777" w:rsidR="001D322C" w:rsidRPr="00781234" w:rsidRDefault="001D322C" w:rsidP="00DA4895">
            <w:pPr>
              <w:spacing w:after="0" w:line="240" w:lineRule="auto"/>
              <w:jc w:val="center"/>
              <w:rPr>
                <w:rFonts w:ascii="Arial" w:eastAsia="Times New Roman" w:hAnsi="Arial" w:cs="Arial"/>
                <w:b/>
                <w:bCs/>
                <w:color w:val="39414D"/>
                <w:sz w:val="16"/>
                <w:szCs w:val="16"/>
              </w:rPr>
            </w:pPr>
            <w:r w:rsidRPr="00781234">
              <w:rPr>
                <w:rFonts w:ascii="Arial" w:eastAsia="Times New Roman" w:hAnsi="Arial" w:cs="Arial"/>
                <w:b/>
                <w:bCs/>
                <w:color w:val="39414D"/>
                <w:sz w:val="16"/>
                <w:szCs w:val="16"/>
              </w:rPr>
              <w:t>Type of Payment</w:t>
            </w:r>
          </w:p>
        </w:tc>
        <w:tc>
          <w:tcPr>
            <w:tcW w:w="2807" w:type="dxa"/>
            <w:tcBorders>
              <w:top w:val="nil"/>
              <w:left w:val="nil"/>
              <w:bottom w:val="single" w:sz="4" w:space="0" w:color="C6C9CA"/>
              <w:right w:val="nil"/>
            </w:tcBorders>
            <w:shd w:val="clear" w:color="auto" w:fill="auto"/>
            <w:vAlign w:val="center"/>
            <w:hideMark/>
          </w:tcPr>
          <w:p w14:paraId="3A78420A" w14:textId="77777777" w:rsidR="001D322C" w:rsidRPr="00781234" w:rsidRDefault="001D322C" w:rsidP="00DA4895">
            <w:pPr>
              <w:spacing w:after="0" w:line="240" w:lineRule="auto"/>
              <w:jc w:val="center"/>
              <w:rPr>
                <w:rFonts w:ascii="Arial" w:eastAsia="Times New Roman" w:hAnsi="Arial" w:cs="Arial"/>
                <w:b/>
                <w:bCs/>
                <w:color w:val="39414D"/>
                <w:sz w:val="16"/>
                <w:szCs w:val="16"/>
              </w:rPr>
            </w:pPr>
            <w:r w:rsidRPr="00781234">
              <w:rPr>
                <w:rFonts w:ascii="Arial" w:eastAsia="Times New Roman" w:hAnsi="Arial" w:cs="Arial"/>
                <w:b/>
                <w:bCs/>
                <w:color w:val="39414D"/>
                <w:sz w:val="16"/>
                <w:szCs w:val="16"/>
              </w:rPr>
              <w:t>Brief Description</w:t>
            </w:r>
          </w:p>
        </w:tc>
        <w:tc>
          <w:tcPr>
            <w:tcW w:w="1476" w:type="dxa"/>
            <w:tcBorders>
              <w:top w:val="nil"/>
              <w:left w:val="nil"/>
              <w:bottom w:val="single" w:sz="4" w:space="0" w:color="C6C9CA"/>
              <w:right w:val="nil"/>
            </w:tcBorders>
            <w:shd w:val="clear" w:color="auto" w:fill="auto"/>
            <w:vAlign w:val="center"/>
            <w:hideMark/>
          </w:tcPr>
          <w:p w14:paraId="328A4C34" w14:textId="77777777" w:rsidR="001D322C" w:rsidRPr="00781234" w:rsidRDefault="001D322C" w:rsidP="00DA4895">
            <w:pPr>
              <w:spacing w:after="0" w:line="240" w:lineRule="auto"/>
              <w:jc w:val="center"/>
              <w:rPr>
                <w:rFonts w:ascii="Arial" w:eastAsia="Times New Roman" w:hAnsi="Arial" w:cs="Arial"/>
                <w:b/>
                <w:bCs/>
                <w:color w:val="39414D"/>
                <w:sz w:val="16"/>
                <w:szCs w:val="16"/>
              </w:rPr>
            </w:pPr>
            <w:r w:rsidRPr="00781234">
              <w:rPr>
                <w:rFonts w:ascii="Arial" w:eastAsia="Times New Roman" w:hAnsi="Arial" w:cs="Arial"/>
                <w:b/>
                <w:bCs/>
                <w:color w:val="39414D"/>
                <w:sz w:val="16"/>
                <w:szCs w:val="16"/>
              </w:rPr>
              <w:t>Is the Payment Included as a Rate Adjustment or Separate Payment Term?</w:t>
            </w:r>
          </w:p>
        </w:tc>
      </w:tr>
      <w:tr w:rsidR="001D322C" w:rsidRPr="00781234" w14:paraId="146E19F9" w14:textId="77777777" w:rsidTr="0027012E">
        <w:trPr>
          <w:trHeight w:val="576"/>
        </w:trPr>
        <w:tc>
          <w:tcPr>
            <w:tcW w:w="3774" w:type="dxa"/>
            <w:tcBorders>
              <w:top w:val="nil"/>
              <w:left w:val="nil"/>
              <w:bottom w:val="nil"/>
              <w:right w:val="nil"/>
            </w:tcBorders>
            <w:shd w:val="clear" w:color="auto" w:fill="auto"/>
            <w:noWrap/>
            <w:vAlign w:val="center"/>
            <w:hideMark/>
          </w:tcPr>
          <w:p w14:paraId="7FA94C7B" w14:textId="5F2D21BB" w:rsidR="001D322C" w:rsidRPr="00781234" w:rsidRDefault="00D2354D" w:rsidP="00DA4895">
            <w:pPr>
              <w:spacing w:after="0" w:line="240" w:lineRule="auto"/>
              <w:rPr>
                <w:rFonts w:ascii="Arial" w:eastAsia="Times New Roman" w:hAnsi="Arial" w:cs="Arial"/>
                <w:color w:val="39414D"/>
                <w:sz w:val="16"/>
                <w:szCs w:val="16"/>
              </w:rPr>
            </w:pPr>
            <w:r w:rsidRPr="00D2354D">
              <w:rPr>
                <w:rFonts w:ascii="Arial" w:eastAsia="Times New Roman" w:hAnsi="Arial" w:cs="Arial"/>
                <w:color w:val="39414D"/>
                <w:sz w:val="16"/>
                <w:szCs w:val="16"/>
              </w:rPr>
              <w:t>RI_Fee_IPH_Renewal_20220701-20230630</w:t>
            </w:r>
          </w:p>
        </w:tc>
        <w:tc>
          <w:tcPr>
            <w:tcW w:w="1879" w:type="dxa"/>
            <w:tcBorders>
              <w:top w:val="nil"/>
              <w:left w:val="nil"/>
              <w:bottom w:val="nil"/>
              <w:right w:val="nil"/>
            </w:tcBorders>
            <w:shd w:val="clear" w:color="auto" w:fill="auto"/>
            <w:vAlign w:val="center"/>
            <w:hideMark/>
          </w:tcPr>
          <w:p w14:paraId="1CE8014C" w14:textId="77777777" w:rsidR="001D322C" w:rsidRPr="00781234" w:rsidRDefault="001D322C" w:rsidP="00DA4895">
            <w:pPr>
              <w:spacing w:after="0" w:line="240" w:lineRule="auto"/>
              <w:jc w:val="center"/>
              <w:rPr>
                <w:rFonts w:ascii="Arial" w:eastAsia="Times New Roman" w:hAnsi="Arial" w:cs="Arial"/>
                <w:color w:val="39414D"/>
                <w:sz w:val="16"/>
                <w:szCs w:val="16"/>
              </w:rPr>
            </w:pPr>
            <w:r w:rsidRPr="00781234">
              <w:rPr>
                <w:rFonts w:ascii="Arial" w:eastAsia="Times New Roman" w:hAnsi="Arial" w:cs="Arial"/>
                <w:color w:val="39414D"/>
                <w:sz w:val="16"/>
                <w:szCs w:val="16"/>
              </w:rPr>
              <w:t>Uniform percentage increase</w:t>
            </w:r>
          </w:p>
        </w:tc>
        <w:tc>
          <w:tcPr>
            <w:tcW w:w="2807" w:type="dxa"/>
            <w:tcBorders>
              <w:top w:val="nil"/>
              <w:left w:val="nil"/>
              <w:bottom w:val="nil"/>
              <w:right w:val="nil"/>
            </w:tcBorders>
            <w:shd w:val="clear" w:color="auto" w:fill="auto"/>
            <w:vAlign w:val="center"/>
            <w:hideMark/>
          </w:tcPr>
          <w:p w14:paraId="0B8688C5" w14:textId="41C091ED" w:rsidR="001D322C" w:rsidRPr="00781234" w:rsidRDefault="001D322C" w:rsidP="00DA4895">
            <w:pPr>
              <w:spacing w:after="0" w:line="240" w:lineRule="auto"/>
              <w:jc w:val="both"/>
              <w:rPr>
                <w:rFonts w:ascii="Arial" w:eastAsia="Times New Roman"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niform increase to</w:t>
            </w:r>
            <w:r w:rsidR="00D10174">
              <w:rPr>
                <w:rFonts w:ascii="Arial" w:eastAsia="Times New Roman" w:hAnsi="Arial" w:cs="Arial"/>
                <w:color w:val="39414D"/>
                <w:sz w:val="16"/>
                <w:szCs w:val="16"/>
              </w:rPr>
              <w:t xml:space="preserve"> inpatient</w:t>
            </w:r>
            <w:r w:rsidRPr="00781234">
              <w:rPr>
                <w:rFonts w:ascii="Arial" w:eastAsia="Times New Roman" w:hAnsi="Arial" w:cs="Arial"/>
                <w:color w:val="39414D"/>
                <w:sz w:val="16"/>
                <w:szCs w:val="16"/>
              </w:rPr>
              <w:t xml:space="preserve"> hospital reimbursement</w:t>
            </w:r>
          </w:p>
        </w:tc>
        <w:tc>
          <w:tcPr>
            <w:tcW w:w="1476" w:type="dxa"/>
            <w:tcBorders>
              <w:top w:val="nil"/>
              <w:left w:val="nil"/>
              <w:bottom w:val="nil"/>
              <w:right w:val="nil"/>
            </w:tcBorders>
            <w:shd w:val="clear" w:color="auto" w:fill="auto"/>
            <w:vAlign w:val="center"/>
            <w:hideMark/>
          </w:tcPr>
          <w:p w14:paraId="43399DF8" w14:textId="77777777" w:rsidR="001D322C" w:rsidRPr="00781234" w:rsidRDefault="001D322C" w:rsidP="00DA4895">
            <w:pPr>
              <w:spacing w:after="0" w:line="240" w:lineRule="auto"/>
              <w:jc w:val="center"/>
              <w:rPr>
                <w:rFonts w:ascii="Arial" w:eastAsia="Times New Roman" w:hAnsi="Arial" w:cs="Arial"/>
                <w:color w:val="39414D"/>
                <w:sz w:val="16"/>
                <w:szCs w:val="16"/>
              </w:rPr>
            </w:pPr>
            <w:r w:rsidRPr="00781234">
              <w:rPr>
                <w:rFonts w:ascii="Arial" w:eastAsia="Times New Roman" w:hAnsi="Arial" w:cs="Arial"/>
                <w:color w:val="39414D"/>
                <w:sz w:val="16"/>
                <w:szCs w:val="16"/>
              </w:rPr>
              <w:t>Rate Adjustment</w:t>
            </w:r>
          </w:p>
        </w:tc>
      </w:tr>
      <w:tr w:rsidR="001D322C" w:rsidRPr="00781234" w14:paraId="47B0EBFD" w14:textId="77777777" w:rsidTr="0027012E">
        <w:trPr>
          <w:trHeight w:val="576"/>
        </w:trPr>
        <w:tc>
          <w:tcPr>
            <w:tcW w:w="3774" w:type="dxa"/>
            <w:tcBorders>
              <w:top w:val="nil"/>
              <w:left w:val="nil"/>
              <w:bottom w:val="nil"/>
              <w:right w:val="nil"/>
            </w:tcBorders>
            <w:shd w:val="clear" w:color="000000" w:fill="E8E9E9"/>
            <w:noWrap/>
            <w:vAlign w:val="center"/>
            <w:hideMark/>
          </w:tcPr>
          <w:p w14:paraId="5EE727FE" w14:textId="353B55E1" w:rsidR="001D322C" w:rsidRPr="00781234" w:rsidRDefault="00D2354D" w:rsidP="001D322C">
            <w:pPr>
              <w:spacing w:after="0" w:line="240" w:lineRule="auto"/>
              <w:rPr>
                <w:rFonts w:ascii="Arial" w:eastAsia="Times New Roman" w:hAnsi="Arial" w:cs="Arial"/>
                <w:color w:val="39414D"/>
                <w:sz w:val="16"/>
                <w:szCs w:val="16"/>
              </w:rPr>
            </w:pPr>
            <w:r w:rsidRPr="00D2354D">
              <w:rPr>
                <w:rFonts w:ascii="Arial" w:eastAsia="Times New Roman" w:hAnsi="Arial" w:cs="Arial"/>
                <w:color w:val="39414D"/>
                <w:sz w:val="16"/>
                <w:szCs w:val="16"/>
              </w:rPr>
              <w:t>RI_Fee_</w:t>
            </w:r>
            <w:r>
              <w:rPr>
                <w:rFonts w:ascii="Arial" w:eastAsia="Times New Roman" w:hAnsi="Arial" w:cs="Arial"/>
                <w:color w:val="39414D"/>
                <w:sz w:val="16"/>
                <w:szCs w:val="16"/>
              </w:rPr>
              <w:t>O</w:t>
            </w:r>
            <w:r w:rsidRPr="00D2354D">
              <w:rPr>
                <w:rFonts w:ascii="Arial" w:eastAsia="Times New Roman" w:hAnsi="Arial" w:cs="Arial"/>
                <w:color w:val="39414D"/>
                <w:sz w:val="16"/>
                <w:szCs w:val="16"/>
              </w:rPr>
              <w:t>PH_Renewal_20220701-20230630</w:t>
            </w:r>
          </w:p>
        </w:tc>
        <w:tc>
          <w:tcPr>
            <w:tcW w:w="1879" w:type="dxa"/>
            <w:tcBorders>
              <w:top w:val="nil"/>
              <w:left w:val="nil"/>
              <w:bottom w:val="nil"/>
              <w:right w:val="nil"/>
            </w:tcBorders>
            <w:shd w:val="clear" w:color="000000" w:fill="E8E9E9"/>
            <w:vAlign w:val="center"/>
            <w:hideMark/>
          </w:tcPr>
          <w:p w14:paraId="64F62080" w14:textId="77777777" w:rsidR="001D322C" w:rsidRPr="00781234" w:rsidRDefault="001D322C" w:rsidP="001D322C">
            <w:pPr>
              <w:spacing w:after="0" w:line="240" w:lineRule="auto"/>
              <w:jc w:val="center"/>
              <w:rPr>
                <w:rFonts w:ascii="Arial" w:eastAsia="Times New Roman" w:hAnsi="Arial" w:cs="Arial"/>
                <w:color w:val="39414D"/>
                <w:sz w:val="16"/>
                <w:szCs w:val="16"/>
              </w:rPr>
            </w:pPr>
            <w:r w:rsidRPr="00781234">
              <w:rPr>
                <w:rFonts w:ascii="Arial" w:eastAsia="Times New Roman" w:hAnsi="Arial" w:cs="Arial"/>
                <w:color w:val="39414D"/>
                <w:sz w:val="16"/>
                <w:szCs w:val="16"/>
              </w:rPr>
              <w:t>Uniform percentage increase</w:t>
            </w:r>
          </w:p>
        </w:tc>
        <w:tc>
          <w:tcPr>
            <w:tcW w:w="2807" w:type="dxa"/>
            <w:tcBorders>
              <w:top w:val="nil"/>
              <w:left w:val="nil"/>
              <w:bottom w:val="nil"/>
              <w:right w:val="nil"/>
            </w:tcBorders>
            <w:shd w:val="clear" w:color="000000" w:fill="E8E9E9"/>
            <w:vAlign w:val="center"/>
            <w:hideMark/>
          </w:tcPr>
          <w:p w14:paraId="5149B78C" w14:textId="40E222B4" w:rsidR="001D322C" w:rsidRPr="00781234" w:rsidRDefault="001D322C" w:rsidP="001D322C">
            <w:pPr>
              <w:spacing w:after="0" w:line="240" w:lineRule="auto"/>
              <w:jc w:val="both"/>
              <w:rPr>
                <w:rFonts w:ascii="Arial" w:eastAsia="Times New Roman"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 xml:space="preserve">niform increase to </w:t>
            </w:r>
            <w:r w:rsidR="00D10174">
              <w:rPr>
                <w:rFonts w:ascii="Arial" w:eastAsia="Times New Roman" w:hAnsi="Arial" w:cs="Arial"/>
                <w:color w:val="39414D"/>
                <w:sz w:val="16"/>
                <w:szCs w:val="16"/>
              </w:rPr>
              <w:t xml:space="preserve">outpatient </w:t>
            </w:r>
            <w:r w:rsidRPr="00781234">
              <w:rPr>
                <w:rFonts w:ascii="Arial" w:eastAsia="Times New Roman" w:hAnsi="Arial" w:cs="Arial"/>
                <w:color w:val="39414D"/>
                <w:sz w:val="16"/>
                <w:szCs w:val="16"/>
              </w:rPr>
              <w:t>hospital reimbursement</w:t>
            </w:r>
          </w:p>
        </w:tc>
        <w:tc>
          <w:tcPr>
            <w:tcW w:w="1476" w:type="dxa"/>
            <w:tcBorders>
              <w:top w:val="nil"/>
              <w:left w:val="nil"/>
              <w:bottom w:val="nil"/>
              <w:right w:val="nil"/>
            </w:tcBorders>
            <w:shd w:val="clear" w:color="000000" w:fill="E8E9E9"/>
            <w:vAlign w:val="center"/>
            <w:hideMark/>
          </w:tcPr>
          <w:p w14:paraId="14136907" w14:textId="77777777" w:rsidR="001D322C" w:rsidRPr="00781234" w:rsidRDefault="001D322C" w:rsidP="001D322C">
            <w:pPr>
              <w:spacing w:after="0" w:line="240" w:lineRule="auto"/>
              <w:jc w:val="center"/>
              <w:rPr>
                <w:rFonts w:ascii="Arial" w:eastAsia="Times New Roman" w:hAnsi="Arial" w:cs="Arial"/>
                <w:color w:val="39414D"/>
                <w:sz w:val="16"/>
                <w:szCs w:val="16"/>
              </w:rPr>
            </w:pPr>
            <w:r w:rsidRPr="00781234">
              <w:rPr>
                <w:rFonts w:ascii="Arial" w:eastAsia="Times New Roman" w:hAnsi="Arial" w:cs="Arial"/>
                <w:color w:val="39414D"/>
                <w:sz w:val="16"/>
                <w:szCs w:val="16"/>
              </w:rPr>
              <w:t>Rate Adjustment</w:t>
            </w:r>
          </w:p>
        </w:tc>
      </w:tr>
      <w:tr w:rsidR="004D770A" w:rsidRPr="00781234" w14:paraId="5FDBF4EE" w14:textId="77777777" w:rsidTr="0027012E">
        <w:trPr>
          <w:trHeight w:val="576"/>
        </w:trPr>
        <w:tc>
          <w:tcPr>
            <w:tcW w:w="3774" w:type="dxa"/>
            <w:tcBorders>
              <w:top w:val="nil"/>
              <w:left w:val="nil"/>
              <w:bottom w:val="nil"/>
              <w:right w:val="nil"/>
            </w:tcBorders>
            <w:shd w:val="clear" w:color="auto" w:fill="auto"/>
            <w:noWrap/>
            <w:vAlign w:val="center"/>
            <w:hideMark/>
          </w:tcPr>
          <w:p w14:paraId="695A1675" w14:textId="67F8F44C" w:rsidR="004D770A" w:rsidRPr="00781234" w:rsidRDefault="00D2354D" w:rsidP="004D770A">
            <w:pPr>
              <w:spacing w:after="0" w:line="240" w:lineRule="auto"/>
              <w:rPr>
                <w:rFonts w:ascii="Arial" w:eastAsia="Times New Roman" w:hAnsi="Arial" w:cs="Arial"/>
                <w:color w:val="39414D"/>
                <w:sz w:val="16"/>
                <w:szCs w:val="16"/>
              </w:rPr>
            </w:pPr>
            <w:r w:rsidRPr="00D2354D">
              <w:rPr>
                <w:rFonts w:ascii="Arial" w:eastAsia="Times New Roman" w:hAnsi="Arial" w:cs="Arial"/>
                <w:color w:val="39414D"/>
                <w:sz w:val="16"/>
                <w:szCs w:val="16"/>
              </w:rPr>
              <w:t>RI_Fee_</w:t>
            </w:r>
            <w:r>
              <w:rPr>
                <w:rFonts w:ascii="Arial" w:eastAsia="Times New Roman" w:hAnsi="Arial" w:cs="Arial"/>
                <w:color w:val="39414D"/>
                <w:sz w:val="16"/>
                <w:szCs w:val="16"/>
              </w:rPr>
              <w:t>NF</w:t>
            </w:r>
            <w:r w:rsidRPr="00D2354D">
              <w:rPr>
                <w:rFonts w:ascii="Arial" w:eastAsia="Times New Roman" w:hAnsi="Arial" w:cs="Arial"/>
                <w:color w:val="39414D"/>
                <w:sz w:val="16"/>
                <w:szCs w:val="16"/>
              </w:rPr>
              <w:t>_Renewal_20220701-20230630</w:t>
            </w:r>
          </w:p>
        </w:tc>
        <w:tc>
          <w:tcPr>
            <w:tcW w:w="1879" w:type="dxa"/>
            <w:tcBorders>
              <w:top w:val="nil"/>
              <w:left w:val="nil"/>
              <w:bottom w:val="nil"/>
              <w:right w:val="nil"/>
            </w:tcBorders>
            <w:shd w:val="clear" w:color="auto" w:fill="auto"/>
            <w:vAlign w:val="center"/>
            <w:hideMark/>
          </w:tcPr>
          <w:p w14:paraId="401C86A2" w14:textId="77777777" w:rsidR="004D770A" w:rsidRPr="00781234" w:rsidRDefault="004D770A" w:rsidP="004D770A">
            <w:pPr>
              <w:spacing w:after="0" w:line="240" w:lineRule="auto"/>
              <w:jc w:val="center"/>
              <w:rPr>
                <w:rFonts w:ascii="Arial" w:eastAsia="Times New Roman" w:hAnsi="Arial" w:cs="Arial"/>
                <w:color w:val="39414D"/>
                <w:sz w:val="16"/>
                <w:szCs w:val="16"/>
              </w:rPr>
            </w:pPr>
            <w:r w:rsidRPr="00781234">
              <w:rPr>
                <w:rFonts w:ascii="Arial" w:eastAsia="Times New Roman" w:hAnsi="Arial" w:cs="Arial"/>
                <w:color w:val="39414D"/>
                <w:sz w:val="16"/>
                <w:szCs w:val="16"/>
              </w:rPr>
              <w:t>Uniform percentage increase</w:t>
            </w:r>
          </w:p>
        </w:tc>
        <w:tc>
          <w:tcPr>
            <w:tcW w:w="2807" w:type="dxa"/>
            <w:tcBorders>
              <w:top w:val="nil"/>
              <w:left w:val="nil"/>
              <w:bottom w:val="nil"/>
              <w:right w:val="nil"/>
            </w:tcBorders>
            <w:shd w:val="clear" w:color="auto" w:fill="auto"/>
            <w:vAlign w:val="center"/>
            <w:hideMark/>
          </w:tcPr>
          <w:p w14:paraId="2165BF8F" w14:textId="5D54C617" w:rsidR="004D770A" w:rsidRPr="00781234" w:rsidRDefault="004D770A" w:rsidP="004D770A">
            <w:pPr>
              <w:spacing w:after="0" w:line="240" w:lineRule="auto"/>
              <w:jc w:val="both"/>
              <w:rPr>
                <w:rFonts w:ascii="Arial" w:eastAsia="Times New Roman"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 xml:space="preserve">niform increase to </w:t>
            </w:r>
            <w:r>
              <w:rPr>
                <w:rFonts w:ascii="Arial" w:eastAsia="Times New Roman" w:hAnsi="Arial" w:cs="Arial"/>
                <w:color w:val="39414D"/>
                <w:sz w:val="16"/>
                <w:szCs w:val="16"/>
              </w:rPr>
              <w:t>nursing home reimbursement</w:t>
            </w:r>
          </w:p>
        </w:tc>
        <w:tc>
          <w:tcPr>
            <w:tcW w:w="1476" w:type="dxa"/>
            <w:tcBorders>
              <w:top w:val="nil"/>
              <w:left w:val="nil"/>
              <w:bottom w:val="nil"/>
              <w:right w:val="nil"/>
            </w:tcBorders>
            <w:shd w:val="clear" w:color="auto" w:fill="auto"/>
            <w:vAlign w:val="center"/>
            <w:hideMark/>
          </w:tcPr>
          <w:p w14:paraId="57728818" w14:textId="77777777" w:rsidR="004D770A" w:rsidRPr="00781234" w:rsidRDefault="004D770A" w:rsidP="004D770A">
            <w:pPr>
              <w:spacing w:after="0" w:line="240" w:lineRule="auto"/>
              <w:jc w:val="center"/>
              <w:rPr>
                <w:rFonts w:ascii="Arial" w:eastAsia="Times New Roman" w:hAnsi="Arial" w:cs="Arial"/>
                <w:color w:val="39414D"/>
                <w:sz w:val="16"/>
                <w:szCs w:val="16"/>
              </w:rPr>
            </w:pPr>
            <w:r w:rsidRPr="00781234">
              <w:rPr>
                <w:rFonts w:ascii="Arial" w:eastAsia="Times New Roman" w:hAnsi="Arial" w:cs="Arial"/>
                <w:color w:val="39414D"/>
                <w:sz w:val="16"/>
                <w:szCs w:val="16"/>
              </w:rPr>
              <w:t>Rate Adjustment</w:t>
            </w:r>
          </w:p>
        </w:tc>
      </w:tr>
      <w:tr w:rsidR="001C6A1E" w:rsidRPr="00781234" w14:paraId="79344E75" w14:textId="77777777" w:rsidTr="0027012E">
        <w:trPr>
          <w:trHeight w:val="576"/>
        </w:trPr>
        <w:tc>
          <w:tcPr>
            <w:tcW w:w="3774" w:type="dxa"/>
            <w:tcBorders>
              <w:top w:val="nil"/>
              <w:left w:val="nil"/>
              <w:bottom w:val="nil"/>
              <w:right w:val="nil"/>
            </w:tcBorders>
            <w:shd w:val="clear" w:color="000000" w:fill="E8E9E9"/>
            <w:noWrap/>
            <w:vAlign w:val="center"/>
            <w:hideMark/>
          </w:tcPr>
          <w:p w14:paraId="1450441A" w14:textId="170F3936" w:rsidR="001C6A1E" w:rsidRPr="00781234" w:rsidRDefault="001C6A1E" w:rsidP="001C6A1E">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 xml:space="preserve">TBD: </w:t>
            </w:r>
            <w:r w:rsidRPr="0052148B">
              <w:rPr>
                <w:rFonts w:ascii="Arial" w:eastAsia="Times New Roman" w:hAnsi="Arial" w:cs="Arial"/>
                <w:color w:val="39414D"/>
                <w:sz w:val="16"/>
                <w:szCs w:val="16"/>
              </w:rPr>
              <w:t>Personal Care Shift Differential</w:t>
            </w:r>
          </w:p>
        </w:tc>
        <w:tc>
          <w:tcPr>
            <w:tcW w:w="1879" w:type="dxa"/>
            <w:tcBorders>
              <w:top w:val="nil"/>
              <w:left w:val="nil"/>
              <w:bottom w:val="nil"/>
              <w:right w:val="nil"/>
            </w:tcBorders>
            <w:shd w:val="clear" w:color="000000" w:fill="E8E9E9"/>
            <w:vAlign w:val="center"/>
            <w:hideMark/>
          </w:tcPr>
          <w:p w14:paraId="665153AA" w14:textId="3E12991F" w:rsidR="001C6A1E" w:rsidRPr="00781234" w:rsidRDefault="001C6A1E" w:rsidP="001C6A1E">
            <w:pPr>
              <w:spacing w:after="0" w:line="240" w:lineRule="auto"/>
              <w:jc w:val="center"/>
              <w:rPr>
                <w:rFonts w:ascii="Arial" w:eastAsia="Times New Roman" w:hAnsi="Arial" w:cs="Arial"/>
                <w:color w:val="39414D"/>
                <w:sz w:val="16"/>
                <w:szCs w:val="16"/>
              </w:rPr>
            </w:pPr>
            <w:r w:rsidRPr="0047127A">
              <w:rPr>
                <w:rFonts w:ascii="Arial" w:hAnsi="Arial" w:cs="Arial"/>
                <w:color w:val="39414D"/>
                <w:sz w:val="16"/>
                <w:szCs w:val="16"/>
              </w:rPr>
              <w:t>Minimum fee schedule</w:t>
            </w:r>
          </w:p>
        </w:tc>
        <w:tc>
          <w:tcPr>
            <w:tcW w:w="2807" w:type="dxa"/>
            <w:tcBorders>
              <w:top w:val="nil"/>
              <w:left w:val="nil"/>
              <w:bottom w:val="nil"/>
              <w:right w:val="nil"/>
            </w:tcBorders>
            <w:shd w:val="clear" w:color="000000" w:fill="E8E9E9"/>
            <w:vAlign w:val="center"/>
            <w:hideMark/>
          </w:tcPr>
          <w:p w14:paraId="59037FC4" w14:textId="24B2FF33" w:rsidR="001C6A1E" w:rsidRPr="00781234" w:rsidRDefault="001C6A1E" w:rsidP="001C6A1E">
            <w:pPr>
              <w:spacing w:after="0" w:line="240" w:lineRule="auto"/>
              <w:jc w:val="both"/>
              <w:rPr>
                <w:rFonts w:ascii="Arial" w:eastAsia="Times New Roman" w:hAnsi="Arial" w:cs="Arial"/>
                <w:color w:val="39414D"/>
                <w:sz w:val="16"/>
                <w:szCs w:val="16"/>
              </w:rPr>
            </w:pPr>
            <w:r w:rsidRPr="0047127A">
              <w:rPr>
                <w:rFonts w:ascii="Arial" w:hAnsi="Arial" w:cs="Arial"/>
                <w:color w:val="39414D"/>
                <w:sz w:val="16"/>
                <w:szCs w:val="16"/>
              </w:rPr>
              <w:t xml:space="preserve">Minimum fee schedule per </w:t>
            </w:r>
            <w:r>
              <w:rPr>
                <w:rFonts w:ascii="Arial" w:hAnsi="Arial" w:cs="Arial"/>
                <w:color w:val="39414D"/>
                <w:sz w:val="16"/>
                <w:szCs w:val="16"/>
              </w:rPr>
              <w:t xml:space="preserve">fifteen minutes </w:t>
            </w:r>
            <w:r w:rsidRPr="0047127A">
              <w:rPr>
                <w:rFonts w:ascii="Arial" w:hAnsi="Arial" w:cs="Arial"/>
                <w:color w:val="39414D"/>
                <w:sz w:val="16"/>
                <w:szCs w:val="16"/>
              </w:rPr>
              <w:t xml:space="preserve">for personal care </w:t>
            </w:r>
            <w:r>
              <w:rPr>
                <w:rFonts w:ascii="Arial" w:hAnsi="Arial" w:cs="Arial"/>
                <w:color w:val="39414D"/>
                <w:sz w:val="16"/>
                <w:szCs w:val="16"/>
              </w:rPr>
              <w:t xml:space="preserve">and combined personal care/homemaker </w:t>
            </w:r>
            <w:r w:rsidRPr="0047127A">
              <w:rPr>
                <w:rFonts w:ascii="Arial" w:hAnsi="Arial" w:cs="Arial"/>
                <w:color w:val="39414D"/>
                <w:sz w:val="16"/>
                <w:szCs w:val="16"/>
              </w:rPr>
              <w:t>services</w:t>
            </w:r>
          </w:p>
        </w:tc>
        <w:tc>
          <w:tcPr>
            <w:tcW w:w="1476" w:type="dxa"/>
            <w:tcBorders>
              <w:top w:val="nil"/>
              <w:left w:val="nil"/>
              <w:bottom w:val="nil"/>
              <w:right w:val="nil"/>
            </w:tcBorders>
            <w:shd w:val="clear" w:color="000000" w:fill="E8E9E9"/>
            <w:vAlign w:val="center"/>
            <w:hideMark/>
          </w:tcPr>
          <w:p w14:paraId="76496854" w14:textId="01F51FCC" w:rsidR="001C6A1E" w:rsidRPr="00781234" w:rsidRDefault="001C6A1E" w:rsidP="001C6A1E">
            <w:pPr>
              <w:spacing w:after="0" w:line="240" w:lineRule="auto"/>
              <w:jc w:val="center"/>
              <w:rPr>
                <w:rFonts w:ascii="Arial" w:eastAsia="Times New Roman" w:hAnsi="Arial" w:cs="Arial"/>
                <w:color w:val="39414D"/>
                <w:sz w:val="16"/>
                <w:szCs w:val="16"/>
              </w:rPr>
            </w:pPr>
            <w:r w:rsidRPr="0047127A">
              <w:rPr>
                <w:rFonts w:ascii="Arial" w:hAnsi="Arial" w:cs="Arial"/>
                <w:color w:val="39414D"/>
                <w:sz w:val="16"/>
                <w:szCs w:val="16"/>
              </w:rPr>
              <w:t>Rate Adjustment</w:t>
            </w:r>
          </w:p>
        </w:tc>
      </w:tr>
      <w:tr w:rsidR="001C6A1E" w:rsidRPr="00781234" w14:paraId="67E98BB7" w14:textId="77777777" w:rsidTr="0027012E">
        <w:trPr>
          <w:trHeight w:val="576"/>
        </w:trPr>
        <w:tc>
          <w:tcPr>
            <w:tcW w:w="3774" w:type="dxa"/>
            <w:tcBorders>
              <w:top w:val="nil"/>
              <w:left w:val="nil"/>
              <w:bottom w:val="nil"/>
              <w:right w:val="nil"/>
            </w:tcBorders>
            <w:shd w:val="clear" w:color="auto" w:fill="auto"/>
            <w:noWrap/>
            <w:vAlign w:val="center"/>
          </w:tcPr>
          <w:p w14:paraId="7EE9E3DB" w14:textId="053FD52F" w:rsidR="001C6A1E" w:rsidRPr="003C2952" w:rsidRDefault="001C6A1E" w:rsidP="001C6A1E">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 xml:space="preserve">N/A: </w:t>
            </w:r>
            <w:r w:rsidRPr="0052148B">
              <w:rPr>
                <w:rFonts w:ascii="Arial" w:eastAsia="Times New Roman" w:hAnsi="Arial" w:cs="Arial"/>
                <w:color w:val="39414D"/>
                <w:sz w:val="16"/>
                <w:szCs w:val="16"/>
              </w:rPr>
              <w:t>Personal Care Behavioral Health Certification Enhancement</w:t>
            </w:r>
          </w:p>
        </w:tc>
        <w:tc>
          <w:tcPr>
            <w:tcW w:w="1879" w:type="dxa"/>
            <w:tcBorders>
              <w:top w:val="nil"/>
              <w:left w:val="nil"/>
              <w:bottom w:val="nil"/>
              <w:right w:val="nil"/>
            </w:tcBorders>
            <w:shd w:val="clear" w:color="auto" w:fill="auto"/>
            <w:vAlign w:val="center"/>
          </w:tcPr>
          <w:p w14:paraId="6DD7557F" w14:textId="7CE22BFC" w:rsidR="001C6A1E" w:rsidRPr="00781234" w:rsidRDefault="001C6A1E" w:rsidP="001C6A1E">
            <w:pPr>
              <w:spacing w:after="0" w:line="240" w:lineRule="auto"/>
              <w:jc w:val="center"/>
              <w:rPr>
                <w:rFonts w:ascii="Arial" w:eastAsia="Times New Roman" w:hAnsi="Arial" w:cs="Arial"/>
                <w:color w:val="39414D"/>
                <w:sz w:val="16"/>
                <w:szCs w:val="16"/>
              </w:rPr>
            </w:pPr>
            <w:r w:rsidRPr="0047127A">
              <w:rPr>
                <w:rFonts w:ascii="Arial" w:hAnsi="Arial" w:cs="Arial"/>
                <w:color w:val="39414D"/>
                <w:sz w:val="16"/>
                <w:szCs w:val="16"/>
              </w:rPr>
              <w:t>Minimum fee schedule</w:t>
            </w:r>
          </w:p>
        </w:tc>
        <w:tc>
          <w:tcPr>
            <w:tcW w:w="2807" w:type="dxa"/>
            <w:tcBorders>
              <w:top w:val="nil"/>
              <w:left w:val="nil"/>
              <w:bottom w:val="nil"/>
              <w:right w:val="nil"/>
            </w:tcBorders>
            <w:shd w:val="clear" w:color="auto" w:fill="auto"/>
            <w:vAlign w:val="center"/>
          </w:tcPr>
          <w:p w14:paraId="78F7DC99" w14:textId="3B041902" w:rsidR="001C6A1E" w:rsidRDefault="001C6A1E" w:rsidP="001C6A1E">
            <w:pPr>
              <w:spacing w:after="0" w:line="240" w:lineRule="auto"/>
              <w:jc w:val="both"/>
              <w:rPr>
                <w:rFonts w:ascii="Arial" w:eastAsia="Times New Roman" w:hAnsi="Arial" w:cs="Arial"/>
                <w:color w:val="39414D"/>
                <w:sz w:val="16"/>
                <w:szCs w:val="16"/>
              </w:rPr>
            </w:pPr>
            <w:r w:rsidRPr="0047127A">
              <w:rPr>
                <w:rFonts w:ascii="Arial" w:hAnsi="Arial" w:cs="Arial"/>
                <w:color w:val="39414D"/>
                <w:sz w:val="16"/>
                <w:szCs w:val="16"/>
              </w:rPr>
              <w:t xml:space="preserve">Minimum fee schedule per </w:t>
            </w:r>
            <w:r>
              <w:rPr>
                <w:rFonts w:ascii="Arial" w:hAnsi="Arial" w:cs="Arial"/>
                <w:color w:val="39414D"/>
                <w:sz w:val="16"/>
                <w:szCs w:val="16"/>
              </w:rPr>
              <w:t xml:space="preserve">fifteen minutes </w:t>
            </w:r>
            <w:r w:rsidRPr="0047127A">
              <w:rPr>
                <w:rFonts w:ascii="Arial" w:hAnsi="Arial" w:cs="Arial"/>
                <w:color w:val="39414D"/>
                <w:sz w:val="16"/>
                <w:szCs w:val="16"/>
              </w:rPr>
              <w:t>for personal care</w:t>
            </w:r>
            <w:r>
              <w:rPr>
                <w:rFonts w:ascii="Arial" w:hAnsi="Arial" w:cs="Arial"/>
                <w:color w:val="39414D"/>
                <w:sz w:val="16"/>
                <w:szCs w:val="16"/>
              </w:rPr>
              <w:t>, combined personal care/homemaker, and homemaker only</w:t>
            </w:r>
            <w:r w:rsidRPr="0047127A">
              <w:rPr>
                <w:rFonts w:ascii="Arial" w:hAnsi="Arial" w:cs="Arial"/>
                <w:color w:val="39414D"/>
                <w:sz w:val="16"/>
                <w:szCs w:val="16"/>
              </w:rPr>
              <w:t xml:space="preserve"> services</w:t>
            </w:r>
          </w:p>
        </w:tc>
        <w:tc>
          <w:tcPr>
            <w:tcW w:w="1476" w:type="dxa"/>
            <w:tcBorders>
              <w:top w:val="nil"/>
              <w:left w:val="nil"/>
              <w:bottom w:val="nil"/>
              <w:right w:val="nil"/>
            </w:tcBorders>
            <w:shd w:val="clear" w:color="auto" w:fill="auto"/>
            <w:vAlign w:val="center"/>
          </w:tcPr>
          <w:p w14:paraId="57D6D656" w14:textId="274046A8" w:rsidR="001C6A1E" w:rsidRPr="00781234" w:rsidRDefault="001C6A1E" w:rsidP="001C6A1E">
            <w:pPr>
              <w:spacing w:after="0" w:line="240" w:lineRule="auto"/>
              <w:jc w:val="center"/>
              <w:rPr>
                <w:rFonts w:ascii="Arial" w:eastAsia="Times New Roman" w:hAnsi="Arial" w:cs="Arial"/>
                <w:color w:val="39414D"/>
                <w:sz w:val="16"/>
                <w:szCs w:val="16"/>
              </w:rPr>
            </w:pPr>
            <w:r w:rsidRPr="0047127A">
              <w:rPr>
                <w:rFonts w:ascii="Arial" w:hAnsi="Arial" w:cs="Arial"/>
                <w:color w:val="39414D"/>
                <w:sz w:val="16"/>
                <w:szCs w:val="16"/>
              </w:rPr>
              <w:t>Rate Adjustment</w:t>
            </w:r>
          </w:p>
        </w:tc>
      </w:tr>
      <w:tr w:rsidR="001C6A1E" w:rsidRPr="00781234" w14:paraId="6B7BF749" w14:textId="77777777" w:rsidTr="0027012E">
        <w:trPr>
          <w:trHeight w:val="576"/>
        </w:trPr>
        <w:tc>
          <w:tcPr>
            <w:tcW w:w="3774" w:type="dxa"/>
            <w:tcBorders>
              <w:top w:val="nil"/>
              <w:left w:val="nil"/>
              <w:bottom w:val="nil"/>
              <w:right w:val="nil"/>
            </w:tcBorders>
            <w:shd w:val="clear" w:color="000000" w:fill="E8E9E9"/>
            <w:noWrap/>
            <w:vAlign w:val="center"/>
          </w:tcPr>
          <w:p w14:paraId="4CDA58AD" w14:textId="15990B72" w:rsidR="001C6A1E" w:rsidRPr="003C2952" w:rsidRDefault="001C6A1E" w:rsidP="001C6A1E">
            <w:pPr>
              <w:spacing w:after="0" w:line="240" w:lineRule="auto"/>
              <w:rPr>
                <w:rFonts w:ascii="Arial" w:eastAsia="Times New Roman" w:hAnsi="Arial" w:cs="Arial"/>
                <w:color w:val="39414D"/>
                <w:sz w:val="16"/>
                <w:szCs w:val="16"/>
              </w:rPr>
            </w:pPr>
            <w:r w:rsidRPr="00D2354D">
              <w:rPr>
                <w:rFonts w:ascii="Arial" w:eastAsia="Times New Roman" w:hAnsi="Arial" w:cs="Arial"/>
                <w:color w:val="39414D"/>
                <w:sz w:val="16"/>
                <w:szCs w:val="16"/>
              </w:rPr>
              <w:t>RI_VBP_PC_Renewal_20220701-20230630</w:t>
            </w:r>
          </w:p>
        </w:tc>
        <w:tc>
          <w:tcPr>
            <w:tcW w:w="1879" w:type="dxa"/>
            <w:tcBorders>
              <w:top w:val="nil"/>
              <w:left w:val="nil"/>
              <w:bottom w:val="nil"/>
              <w:right w:val="nil"/>
            </w:tcBorders>
            <w:shd w:val="clear" w:color="000000" w:fill="E8E9E9"/>
            <w:vAlign w:val="center"/>
          </w:tcPr>
          <w:p w14:paraId="6F88BF95" w14:textId="2B58C9B1" w:rsidR="001C6A1E" w:rsidRPr="00781234" w:rsidRDefault="001C6A1E" w:rsidP="001C6A1E">
            <w:pPr>
              <w:spacing w:after="0" w:line="240" w:lineRule="auto"/>
              <w:jc w:val="center"/>
              <w:rPr>
                <w:rFonts w:ascii="Arial" w:eastAsia="Times New Roman" w:hAnsi="Arial" w:cs="Arial"/>
                <w:color w:val="39414D"/>
                <w:sz w:val="16"/>
                <w:szCs w:val="16"/>
              </w:rPr>
            </w:pPr>
            <w:r w:rsidRPr="00781234">
              <w:rPr>
                <w:rFonts w:ascii="Arial" w:eastAsia="Times New Roman" w:hAnsi="Arial" w:cs="Arial"/>
                <w:color w:val="39414D"/>
                <w:sz w:val="16"/>
                <w:szCs w:val="16"/>
              </w:rPr>
              <w:t>Performance-based incentive payments</w:t>
            </w:r>
          </w:p>
        </w:tc>
        <w:tc>
          <w:tcPr>
            <w:tcW w:w="2807" w:type="dxa"/>
            <w:tcBorders>
              <w:top w:val="nil"/>
              <w:left w:val="nil"/>
              <w:bottom w:val="nil"/>
              <w:right w:val="nil"/>
            </w:tcBorders>
            <w:shd w:val="clear" w:color="000000" w:fill="E8E9E9"/>
            <w:vAlign w:val="center"/>
          </w:tcPr>
          <w:p w14:paraId="6C2AB60E" w14:textId="3BE6B8D7" w:rsidR="001C6A1E" w:rsidRDefault="001C6A1E" w:rsidP="001C6A1E">
            <w:pPr>
              <w:spacing w:after="0" w:line="240" w:lineRule="auto"/>
              <w:jc w:val="both"/>
              <w:rPr>
                <w:rFonts w:ascii="Arial" w:eastAsia="Times New Roman" w:hAnsi="Arial" w:cs="Arial"/>
                <w:color w:val="39414D"/>
                <w:sz w:val="16"/>
                <w:szCs w:val="16"/>
              </w:rPr>
            </w:pPr>
            <w:r>
              <w:rPr>
                <w:rFonts w:ascii="Arial" w:eastAsia="Times New Roman" w:hAnsi="Arial" w:cs="Arial"/>
                <w:color w:val="39414D"/>
                <w:sz w:val="16"/>
                <w:szCs w:val="16"/>
              </w:rPr>
              <w:t>Incentive payment to qualifying providers</w:t>
            </w:r>
          </w:p>
        </w:tc>
        <w:tc>
          <w:tcPr>
            <w:tcW w:w="1476" w:type="dxa"/>
            <w:tcBorders>
              <w:top w:val="nil"/>
              <w:left w:val="nil"/>
              <w:bottom w:val="nil"/>
              <w:right w:val="nil"/>
            </w:tcBorders>
            <w:shd w:val="clear" w:color="000000" w:fill="E8E9E9"/>
            <w:vAlign w:val="center"/>
          </w:tcPr>
          <w:p w14:paraId="3D972BE6" w14:textId="1D4DD138" w:rsidR="001C6A1E" w:rsidRPr="00781234" w:rsidRDefault="001C6A1E" w:rsidP="001C6A1E">
            <w:pPr>
              <w:spacing w:after="0" w:line="240" w:lineRule="auto"/>
              <w:jc w:val="center"/>
              <w:rPr>
                <w:rFonts w:ascii="Arial" w:eastAsia="Times New Roman" w:hAnsi="Arial" w:cs="Arial"/>
                <w:color w:val="39414D"/>
                <w:sz w:val="16"/>
                <w:szCs w:val="16"/>
              </w:rPr>
            </w:pPr>
            <w:r w:rsidRPr="00781234">
              <w:rPr>
                <w:rFonts w:ascii="Arial" w:eastAsia="Times New Roman" w:hAnsi="Arial" w:cs="Arial"/>
                <w:color w:val="39414D"/>
                <w:sz w:val="16"/>
                <w:szCs w:val="16"/>
              </w:rPr>
              <w:t>Rate Adjustment</w:t>
            </w:r>
          </w:p>
        </w:tc>
      </w:tr>
      <w:tr w:rsidR="001C6A1E" w:rsidRPr="00781234" w14:paraId="535BCD55" w14:textId="77777777" w:rsidTr="0027012E">
        <w:trPr>
          <w:trHeight w:val="576"/>
        </w:trPr>
        <w:tc>
          <w:tcPr>
            <w:tcW w:w="3774" w:type="dxa"/>
            <w:tcBorders>
              <w:top w:val="nil"/>
              <w:left w:val="nil"/>
              <w:bottom w:val="nil"/>
              <w:right w:val="nil"/>
            </w:tcBorders>
            <w:shd w:val="clear" w:color="auto" w:fill="auto"/>
            <w:noWrap/>
            <w:vAlign w:val="center"/>
            <w:hideMark/>
          </w:tcPr>
          <w:p w14:paraId="66B2C6BA" w14:textId="4D602543" w:rsidR="001C6A1E" w:rsidRPr="00781234" w:rsidRDefault="001C6A1E" w:rsidP="001C6A1E">
            <w:pPr>
              <w:spacing w:after="0" w:line="240" w:lineRule="auto"/>
              <w:rPr>
                <w:rFonts w:ascii="Arial" w:eastAsia="Times New Roman" w:hAnsi="Arial" w:cs="Arial"/>
                <w:color w:val="39414D"/>
                <w:sz w:val="16"/>
                <w:szCs w:val="16"/>
              </w:rPr>
            </w:pPr>
            <w:r w:rsidRPr="00A9709D">
              <w:rPr>
                <w:rFonts w:ascii="Arial" w:eastAsia="Times New Roman" w:hAnsi="Arial" w:cs="Arial"/>
                <w:color w:val="39414D"/>
                <w:sz w:val="16"/>
                <w:szCs w:val="16"/>
              </w:rPr>
              <w:t>RI_VBP_Oth_Renewal_20220701-20230630</w:t>
            </w:r>
          </w:p>
        </w:tc>
        <w:tc>
          <w:tcPr>
            <w:tcW w:w="1879" w:type="dxa"/>
            <w:tcBorders>
              <w:top w:val="nil"/>
              <w:left w:val="nil"/>
              <w:bottom w:val="nil"/>
              <w:right w:val="nil"/>
            </w:tcBorders>
            <w:shd w:val="clear" w:color="auto" w:fill="auto"/>
            <w:vAlign w:val="center"/>
            <w:hideMark/>
          </w:tcPr>
          <w:p w14:paraId="737EC0E2" w14:textId="7C8265F6" w:rsidR="001C6A1E" w:rsidRPr="00781234" w:rsidRDefault="001C6A1E" w:rsidP="001C6A1E">
            <w:pPr>
              <w:spacing w:after="0" w:line="240" w:lineRule="auto"/>
              <w:jc w:val="center"/>
              <w:rPr>
                <w:rFonts w:ascii="Arial" w:eastAsia="Times New Roman" w:hAnsi="Arial" w:cs="Arial"/>
                <w:color w:val="39414D"/>
                <w:sz w:val="16"/>
                <w:szCs w:val="16"/>
              </w:rPr>
            </w:pPr>
            <w:r w:rsidRPr="00781234">
              <w:rPr>
                <w:rFonts w:ascii="Arial" w:eastAsia="Times New Roman" w:hAnsi="Arial" w:cs="Arial"/>
                <w:color w:val="39414D"/>
                <w:sz w:val="16"/>
                <w:szCs w:val="16"/>
              </w:rPr>
              <w:t>Performance-based incentive payments</w:t>
            </w:r>
          </w:p>
        </w:tc>
        <w:tc>
          <w:tcPr>
            <w:tcW w:w="2807" w:type="dxa"/>
            <w:tcBorders>
              <w:top w:val="nil"/>
              <w:left w:val="nil"/>
              <w:bottom w:val="nil"/>
              <w:right w:val="nil"/>
            </w:tcBorders>
            <w:shd w:val="clear" w:color="auto" w:fill="auto"/>
            <w:vAlign w:val="center"/>
            <w:hideMark/>
          </w:tcPr>
          <w:p w14:paraId="60BA8CD8" w14:textId="318E7A6A" w:rsidR="001C6A1E" w:rsidRPr="00781234" w:rsidRDefault="001C6A1E" w:rsidP="001C6A1E">
            <w:pPr>
              <w:spacing w:after="0" w:line="240" w:lineRule="auto"/>
              <w:jc w:val="both"/>
              <w:rPr>
                <w:rFonts w:ascii="Arial" w:eastAsia="Times New Roman" w:hAnsi="Arial" w:cs="Arial"/>
                <w:color w:val="39414D"/>
                <w:sz w:val="16"/>
                <w:szCs w:val="16"/>
              </w:rPr>
            </w:pPr>
            <w:r>
              <w:rPr>
                <w:rFonts w:ascii="Arial" w:eastAsia="Times New Roman" w:hAnsi="Arial" w:cs="Arial"/>
                <w:color w:val="39414D"/>
                <w:sz w:val="16"/>
                <w:szCs w:val="16"/>
              </w:rPr>
              <w:t>Shared savings or losses for certified AEs</w:t>
            </w:r>
          </w:p>
        </w:tc>
        <w:tc>
          <w:tcPr>
            <w:tcW w:w="1476" w:type="dxa"/>
            <w:tcBorders>
              <w:top w:val="nil"/>
              <w:left w:val="nil"/>
              <w:bottom w:val="nil"/>
              <w:right w:val="nil"/>
            </w:tcBorders>
            <w:shd w:val="clear" w:color="auto" w:fill="auto"/>
            <w:vAlign w:val="center"/>
            <w:hideMark/>
          </w:tcPr>
          <w:p w14:paraId="6FBA264A" w14:textId="56FAC2A9" w:rsidR="001C6A1E" w:rsidRPr="00781234" w:rsidRDefault="001C6A1E" w:rsidP="001C6A1E">
            <w:pPr>
              <w:spacing w:after="0" w:line="240" w:lineRule="auto"/>
              <w:jc w:val="center"/>
              <w:rPr>
                <w:rFonts w:ascii="Arial" w:eastAsia="Times New Roman" w:hAnsi="Arial" w:cs="Arial"/>
                <w:color w:val="39414D"/>
                <w:sz w:val="16"/>
                <w:szCs w:val="16"/>
              </w:rPr>
            </w:pPr>
            <w:r w:rsidRPr="00781234">
              <w:rPr>
                <w:rFonts w:ascii="Arial" w:eastAsia="Times New Roman" w:hAnsi="Arial" w:cs="Arial"/>
                <w:color w:val="39414D"/>
                <w:sz w:val="16"/>
                <w:szCs w:val="16"/>
              </w:rPr>
              <w:t>Rate Adjustment</w:t>
            </w:r>
          </w:p>
        </w:tc>
      </w:tr>
    </w:tbl>
    <w:bookmarkEnd w:id="363"/>
    <w:p w14:paraId="1294E315" w14:textId="1C41808D" w:rsidR="00B90FC5" w:rsidRDefault="003D3B93" w:rsidP="005B5634">
      <w:pPr>
        <w:pStyle w:val="Heading6"/>
        <w:spacing w:before="120"/>
        <w:jc w:val="both"/>
      </w:pPr>
      <w:r>
        <w:br w:type="column"/>
      </w:r>
      <w:r w:rsidR="009E6D9D">
        <w:lastRenderedPageBreak/>
        <w:t>Effect on capitation rates</w:t>
      </w:r>
    </w:p>
    <w:p w14:paraId="17EE96E7" w14:textId="63FCC3E7" w:rsidR="003458A9" w:rsidRDefault="00727EB8" w:rsidP="005B5634">
      <w:pPr>
        <w:jc w:val="both"/>
      </w:pPr>
      <w:r>
        <w:t>Consistent with 42 CFR §438.7(b)(6) and 438.6(d), state directed payment</w:t>
      </w:r>
      <w:r w:rsidR="00387B03">
        <w:t>s</w:t>
      </w:r>
      <w:r>
        <w:t xml:space="preserve"> will be incorporated into the rate certification as a rate adjustment consistent with the approved preprint</w:t>
      </w:r>
      <w:r w:rsidR="001D322C">
        <w:t xml:space="preserve">. The effect </w:t>
      </w:r>
      <w:r w:rsidR="00D10174">
        <w:t xml:space="preserve">of </w:t>
      </w:r>
      <w:r w:rsidR="001D322C">
        <w:t xml:space="preserve">each state directed payment </w:t>
      </w:r>
      <w:r w:rsidR="00D10174">
        <w:t xml:space="preserve">on the SFY 2023 capitation rates </w:t>
      </w:r>
      <w:r w:rsidR="001D322C">
        <w:t>is outlined in the figure below.</w:t>
      </w:r>
    </w:p>
    <w:tbl>
      <w:tblPr>
        <w:tblW w:w="10573" w:type="dxa"/>
        <w:tblLook w:val="04A0" w:firstRow="1" w:lastRow="0" w:firstColumn="1" w:lastColumn="0" w:noHBand="0" w:noVBand="1"/>
      </w:tblPr>
      <w:tblGrid>
        <w:gridCol w:w="2743"/>
        <w:gridCol w:w="1350"/>
        <w:gridCol w:w="1980"/>
        <w:gridCol w:w="2610"/>
        <w:gridCol w:w="1890"/>
      </w:tblGrid>
      <w:tr w:rsidR="001D322C" w:rsidRPr="00537419" w14:paraId="6F07DA05" w14:textId="77777777" w:rsidTr="009A5C49">
        <w:trPr>
          <w:trHeight w:val="240"/>
        </w:trPr>
        <w:tc>
          <w:tcPr>
            <w:tcW w:w="10573" w:type="dxa"/>
            <w:gridSpan w:val="5"/>
            <w:tcBorders>
              <w:top w:val="nil"/>
              <w:left w:val="nil"/>
              <w:bottom w:val="nil"/>
              <w:right w:val="nil"/>
            </w:tcBorders>
            <w:shd w:val="clear" w:color="auto" w:fill="auto"/>
            <w:noWrap/>
            <w:vAlign w:val="center"/>
            <w:hideMark/>
          </w:tcPr>
          <w:p w14:paraId="58C344E7" w14:textId="0BFF9BD2" w:rsidR="001D322C" w:rsidRPr="00537419" w:rsidRDefault="001D322C" w:rsidP="001D322C">
            <w:pPr>
              <w:spacing w:after="0" w:line="240" w:lineRule="auto"/>
              <w:rPr>
                <w:rFonts w:ascii="Arial" w:eastAsia="Times New Roman" w:hAnsi="Arial" w:cs="Arial"/>
                <w:b/>
                <w:bCs/>
                <w:color w:val="0081E3"/>
                <w:sz w:val="16"/>
                <w:szCs w:val="16"/>
              </w:rPr>
            </w:pPr>
            <w:r w:rsidRPr="00993A94">
              <w:rPr>
                <w:rFonts w:ascii="Arial" w:eastAsia="Times New Roman" w:hAnsi="Arial" w:cs="Arial"/>
                <w:b/>
                <w:bCs/>
                <w:color w:val="0081E3"/>
                <w:sz w:val="16"/>
                <w:szCs w:val="16"/>
              </w:rPr>
              <w:t>FIGURE 2</w:t>
            </w:r>
            <w:r w:rsidR="00273A3D">
              <w:rPr>
                <w:rFonts w:ascii="Arial" w:eastAsia="Times New Roman" w:hAnsi="Arial" w:cs="Arial"/>
                <w:b/>
                <w:bCs/>
                <w:color w:val="0081E3"/>
                <w:sz w:val="16"/>
                <w:szCs w:val="16"/>
              </w:rPr>
              <w:t>2</w:t>
            </w:r>
            <w:r w:rsidRPr="00993A94">
              <w:rPr>
                <w:rFonts w:ascii="Arial" w:eastAsia="Times New Roman" w:hAnsi="Arial" w:cs="Arial"/>
                <w:b/>
                <w:bCs/>
                <w:color w:val="0081E3"/>
                <w:sz w:val="16"/>
                <w:szCs w:val="16"/>
              </w:rPr>
              <w:t>: EFFECT OF STATE DIRECTED PAYMENTS</w:t>
            </w:r>
          </w:p>
        </w:tc>
      </w:tr>
      <w:tr w:rsidR="001D322C" w:rsidRPr="00537419" w14:paraId="1F8DF38E" w14:textId="77777777" w:rsidTr="009A5C49">
        <w:trPr>
          <w:trHeight w:val="1008"/>
        </w:trPr>
        <w:tc>
          <w:tcPr>
            <w:tcW w:w="2743" w:type="dxa"/>
            <w:tcBorders>
              <w:top w:val="nil"/>
              <w:left w:val="nil"/>
              <w:bottom w:val="single" w:sz="4" w:space="0" w:color="C6C9CA"/>
              <w:right w:val="nil"/>
            </w:tcBorders>
            <w:shd w:val="clear" w:color="auto" w:fill="auto"/>
            <w:vAlign w:val="center"/>
            <w:hideMark/>
          </w:tcPr>
          <w:p w14:paraId="1B43F671" w14:textId="77777777" w:rsidR="001D322C" w:rsidRPr="00993A94" w:rsidRDefault="001D322C" w:rsidP="00537419">
            <w:pPr>
              <w:spacing w:after="0" w:line="240" w:lineRule="auto"/>
              <w:rPr>
                <w:rFonts w:ascii="Arial" w:eastAsia="Times New Roman" w:hAnsi="Arial" w:cs="Arial"/>
                <w:b/>
                <w:bCs/>
                <w:color w:val="39414D"/>
                <w:sz w:val="16"/>
                <w:szCs w:val="16"/>
              </w:rPr>
            </w:pPr>
            <w:r w:rsidRPr="00993A94">
              <w:rPr>
                <w:rFonts w:ascii="Arial" w:eastAsia="Times New Roman" w:hAnsi="Arial" w:cs="Arial"/>
                <w:b/>
                <w:bCs/>
                <w:color w:val="39414D"/>
                <w:sz w:val="16"/>
                <w:szCs w:val="16"/>
              </w:rPr>
              <w:t>Control Name of the State Directed Payment</w:t>
            </w:r>
          </w:p>
        </w:tc>
        <w:tc>
          <w:tcPr>
            <w:tcW w:w="1350" w:type="dxa"/>
            <w:tcBorders>
              <w:top w:val="nil"/>
              <w:left w:val="nil"/>
              <w:bottom w:val="single" w:sz="4" w:space="0" w:color="C6C9CA"/>
              <w:right w:val="nil"/>
            </w:tcBorders>
            <w:shd w:val="clear" w:color="auto" w:fill="auto"/>
            <w:vAlign w:val="center"/>
            <w:hideMark/>
          </w:tcPr>
          <w:p w14:paraId="19521403" w14:textId="77777777" w:rsidR="001D322C" w:rsidRPr="00993A94" w:rsidRDefault="001D322C" w:rsidP="00537419">
            <w:pPr>
              <w:spacing w:after="0" w:line="240" w:lineRule="auto"/>
              <w:jc w:val="center"/>
              <w:rPr>
                <w:rFonts w:ascii="Arial" w:eastAsia="Times New Roman" w:hAnsi="Arial" w:cs="Arial"/>
                <w:b/>
                <w:bCs/>
                <w:color w:val="39414D"/>
                <w:sz w:val="16"/>
                <w:szCs w:val="16"/>
              </w:rPr>
            </w:pPr>
            <w:r w:rsidRPr="00993A94">
              <w:rPr>
                <w:rFonts w:ascii="Arial" w:eastAsia="Times New Roman" w:hAnsi="Arial" w:cs="Arial"/>
                <w:b/>
                <w:bCs/>
                <w:color w:val="39414D"/>
                <w:sz w:val="16"/>
                <w:szCs w:val="16"/>
              </w:rPr>
              <w:t>Rate Cells Affected</w:t>
            </w:r>
          </w:p>
        </w:tc>
        <w:tc>
          <w:tcPr>
            <w:tcW w:w="1980" w:type="dxa"/>
            <w:tcBorders>
              <w:top w:val="nil"/>
              <w:left w:val="nil"/>
              <w:bottom w:val="single" w:sz="4" w:space="0" w:color="C6C9CA"/>
              <w:right w:val="nil"/>
            </w:tcBorders>
            <w:shd w:val="clear" w:color="auto" w:fill="auto"/>
            <w:vAlign w:val="center"/>
            <w:hideMark/>
          </w:tcPr>
          <w:p w14:paraId="7CD66B16" w14:textId="77777777" w:rsidR="001D322C" w:rsidRPr="00993A94" w:rsidRDefault="001D322C" w:rsidP="00537419">
            <w:pPr>
              <w:spacing w:after="0" w:line="240" w:lineRule="auto"/>
              <w:jc w:val="center"/>
              <w:rPr>
                <w:rFonts w:ascii="Arial" w:eastAsia="Times New Roman" w:hAnsi="Arial" w:cs="Arial"/>
                <w:b/>
                <w:bCs/>
                <w:color w:val="39414D"/>
                <w:sz w:val="16"/>
                <w:szCs w:val="16"/>
              </w:rPr>
            </w:pPr>
            <w:r w:rsidRPr="00993A94">
              <w:rPr>
                <w:rFonts w:ascii="Arial" w:eastAsia="Times New Roman" w:hAnsi="Arial" w:cs="Arial"/>
                <w:b/>
                <w:bCs/>
                <w:color w:val="39414D"/>
                <w:sz w:val="16"/>
                <w:szCs w:val="16"/>
              </w:rPr>
              <w:t>Impact</w:t>
            </w:r>
          </w:p>
        </w:tc>
        <w:tc>
          <w:tcPr>
            <w:tcW w:w="2610" w:type="dxa"/>
            <w:tcBorders>
              <w:top w:val="nil"/>
              <w:left w:val="nil"/>
              <w:bottom w:val="single" w:sz="4" w:space="0" w:color="C6C9CA"/>
              <w:right w:val="nil"/>
            </w:tcBorders>
            <w:shd w:val="clear" w:color="auto" w:fill="auto"/>
            <w:vAlign w:val="center"/>
            <w:hideMark/>
          </w:tcPr>
          <w:p w14:paraId="48D72D71" w14:textId="77777777" w:rsidR="001D322C" w:rsidRPr="00993A94" w:rsidRDefault="001D322C" w:rsidP="00537419">
            <w:pPr>
              <w:spacing w:after="0" w:line="240" w:lineRule="auto"/>
              <w:jc w:val="center"/>
              <w:rPr>
                <w:rFonts w:ascii="Arial" w:eastAsia="Times New Roman" w:hAnsi="Arial" w:cs="Arial"/>
                <w:b/>
                <w:bCs/>
                <w:color w:val="39414D"/>
                <w:sz w:val="16"/>
                <w:szCs w:val="16"/>
              </w:rPr>
            </w:pPr>
            <w:r w:rsidRPr="00993A94">
              <w:rPr>
                <w:rFonts w:ascii="Arial" w:eastAsia="Times New Roman" w:hAnsi="Arial" w:cs="Arial"/>
                <w:b/>
                <w:bCs/>
                <w:color w:val="39414D"/>
                <w:sz w:val="16"/>
                <w:szCs w:val="16"/>
              </w:rPr>
              <w:t>Description of the Adjustment</w:t>
            </w:r>
          </w:p>
        </w:tc>
        <w:tc>
          <w:tcPr>
            <w:tcW w:w="1890" w:type="dxa"/>
            <w:tcBorders>
              <w:top w:val="nil"/>
              <w:left w:val="nil"/>
              <w:bottom w:val="single" w:sz="4" w:space="0" w:color="C6C9CA"/>
              <w:right w:val="nil"/>
            </w:tcBorders>
            <w:shd w:val="clear" w:color="auto" w:fill="auto"/>
            <w:vAlign w:val="center"/>
            <w:hideMark/>
          </w:tcPr>
          <w:p w14:paraId="01F72B09" w14:textId="77777777" w:rsidR="001D322C" w:rsidRPr="00993A94" w:rsidRDefault="001D322C" w:rsidP="00537419">
            <w:pPr>
              <w:spacing w:after="0" w:line="240" w:lineRule="auto"/>
              <w:jc w:val="center"/>
              <w:rPr>
                <w:rFonts w:ascii="Arial" w:eastAsia="Times New Roman" w:hAnsi="Arial" w:cs="Arial"/>
                <w:b/>
                <w:bCs/>
                <w:color w:val="39414D"/>
                <w:sz w:val="16"/>
                <w:szCs w:val="16"/>
              </w:rPr>
            </w:pPr>
            <w:r w:rsidRPr="00993A94">
              <w:rPr>
                <w:rFonts w:ascii="Arial" w:eastAsia="Times New Roman" w:hAnsi="Arial" w:cs="Arial"/>
                <w:b/>
                <w:bCs/>
                <w:color w:val="39414D"/>
                <w:sz w:val="16"/>
                <w:szCs w:val="16"/>
              </w:rPr>
              <w:t>Confirmation the Rates are Consistent with the Preprint</w:t>
            </w:r>
          </w:p>
        </w:tc>
      </w:tr>
      <w:tr w:rsidR="00D2354D" w:rsidRPr="00537419" w14:paraId="0F12A9DF" w14:textId="77777777" w:rsidTr="009A5C49">
        <w:trPr>
          <w:trHeight w:val="576"/>
        </w:trPr>
        <w:tc>
          <w:tcPr>
            <w:tcW w:w="2743" w:type="dxa"/>
            <w:tcBorders>
              <w:top w:val="nil"/>
              <w:left w:val="nil"/>
              <w:bottom w:val="nil"/>
              <w:right w:val="nil"/>
            </w:tcBorders>
            <w:shd w:val="clear" w:color="auto" w:fill="auto"/>
            <w:noWrap/>
            <w:vAlign w:val="center"/>
            <w:hideMark/>
          </w:tcPr>
          <w:p w14:paraId="23C554CB" w14:textId="757AD8F7" w:rsidR="00D2354D" w:rsidRPr="00993A94" w:rsidRDefault="00D2354D" w:rsidP="00D2354D">
            <w:pPr>
              <w:spacing w:after="0" w:line="240" w:lineRule="auto"/>
              <w:rPr>
                <w:rFonts w:ascii="Arial" w:eastAsia="Times New Roman" w:hAnsi="Arial" w:cs="Arial"/>
                <w:color w:val="39414D"/>
                <w:sz w:val="16"/>
                <w:szCs w:val="16"/>
              </w:rPr>
            </w:pPr>
            <w:r w:rsidRPr="00D2354D">
              <w:rPr>
                <w:rFonts w:ascii="Arial" w:eastAsia="Times New Roman" w:hAnsi="Arial" w:cs="Arial"/>
                <w:color w:val="39414D"/>
                <w:sz w:val="16"/>
                <w:szCs w:val="16"/>
              </w:rPr>
              <w:t>RI_Fee_IPH_Renewal_20220701-20230630</w:t>
            </w:r>
          </w:p>
        </w:tc>
        <w:tc>
          <w:tcPr>
            <w:tcW w:w="1350" w:type="dxa"/>
            <w:tcBorders>
              <w:top w:val="nil"/>
              <w:left w:val="nil"/>
              <w:bottom w:val="nil"/>
              <w:right w:val="nil"/>
            </w:tcBorders>
            <w:shd w:val="clear" w:color="auto" w:fill="auto"/>
            <w:noWrap/>
            <w:vAlign w:val="center"/>
            <w:hideMark/>
          </w:tcPr>
          <w:p w14:paraId="6452A325" w14:textId="779AE992" w:rsidR="00D2354D" w:rsidRPr="00993A94" w:rsidRDefault="00D2354D" w:rsidP="00D2354D">
            <w:pPr>
              <w:spacing w:after="0" w:line="240" w:lineRule="auto"/>
              <w:rPr>
                <w:rFonts w:ascii="Arial" w:eastAsia="Times New Roman" w:hAnsi="Arial" w:cs="Arial"/>
                <w:color w:val="39414D"/>
                <w:sz w:val="16"/>
                <w:szCs w:val="16"/>
              </w:rPr>
            </w:pPr>
            <w:r w:rsidRPr="00993A94">
              <w:rPr>
                <w:rFonts w:ascii="Arial" w:eastAsia="Times New Roman" w:hAnsi="Arial" w:cs="Arial"/>
                <w:color w:val="39414D"/>
                <w:sz w:val="16"/>
                <w:szCs w:val="16"/>
              </w:rPr>
              <w:t>All</w:t>
            </w:r>
            <w:r>
              <w:rPr>
                <w:rFonts w:ascii="Arial" w:eastAsia="Times New Roman" w:hAnsi="Arial" w:cs="Arial"/>
                <w:color w:val="39414D"/>
                <w:sz w:val="16"/>
                <w:szCs w:val="16"/>
              </w:rPr>
              <w:t xml:space="preserve"> Rate Cells</w:t>
            </w:r>
          </w:p>
        </w:tc>
        <w:tc>
          <w:tcPr>
            <w:tcW w:w="1980" w:type="dxa"/>
            <w:tcBorders>
              <w:top w:val="nil"/>
              <w:left w:val="nil"/>
              <w:bottom w:val="nil"/>
              <w:right w:val="nil"/>
            </w:tcBorders>
            <w:shd w:val="clear" w:color="auto" w:fill="auto"/>
            <w:noWrap/>
            <w:vAlign w:val="center"/>
            <w:hideMark/>
          </w:tcPr>
          <w:p w14:paraId="5149B382" w14:textId="3C5331E7" w:rsidR="00D2354D" w:rsidRPr="00993A94" w:rsidRDefault="00D2354D" w:rsidP="00D2354D">
            <w:pPr>
              <w:spacing w:after="0" w:line="240" w:lineRule="auto"/>
              <w:rPr>
                <w:rFonts w:ascii="Arial" w:eastAsia="Times New Roman" w:hAnsi="Arial" w:cs="Arial"/>
                <w:color w:val="39414D"/>
                <w:sz w:val="16"/>
                <w:szCs w:val="16"/>
              </w:rPr>
            </w:pPr>
            <w:r w:rsidRPr="001D322C">
              <w:rPr>
                <w:rFonts w:ascii="Arial" w:eastAsia="Times New Roman" w:hAnsi="Arial" w:cs="Arial"/>
                <w:color w:val="39414D"/>
                <w:sz w:val="16"/>
                <w:szCs w:val="16"/>
              </w:rPr>
              <w:t xml:space="preserve">2.0% </w:t>
            </w:r>
            <w:r>
              <w:rPr>
                <w:rFonts w:ascii="Arial" w:eastAsia="Times New Roman" w:hAnsi="Arial" w:cs="Arial"/>
                <w:color w:val="39414D"/>
                <w:sz w:val="16"/>
                <w:szCs w:val="16"/>
              </w:rPr>
              <w:t xml:space="preserve">increase </w:t>
            </w:r>
            <w:r w:rsidRPr="001D322C">
              <w:rPr>
                <w:rFonts w:ascii="Arial" w:eastAsia="Times New Roman" w:hAnsi="Arial" w:cs="Arial"/>
                <w:color w:val="39414D"/>
                <w:sz w:val="16"/>
                <w:szCs w:val="16"/>
              </w:rPr>
              <w:t>effective July 1, 2022</w:t>
            </w:r>
          </w:p>
        </w:tc>
        <w:tc>
          <w:tcPr>
            <w:tcW w:w="2610" w:type="dxa"/>
            <w:tcBorders>
              <w:top w:val="nil"/>
              <w:left w:val="nil"/>
              <w:bottom w:val="nil"/>
              <w:right w:val="nil"/>
            </w:tcBorders>
            <w:shd w:val="clear" w:color="auto" w:fill="auto"/>
            <w:noWrap/>
            <w:vAlign w:val="center"/>
            <w:hideMark/>
          </w:tcPr>
          <w:p w14:paraId="13785FBD" w14:textId="79F16240" w:rsidR="00D2354D" w:rsidRPr="00993A94" w:rsidRDefault="00D2354D" w:rsidP="00D2354D">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niform increase to hospital reimbursement</w:t>
            </w:r>
          </w:p>
        </w:tc>
        <w:tc>
          <w:tcPr>
            <w:tcW w:w="1890" w:type="dxa"/>
            <w:tcBorders>
              <w:top w:val="nil"/>
              <w:left w:val="nil"/>
              <w:bottom w:val="nil"/>
              <w:right w:val="nil"/>
            </w:tcBorders>
            <w:shd w:val="clear" w:color="auto" w:fill="auto"/>
            <w:noWrap/>
            <w:vAlign w:val="center"/>
            <w:hideMark/>
          </w:tcPr>
          <w:p w14:paraId="0BFDA384" w14:textId="653DB319" w:rsidR="00D2354D" w:rsidRPr="00993A94" w:rsidRDefault="00D2354D" w:rsidP="00D2354D">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Consistent with anticipated preprint</w:t>
            </w:r>
          </w:p>
        </w:tc>
      </w:tr>
      <w:tr w:rsidR="00D2354D" w:rsidRPr="00537419" w14:paraId="6A513A2F" w14:textId="77777777" w:rsidTr="009A5C49">
        <w:trPr>
          <w:trHeight w:val="576"/>
        </w:trPr>
        <w:tc>
          <w:tcPr>
            <w:tcW w:w="2743" w:type="dxa"/>
            <w:tcBorders>
              <w:top w:val="nil"/>
              <w:left w:val="nil"/>
              <w:bottom w:val="nil"/>
              <w:right w:val="nil"/>
            </w:tcBorders>
            <w:shd w:val="clear" w:color="000000" w:fill="E8E9E9"/>
            <w:noWrap/>
            <w:vAlign w:val="center"/>
            <w:hideMark/>
          </w:tcPr>
          <w:p w14:paraId="5A0B88A8" w14:textId="7D71CBBF" w:rsidR="00D2354D" w:rsidRPr="00993A94" w:rsidRDefault="00D2354D" w:rsidP="00D2354D">
            <w:pPr>
              <w:spacing w:after="0" w:line="240" w:lineRule="auto"/>
              <w:rPr>
                <w:rFonts w:ascii="Arial" w:eastAsia="Times New Roman" w:hAnsi="Arial" w:cs="Arial"/>
                <w:color w:val="39414D"/>
                <w:sz w:val="16"/>
                <w:szCs w:val="16"/>
              </w:rPr>
            </w:pPr>
            <w:r w:rsidRPr="00D2354D">
              <w:rPr>
                <w:rFonts w:ascii="Arial" w:eastAsia="Times New Roman" w:hAnsi="Arial" w:cs="Arial"/>
                <w:color w:val="39414D"/>
                <w:sz w:val="16"/>
                <w:szCs w:val="16"/>
              </w:rPr>
              <w:t>RI_Fee_</w:t>
            </w:r>
            <w:r>
              <w:rPr>
                <w:rFonts w:ascii="Arial" w:eastAsia="Times New Roman" w:hAnsi="Arial" w:cs="Arial"/>
                <w:color w:val="39414D"/>
                <w:sz w:val="16"/>
                <w:szCs w:val="16"/>
              </w:rPr>
              <w:t>O</w:t>
            </w:r>
            <w:r w:rsidRPr="00D2354D">
              <w:rPr>
                <w:rFonts w:ascii="Arial" w:eastAsia="Times New Roman" w:hAnsi="Arial" w:cs="Arial"/>
                <w:color w:val="39414D"/>
                <w:sz w:val="16"/>
                <w:szCs w:val="16"/>
              </w:rPr>
              <w:t>PH_Renewal_20220701-20230630</w:t>
            </w:r>
          </w:p>
        </w:tc>
        <w:tc>
          <w:tcPr>
            <w:tcW w:w="1350" w:type="dxa"/>
            <w:tcBorders>
              <w:top w:val="nil"/>
              <w:left w:val="nil"/>
              <w:bottom w:val="nil"/>
              <w:right w:val="nil"/>
            </w:tcBorders>
            <w:shd w:val="clear" w:color="000000" w:fill="E8E9E9"/>
            <w:noWrap/>
            <w:vAlign w:val="center"/>
            <w:hideMark/>
          </w:tcPr>
          <w:p w14:paraId="07867B2A" w14:textId="7CED2633" w:rsidR="00D2354D" w:rsidRPr="00993A94" w:rsidRDefault="00D2354D" w:rsidP="00D2354D">
            <w:pPr>
              <w:spacing w:after="0" w:line="240" w:lineRule="auto"/>
              <w:rPr>
                <w:rFonts w:ascii="Arial" w:eastAsia="Times New Roman" w:hAnsi="Arial" w:cs="Arial"/>
                <w:color w:val="39414D"/>
                <w:sz w:val="16"/>
                <w:szCs w:val="16"/>
              </w:rPr>
            </w:pPr>
            <w:r w:rsidRPr="00DA4895">
              <w:rPr>
                <w:rFonts w:ascii="Arial" w:eastAsia="Times New Roman" w:hAnsi="Arial" w:cs="Arial"/>
                <w:color w:val="39414D"/>
                <w:sz w:val="16"/>
                <w:szCs w:val="16"/>
              </w:rPr>
              <w:t>All</w:t>
            </w:r>
            <w:r>
              <w:rPr>
                <w:rFonts w:ascii="Arial" w:eastAsia="Times New Roman" w:hAnsi="Arial" w:cs="Arial"/>
                <w:color w:val="39414D"/>
                <w:sz w:val="16"/>
                <w:szCs w:val="16"/>
              </w:rPr>
              <w:t xml:space="preserve"> Rate Cells</w:t>
            </w:r>
          </w:p>
        </w:tc>
        <w:tc>
          <w:tcPr>
            <w:tcW w:w="1980" w:type="dxa"/>
            <w:tcBorders>
              <w:top w:val="nil"/>
              <w:left w:val="nil"/>
              <w:bottom w:val="nil"/>
              <w:right w:val="nil"/>
            </w:tcBorders>
            <w:shd w:val="clear" w:color="000000" w:fill="E8E9E9"/>
            <w:noWrap/>
            <w:vAlign w:val="center"/>
            <w:hideMark/>
          </w:tcPr>
          <w:p w14:paraId="4D2F9D79" w14:textId="2A687A21" w:rsidR="00D2354D" w:rsidRPr="00993A94" w:rsidRDefault="00D2354D" w:rsidP="00D2354D">
            <w:pPr>
              <w:spacing w:after="0" w:line="240" w:lineRule="auto"/>
              <w:rPr>
                <w:rFonts w:ascii="Arial" w:eastAsia="Times New Roman" w:hAnsi="Arial" w:cs="Arial"/>
                <w:color w:val="39414D"/>
                <w:sz w:val="16"/>
                <w:szCs w:val="16"/>
              </w:rPr>
            </w:pPr>
            <w:r w:rsidRPr="001D322C">
              <w:rPr>
                <w:rFonts w:ascii="Arial" w:eastAsia="Times New Roman" w:hAnsi="Arial" w:cs="Arial"/>
                <w:color w:val="39414D"/>
                <w:sz w:val="16"/>
                <w:szCs w:val="16"/>
              </w:rPr>
              <w:t xml:space="preserve">2.0% </w:t>
            </w:r>
            <w:r>
              <w:rPr>
                <w:rFonts w:ascii="Arial" w:eastAsia="Times New Roman" w:hAnsi="Arial" w:cs="Arial"/>
                <w:color w:val="39414D"/>
                <w:sz w:val="16"/>
                <w:szCs w:val="16"/>
              </w:rPr>
              <w:t xml:space="preserve">increase </w:t>
            </w:r>
            <w:r w:rsidRPr="001D322C">
              <w:rPr>
                <w:rFonts w:ascii="Arial" w:eastAsia="Times New Roman" w:hAnsi="Arial" w:cs="Arial"/>
                <w:color w:val="39414D"/>
                <w:sz w:val="16"/>
                <w:szCs w:val="16"/>
              </w:rPr>
              <w:t>effective July 1, 2022</w:t>
            </w:r>
          </w:p>
        </w:tc>
        <w:tc>
          <w:tcPr>
            <w:tcW w:w="2610" w:type="dxa"/>
            <w:tcBorders>
              <w:top w:val="nil"/>
              <w:left w:val="nil"/>
              <w:bottom w:val="nil"/>
              <w:right w:val="nil"/>
            </w:tcBorders>
            <w:shd w:val="clear" w:color="000000" w:fill="E8E9E9"/>
            <w:noWrap/>
            <w:vAlign w:val="center"/>
            <w:hideMark/>
          </w:tcPr>
          <w:p w14:paraId="36B91309" w14:textId="297B4ACD" w:rsidR="00D2354D" w:rsidRPr="00993A94" w:rsidRDefault="00D2354D" w:rsidP="00D2354D">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niform increase to hospital reimbursement</w:t>
            </w:r>
          </w:p>
        </w:tc>
        <w:tc>
          <w:tcPr>
            <w:tcW w:w="1890" w:type="dxa"/>
            <w:tcBorders>
              <w:top w:val="nil"/>
              <w:left w:val="nil"/>
              <w:bottom w:val="nil"/>
              <w:right w:val="nil"/>
            </w:tcBorders>
            <w:shd w:val="clear" w:color="000000" w:fill="E8E9E9"/>
            <w:noWrap/>
            <w:vAlign w:val="center"/>
            <w:hideMark/>
          </w:tcPr>
          <w:p w14:paraId="751BFF35" w14:textId="46C21866" w:rsidR="00D2354D" w:rsidRPr="00993A94" w:rsidRDefault="00D2354D" w:rsidP="00D2354D">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Consistent with anticipated preprint</w:t>
            </w:r>
          </w:p>
        </w:tc>
      </w:tr>
      <w:tr w:rsidR="00D2354D" w:rsidRPr="00537419" w14:paraId="7E5FA298" w14:textId="77777777" w:rsidTr="009A5C49">
        <w:trPr>
          <w:trHeight w:val="864"/>
        </w:trPr>
        <w:tc>
          <w:tcPr>
            <w:tcW w:w="2743" w:type="dxa"/>
            <w:tcBorders>
              <w:top w:val="nil"/>
              <w:left w:val="nil"/>
              <w:bottom w:val="nil"/>
              <w:right w:val="nil"/>
            </w:tcBorders>
            <w:shd w:val="clear" w:color="auto" w:fill="auto"/>
            <w:noWrap/>
            <w:vAlign w:val="center"/>
            <w:hideMark/>
          </w:tcPr>
          <w:p w14:paraId="49320539" w14:textId="1BE5C642" w:rsidR="00D2354D" w:rsidRPr="00993A94" w:rsidRDefault="00D2354D" w:rsidP="00D2354D">
            <w:pPr>
              <w:spacing w:after="0" w:line="240" w:lineRule="auto"/>
              <w:rPr>
                <w:rFonts w:ascii="Arial" w:eastAsia="Times New Roman" w:hAnsi="Arial" w:cs="Arial"/>
                <w:color w:val="39414D"/>
                <w:sz w:val="16"/>
                <w:szCs w:val="16"/>
              </w:rPr>
            </w:pPr>
            <w:r w:rsidRPr="00D2354D">
              <w:rPr>
                <w:rFonts w:ascii="Arial" w:eastAsia="Times New Roman" w:hAnsi="Arial" w:cs="Arial"/>
                <w:color w:val="39414D"/>
                <w:sz w:val="16"/>
                <w:szCs w:val="16"/>
              </w:rPr>
              <w:t>RI_Fee_</w:t>
            </w:r>
            <w:r>
              <w:rPr>
                <w:rFonts w:ascii="Arial" w:eastAsia="Times New Roman" w:hAnsi="Arial" w:cs="Arial"/>
                <w:color w:val="39414D"/>
                <w:sz w:val="16"/>
                <w:szCs w:val="16"/>
              </w:rPr>
              <w:t>NF</w:t>
            </w:r>
            <w:r w:rsidRPr="00D2354D">
              <w:rPr>
                <w:rFonts w:ascii="Arial" w:eastAsia="Times New Roman" w:hAnsi="Arial" w:cs="Arial"/>
                <w:color w:val="39414D"/>
                <w:sz w:val="16"/>
                <w:szCs w:val="16"/>
              </w:rPr>
              <w:t>_Renewal_20220701-20230630</w:t>
            </w:r>
          </w:p>
        </w:tc>
        <w:tc>
          <w:tcPr>
            <w:tcW w:w="1350" w:type="dxa"/>
            <w:tcBorders>
              <w:top w:val="nil"/>
              <w:left w:val="nil"/>
              <w:bottom w:val="nil"/>
              <w:right w:val="nil"/>
            </w:tcBorders>
            <w:shd w:val="clear" w:color="auto" w:fill="auto"/>
            <w:noWrap/>
            <w:vAlign w:val="center"/>
            <w:hideMark/>
          </w:tcPr>
          <w:p w14:paraId="1EFF47FB" w14:textId="0843F60B" w:rsidR="00D2354D" w:rsidRPr="00993A94" w:rsidRDefault="00D2354D" w:rsidP="00D2354D">
            <w:pPr>
              <w:spacing w:after="0" w:line="240" w:lineRule="auto"/>
              <w:rPr>
                <w:rFonts w:ascii="Arial" w:eastAsia="Times New Roman" w:hAnsi="Arial" w:cs="Arial"/>
                <w:color w:val="39414D"/>
                <w:sz w:val="16"/>
                <w:szCs w:val="16"/>
              </w:rPr>
            </w:pPr>
            <w:r w:rsidRPr="00DA4895">
              <w:rPr>
                <w:rFonts w:ascii="Arial" w:eastAsia="Times New Roman" w:hAnsi="Arial" w:cs="Arial"/>
                <w:color w:val="39414D"/>
                <w:sz w:val="16"/>
                <w:szCs w:val="16"/>
              </w:rPr>
              <w:t>All</w:t>
            </w:r>
            <w:r>
              <w:rPr>
                <w:rFonts w:ascii="Arial" w:eastAsia="Times New Roman" w:hAnsi="Arial" w:cs="Arial"/>
                <w:color w:val="39414D"/>
                <w:sz w:val="16"/>
                <w:szCs w:val="16"/>
              </w:rPr>
              <w:t xml:space="preserve"> Rate Cells</w:t>
            </w:r>
          </w:p>
        </w:tc>
        <w:tc>
          <w:tcPr>
            <w:tcW w:w="1980" w:type="dxa"/>
            <w:tcBorders>
              <w:top w:val="nil"/>
              <w:left w:val="nil"/>
              <w:bottom w:val="nil"/>
              <w:right w:val="nil"/>
            </w:tcBorders>
            <w:shd w:val="clear" w:color="auto" w:fill="auto"/>
            <w:noWrap/>
            <w:vAlign w:val="center"/>
            <w:hideMark/>
          </w:tcPr>
          <w:p w14:paraId="42792DB8" w14:textId="32B0DB79" w:rsidR="00D2354D" w:rsidRPr="00993A94" w:rsidRDefault="00D2354D" w:rsidP="00D2354D">
            <w:pPr>
              <w:spacing w:after="0" w:line="240" w:lineRule="auto"/>
              <w:rPr>
                <w:rFonts w:ascii="Arial" w:eastAsia="Times New Roman" w:hAnsi="Arial" w:cs="Arial"/>
                <w:color w:val="39414D"/>
                <w:sz w:val="16"/>
                <w:szCs w:val="16"/>
              </w:rPr>
            </w:pPr>
            <w:r w:rsidRPr="001D322C">
              <w:rPr>
                <w:rFonts w:ascii="Arial" w:eastAsia="Times New Roman" w:hAnsi="Arial" w:cs="Arial"/>
                <w:color w:val="39414D"/>
                <w:sz w:val="16"/>
                <w:szCs w:val="16"/>
              </w:rPr>
              <w:t>2.</w:t>
            </w:r>
            <w:r>
              <w:rPr>
                <w:rFonts w:ascii="Arial" w:eastAsia="Times New Roman" w:hAnsi="Arial" w:cs="Arial"/>
                <w:color w:val="39414D"/>
                <w:sz w:val="16"/>
                <w:szCs w:val="16"/>
              </w:rPr>
              <w:t>0</w:t>
            </w:r>
            <w:r w:rsidRPr="001D322C">
              <w:rPr>
                <w:rFonts w:ascii="Arial" w:eastAsia="Times New Roman" w:hAnsi="Arial" w:cs="Arial"/>
                <w:color w:val="39414D"/>
                <w:sz w:val="16"/>
                <w:szCs w:val="16"/>
              </w:rPr>
              <w:t xml:space="preserve">% </w:t>
            </w:r>
            <w:r>
              <w:rPr>
                <w:rFonts w:ascii="Arial" w:eastAsia="Times New Roman" w:hAnsi="Arial" w:cs="Arial"/>
                <w:color w:val="39414D"/>
                <w:sz w:val="16"/>
                <w:szCs w:val="16"/>
              </w:rPr>
              <w:t xml:space="preserve">increase </w:t>
            </w:r>
            <w:r w:rsidRPr="001D322C">
              <w:rPr>
                <w:rFonts w:ascii="Arial" w:eastAsia="Times New Roman" w:hAnsi="Arial" w:cs="Arial"/>
                <w:color w:val="39414D"/>
                <w:sz w:val="16"/>
                <w:szCs w:val="16"/>
              </w:rPr>
              <w:t xml:space="preserve">effective </w:t>
            </w:r>
            <w:r>
              <w:rPr>
                <w:rFonts w:ascii="Arial" w:eastAsia="Times New Roman" w:hAnsi="Arial" w:cs="Arial"/>
                <w:color w:val="39414D"/>
                <w:sz w:val="16"/>
                <w:szCs w:val="16"/>
              </w:rPr>
              <w:t>October</w:t>
            </w:r>
            <w:r w:rsidRPr="001D322C">
              <w:rPr>
                <w:rFonts w:ascii="Arial" w:eastAsia="Times New Roman" w:hAnsi="Arial" w:cs="Arial"/>
                <w:color w:val="39414D"/>
                <w:sz w:val="16"/>
                <w:szCs w:val="16"/>
              </w:rPr>
              <w:t xml:space="preserve"> 1, 202</w:t>
            </w:r>
            <w:r>
              <w:rPr>
                <w:rFonts w:ascii="Arial" w:eastAsia="Times New Roman" w:hAnsi="Arial" w:cs="Arial"/>
                <w:color w:val="39414D"/>
                <w:sz w:val="16"/>
                <w:szCs w:val="16"/>
              </w:rPr>
              <w:t>2</w:t>
            </w:r>
          </w:p>
        </w:tc>
        <w:tc>
          <w:tcPr>
            <w:tcW w:w="2610" w:type="dxa"/>
            <w:tcBorders>
              <w:top w:val="nil"/>
              <w:left w:val="nil"/>
              <w:bottom w:val="nil"/>
              <w:right w:val="nil"/>
            </w:tcBorders>
            <w:shd w:val="clear" w:color="auto" w:fill="auto"/>
            <w:noWrap/>
            <w:vAlign w:val="center"/>
            <w:hideMark/>
          </w:tcPr>
          <w:p w14:paraId="3DDBB4E6" w14:textId="0FCC3E36" w:rsidR="00D2354D" w:rsidRPr="00993A94" w:rsidRDefault="00D2354D" w:rsidP="00D2354D">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 xml:space="preserve">niform increase to </w:t>
            </w:r>
            <w:r>
              <w:rPr>
                <w:rFonts w:ascii="Arial" w:eastAsia="Times New Roman" w:hAnsi="Arial" w:cs="Arial"/>
                <w:color w:val="39414D"/>
                <w:sz w:val="16"/>
                <w:szCs w:val="16"/>
              </w:rPr>
              <w:t>nursing home reimbursement</w:t>
            </w:r>
          </w:p>
        </w:tc>
        <w:tc>
          <w:tcPr>
            <w:tcW w:w="1890" w:type="dxa"/>
            <w:tcBorders>
              <w:top w:val="nil"/>
              <w:left w:val="nil"/>
              <w:bottom w:val="nil"/>
              <w:right w:val="nil"/>
            </w:tcBorders>
            <w:shd w:val="clear" w:color="auto" w:fill="auto"/>
            <w:noWrap/>
            <w:vAlign w:val="center"/>
            <w:hideMark/>
          </w:tcPr>
          <w:p w14:paraId="30B7B937" w14:textId="61A4CAFA" w:rsidR="00D2354D" w:rsidRPr="00993A94" w:rsidRDefault="00D2354D" w:rsidP="00D2354D">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Consistent with anticipated preprint</w:t>
            </w:r>
          </w:p>
        </w:tc>
      </w:tr>
      <w:tr w:rsidR="0052148B" w:rsidRPr="00537419" w14:paraId="03C3FEDD" w14:textId="77777777" w:rsidTr="0027012E">
        <w:trPr>
          <w:trHeight w:val="576"/>
        </w:trPr>
        <w:tc>
          <w:tcPr>
            <w:tcW w:w="2743" w:type="dxa"/>
            <w:tcBorders>
              <w:top w:val="nil"/>
              <w:left w:val="nil"/>
              <w:bottom w:val="nil"/>
              <w:right w:val="nil"/>
            </w:tcBorders>
            <w:shd w:val="clear" w:color="auto" w:fill="E8E9E9" w:themeFill="accent2" w:themeFillTint="66"/>
            <w:noWrap/>
            <w:vAlign w:val="center"/>
          </w:tcPr>
          <w:p w14:paraId="42577BB9" w14:textId="4C1E5CB5" w:rsidR="0052148B" w:rsidRDefault="0052148B" w:rsidP="0052148B">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 xml:space="preserve">TBD: </w:t>
            </w:r>
            <w:r w:rsidRPr="0052148B">
              <w:rPr>
                <w:rFonts w:ascii="Arial" w:eastAsia="Times New Roman" w:hAnsi="Arial" w:cs="Arial"/>
                <w:color w:val="39414D"/>
                <w:sz w:val="16"/>
                <w:szCs w:val="16"/>
              </w:rPr>
              <w:t>Personal Care Shift Differential</w:t>
            </w:r>
          </w:p>
        </w:tc>
        <w:tc>
          <w:tcPr>
            <w:tcW w:w="1350" w:type="dxa"/>
            <w:tcBorders>
              <w:top w:val="nil"/>
              <w:left w:val="nil"/>
              <w:bottom w:val="nil"/>
              <w:right w:val="nil"/>
            </w:tcBorders>
            <w:shd w:val="clear" w:color="auto" w:fill="E8E9E9" w:themeFill="accent2" w:themeFillTint="66"/>
            <w:noWrap/>
            <w:vAlign w:val="center"/>
          </w:tcPr>
          <w:p w14:paraId="31324C76" w14:textId="6C87D8C2" w:rsidR="0052148B" w:rsidRPr="00DA4895" w:rsidRDefault="0052148B">
            <w:pPr>
              <w:spacing w:after="0" w:line="240" w:lineRule="auto"/>
              <w:rPr>
                <w:rFonts w:ascii="Arial" w:eastAsia="Times New Roman" w:hAnsi="Arial" w:cs="Arial"/>
                <w:color w:val="39414D"/>
                <w:sz w:val="16"/>
                <w:szCs w:val="16"/>
              </w:rPr>
            </w:pPr>
            <w:r w:rsidRPr="00DA4895">
              <w:rPr>
                <w:rFonts w:ascii="Arial" w:eastAsia="Times New Roman" w:hAnsi="Arial" w:cs="Arial"/>
                <w:color w:val="39414D"/>
                <w:sz w:val="16"/>
                <w:szCs w:val="16"/>
              </w:rPr>
              <w:t>All</w:t>
            </w:r>
            <w:r>
              <w:rPr>
                <w:rFonts w:ascii="Arial" w:eastAsia="Times New Roman" w:hAnsi="Arial" w:cs="Arial"/>
                <w:color w:val="39414D"/>
                <w:sz w:val="16"/>
                <w:szCs w:val="16"/>
              </w:rPr>
              <w:t xml:space="preserve"> Rate Cells utilizing personal care services</w:t>
            </w:r>
          </w:p>
        </w:tc>
        <w:tc>
          <w:tcPr>
            <w:tcW w:w="1980" w:type="dxa"/>
            <w:tcBorders>
              <w:top w:val="nil"/>
              <w:left w:val="nil"/>
              <w:bottom w:val="nil"/>
              <w:right w:val="nil"/>
            </w:tcBorders>
            <w:shd w:val="clear" w:color="auto" w:fill="E8E9E9" w:themeFill="accent2" w:themeFillTint="66"/>
            <w:noWrap/>
            <w:vAlign w:val="center"/>
          </w:tcPr>
          <w:p w14:paraId="71AC260D" w14:textId="2CE36AC7" w:rsidR="0052148B" w:rsidRDefault="0052148B">
            <w:pPr>
              <w:spacing w:after="0" w:line="240" w:lineRule="auto"/>
              <w:rPr>
                <w:rFonts w:ascii="Arial" w:eastAsia="Times New Roman" w:hAnsi="Arial" w:cs="Arial"/>
                <w:color w:val="39414D"/>
                <w:sz w:val="16"/>
                <w:szCs w:val="16"/>
              </w:rPr>
            </w:pPr>
            <w:r w:rsidRPr="0071513D">
              <w:rPr>
                <w:rFonts w:ascii="Arial" w:eastAsia="Times New Roman" w:hAnsi="Arial" w:cs="Arial"/>
                <w:color w:val="39414D"/>
                <w:sz w:val="16"/>
                <w:szCs w:val="16"/>
              </w:rPr>
              <w:t xml:space="preserve">The state directed payment </w:t>
            </w:r>
            <w:r>
              <w:rPr>
                <w:rFonts w:ascii="Arial" w:eastAsia="Times New Roman" w:hAnsi="Arial" w:cs="Arial"/>
                <w:color w:val="39414D"/>
                <w:sz w:val="16"/>
                <w:szCs w:val="16"/>
              </w:rPr>
              <w:t xml:space="preserve">rate impact </w:t>
            </w:r>
            <w:r w:rsidRPr="0071513D">
              <w:rPr>
                <w:rFonts w:ascii="Arial" w:eastAsia="Times New Roman" w:hAnsi="Arial" w:cs="Arial"/>
                <w:color w:val="39414D"/>
                <w:sz w:val="16"/>
                <w:szCs w:val="16"/>
              </w:rPr>
              <w:t xml:space="preserve">is illustrated in Appendix </w:t>
            </w:r>
            <w:r>
              <w:rPr>
                <w:rFonts w:ascii="Arial" w:eastAsia="Times New Roman" w:hAnsi="Arial" w:cs="Arial"/>
                <w:color w:val="39414D"/>
                <w:sz w:val="16"/>
                <w:szCs w:val="16"/>
              </w:rPr>
              <w:t>4</w:t>
            </w:r>
            <w:r w:rsidRPr="0071513D">
              <w:rPr>
                <w:rFonts w:ascii="Arial" w:eastAsia="Times New Roman" w:hAnsi="Arial" w:cs="Arial"/>
                <w:color w:val="39414D"/>
                <w:sz w:val="16"/>
                <w:szCs w:val="16"/>
              </w:rPr>
              <w:t>, in the “</w:t>
            </w:r>
            <w:r w:rsidR="00325BD7">
              <w:rPr>
                <w:rFonts w:ascii="Arial" w:eastAsia="Times New Roman" w:hAnsi="Arial" w:cs="Arial"/>
                <w:color w:val="39414D"/>
                <w:sz w:val="16"/>
                <w:szCs w:val="16"/>
              </w:rPr>
              <w:t xml:space="preserve">Personal Care </w:t>
            </w:r>
            <w:r>
              <w:rPr>
                <w:rFonts w:ascii="Arial" w:eastAsia="Times New Roman" w:hAnsi="Arial" w:cs="Arial"/>
                <w:color w:val="39414D"/>
                <w:sz w:val="16"/>
                <w:szCs w:val="16"/>
              </w:rPr>
              <w:t>Shift Differential</w:t>
            </w:r>
            <w:r w:rsidRPr="0071513D">
              <w:rPr>
                <w:rFonts w:ascii="Arial" w:eastAsia="Times New Roman" w:hAnsi="Arial" w:cs="Arial"/>
                <w:color w:val="39414D"/>
                <w:sz w:val="16"/>
                <w:szCs w:val="16"/>
              </w:rPr>
              <w:t>” column.</w:t>
            </w:r>
          </w:p>
        </w:tc>
        <w:tc>
          <w:tcPr>
            <w:tcW w:w="2610" w:type="dxa"/>
            <w:tcBorders>
              <w:top w:val="nil"/>
              <w:left w:val="nil"/>
              <w:bottom w:val="nil"/>
              <w:right w:val="nil"/>
            </w:tcBorders>
            <w:shd w:val="clear" w:color="auto" w:fill="E8E9E9" w:themeFill="accent2" w:themeFillTint="66"/>
            <w:noWrap/>
            <w:vAlign w:val="center"/>
          </w:tcPr>
          <w:p w14:paraId="743CC318" w14:textId="158768D5" w:rsidR="0052148B" w:rsidRDefault="0052148B" w:rsidP="0052148B">
            <w:pPr>
              <w:spacing w:after="0" w:line="240" w:lineRule="auto"/>
              <w:rPr>
                <w:rFonts w:ascii="Arial" w:eastAsia="Times New Roman" w:hAnsi="Arial" w:cs="Arial"/>
                <w:color w:val="39414D"/>
                <w:sz w:val="16"/>
                <w:szCs w:val="16"/>
              </w:rPr>
            </w:pPr>
            <w:r>
              <w:rPr>
                <w:rFonts w:ascii="Arial" w:hAnsi="Arial" w:cs="Arial"/>
                <w:color w:val="39414D"/>
                <w:sz w:val="16"/>
                <w:szCs w:val="16"/>
              </w:rPr>
              <w:t>Estimated reimbursement increase based on SFY 2021 utilization and HCBS utilization trends</w:t>
            </w:r>
          </w:p>
        </w:tc>
        <w:tc>
          <w:tcPr>
            <w:tcW w:w="1890" w:type="dxa"/>
            <w:tcBorders>
              <w:top w:val="nil"/>
              <w:left w:val="nil"/>
              <w:bottom w:val="nil"/>
              <w:right w:val="nil"/>
            </w:tcBorders>
            <w:shd w:val="clear" w:color="auto" w:fill="E8E9E9" w:themeFill="accent2" w:themeFillTint="66"/>
            <w:noWrap/>
            <w:vAlign w:val="center"/>
          </w:tcPr>
          <w:p w14:paraId="5A157205" w14:textId="06CD6CA1" w:rsidR="0052148B" w:rsidRDefault="0052148B" w:rsidP="0052148B">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Consistent with anticipated preprint</w:t>
            </w:r>
          </w:p>
        </w:tc>
      </w:tr>
      <w:tr w:rsidR="0052148B" w:rsidRPr="00537419" w14:paraId="2B128424" w14:textId="77777777" w:rsidTr="0027012E">
        <w:trPr>
          <w:trHeight w:val="576"/>
        </w:trPr>
        <w:tc>
          <w:tcPr>
            <w:tcW w:w="2743" w:type="dxa"/>
            <w:tcBorders>
              <w:top w:val="nil"/>
              <w:left w:val="nil"/>
              <w:bottom w:val="nil"/>
              <w:right w:val="nil"/>
            </w:tcBorders>
            <w:shd w:val="clear" w:color="auto" w:fill="FFFFFF" w:themeFill="background1"/>
            <w:noWrap/>
            <w:vAlign w:val="center"/>
          </w:tcPr>
          <w:p w14:paraId="4E07D9EA" w14:textId="17ED718C" w:rsidR="0052148B" w:rsidRDefault="001C6A1E" w:rsidP="0052148B">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N/A</w:t>
            </w:r>
            <w:r w:rsidR="0052148B">
              <w:rPr>
                <w:rFonts w:ascii="Arial" w:eastAsia="Times New Roman" w:hAnsi="Arial" w:cs="Arial"/>
                <w:color w:val="39414D"/>
                <w:sz w:val="16"/>
                <w:szCs w:val="16"/>
              </w:rPr>
              <w:t xml:space="preserve">: </w:t>
            </w:r>
            <w:r w:rsidR="0052148B" w:rsidRPr="0052148B">
              <w:rPr>
                <w:rFonts w:ascii="Arial" w:eastAsia="Times New Roman" w:hAnsi="Arial" w:cs="Arial"/>
                <w:color w:val="39414D"/>
                <w:sz w:val="16"/>
                <w:szCs w:val="16"/>
              </w:rPr>
              <w:t>Personal Care Behavioral Health Certification Enhancement</w:t>
            </w:r>
          </w:p>
        </w:tc>
        <w:tc>
          <w:tcPr>
            <w:tcW w:w="1350" w:type="dxa"/>
            <w:tcBorders>
              <w:top w:val="nil"/>
              <w:left w:val="nil"/>
              <w:bottom w:val="nil"/>
              <w:right w:val="nil"/>
            </w:tcBorders>
            <w:shd w:val="clear" w:color="auto" w:fill="FFFFFF" w:themeFill="background1"/>
            <w:noWrap/>
            <w:vAlign w:val="center"/>
          </w:tcPr>
          <w:p w14:paraId="1E3FD6DA" w14:textId="15BC97C2" w:rsidR="0052148B" w:rsidRPr="00DA4895" w:rsidRDefault="0052148B">
            <w:pPr>
              <w:spacing w:after="0" w:line="240" w:lineRule="auto"/>
              <w:rPr>
                <w:rFonts w:ascii="Arial" w:eastAsia="Times New Roman" w:hAnsi="Arial" w:cs="Arial"/>
                <w:color w:val="39414D"/>
                <w:sz w:val="16"/>
                <w:szCs w:val="16"/>
              </w:rPr>
            </w:pPr>
            <w:r w:rsidRPr="00DA4895">
              <w:rPr>
                <w:rFonts w:ascii="Arial" w:eastAsia="Times New Roman" w:hAnsi="Arial" w:cs="Arial"/>
                <w:color w:val="39414D"/>
                <w:sz w:val="16"/>
                <w:szCs w:val="16"/>
              </w:rPr>
              <w:t>All</w:t>
            </w:r>
            <w:r>
              <w:rPr>
                <w:rFonts w:ascii="Arial" w:eastAsia="Times New Roman" w:hAnsi="Arial" w:cs="Arial"/>
                <w:color w:val="39414D"/>
                <w:sz w:val="16"/>
                <w:szCs w:val="16"/>
              </w:rPr>
              <w:t xml:space="preserve"> Rate Cells utilizing personal care and homemaker services</w:t>
            </w:r>
          </w:p>
        </w:tc>
        <w:tc>
          <w:tcPr>
            <w:tcW w:w="1980" w:type="dxa"/>
            <w:tcBorders>
              <w:top w:val="nil"/>
              <w:left w:val="nil"/>
              <w:bottom w:val="nil"/>
              <w:right w:val="nil"/>
            </w:tcBorders>
            <w:shd w:val="clear" w:color="auto" w:fill="FFFFFF" w:themeFill="background1"/>
            <w:noWrap/>
            <w:vAlign w:val="center"/>
          </w:tcPr>
          <w:p w14:paraId="122231CE" w14:textId="76E2940C" w:rsidR="0052148B" w:rsidRDefault="0052148B">
            <w:pPr>
              <w:spacing w:after="0" w:line="240" w:lineRule="auto"/>
              <w:rPr>
                <w:rFonts w:ascii="Arial" w:eastAsia="Times New Roman" w:hAnsi="Arial" w:cs="Arial"/>
                <w:color w:val="39414D"/>
                <w:sz w:val="16"/>
                <w:szCs w:val="16"/>
              </w:rPr>
            </w:pPr>
            <w:r w:rsidRPr="0071513D">
              <w:rPr>
                <w:rFonts w:ascii="Arial" w:eastAsia="Times New Roman" w:hAnsi="Arial" w:cs="Arial"/>
                <w:color w:val="39414D"/>
                <w:sz w:val="16"/>
                <w:szCs w:val="16"/>
              </w:rPr>
              <w:t xml:space="preserve">The state directed payment </w:t>
            </w:r>
            <w:r>
              <w:rPr>
                <w:rFonts w:ascii="Arial" w:eastAsia="Times New Roman" w:hAnsi="Arial" w:cs="Arial"/>
                <w:color w:val="39414D"/>
                <w:sz w:val="16"/>
                <w:szCs w:val="16"/>
              </w:rPr>
              <w:t xml:space="preserve">rate impact </w:t>
            </w:r>
            <w:r w:rsidRPr="0071513D">
              <w:rPr>
                <w:rFonts w:ascii="Arial" w:eastAsia="Times New Roman" w:hAnsi="Arial" w:cs="Arial"/>
                <w:color w:val="39414D"/>
                <w:sz w:val="16"/>
                <w:szCs w:val="16"/>
              </w:rPr>
              <w:t xml:space="preserve">is illustrated in Appendix </w:t>
            </w:r>
            <w:r>
              <w:rPr>
                <w:rFonts w:ascii="Arial" w:eastAsia="Times New Roman" w:hAnsi="Arial" w:cs="Arial"/>
                <w:color w:val="39414D"/>
                <w:sz w:val="16"/>
                <w:szCs w:val="16"/>
              </w:rPr>
              <w:t>4</w:t>
            </w:r>
            <w:r w:rsidRPr="0071513D">
              <w:rPr>
                <w:rFonts w:ascii="Arial" w:eastAsia="Times New Roman" w:hAnsi="Arial" w:cs="Arial"/>
                <w:color w:val="39414D"/>
                <w:sz w:val="16"/>
                <w:szCs w:val="16"/>
              </w:rPr>
              <w:t>, in the “</w:t>
            </w:r>
            <w:r>
              <w:rPr>
                <w:rFonts w:ascii="Arial" w:eastAsia="Times New Roman" w:hAnsi="Arial" w:cs="Arial"/>
                <w:color w:val="39414D"/>
                <w:sz w:val="16"/>
                <w:szCs w:val="16"/>
              </w:rPr>
              <w:t xml:space="preserve">Behavioral Health </w:t>
            </w:r>
            <w:r w:rsidR="00325BD7">
              <w:rPr>
                <w:rFonts w:ascii="Arial" w:eastAsia="Times New Roman" w:hAnsi="Arial" w:cs="Arial"/>
                <w:color w:val="39414D"/>
                <w:sz w:val="16"/>
                <w:szCs w:val="16"/>
              </w:rPr>
              <w:t xml:space="preserve">Certification </w:t>
            </w:r>
            <w:r>
              <w:rPr>
                <w:rFonts w:ascii="Arial" w:eastAsia="Times New Roman" w:hAnsi="Arial" w:cs="Arial"/>
                <w:color w:val="39414D"/>
                <w:sz w:val="16"/>
                <w:szCs w:val="16"/>
              </w:rPr>
              <w:t>Enhancement</w:t>
            </w:r>
            <w:r w:rsidRPr="0071513D">
              <w:rPr>
                <w:rFonts w:ascii="Arial" w:eastAsia="Times New Roman" w:hAnsi="Arial" w:cs="Arial"/>
                <w:color w:val="39414D"/>
                <w:sz w:val="16"/>
                <w:szCs w:val="16"/>
              </w:rPr>
              <w:t>” column.</w:t>
            </w:r>
          </w:p>
        </w:tc>
        <w:tc>
          <w:tcPr>
            <w:tcW w:w="2610" w:type="dxa"/>
            <w:tcBorders>
              <w:top w:val="nil"/>
              <w:left w:val="nil"/>
              <w:bottom w:val="nil"/>
              <w:right w:val="nil"/>
            </w:tcBorders>
            <w:shd w:val="clear" w:color="auto" w:fill="FFFFFF" w:themeFill="background1"/>
            <w:noWrap/>
            <w:vAlign w:val="center"/>
          </w:tcPr>
          <w:p w14:paraId="44DD5FB0" w14:textId="11CD0747" w:rsidR="0052148B" w:rsidRDefault="0052148B" w:rsidP="0052148B">
            <w:pPr>
              <w:spacing w:after="0" w:line="240" w:lineRule="auto"/>
              <w:rPr>
                <w:rFonts w:ascii="Arial" w:eastAsia="Times New Roman" w:hAnsi="Arial" w:cs="Arial"/>
                <w:color w:val="39414D"/>
                <w:sz w:val="16"/>
                <w:szCs w:val="16"/>
              </w:rPr>
            </w:pPr>
            <w:r>
              <w:rPr>
                <w:rFonts w:ascii="Arial" w:hAnsi="Arial" w:cs="Arial"/>
                <w:color w:val="39414D"/>
                <w:sz w:val="16"/>
                <w:szCs w:val="16"/>
              </w:rPr>
              <w:t>Estimated reimbursement increase based on SFY 2021 utilization and HCBS utilization trends</w:t>
            </w:r>
          </w:p>
        </w:tc>
        <w:tc>
          <w:tcPr>
            <w:tcW w:w="1890" w:type="dxa"/>
            <w:tcBorders>
              <w:top w:val="nil"/>
              <w:left w:val="nil"/>
              <w:bottom w:val="nil"/>
              <w:right w:val="nil"/>
            </w:tcBorders>
            <w:shd w:val="clear" w:color="auto" w:fill="FFFFFF" w:themeFill="background1"/>
            <w:noWrap/>
            <w:vAlign w:val="center"/>
          </w:tcPr>
          <w:p w14:paraId="7BACB116" w14:textId="1413B52E" w:rsidR="0052148B" w:rsidRDefault="0027012E" w:rsidP="0052148B">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N/A</w:t>
            </w:r>
          </w:p>
        </w:tc>
      </w:tr>
      <w:tr w:rsidR="009A5C49" w:rsidRPr="00537419" w14:paraId="0812D429" w14:textId="77777777" w:rsidTr="0027012E">
        <w:trPr>
          <w:trHeight w:val="720"/>
        </w:trPr>
        <w:tc>
          <w:tcPr>
            <w:tcW w:w="2743" w:type="dxa"/>
            <w:tcBorders>
              <w:top w:val="nil"/>
              <w:left w:val="nil"/>
              <w:bottom w:val="nil"/>
              <w:right w:val="nil"/>
            </w:tcBorders>
            <w:shd w:val="clear" w:color="auto" w:fill="E8E9E9" w:themeFill="accent2" w:themeFillTint="66"/>
            <w:noWrap/>
            <w:vAlign w:val="center"/>
            <w:hideMark/>
          </w:tcPr>
          <w:p w14:paraId="77B4BA77" w14:textId="5F45AAA9" w:rsidR="009A5C49" w:rsidRPr="00993A94" w:rsidRDefault="009A5C49" w:rsidP="009A5C49">
            <w:pPr>
              <w:spacing w:after="0" w:line="240" w:lineRule="auto"/>
              <w:rPr>
                <w:rFonts w:ascii="Arial" w:eastAsia="Times New Roman" w:hAnsi="Arial" w:cs="Arial"/>
                <w:color w:val="39414D"/>
                <w:sz w:val="16"/>
                <w:szCs w:val="16"/>
              </w:rPr>
            </w:pPr>
            <w:r w:rsidRPr="00D2354D">
              <w:rPr>
                <w:rFonts w:ascii="Arial" w:eastAsia="Times New Roman" w:hAnsi="Arial" w:cs="Arial"/>
                <w:color w:val="39414D"/>
                <w:sz w:val="16"/>
                <w:szCs w:val="16"/>
              </w:rPr>
              <w:t>RI_VBP_PC_Renewal_20220701-20230630</w:t>
            </w:r>
          </w:p>
        </w:tc>
        <w:tc>
          <w:tcPr>
            <w:tcW w:w="1350" w:type="dxa"/>
            <w:tcBorders>
              <w:top w:val="nil"/>
              <w:left w:val="nil"/>
              <w:bottom w:val="nil"/>
              <w:right w:val="nil"/>
            </w:tcBorders>
            <w:shd w:val="clear" w:color="auto" w:fill="E8E9E9" w:themeFill="accent2" w:themeFillTint="66"/>
            <w:noWrap/>
            <w:vAlign w:val="center"/>
            <w:hideMark/>
          </w:tcPr>
          <w:p w14:paraId="6B625FDD" w14:textId="6CA4BBA6" w:rsidR="009A5C49" w:rsidRPr="00993A94" w:rsidRDefault="009A5C49" w:rsidP="009A5C49">
            <w:pPr>
              <w:spacing w:after="0" w:line="240" w:lineRule="auto"/>
              <w:rPr>
                <w:rFonts w:ascii="Arial" w:eastAsia="Times New Roman" w:hAnsi="Arial" w:cs="Arial"/>
                <w:color w:val="39414D"/>
                <w:sz w:val="16"/>
                <w:szCs w:val="16"/>
              </w:rPr>
            </w:pPr>
            <w:r w:rsidRPr="00DA4895">
              <w:rPr>
                <w:rFonts w:ascii="Arial" w:eastAsia="Times New Roman" w:hAnsi="Arial" w:cs="Arial"/>
                <w:color w:val="39414D"/>
                <w:sz w:val="16"/>
                <w:szCs w:val="16"/>
              </w:rPr>
              <w:t>All</w:t>
            </w:r>
            <w:r>
              <w:rPr>
                <w:rFonts w:ascii="Arial" w:eastAsia="Times New Roman" w:hAnsi="Arial" w:cs="Arial"/>
                <w:color w:val="39414D"/>
                <w:sz w:val="16"/>
                <w:szCs w:val="16"/>
              </w:rPr>
              <w:t xml:space="preserve"> Rate Cells with members below age 18</w:t>
            </w:r>
          </w:p>
        </w:tc>
        <w:tc>
          <w:tcPr>
            <w:tcW w:w="1980" w:type="dxa"/>
            <w:tcBorders>
              <w:top w:val="nil"/>
              <w:left w:val="nil"/>
              <w:bottom w:val="nil"/>
              <w:right w:val="nil"/>
            </w:tcBorders>
            <w:shd w:val="clear" w:color="auto" w:fill="E8E9E9" w:themeFill="accent2" w:themeFillTint="66"/>
            <w:noWrap/>
            <w:vAlign w:val="center"/>
            <w:hideMark/>
          </w:tcPr>
          <w:p w14:paraId="38048C35" w14:textId="3E7494BB" w:rsidR="009A5C49" w:rsidRPr="00993A94" w:rsidRDefault="009A5C49" w:rsidP="009A5C49">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Up to $3.50 PMPM for qualifying providers</w:t>
            </w:r>
          </w:p>
        </w:tc>
        <w:tc>
          <w:tcPr>
            <w:tcW w:w="2610" w:type="dxa"/>
            <w:tcBorders>
              <w:top w:val="nil"/>
              <w:left w:val="nil"/>
              <w:bottom w:val="nil"/>
              <w:right w:val="nil"/>
            </w:tcBorders>
            <w:shd w:val="clear" w:color="auto" w:fill="E8E9E9" w:themeFill="accent2" w:themeFillTint="66"/>
            <w:noWrap/>
            <w:vAlign w:val="center"/>
            <w:hideMark/>
          </w:tcPr>
          <w:p w14:paraId="2183AEE3" w14:textId="1B659735" w:rsidR="009A5C49" w:rsidRPr="00993A94" w:rsidRDefault="009A5C49" w:rsidP="009A5C49">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Incentive payment to qualifying providers</w:t>
            </w:r>
          </w:p>
        </w:tc>
        <w:tc>
          <w:tcPr>
            <w:tcW w:w="1890" w:type="dxa"/>
            <w:tcBorders>
              <w:top w:val="nil"/>
              <w:left w:val="nil"/>
              <w:bottom w:val="nil"/>
              <w:right w:val="nil"/>
            </w:tcBorders>
            <w:shd w:val="clear" w:color="auto" w:fill="E8E9E9" w:themeFill="accent2" w:themeFillTint="66"/>
            <w:noWrap/>
            <w:vAlign w:val="center"/>
            <w:hideMark/>
          </w:tcPr>
          <w:p w14:paraId="53D907F1" w14:textId="34D41602" w:rsidR="009A5C49" w:rsidRPr="00993A94" w:rsidRDefault="009A5C49" w:rsidP="009A5C49">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Consistent with anticipated preprint</w:t>
            </w:r>
          </w:p>
        </w:tc>
      </w:tr>
      <w:tr w:rsidR="009A5C49" w:rsidRPr="00537419" w14:paraId="5E5AC478" w14:textId="77777777" w:rsidTr="0027012E">
        <w:trPr>
          <w:trHeight w:val="576"/>
        </w:trPr>
        <w:tc>
          <w:tcPr>
            <w:tcW w:w="2743" w:type="dxa"/>
            <w:tcBorders>
              <w:top w:val="nil"/>
              <w:left w:val="nil"/>
              <w:bottom w:val="nil"/>
              <w:right w:val="nil"/>
            </w:tcBorders>
            <w:shd w:val="clear" w:color="auto" w:fill="FFFFFF" w:themeFill="background1"/>
            <w:noWrap/>
            <w:vAlign w:val="center"/>
            <w:hideMark/>
          </w:tcPr>
          <w:p w14:paraId="5561DFAB" w14:textId="1042AAA7" w:rsidR="009A5C49" w:rsidRPr="00993A94" w:rsidRDefault="00A9709D" w:rsidP="009A5C49">
            <w:pPr>
              <w:spacing w:after="0" w:line="240" w:lineRule="auto"/>
              <w:rPr>
                <w:rFonts w:ascii="Arial" w:eastAsia="Times New Roman" w:hAnsi="Arial" w:cs="Arial"/>
                <w:color w:val="39414D"/>
                <w:sz w:val="16"/>
                <w:szCs w:val="16"/>
              </w:rPr>
            </w:pPr>
            <w:r w:rsidRPr="00A9709D">
              <w:rPr>
                <w:rFonts w:ascii="Arial" w:eastAsia="Times New Roman" w:hAnsi="Arial" w:cs="Arial"/>
                <w:color w:val="39414D"/>
                <w:sz w:val="16"/>
                <w:szCs w:val="16"/>
              </w:rPr>
              <w:t>RI_VBP_Oth_Renewal_20220701-20230630</w:t>
            </w:r>
          </w:p>
        </w:tc>
        <w:tc>
          <w:tcPr>
            <w:tcW w:w="1350" w:type="dxa"/>
            <w:tcBorders>
              <w:top w:val="nil"/>
              <w:left w:val="nil"/>
              <w:bottom w:val="nil"/>
              <w:right w:val="nil"/>
            </w:tcBorders>
            <w:shd w:val="clear" w:color="auto" w:fill="FFFFFF" w:themeFill="background1"/>
            <w:noWrap/>
            <w:vAlign w:val="center"/>
            <w:hideMark/>
          </w:tcPr>
          <w:p w14:paraId="26CE747F" w14:textId="348EC59A" w:rsidR="009A5C49" w:rsidRPr="00993A94" w:rsidRDefault="009A5C49" w:rsidP="009A5C49">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No explicit rate adjustment</w:t>
            </w:r>
          </w:p>
        </w:tc>
        <w:tc>
          <w:tcPr>
            <w:tcW w:w="1980" w:type="dxa"/>
            <w:tcBorders>
              <w:top w:val="nil"/>
              <w:left w:val="nil"/>
              <w:bottom w:val="nil"/>
              <w:right w:val="nil"/>
            </w:tcBorders>
            <w:shd w:val="clear" w:color="auto" w:fill="FFFFFF" w:themeFill="background1"/>
            <w:noWrap/>
            <w:vAlign w:val="center"/>
            <w:hideMark/>
          </w:tcPr>
          <w:p w14:paraId="5957E9A7" w14:textId="537108B9" w:rsidR="009A5C49" w:rsidRPr="00993A94" w:rsidRDefault="009A5C49" w:rsidP="009A5C49">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Based on total cost of care thresholds</w:t>
            </w:r>
          </w:p>
        </w:tc>
        <w:tc>
          <w:tcPr>
            <w:tcW w:w="2610" w:type="dxa"/>
            <w:tcBorders>
              <w:top w:val="nil"/>
              <w:left w:val="nil"/>
              <w:bottom w:val="nil"/>
              <w:right w:val="nil"/>
            </w:tcBorders>
            <w:shd w:val="clear" w:color="auto" w:fill="FFFFFF" w:themeFill="background1"/>
            <w:noWrap/>
            <w:vAlign w:val="center"/>
            <w:hideMark/>
          </w:tcPr>
          <w:p w14:paraId="1CAB8A61" w14:textId="2EB1F56F" w:rsidR="009A5C49" w:rsidRPr="00993A94" w:rsidRDefault="009A5C49" w:rsidP="009A5C49">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Shared savings or losses for certified AEs</w:t>
            </w:r>
          </w:p>
        </w:tc>
        <w:tc>
          <w:tcPr>
            <w:tcW w:w="1890" w:type="dxa"/>
            <w:tcBorders>
              <w:top w:val="nil"/>
              <w:left w:val="nil"/>
              <w:bottom w:val="nil"/>
              <w:right w:val="nil"/>
            </w:tcBorders>
            <w:shd w:val="clear" w:color="auto" w:fill="FFFFFF" w:themeFill="background1"/>
            <w:noWrap/>
            <w:vAlign w:val="center"/>
            <w:hideMark/>
          </w:tcPr>
          <w:p w14:paraId="7BE8757D" w14:textId="5A5C4B57" w:rsidR="009A5C49" w:rsidRPr="00993A94" w:rsidRDefault="009A5C49" w:rsidP="009A5C49">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Consistent with anticipated preprint</w:t>
            </w:r>
          </w:p>
        </w:tc>
      </w:tr>
    </w:tbl>
    <w:p w14:paraId="0F728340" w14:textId="77777777" w:rsidR="00727EB8" w:rsidRPr="00B27972" w:rsidRDefault="00727EB8" w:rsidP="00B644B5">
      <w:pPr>
        <w:spacing w:after="0"/>
        <w:jc w:val="both"/>
      </w:pPr>
    </w:p>
    <w:p w14:paraId="2A7354CE" w14:textId="7F5C730F" w:rsidR="00387B03" w:rsidRPr="00993A94" w:rsidRDefault="00387B03" w:rsidP="00C778FE">
      <w:pPr>
        <w:jc w:val="both"/>
      </w:pPr>
      <w:r w:rsidRPr="00993A94">
        <w:t>Add</w:t>
      </w:r>
      <w:r>
        <w:t>itional information for the state directed payments is provided below.</w:t>
      </w:r>
      <w:bookmarkStart w:id="364" w:name="_Hlk77694582"/>
    </w:p>
    <w:p w14:paraId="622D522A" w14:textId="519E6D83" w:rsidR="00F67BC5" w:rsidRDefault="006650E6" w:rsidP="00C778FE">
      <w:pPr>
        <w:jc w:val="both"/>
      </w:pPr>
      <w:r>
        <w:rPr>
          <w:b/>
          <w:bCs/>
        </w:rPr>
        <w:t xml:space="preserve">Inpatient </w:t>
      </w:r>
      <w:r w:rsidR="00C778FE">
        <w:rPr>
          <w:b/>
          <w:bCs/>
        </w:rPr>
        <w:t>Hospital</w:t>
      </w:r>
      <w:r w:rsidR="00AD0A75">
        <w:rPr>
          <w:b/>
          <w:bCs/>
        </w:rPr>
        <w:t xml:space="preserve"> (</w:t>
      </w:r>
      <w:r w:rsidR="00AD0A75" w:rsidRPr="00AD0A75">
        <w:rPr>
          <w:b/>
          <w:bCs/>
        </w:rPr>
        <w:t>RI_Fee_IPH_Renewal_20220701-20230630</w:t>
      </w:r>
      <w:r w:rsidR="00AD0A75">
        <w:rPr>
          <w:b/>
          <w:bCs/>
        </w:rPr>
        <w:t>)</w:t>
      </w:r>
      <w:r w:rsidR="00C778FE">
        <w:rPr>
          <w:b/>
          <w:bCs/>
        </w:rPr>
        <w:t xml:space="preserve">. </w:t>
      </w:r>
      <w:r w:rsidR="00C778FE" w:rsidRPr="003E3EC1">
        <w:t xml:space="preserve">The inpatient </w:t>
      </w:r>
      <w:r w:rsidR="00C778FE">
        <w:t xml:space="preserve">hospital </w:t>
      </w:r>
      <w:r w:rsidR="00C778FE" w:rsidRPr="003E3EC1">
        <w:t xml:space="preserve">reimbursement increase </w:t>
      </w:r>
      <w:r w:rsidR="00C778FE">
        <w:t xml:space="preserve">was </w:t>
      </w:r>
      <w:r w:rsidR="00C778FE" w:rsidRPr="003E3EC1">
        <w:t xml:space="preserve">reflected in the capitation rate development through the cost trend </w:t>
      </w:r>
      <w:r w:rsidR="00C778FE">
        <w:t>as described in Section I</w:t>
      </w:r>
      <w:r w:rsidR="00D405FB">
        <w:t xml:space="preserve">, item </w:t>
      </w:r>
      <w:r w:rsidR="00C778FE">
        <w:t>3.B.iii.</w:t>
      </w:r>
      <w:r w:rsidR="00C778FE" w:rsidRPr="003E3EC1">
        <w:t xml:space="preserve"> </w:t>
      </w:r>
    </w:p>
    <w:p w14:paraId="420D2926" w14:textId="68997626" w:rsidR="00C778FE" w:rsidRDefault="00C778FE" w:rsidP="00C778FE">
      <w:pPr>
        <w:jc w:val="both"/>
      </w:pPr>
      <w:r w:rsidRPr="009E6D9D">
        <w:t xml:space="preserve">Reimbursement for inpatient hospital services </w:t>
      </w:r>
      <w:r>
        <w:t xml:space="preserve">is </w:t>
      </w:r>
      <w:r w:rsidRPr="009E6D9D">
        <w:t xml:space="preserve">increased by a uniform </w:t>
      </w:r>
      <w:r>
        <w:t>2.</w:t>
      </w:r>
      <w:r w:rsidR="005E31C4">
        <w:t>0</w:t>
      </w:r>
      <w:r w:rsidRPr="009E6D9D">
        <w:t xml:space="preserve">% effective </w:t>
      </w:r>
      <w:r w:rsidR="009C467E">
        <w:t>July 1, 2022</w:t>
      </w:r>
      <w:r>
        <w:t xml:space="preserve">. The magnitude of the payment increase for each rate cell is illustrated in Appendix </w:t>
      </w:r>
      <w:r w:rsidR="005E31C4">
        <w:t>3</w:t>
      </w:r>
      <w:r>
        <w:t>.</w:t>
      </w:r>
      <w:r w:rsidR="00854017">
        <w:t xml:space="preserve"> </w:t>
      </w:r>
    </w:p>
    <w:p w14:paraId="3DAB43D7" w14:textId="7FE699D1" w:rsidR="006650E6" w:rsidRDefault="006650E6" w:rsidP="006650E6">
      <w:pPr>
        <w:jc w:val="both"/>
      </w:pPr>
      <w:r>
        <w:rPr>
          <w:b/>
          <w:bCs/>
        </w:rPr>
        <w:t>Outpatient Hospital</w:t>
      </w:r>
      <w:r w:rsidR="00AD0A75">
        <w:rPr>
          <w:b/>
          <w:bCs/>
        </w:rPr>
        <w:t xml:space="preserve"> (</w:t>
      </w:r>
      <w:r w:rsidR="00AD0A75" w:rsidRPr="00AD0A75">
        <w:rPr>
          <w:b/>
          <w:bCs/>
        </w:rPr>
        <w:t>RI_Fee_OPH_Renewal_20220701-20230630</w:t>
      </w:r>
      <w:r w:rsidR="00AD0A75">
        <w:rPr>
          <w:b/>
          <w:bCs/>
        </w:rPr>
        <w:t>)</w:t>
      </w:r>
      <w:r>
        <w:rPr>
          <w:b/>
          <w:bCs/>
        </w:rPr>
        <w:t xml:space="preserve">. </w:t>
      </w:r>
      <w:r w:rsidRPr="003E3EC1">
        <w:t xml:space="preserve">The </w:t>
      </w:r>
      <w:r>
        <w:t>outpatient</w:t>
      </w:r>
      <w:r w:rsidRPr="003E3EC1">
        <w:t xml:space="preserve"> </w:t>
      </w:r>
      <w:r>
        <w:t xml:space="preserve">hospital </w:t>
      </w:r>
      <w:r w:rsidRPr="003E3EC1">
        <w:t xml:space="preserve">reimbursement increase </w:t>
      </w:r>
      <w:r>
        <w:t xml:space="preserve">was </w:t>
      </w:r>
      <w:r w:rsidRPr="003E3EC1">
        <w:t xml:space="preserve">reflected in the capitation rate development through the cost trend </w:t>
      </w:r>
      <w:r>
        <w:t xml:space="preserve">as described in </w:t>
      </w:r>
      <w:r w:rsidR="00D405FB">
        <w:t xml:space="preserve">Section I, item </w:t>
      </w:r>
      <w:r>
        <w:t>3.B.iii.</w:t>
      </w:r>
      <w:r w:rsidRPr="003E3EC1">
        <w:t xml:space="preserve"> </w:t>
      </w:r>
      <w:r w:rsidRPr="009E6D9D">
        <w:t xml:space="preserve">Reimbursement for outpatient hospital services </w:t>
      </w:r>
      <w:r>
        <w:t xml:space="preserve">is </w:t>
      </w:r>
      <w:r w:rsidRPr="009E6D9D">
        <w:t xml:space="preserve">increased by a uniform </w:t>
      </w:r>
      <w:r>
        <w:t>2.</w:t>
      </w:r>
      <w:r w:rsidR="005E31C4">
        <w:t>0</w:t>
      </w:r>
      <w:r w:rsidRPr="009E6D9D">
        <w:t xml:space="preserve">% effective </w:t>
      </w:r>
      <w:r w:rsidR="009C467E">
        <w:t>July 1, 2022</w:t>
      </w:r>
      <w:r>
        <w:t xml:space="preserve">. The magnitude of the payment increase for each rate cell is illustrated in Appendix </w:t>
      </w:r>
      <w:r w:rsidR="005E31C4">
        <w:t>3</w:t>
      </w:r>
      <w:r>
        <w:t>.</w:t>
      </w:r>
    </w:p>
    <w:p w14:paraId="2EC86A0D" w14:textId="71979BE6" w:rsidR="0098126C" w:rsidRDefault="00C778FE" w:rsidP="0098126C">
      <w:pPr>
        <w:jc w:val="both"/>
      </w:pPr>
      <w:r>
        <w:rPr>
          <w:b/>
          <w:bCs/>
        </w:rPr>
        <w:t>Nursing Home</w:t>
      </w:r>
      <w:r w:rsidR="00AD0A75">
        <w:rPr>
          <w:b/>
          <w:bCs/>
        </w:rPr>
        <w:t xml:space="preserve"> (</w:t>
      </w:r>
      <w:r w:rsidR="00AD0A75" w:rsidRPr="00AD0A75">
        <w:rPr>
          <w:b/>
          <w:bCs/>
        </w:rPr>
        <w:t>RI_Fee_NF_Renewal_20220701-20230630</w:t>
      </w:r>
      <w:r w:rsidR="00AD0A75">
        <w:rPr>
          <w:b/>
          <w:bCs/>
        </w:rPr>
        <w:t>)</w:t>
      </w:r>
      <w:r>
        <w:rPr>
          <w:b/>
          <w:bCs/>
        </w:rPr>
        <w:t xml:space="preserve">. </w:t>
      </w:r>
      <w:r w:rsidR="0098126C" w:rsidRPr="003E3EC1">
        <w:t xml:space="preserve">The </w:t>
      </w:r>
      <w:r w:rsidR="0098126C">
        <w:t>nursing home</w:t>
      </w:r>
      <w:r w:rsidR="0098126C" w:rsidRPr="003E3EC1">
        <w:t xml:space="preserve"> reimbursement increase </w:t>
      </w:r>
      <w:r w:rsidR="0098126C">
        <w:t xml:space="preserve">was </w:t>
      </w:r>
      <w:r w:rsidR="0098126C" w:rsidRPr="003E3EC1">
        <w:t xml:space="preserve">reflected in the capitation rate development through the cost trend </w:t>
      </w:r>
      <w:r w:rsidR="0098126C">
        <w:t>as described in Section I</w:t>
      </w:r>
      <w:r w:rsidR="00D405FB">
        <w:t xml:space="preserve">, item </w:t>
      </w:r>
      <w:r w:rsidR="0098126C">
        <w:t>3.B.iii.</w:t>
      </w:r>
      <w:r w:rsidR="0098126C" w:rsidRPr="003E3EC1">
        <w:t xml:space="preserve"> </w:t>
      </w:r>
      <w:r w:rsidR="00470156" w:rsidRPr="009E6D9D">
        <w:t xml:space="preserve">Reimbursement for </w:t>
      </w:r>
      <w:r w:rsidR="00470156">
        <w:t>nursing home</w:t>
      </w:r>
      <w:r w:rsidR="00470156" w:rsidRPr="009E6D9D">
        <w:t xml:space="preserve"> services </w:t>
      </w:r>
      <w:r w:rsidR="00470156">
        <w:t xml:space="preserve">is mandated to be </w:t>
      </w:r>
      <w:r w:rsidR="00470156" w:rsidRPr="009E6D9D">
        <w:t xml:space="preserve">increased by a uniform </w:t>
      </w:r>
      <w:r w:rsidR="00470156">
        <w:t>2.</w:t>
      </w:r>
      <w:r w:rsidR="005E31C4">
        <w:t>0</w:t>
      </w:r>
      <w:r w:rsidR="00470156" w:rsidRPr="009E6D9D">
        <w:t xml:space="preserve">% effective </w:t>
      </w:r>
      <w:r w:rsidR="00470156">
        <w:t xml:space="preserve">October </w:t>
      </w:r>
      <w:r w:rsidR="00470156" w:rsidRPr="009E6D9D">
        <w:t xml:space="preserve">1, </w:t>
      </w:r>
      <w:r w:rsidR="005E31C4" w:rsidRPr="009E6D9D">
        <w:t>20</w:t>
      </w:r>
      <w:r w:rsidR="005E31C4">
        <w:t>22</w:t>
      </w:r>
      <w:r w:rsidR="00470156">
        <w:t xml:space="preserve">. Please note that the SFY 2021 nursing home trend factor illustrated in Figure </w:t>
      </w:r>
      <w:r w:rsidR="005E31C4">
        <w:t>1</w:t>
      </w:r>
      <w:r w:rsidR="00273A3D">
        <w:t>6</w:t>
      </w:r>
      <w:r w:rsidR="005E31C4">
        <w:t xml:space="preserve"> </w:t>
      </w:r>
      <w:r w:rsidR="00470156">
        <w:t>reflects a combination of 2.</w:t>
      </w:r>
      <w:r w:rsidR="005E31C4">
        <w:t>2</w:t>
      </w:r>
      <w:r w:rsidR="00470156">
        <w:t xml:space="preserve">% trend effective </w:t>
      </w:r>
      <w:r w:rsidR="003A3D36">
        <w:t xml:space="preserve">October 1, </w:t>
      </w:r>
      <w:r w:rsidR="005E31C4">
        <w:t xml:space="preserve">2021 </w:t>
      </w:r>
      <w:r w:rsidR="00470156">
        <w:t>and 2.</w:t>
      </w:r>
      <w:r w:rsidR="005E31C4">
        <w:t>0</w:t>
      </w:r>
      <w:r w:rsidR="00470156">
        <w:t xml:space="preserve">% trend effective </w:t>
      </w:r>
      <w:r w:rsidR="003A3D36">
        <w:t xml:space="preserve">October 1, </w:t>
      </w:r>
      <w:r w:rsidR="005E31C4">
        <w:t>2022</w:t>
      </w:r>
      <w:r w:rsidR="00470156">
        <w:t xml:space="preserve">. </w:t>
      </w:r>
      <w:r w:rsidR="0098126C">
        <w:t xml:space="preserve">The magnitude of the payment increase for each rate cell is illustrated in Appendix </w:t>
      </w:r>
      <w:r w:rsidR="005E31C4">
        <w:t>3</w:t>
      </w:r>
      <w:r w:rsidR="0098126C">
        <w:t>.</w:t>
      </w:r>
    </w:p>
    <w:p w14:paraId="516FB2D7" w14:textId="309D137E" w:rsidR="0052148B" w:rsidRDefault="0052148B" w:rsidP="0027012E">
      <w:pPr>
        <w:spacing w:line="240" w:lineRule="auto"/>
        <w:jc w:val="both"/>
      </w:pPr>
      <w:r>
        <w:rPr>
          <w:b/>
          <w:bCs/>
        </w:rPr>
        <w:lastRenderedPageBreak/>
        <w:t xml:space="preserve">Personal Care Shift Differential (TBD). </w:t>
      </w:r>
      <w:r w:rsidR="00325BD7">
        <w:t>The p</w:t>
      </w:r>
      <w:r w:rsidR="00325BD7" w:rsidRPr="00325BD7">
        <w:t xml:space="preserve">ersonal </w:t>
      </w:r>
      <w:r w:rsidR="00325BD7">
        <w:t>c</w:t>
      </w:r>
      <w:r w:rsidR="00325BD7" w:rsidRPr="00325BD7">
        <w:t xml:space="preserve">are </w:t>
      </w:r>
      <w:r w:rsidR="00325BD7">
        <w:t>shift differential</w:t>
      </w:r>
      <w:r w:rsidR="00325BD7" w:rsidRPr="00325BD7">
        <w:t xml:space="preserve"> </w:t>
      </w:r>
      <w:r w:rsidR="00325BD7">
        <w:t>directed payment was reflected in the capitation rate development through a PMPM add-on described in Section I, item 3.B.ii of this report, and magnitude of the payment increase for each rate cell is illustrated in Appendix 4</w:t>
      </w:r>
      <w:r>
        <w:t>.</w:t>
      </w:r>
    </w:p>
    <w:p w14:paraId="6B62D165" w14:textId="6153B0A9" w:rsidR="0052148B" w:rsidRDefault="0052148B" w:rsidP="0098126C">
      <w:pPr>
        <w:jc w:val="both"/>
      </w:pPr>
      <w:r>
        <w:rPr>
          <w:b/>
          <w:bCs/>
        </w:rPr>
        <w:t>Personal Care Behavioral Health Certification Enhancement (</w:t>
      </w:r>
      <w:r w:rsidR="00325BD7">
        <w:rPr>
          <w:b/>
          <w:bCs/>
        </w:rPr>
        <w:t>N/A</w:t>
      </w:r>
      <w:r>
        <w:rPr>
          <w:b/>
          <w:bCs/>
        </w:rPr>
        <w:t xml:space="preserve">). </w:t>
      </w:r>
      <w:r w:rsidR="00325BD7">
        <w:t>The p</w:t>
      </w:r>
      <w:r w:rsidR="00325BD7" w:rsidRPr="00325BD7">
        <w:t xml:space="preserve">ersonal </w:t>
      </w:r>
      <w:r w:rsidR="00325BD7">
        <w:t>c</w:t>
      </w:r>
      <w:r w:rsidR="00325BD7" w:rsidRPr="00325BD7">
        <w:t xml:space="preserve">are </w:t>
      </w:r>
      <w:r w:rsidR="00325BD7">
        <w:t>b</w:t>
      </w:r>
      <w:r w:rsidR="00325BD7" w:rsidRPr="00325BD7">
        <w:t xml:space="preserve">ehavioral </w:t>
      </w:r>
      <w:r w:rsidR="00325BD7">
        <w:t>h</w:t>
      </w:r>
      <w:r w:rsidR="00325BD7" w:rsidRPr="00325BD7">
        <w:t xml:space="preserve">ealth </w:t>
      </w:r>
      <w:r w:rsidR="00325BD7">
        <w:t>c</w:t>
      </w:r>
      <w:r w:rsidR="00325BD7" w:rsidRPr="00325BD7">
        <w:t xml:space="preserve">ertification </w:t>
      </w:r>
      <w:r w:rsidR="00325BD7">
        <w:t>e</w:t>
      </w:r>
      <w:r w:rsidR="00325BD7" w:rsidRPr="00325BD7">
        <w:t xml:space="preserve">nhancement </w:t>
      </w:r>
      <w:r w:rsidR="00325BD7">
        <w:t>directed payment was reflected in the capitation rate development through a PMPM add-on described in Section I, item 3.B.ii of this report, and magnitude of the payment increase for each rate cell is illustrated in Appendix 4</w:t>
      </w:r>
      <w:r w:rsidR="00A24E21">
        <w:t>.</w:t>
      </w:r>
    </w:p>
    <w:p w14:paraId="7771FE3C" w14:textId="2928D3A5" w:rsidR="00647940" w:rsidRDefault="006650E6">
      <w:pPr>
        <w:pStyle w:val="RRBody"/>
        <w:tabs>
          <w:tab w:val="left" w:pos="7926"/>
        </w:tabs>
        <w:jc w:val="both"/>
      </w:pPr>
      <w:r w:rsidRPr="00A13AF0">
        <w:rPr>
          <w:b/>
          <w:bCs/>
        </w:rPr>
        <w:t>Care Transformation Collaborative of Rhode Island</w:t>
      </w:r>
      <w:r w:rsidR="00BE76D3">
        <w:rPr>
          <w:b/>
          <w:bCs/>
        </w:rPr>
        <w:t xml:space="preserve"> (</w:t>
      </w:r>
      <w:r w:rsidR="00BE76D3" w:rsidRPr="00BE76D3">
        <w:rPr>
          <w:b/>
          <w:bCs/>
        </w:rPr>
        <w:t>RI_VBP_PC_Renewal_20220701-20230630</w:t>
      </w:r>
      <w:r w:rsidR="00BE76D3">
        <w:rPr>
          <w:b/>
          <w:bCs/>
        </w:rPr>
        <w:t>)</w:t>
      </w:r>
      <w:r w:rsidR="00647940">
        <w:rPr>
          <w:b/>
          <w:bCs/>
        </w:rPr>
        <w:t xml:space="preserve">. </w:t>
      </w:r>
      <w:r w:rsidR="00854017">
        <w:t>The Care Transformation Collaborative directed payment was reflected in the capitation rate development through a PMPM add-on described in Section I</w:t>
      </w:r>
      <w:r w:rsidR="00D405FB">
        <w:t xml:space="preserve">, item </w:t>
      </w:r>
      <w:r w:rsidR="00854017">
        <w:t xml:space="preserve">5.B.i.(a) of this report, and </w:t>
      </w:r>
      <w:r w:rsidR="00AA52FA">
        <w:t xml:space="preserve">magnitude of the payment increase for each rate cell </w:t>
      </w:r>
      <w:r w:rsidR="00854017">
        <w:t xml:space="preserve">is illustrated in Appendix 4. </w:t>
      </w:r>
      <w:r w:rsidR="00647940">
        <w:t xml:space="preserve"> </w:t>
      </w:r>
    </w:p>
    <w:p w14:paraId="3A529B76" w14:textId="0B64538B" w:rsidR="00C805EB" w:rsidRPr="00647940" w:rsidRDefault="00C805EB" w:rsidP="00A06B75">
      <w:pPr>
        <w:pStyle w:val="RRBody"/>
        <w:jc w:val="both"/>
      </w:pPr>
      <w:r w:rsidRPr="00B153CE">
        <w:rPr>
          <w:b/>
          <w:bCs/>
        </w:rPr>
        <w:t>Accountable Entity Program</w:t>
      </w:r>
      <w:r w:rsidR="00BE76D3">
        <w:rPr>
          <w:b/>
          <w:bCs/>
        </w:rPr>
        <w:t xml:space="preserve"> (</w:t>
      </w:r>
      <w:r w:rsidR="00BE76D3" w:rsidRPr="00BE76D3">
        <w:rPr>
          <w:b/>
          <w:bCs/>
        </w:rPr>
        <w:t>RI_VBP_Oth_Renewal_20220701-20230630</w:t>
      </w:r>
      <w:r w:rsidR="00BE76D3">
        <w:rPr>
          <w:b/>
          <w:bCs/>
        </w:rPr>
        <w:t>)</w:t>
      </w:r>
      <w:r w:rsidRPr="00B153CE">
        <w:rPr>
          <w:b/>
          <w:bCs/>
        </w:rPr>
        <w:t>.</w:t>
      </w:r>
      <w:r>
        <w:t xml:space="preserve"> No explicit upward or downward adjustment is made to the capitation rates for the Accountable Entity program</w:t>
      </w:r>
      <w:r w:rsidR="00AA52FA">
        <w:t>. Historical program experience and SFY 2023 program parameters are considered</w:t>
      </w:r>
      <w:r>
        <w:t xml:space="preserve"> when evaluating the reasonableness, appropriateness, and attainability of the capitation rates.</w:t>
      </w:r>
      <w:r w:rsidR="00AA52FA">
        <w:t xml:space="preserve"> </w:t>
      </w:r>
    </w:p>
    <w:bookmarkEnd w:id="364"/>
    <w:p w14:paraId="2524048C" w14:textId="4C1EE295" w:rsidR="003E3EC1" w:rsidRDefault="003E3EC1" w:rsidP="00A06B75">
      <w:pPr>
        <w:pStyle w:val="Heading6"/>
        <w:jc w:val="both"/>
      </w:pPr>
      <w:r>
        <w:t>Separate payment term</w:t>
      </w:r>
    </w:p>
    <w:p w14:paraId="1293246A" w14:textId="2B2632B1" w:rsidR="003E3EC1" w:rsidRDefault="003E3EC1">
      <w:pPr>
        <w:pStyle w:val="RRBody"/>
        <w:tabs>
          <w:tab w:val="left" w:pos="7926"/>
        </w:tabs>
        <w:jc w:val="both"/>
      </w:pPr>
      <w:r>
        <w:t>The directed payments are not incorporated as a separate payment term.</w:t>
      </w:r>
    </w:p>
    <w:p w14:paraId="49DF0AA5" w14:textId="5F42F8EE" w:rsidR="00CE2046" w:rsidRDefault="00CE2046" w:rsidP="00A06B75">
      <w:pPr>
        <w:pStyle w:val="Heading5"/>
        <w:jc w:val="both"/>
      </w:pPr>
      <w:r>
        <w:t>Additional directed payments</w:t>
      </w:r>
    </w:p>
    <w:p w14:paraId="737377A1" w14:textId="61FAC93E" w:rsidR="00CE2046" w:rsidRDefault="00CE2046">
      <w:pPr>
        <w:pStyle w:val="RRBody"/>
        <w:tabs>
          <w:tab w:val="left" w:pos="7926"/>
        </w:tabs>
        <w:jc w:val="both"/>
      </w:pPr>
      <w:r w:rsidRPr="009E6D9D">
        <w:t>The</w:t>
      </w:r>
      <w:r w:rsidR="009E46D0">
        <w:t>re are no additional directed payment arrangements.</w:t>
      </w:r>
    </w:p>
    <w:p w14:paraId="69C6989F" w14:textId="70721F51" w:rsidR="00CE2046" w:rsidRDefault="009E46D0" w:rsidP="00A06B75">
      <w:pPr>
        <w:pStyle w:val="Heading5"/>
        <w:jc w:val="both"/>
      </w:pPr>
      <w:r>
        <w:t>Required reimbursement rates outside the certification</w:t>
      </w:r>
      <w:r w:rsidR="00CE2046">
        <w:t xml:space="preserve"> </w:t>
      </w:r>
    </w:p>
    <w:p w14:paraId="27746C39" w14:textId="086EBB15" w:rsidR="00CE2046" w:rsidRDefault="009E46D0">
      <w:pPr>
        <w:pStyle w:val="RRBody"/>
        <w:tabs>
          <w:tab w:val="left" w:pos="7926"/>
        </w:tabs>
        <w:jc w:val="both"/>
      </w:pPr>
      <w:r>
        <w:t>There are no requirements regarding reimbursement rates the plans must pay to any providers unless specified in the certification as a directed payment or authorized under applicable law, regulation, or waiver.</w:t>
      </w:r>
    </w:p>
    <w:p w14:paraId="3902B565" w14:textId="610798E9" w:rsidR="0092425C" w:rsidRDefault="0092425C" w:rsidP="00622097">
      <w:pPr>
        <w:pStyle w:val="Heading3"/>
        <w:jc w:val="both"/>
      </w:pPr>
      <w:bookmarkStart w:id="365" w:name="_Toc8985036"/>
      <w:bookmarkStart w:id="366" w:name="_Toc100260732"/>
      <w:bookmarkStart w:id="367" w:name="_Toc466028103"/>
      <w:bookmarkStart w:id="368" w:name="_Toc484701241"/>
      <w:bookmarkStart w:id="369" w:name="_Toc504389086"/>
      <w:r w:rsidRPr="0092425C">
        <w:t>P</w:t>
      </w:r>
      <w:r w:rsidR="000C17D0">
        <w:t>ass</w:t>
      </w:r>
      <w:r w:rsidRPr="0092425C">
        <w:t>-T</w:t>
      </w:r>
      <w:r w:rsidR="000C17D0">
        <w:t>hrough</w:t>
      </w:r>
      <w:r w:rsidRPr="0092425C">
        <w:t xml:space="preserve"> P</w:t>
      </w:r>
      <w:r w:rsidR="000C17D0">
        <w:t>ayments</w:t>
      </w:r>
      <w:bookmarkEnd w:id="365"/>
      <w:bookmarkEnd w:id="366"/>
    </w:p>
    <w:p w14:paraId="65D745B8" w14:textId="77777777" w:rsidR="00CE2634" w:rsidRPr="009B069E" w:rsidRDefault="00CE2634" w:rsidP="00622097">
      <w:pPr>
        <w:pStyle w:val="Heading4"/>
      </w:pPr>
      <w:bookmarkStart w:id="370" w:name="_Toc484701242"/>
      <w:bookmarkStart w:id="371" w:name="_Toc504389087"/>
      <w:bookmarkStart w:id="372" w:name="_Toc8985037"/>
      <w:bookmarkStart w:id="373" w:name="_Toc100260733"/>
      <w:bookmarkStart w:id="374" w:name="_Toc466028104"/>
      <w:bookmarkEnd w:id="367"/>
      <w:bookmarkEnd w:id="368"/>
      <w:bookmarkEnd w:id="369"/>
      <w:r w:rsidRPr="009B069E">
        <w:t>Rate Development Standards</w:t>
      </w:r>
      <w:bookmarkEnd w:id="370"/>
      <w:bookmarkEnd w:id="371"/>
      <w:bookmarkEnd w:id="372"/>
      <w:bookmarkEnd w:id="373"/>
    </w:p>
    <w:p w14:paraId="0E9A93DD" w14:textId="0BCF862E" w:rsidR="00573E12" w:rsidRPr="006B47C8" w:rsidRDefault="00FA0E04" w:rsidP="00622097">
      <w:pPr>
        <w:pStyle w:val="RRBody"/>
        <w:jc w:val="both"/>
      </w:pPr>
      <w:bookmarkStart w:id="375" w:name="_Toc484701243"/>
      <w:bookmarkStart w:id="376" w:name="_Toc504389088"/>
      <w:bookmarkEnd w:id="374"/>
      <w:r>
        <w:t>There are no</w:t>
      </w:r>
      <w:r w:rsidR="00E11D14">
        <w:t xml:space="preserve"> pass-through payments reflected in the </w:t>
      </w:r>
      <w:r>
        <w:t xml:space="preserve">SFY </w:t>
      </w:r>
      <w:r w:rsidR="00727EB8">
        <w:t xml:space="preserve">2023 </w:t>
      </w:r>
      <w:r w:rsidR="00E11D14">
        <w:t>capitation rates</w:t>
      </w:r>
      <w:r w:rsidR="00573E12">
        <w:t>.</w:t>
      </w:r>
    </w:p>
    <w:p w14:paraId="5B274DF7" w14:textId="77777777" w:rsidR="00CE2634" w:rsidRPr="009B069E" w:rsidRDefault="00CE2634" w:rsidP="00622097">
      <w:pPr>
        <w:pStyle w:val="Heading4"/>
      </w:pPr>
      <w:bookmarkStart w:id="377" w:name="_Toc8985038"/>
      <w:bookmarkStart w:id="378" w:name="_Toc100260734"/>
      <w:r w:rsidRPr="009B069E">
        <w:t>Appropriate Documentation</w:t>
      </w:r>
      <w:bookmarkEnd w:id="375"/>
      <w:bookmarkEnd w:id="376"/>
      <w:bookmarkEnd w:id="377"/>
      <w:bookmarkEnd w:id="378"/>
    </w:p>
    <w:p w14:paraId="147254CD" w14:textId="3E263FDE" w:rsidR="00294D8A" w:rsidRDefault="00FA0E04" w:rsidP="00622097">
      <w:pPr>
        <w:jc w:val="both"/>
      </w:pPr>
      <w:bookmarkStart w:id="379" w:name="_Toc484701245"/>
      <w:bookmarkStart w:id="380" w:name="_Toc504389090"/>
      <w:r>
        <w:t xml:space="preserve">There are no pass-through payments reflected in the SFY </w:t>
      </w:r>
      <w:r w:rsidR="00727EB8">
        <w:t xml:space="preserve">2023 </w:t>
      </w:r>
      <w:r>
        <w:t>capitation rates.</w:t>
      </w:r>
      <w:bookmarkEnd w:id="379"/>
      <w:bookmarkEnd w:id="380"/>
      <w:r w:rsidR="00294D8A">
        <w:br w:type="page"/>
      </w:r>
    </w:p>
    <w:p w14:paraId="012BF92B" w14:textId="5C0972CC" w:rsidR="00CE2634" w:rsidRPr="001D7F4A" w:rsidRDefault="00CE2634" w:rsidP="00622097">
      <w:pPr>
        <w:pStyle w:val="Heading2"/>
        <w:jc w:val="both"/>
      </w:pPr>
      <w:bookmarkStart w:id="381" w:name="_Toc8985039"/>
      <w:bookmarkStart w:id="382" w:name="_Toc100260735"/>
      <w:r w:rsidRPr="001D7F4A">
        <w:lastRenderedPageBreak/>
        <w:t>Projected non-benefit costs</w:t>
      </w:r>
      <w:bookmarkEnd w:id="381"/>
      <w:bookmarkEnd w:id="382"/>
    </w:p>
    <w:p w14:paraId="0F029F0C" w14:textId="77777777" w:rsidR="00CE2634" w:rsidRPr="00D705D5" w:rsidRDefault="00CE2634" w:rsidP="00622097">
      <w:pPr>
        <w:pStyle w:val="Heading3"/>
        <w:numPr>
          <w:ilvl w:val="1"/>
          <w:numId w:val="39"/>
        </w:numPr>
        <w:jc w:val="both"/>
      </w:pPr>
      <w:bookmarkStart w:id="383" w:name="_Toc484701252"/>
      <w:bookmarkStart w:id="384" w:name="_Toc504389097"/>
      <w:bookmarkStart w:id="385" w:name="_Toc8985040"/>
      <w:bookmarkStart w:id="386" w:name="_Toc100260736"/>
      <w:bookmarkStart w:id="387" w:name="_Toc466028112"/>
      <w:r w:rsidRPr="00D705D5">
        <w:t>Rate Development Standards</w:t>
      </w:r>
      <w:bookmarkEnd w:id="383"/>
      <w:bookmarkEnd w:id="384"/>
      <w:bookmarkEnd w:id="385"/>
      <w:bookmarkEnd w:id="386"/>
    </w:p>
    <w:p w14:paraId="729C3A37" w14:textId="77777777" w:rsidR="00CE2634" w:rsidRPr="009B069E" w:rsidRDefault="00CE2634" w:rsidP="00622097">
      <w:pPr>
        <w:pStyle w:val="Heading4"/>
      </w:pPr>
      <w:bookmarkStart w:id="388" w:name="_Toc484701253"/>
      <w:bookmarkStart w:id="389" w:name="_Toc504389098"/>
      <w:bookmarkStart w:id="390" w:name="_Toc8985041"/>
      <w:bookmarkStart w:id="391" w:name="_Toc100260737"/>
      <w:r w:rsidRPr="009B069E">
        <w:t>Overview</w:t>
      </w:r>
      <w:bookmarkEnd w:id="388"/>
      <w:bookmarkEnd w:id="389"/>
      <w:bookmarkEnd w:id="390"/>
      <w:bookmarkEnd w:id="391"/>
    </w:p>
    <w:p w14:paraId="339EAFBC" w14:textId="7185F97E" w:rsidR="00573E12" w:rsidRPr="00B41488" w:rsidRDefault="00573E12" w:rsidP="00622097">
      <w:pPr>
        <w:pStyle w:val="RRBody"/>
        <w:jc w:val="both"/>
      </w:pPr>
      <w:bookmarkStart w:id="392" w:name="_Toc484701254"/>
      <w:bookmarkStart w:id="393" w:name="_Toc504389099"/>
      <w:r w:rsidRPr="00573E12">
        <w:rPr>
          <w:spacing w:val="-3"/>
        </w:rPr>
        <w:t>I</w:t>
      </w:r>
      <w:r w:rsidRPr="00573E12">
        <w:t>n accordance with 42 CFR §438.5(e), the non-benefit component of the capitation rate includes reasonable, appropriate and attainable expenses related to MC</w:t>
      </w:r>
      <w:r w:rsidR="00982CDA">
        <w:t>O</w:t>
      </w:r>
      <w:r w:rsidRPr="00573E12">
        <w:t xml:space="preserve"> operation </w:t>
      </w:r>
      <w:r w:rsidR="006D08BB">
        <w:t xml:space="preserve">of the </w:t>
      </w:r>
      <w:r w:rsidR="00356105">
        <w:t>Medicaid managed care</w:t>
      </w:r>
      <w:r w:rsidR="006D08BB">
        <w:t xml:space="preserve"> </w:t>
      </w:r>
      <w:r w:rsidRPr="00573E12">
        <w:t>program.</w:t>
      </w:r>
      <w:r w:rsidR="007A0895">
        <w:t xml:space="preserve"> </w:t>
      </w:r>
      <w:r w:rsidRPr="00573E12">
        <w:t>Section I, item 5 provides documentation of the data, assumptions</w:t>
      </w:r>
      <w:r w:rsidR="00F64CC3">
        <w:t>,</w:t>
      </w:r>
      <w:r w:rsidRPr="00573E12">
        <w:t xml:space="preserve"> and methodology that we utilized to develop the non-benefit cost component of the capitation rate.</w:t>
      </w:r>
    </w:p>
    <w:p w14:paraId="69C8808F" w14:textId="77777777" w:rsidR="00CE2634" w:rsidRPr="009B069E" w:rsidRDefault="00CE2634" w:rsidP="00622097">
      <w:pPr>
        <w:pStyle w:val="Heading4"/>
      </w:pPr>
      <w:bookmarkStart w:id="394" w:name="_Toc8985042"/>
      <w:bookmarkStart w:id="395" w:name="_Toc100260738"/>
      <w:r w:rsidRPr="009B069E">
        <w:t>PMPM versus percentage</w:t>
      </w:r>
      <w:bookmarkEnd w:id="392"/>
      <w:bookmarkEnd w:id="393"/>
      <w:bookmarkEnd w:id="394"/>
      <w:bookmarkEnd w:id="395"/>
      <w:r w:rsidRPr="009B069E">
        <w:t xml:space="preserve"> </w:t>
      </w:r>
    </w:p>
    <w:p w14:paraId="4BF8CFCE" w14:textId="2E6F9BC9" w:rsidR="00787F69" w:rsidRPr="0076558C" w:rsidRDefault="00787F69" w:rsidP="00622097">
      <w:pPr>
        <w:pStyle w:val="RRBody"/>
        <w:jc w:val="both"/>
      </w:pPr>
      <w:bookmarkStart w:id="396" w:name="_Toc484701255"/>
      <w:r w:rsidRPr="0076558C">
        <w:t>The non-benefit cost</w:t>
      </w:r>
      <w:r w:rsidR="001A703F">
        <w:t>s</w:t>
      </w:r>
      <w:r w:rsidRPr="0076558C">
        <w:t xml:space="preserve"> w</w:t>
      </w:r>
      <w:r w:rsidR="001A703F">
        <w:t>ere</w:t>
      </w:r>
      <w:r w:rsidRPr="0076558C">
        <w:t xml:space="preserve"> developed as </w:t>
      </w:r>
      <w:r w:rsidR="001A703F">
        <w:t xml:space="preserve">both a PMPM and </w:t>
      </w:r>
      <w:r w:rsidRPr="0076558C">
        <w:t>a percentage of the capitation rate.</w:t>
      </w:r>
      <w:r w:rsidR="001A703F">
        <w:t xml:space="preserve"> The Care Transformation Collaborative adjustment and </w:t>
      </w:r>
      <w:r w:rsidR="00226718">
        <w:t>the State-Supplied Vaccine Program (</w:t>
      </w:r>
      <w:r w:rsidR="001A703F">
        <w:t>vaccine assessment</w:t>
      </w:r>
      <w:r w:rsidR="00226718">
        <w:t>)</w:t>
      </w:r>
      <w:r w:rsidR="001A703F">
        <w:t xml:space="preserve"> were developed as PMPM amounts. The care coordination, administrative cost allowance, risk margin, and premium tax amounts were developed as a percentage of the </w:t>
      </w:r>
      <w:r w:rsidR="00A24451">
        <w:t>capitation rate</w:t>
      </w:r>
      <w:r w:rsidR="001A703F">
        <w:t>.</w:t>
      </w:r>
    </w:p>
    <w:p w14:paraId="3D6F3A01" w14:textId="77777777" w:rsidR="00CE2634" w:rsidRPr="00D705D5" w:rsidRDefault="00CE2634" w:rsidP="00622097">
      <w:pPr>
        <w:pStyle w:val="Heading3"/>
        <w:jc w:val="both"/>
      </w:pPr>
      <w:bookmarkStart w:id="397" w:name="_Toc100260739"/>
      <w:bookmarkStart w:id="398" w:name="_Toc465858996"/>
      <w:bookmarkStart w:id="399" w:name="_Toc465859171"/>
      <w:bookmarkStart w:id="400" w:name="_Toc466027938"/>
      <w:bookmarkStart w:id="401" w:name="_Toc466028113"/>
      <w:bookmarkStart w:id="402" w:name="_Toc100260740"/>
      <w:bookmarkStart w:id="403" w:name="_Toc100260741"/>
      <w:bookmarkStart w:id="404" w:name="_Toc100260742"/>
      <w:bookmarkStart w:id="405" w:name="_Toc484701257"/>
      <w:bookmarkStart w:id="406" w:name="_Toc504389102"/>
      <w:bookmarkStart w:id="407" w:name="_Toc8985045"/>
      <w:bookmarkStart w:id="408" w:name="_Toc100260743"/>
      <w:bookmarkStart w:id="409" w:name="_Toc466028114"/>
      <w:bookmarkEnd w:id="387"/>
      <w:bookmarkEnd w:id="396"/>
      <w:bookmarkEnd w:id="397"/>
      <w:bookmarkEnd w:id="398"/>
      <w:bookmarkEnd w:id="399"/>
      <w:bookmarkEnd w:id="400"/>
      <w:bookmarkEnd w:id="401"/>
      <w:bookmarkEnd w:id="402"/>
      <w:bookmarkEnd w:id="403"/>
      <w:bookmarkEnd w:id="404"/>
      <w:r w:rsidRPr="00D705D5">
        <w:t>Appropriate Documentation</w:t>
      </w:r>
      <w:bookmarkEnd w:id="405"/>
      <w:bookmarkEnd w:id="406"/>
      <w:bookmarkEnd w:id="407"/>
      <w:bookmarkEnd w:id="408"/>
    </w:p>
    <w:p w14:paraId="6F10FB7F" w14:textId="56C215C9" w:rsidR="00CE2634" w:rsidRPr="009B069E" w:rsidRDefault="00CE2634" w:rsidP="00622097">
      <w:pPr>
        <w:pStyle w:val="Heading4"/>
      </w:pPr>
      <w:bookmarkStart w:id="410" w:name="_Toc484701258"/>
      <w:bookmarkStart w:id="411" w:name="_Toc504389103"/>
      <w:bookmarkStart w:id="412" w:name="_Toc8985046"/>
      <w:bookmarkStart w:id="413" w:name="_Toc100260744"/>
      <w:bookmarkEnd w:id="409"/>
      <w:r w:rsidRPr="009B069E">
        <w:t>Development of non-benefit costs</w:t>
      </w:r>
      <w:bookmarkEnd w:id="410"/>
      <w:bookmarkEnd w:id="411"/>
      <w:bookmarkEnd w:id="412"/>
      <w:bookmarkEnd w:id="413"/>
    </w:p>
    <w:p w14:paraId="798D2DBF" w14:textId="77777777" w:rsidR="00CE2634" w:rsidRPr="00557D78" w:rsidRDefault="00CE2634" w:rsidP="00622097">
      <w:pPr>
        <w:pStyle w:val="Heading5"/>
        <w:jc w:val="both"/>
      </w:pPr>
      <w:bookmarkStart w:id="414" w:name="_Toc454354225"/>
      <w:bookmarkStart w:id="415" w:name="_Toc484701259"/>
      <w:bookmarkStart w:id="416" w:name="_Toc504389104"/>
      <w:r w:rsidRPr="00557D78">
        <w:t>Description of the data, assumptions, and methodologies</w:t>
      </w:r>
      <w:bookmarkEnd w:id="414"/>
      <w:bookmarkEnd w:id="415"/>
      <w:bookmarkEnd w:id="416"/>
    </w:p>
    <w:p w14:paraId="3820E6E8" w14:textId="77777777" w:rsidR="00CE2634" w:rsidRPr="00557D78" w:rsidRDefault="00CE2634" w:rsidP="00622097">
      <w:pPr>
        <w:pStyle w:val="RRSubhead2"/>
        <w:jc w:val="both"/>
      </w:pPr>
      <w:r w:rsidRPr="00557D78">
        <w:t>Data</w:t>
      </w:r>
    </w:p>
    <w:p w14:paraId="2757DCD2" w14:textId="67124213" w:rsidR="00761866" w:rsidRPr="00C80A6C" w:rsidRDefault="00761866" w:rsidP="00622097">
      <w:pPr>
        <w:pStyle w:val="RRBody"/>
        <w:jc w:val="both"/>
      </w:pPr>
      <w:r w:rsidRPr="00C80A6C">
        <w:t xml:space="preserve">The following items </w:t>
      </w:r>
      <w:r w:rsidR="00DC2A41">
        <w:t>were</w:t>
      </w:r>
      <w:r w:rsidRPr="00C80A6C">
        <w:t xml:space="preserve"> considered in determining the appropriate a</w:t>
      </w:r>
      <w:r>
        <w:t>dministrative payment to the MCO</w:t>
      </w:r>
      <w:r w:rsidRPr="00C80A6C">
        <w:t>s:</w:t>
      </w:r>
    </w:p>
    <w:p w14:paraId="70BF2A6B" w14:textId="77777777" w:rsidR="00761866" w:rsidRPr="00F40720" w:rsidRDefault="00761866" w:rsidP="00622097">
      <w:pPr>
        <w:pStyle w:val="RRNumberedBullet1"/>
        <w:spacing w:before="60"/>
        <w:jc w:val="both"/>
      </w:pPr>
      <w:r w:rsidRPr="00F40720">
        <w:t>MCO administrative requirements as specified in the contract;</w:t>
      </w:r>
    </w:p>
    <w:p w14:paraId="4222E89D" w14:textId="594878AE" w:rsidR="00761866" w:rsidRPr="00F40720" w:rsidRDefault="00761866" w:rsidP="00622097">
      <w:pPr>
        <w:pStyle w:val="RRNumberedBullet1"/>
        <w:spacing w:before="60"/>
        <w:jc w:val="both"/>
      </w:pPr>
      <w:r w:rsidRPr="00F40720">
        <w:t>MCO financial information contained in NAIC financial statement data;</w:t>
      </w:r>
    </w:p>
    <w:p w14:paraId="4A0A6AAE" w14:textId="2863BCDE" w:rsidR="007A0895" w:rsidRPr="00F40720" w:rsidRDefault="007A0895" w:rsidP="007A0895">
      <w:pPr>
        <w:pStyle w:val="RRNumberedBullet1"/>
        <w:spacing w:before="60"/>
        <w:jc w:val="both"/>
      </w:pPr>
      <w:r>
        <w:t>MCO administrative costs and financial considerations reported in the FDCR and MCO Survey;</w:t>
      </w:r>
    </w:p>
    <w:p w14:paraId="5042B4DD" w14:textId="79A2504D" w:rsidR="00761866" w:rsidRDefault="00761866" w:rsidP="00622097">
      <w:pPr>
        <w:pStyle w:val="RRNumberedBullet1"/>
        <w:spacing w:before="60"/>
        <w:jc w:val="both"/>
      </w:pPr>
      <w:r w:rsidRPr="00F40720">
        <w:t>MCO historical administrative efficiency in relation to industry norms by expense category;</w:t>
      </w:r>
    </w:p>
    <w:p w14:paraId="2A21565B" w14:textId="77777777" w:rsidR="00761866" w:rsidRPr="00F40720" w:rsidRDefault="00761866" w:rsidP="00622097">
      <w:pPr>
        <w:pStyle w:val="RRNumberedBullet1"/>
        <w:spacing w:before="60"/>
        <w:jc w:val="both"/>
      </w:pPr>
      <w:r w:rsidRPr="00F40720">
        <w:t>Average</w:t>
      </w:r>
      <w:r>
        <w:t xml:space="preserve"> administrative</w:t>
      </w:r>
      <w:r w:rsidRPr="00F40720">
        <w:t xml:space="preserve"> costs from the financial statements of Medicaid health plans nationally;</w:t>
      </w:r>
      <w:r w:rsidRPr="0087669A">
        <w:t xml:space="preserve"> </w:t>
      </w:r>
      <w:r w:rsidRPr="00372FD7">
        <w:t>and,</w:t>
      </w:r>
    </w:p>
    <w:p w14:paraId="7592BF56" w14:textId="397507E7" w:rsidR="004527AE" w:rsidRDefault="00761866" w:rsidP="00622097">
      <w:pPr>
        <w:pStyle w:val="RRNumberedBullet1"/>
        <w:spacing w:before="60"/>
        <w:jc w:val="both"/>
      </w:pPr>
      <w:r w:rsidRPr="00372FD7">
        <w:t>Base claims cost</w:t>
      </w:r>
      <w:r>
        <w:t>.</w:t>
      </w:r>
    </w:p>
    <w:p w14:paraId="2DC4FCC6" w14:textId="29A46260" w:rsidR="00761866" w:rsidRPr="00C80A6C" w:rsidRDefault="00761866" w:rsidP="00622097">
      <w:pPr>
        <w:pStyle w:val="RRNumberedBullet1"/>
        <w:numPr>
          <w:ilvl w:val="0"/>
          <w:numId w:val="0"/>
        </w:numPr>
        <w:jc w:val="both"/>
      </w:pPr>
      <w:r>
        <w:t xml:space="preserve">We used historical program costs </w:t>
      </w:r>
      <w:r w:rsidR="00DC2A41">
        <w:t xml:space="preserve">and projections </w:t>
      </w:r>
      <w:r>
        <w:t xml:space="preserve">provided by EOHHS to develop the PMPM amounts for </w:t>
      </w:r>
      <w:r w:rsidR="009D32F6" w:rsidRPr="009D32F6">
        <w:t>Care Transformation Collaborative</w:t>
      </w:r>
      <w:r w:rsidR="00DC2A41">
        <w:t xml:space="preserve"> </w:t>
      </w:r>
      <w:r>
        <w:t>and vaccine assessment.</w:t>
      </w:r>
    </w:p>
    <w:p w14:paraId="403095BE" w14:textId="4810D070" w:rsidR="00CE2634" w:rsidRDefault="00CE2634" w:rsidP="00622097">
      <w:pPr>
        <w:pStyle w:val="RRSubhead2"/>
        <w:spacing w:after="120"/>
        <w:jc w:val="both"/>
      </w:pPr>
      <w:r w:rsidRPr="00557D78">
        <w:t>Assumptions and methodology</w:t>
      </w:r>
    </w:p>
    <w:p w14:paraId="1FF67AD0" w14:textId="49D242AD" w:rsidR="00015A13" w:rsidRDefault="001E72AF" w:rsidP="00622097">
      <w:pPr>
        <w:pStyle w:val="RRBody"/>
        <w:jc w:val="both"/>
      </w:pPr>
      <w:r w:rsidRPr="00C80A6C">
        <w:t>In developing the administrative cost allowances, we review</w:t>
      </w:r>
      <w:r w:rsidR="001A703F">
        <w:t>ed</w:t>
      </w:r>
      <w:r w:rsidRPr="00C80A6C">
        <w:t xml:space="preserve"> historical administrative expenses for the program along with national Medicaid health plan administrative expenses. We consider</w:t>
      </w:r>
      <w:r w:rsidR="00226718">
        <w:t>ed</w:t>
      </w:r>
      <w:r w:rsidRPr="00C80A6C">
        <w:t xml:space="preserve"> the size of </w:t>
      </w:r>
      <w:r w:rsidR="00A24451">
        <w:t>the</w:t>
      </w:r>
      <w:r w:rsidR="00A24451" w:rsidRPr="00C80A6C">
        <w:t xml:space="preserve"> </w:t>
      </w:r>
      <w:r w:rsidRPr="00C80A6C">
        <w:t xml:space="preserve">health plans and the resulting economies of scale that could be achieved, along with the benefits covered and the demographics of the population. </w:t>
      </w:r>
      <w:r w:rsidR="0069667F">
        <w:t>The final assumptions were based on our actuarial judgement and not formulaically derived</w:t>
      </w:r>
      <w:r w:rsidR="00B60E78">
        <w:t>.</w:t>
      </w:r>
    </w:p>
    <w:p w14:paraId="6AE51262" w14:textId="4F70E660" w:rsidR="0069314A" w:rsidRDefault="001E72AF" w:rsidP="00622097">
      <w:pPr>
        <w:pStyle w:val="RRBody"/>
        <w:jc w:val="both"/>
      </w:pPr>
      <w:r w:rsidRPr="00C80A6C">
        <w:t>We d</w:t>
      </w:r>
      <w:r w:rsidR="00226718">
        <w:t>id</w:t>
      </w:r>
      <w:r w:rsidRPr="00C80A6C">
        <w:t xml:space="preserve"> not develop administrative expenses from the ground up (based on individual components). However, individual components </w:t>
      </w:r>
      <w:r w:rsidR="00226718">
        <w:t>were</w:t>
      </w:r>
      <w:r w:rsidRPr="00C80A6C">
        <w:t xml:space="preserve"> reviewed within financial statement data. </w:t>
      </w:r>
      <w:r w:rsidR="00B60E78">
        <w:t xml:space="preserve">We considered the pharmacy benefit target AWP discount values described in Section I, item 3.B.ii and related PBM administrative load in this development. </w:t>
      </w:r>
      <w:r>
        <w:t xml:space="preserve">Care coordination expense </w:t>
      </w:r>
      <w:r w:rsidR="00226718">
        <w:t>was</w:t>
      </w:r>
      <w:r>
        <w:t xml:space="preserve"> separately </w:t>
      </w:r>
      <w:r w:rsidR="006958BB">
        <w:t xml:space="preserve">allocated from the general </w:t>
      </w:r>
      <w:r>
        <w:t>administrative cost allowance</w:t>
      </w:r>
      <w:r w:rsidR="00502777">
        <w:t xml:space="preserve"> and is considered as a component of the baseline medical expense for purposes of risk share reporting</w:t>
      </w:r>
      <w:r w:rsidR="0069314A">
        <w:t>.</w:t>
      </w:r>
    </w:p>
    <w:p w14:paraId="701E948D" w14:textId="18168674" w:rsidR="0069314A" w:rsidRPr="00CB2F8A" w:rsidRDefault="0069314A" w:rsidP="00622097">
      <w:pPr>
        <w:pStyle w:val="RRBody"/>
        <w:jc w:val="both"/>
      </w:pPr>
      <w:r>
        <w:t xml:space="preserve">In addition to </w:t>
      </w:r>
      <w:r w:rsidR="006958BB">
        <w:t xml:space="preserve">care coordination and </w:t>
      </w:r>
      <w:r>
        <w:t>administrative costs, the development of actuarial</w:t>
      </w:r>
      <w:r w:rsidR="002F4284">
        <w:t>ly</w:t>
      </w:r>
      <w:r>
        <w:t xml:space="preserve"> sound capitation rates considers the following other program components: </w:t>
      </w:r>
    </w:p>
    <w:p w14:paraId="6035E041" w14:textId="58865723" w:rsidR="0069314A" w:rsidRDefault="0069314A" w:rsidP="002564F0">
      <w:pPr>
        <w:pStyle w:val="RRNumberedBullet1"/>
      </w:pPr>
      <w:r w:rsidRPr="00CD2666">
        <w:rPr>
          <w:b/>
        </w:rPr>
        <w:t>Care Transformation Collaborative</w:t>
      </w:r>
      <w:r w:rsidR="00A13AF0">
        <w:rPr>
          <w:b/>
        </w:rPr>
        <w:t xml:space="preserve"> of Rhode Island</w:t>
      </w:r>
      <w:r>
        <w:rPr>
          <w:b/>
        </w:rPr>
        <w:t>:</w:t>
      </w:r>
      <w:r w:rsidRPr="00D00FAA">
        <w:t xml:space="preserve"> </w:t>
      </w:r>
      <w:r w:rsidR="00C40517">
        <w:t xml:space="preserve">The SFY </w:t>
      </w:r>
      <w:r w:rsidR="00F622F0">
        <w:t xml:space="preserve">2023 </w:t>
      </w:r>
      <w:r w:rsidR="00C40517">
        <w:t xml:space="preserve">PMPM add-on for </w:t>
      </w:r>
      <w:r w:rsidR="00A13AF0" w:rsidRPr="00A13AF0">
        <w:t>Care Transformation Collaborative</w:t>
      </w:r>
      <w:r w:rsidR="00A13AF0" w:rsidRPr="00A13AF0" w:rsidDel="00A13AF0">
        <w:t xml:space="preserve"> </w:t>
      </w:r>
      <w:r w:rsidR="003458A9">
        <w:t xml:space="preserve">is </w:t>
      </w:r>
      <w:r w:rsidR="00967D71">
        <w:t xml:space="preserve">based on SFY </w:t>
      </w:r>
      <w:r w:rsidR="00F622F0">
        <w:t xml:space="preserve">2023 </w:t>
      </w:r>
      <w:r w:rsidR="009C4050">
        <w:t>projections provided by EOHHS</w:t>
      </w:r>
      <w:r w:rsidR="00967D71">
        <w:t>.</w:t>
      </w:r>
      <w:r w:rsidR="009C4050">
        <w:t xml:space="preserve"> </w:t>
      </w:r>
      <w:r w:rsidR="003458A9">
        <w:t xml:space="preserve">The </w:t>
      </w:r>
      <w:r w:rsidR="000843D5">
        <w:t xml:space="preserve">projections were reviewed for reasonability in their development and in total magnitude. </w:t>
      </w:r>
      <w:r>
        <w:t xml:space="preserve">The </w:t>
      </w:r>
      <w:r w:rsidR="00A13AF0" w:rsidRPr="00A13AF0">
        <w:t>Care Transformation Collaborative</w:t>
      </w:r>
      <w:r w:rsidR="00A13AF0" w:rsidRPr="00A13AF0" w:rsidDel="00A13AF0">
        <w:t xml:space="preserve"> </w:t>
      </w:r>
      <w:r>
        <w:t>amounts are included as a component of the baseline medical expense for purposes of risk share reporting.</w:t>
      </w:r>
    </w:p>
    <w:p w14:paraId="7A918299" w14:textId="54A3CE3C" w:rsidR="00502777" w:rsidRPr="006958BB" w:rsidRDefault="00502777" w:rsidP="00622097">
      <w:pPr>
        <w:pStyle w:val="RRNumberedBullet1"/>
        <w:spacing w:before="60"/>
        <w:jc w:val="both"/>
      </w:pPr>
      <w:r w:rsidRPr="006958BB">
        <w:rPr>
          <w:b/>
        </w:rPr>
        <w:lastRenderedPageBreak/>
        <w:t>State-Supplied Vaccine Program (vaccine assessment):</w:t>
      </w:r>
      <w:r>
        <w:t xml:space="preserve"> Amounts for vaccine assessment are included in the rate development as a PMPM add-on amount. The </w:t>
      </w:r>
      <w:r w:rsidR="00F37D69">
        <w:t xml:space="preserve">SFY </w:t>
      </w:r>
      <w:r w:rsidR="002564F0">
        <w:t xml:space="preserve">2023 </w:t>
      </w:r>
      <w:r>
        <w:t xml:space="preserve">assessment </w:t>
      </w:r>
      <w:r w:rsidR="000843D5">
        <w:t xml:space="preserve">is </w:t>
      </w:r>
      <w:r>
        <w:t>$3.</w:t>
      </w:r>
      <w:r w:rsidR="002564F0">
        <w:t xml:space="preserve">56 </w:t>
      </w:r>
      <w:r>
        <w:t>for adults ages 19 and over.</w:t>
      </w:r>
    </w:p>
    <w:p w14:paraId="00313381" w14:textId="7AC753BF" w:rsidR="00502777" w:rsidRPr="00D00FAA" w:rsidRDefault="00502777" w:rsidP="00622097">
      <w:pPr>
        <w:pStyle w:val="RRNumberedBullet1"/>
        <w:spacing w:before="60"/>
        <w:jc w:val="both"/>
      </w:pPr>
      <w:r>
        <w:rPr>
          <w:b/>
        </w:rPr>
        <w:t>Premium Tax</w:t>
      </w:r>
      <w:r w:rsidRPr="006958BB">
        <w:rPr>
          <w:b/>
        </w:rPr>
        <w:t>:</w:t>
      </w:r>
      <w:r>
        <w:t xml:space="preserve"> MCOs operating in the Rhode Island are subject to a 2.0% premium tax, which is included in the rate development.</w:t>
      </w:r>
    </w:p>
    <w:p w14:paraId="133C81DB" w14:textId="5E35599C" w:rsidR="00660970" w:rsidRDefault="00B06709" w:rsidP="00622097">
      <w:pPr>
        <w:pStyle w:val="RRNumberedBullet1"/>
        <w:numPr>
          <w:ilvl w:val="0"/>
          <w:numId w:val="0"/>
        </w:numPr>
        <w:spacing w:before="60"/>
        <w:jc w:val="both"/>
      </w:pPr>
      <w:r>
        <w:t>Figure</w:t>
      </w:r>
      <w:r w:rsidR="00660970">
        <w:t xml:space="preserve"> </w:t>
      </w:r>
      <w:r w:rsidR="00F622F0">
        <w:t>2</w:t>
      </w:r>
      <w:r w:rsidR="00273A3D">
        <w:t>3</w:t>
      </w:r>
      <w:r w:rsidR="00F622F0">
        <w:t xml:space="preserve"> </w:t>
      </w:r>
      <w:r w:rsidR="00660970">
        <w:t xml:space="preserve">illustrates the PMPM add-on amounts for </w:t>
      </w:r>
      <w:r w:rsidR="00D92AFA" w:rsidRPr="00A13AF0">
        <w:t>Care Transformation Collaborative</w:t>
      </w:r>
      <w:r w:rsidR="00D92AFA">
        <w:t xml:space="preserve"> </w:t>
      </w:r>
      <w:r w:rsidR="00660970">
        <w:t>and vaccine assessment.</w:t>
      </w:r>
    </w:p>
    <w:tbl>
      <w:tblPr>
        <w:tblW w:w="5490" w:type="dxa"/>
        <w:tblLayout w:type="fixed"/>
        <w:tblLook w:val="04A0" w:firstRow="1" w:lastRow="0" w:firstColumn="1" w:lastColumn="0" w:noHBand="0" w:noVBand="1"/>
      </w:tblPr>
      <w:tblGrid>
        <w:gridCol w:w="2396"/>
        <w:gridCol w:w="1541"/>
        <w:gridCol w:w="1542"/>
        <w:gridCol w:w="11"/>
      </w:tblGrid>
      <w:tr w:rsidR="00EF14A0" w:rsidRPr="00D50659" w14:paraId="10608441" w14:textId="77777777" w:rsidTr="00D92AFA">
        <w:trPr>
          <w:trHeight w:val="255"/>
        </w:trPr>
        <w:tc>
          <w:tcPr>
            <w:tcW w:w="5490" w:type="dxa"/>
            <w:gridSpan w:val="4"/>
            <w:tcBorders>
              <w:top w:val="nil"/>
              <w:left w:val="nil"/>
              <w:bottom w:val="nil"/>
              <w:right w:val="nil"/>
            </w:tcBorders>
            <w:vAlign w:val="center"/>
          </w:tcPr>
          <w:p w14:paraId="3F60DA59" w14:textId="1E76CCF9" w:rsidR="00EF14A0" w:rsidRPr="00F504AC" w:rsidRDefault="00EF14A0">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Pr="00F504AC">
              <w:rPr>
                <w:rFonts w:ascii="Arial" w:eastAsia="Times New Roman" w:hAnsi="Arial" w:cs="Arial"/>
                <w:b/>
                <w:bCs/>
                <w:color w:val="0081E3"/>
                <w:szCs w:val="18"/>
              </w:rPr>
              <w:t xml:space="preserve"> </w:t>
            </w:r>
            <w:r w:rsidR="00537419">
              <w:rPr>
                <w:rFonts w:ascii="Arial" w:eastAsia="Times New Roman" w:hAnsi="Arial" w:cs="Arial"/>
                <w:b/>
                <w:bCs/>
                <w:color w:val="0081E3"/>
                <w:szCs w:val="18"/>
              </w:rPr>
              <w:t>2</w:t>
            </w:r>
            <w:r w:rsidR="00273A3D">
              <w:rPr>
                <w:rFonts w:ascii="Arial" w:eastAsia="Times New Roman" w:hAnsi="Arial" w:cs="Arial"/>
                <w:b/>
                <w:bCs/>
                <w:color w:val="0081E3"/>
                <w:szCs w:val="18"/>
              </w:rPr>
              <w:t>3</w:t>
            </w:r>
            <w:r>
              <w:rPr>
                <w:rFonts w:ascii="Arial" w:eastAsia="Times New Roman" w:hAnsi="Arial" w:cs="Arial"/>
                <w:b/>
                <w:bCs/>
                <w:color w:val="0081E3"/>
                <w:szCs w:val="18"/>
              </w:rPr>
              <w:t>:</w:t>
            </w:r>
            <w:r w:rsidRPr="00F504AC">
              <w:rPr>
                <w:rFonts w:ascii="Arial" w:eastAsia="Times New Roman" w:hAnsi="Arial" w:cs="Arial"/>
                <w:b/>
                <w:bCs/>
                <w:color w:val="0081E3"/>
                <w:szCs w:val="18"/>
              </w:rPr>
              <w:t xml:space="preserve"> </w:t>
            </w:r>
            <w:r>
              <w:rPr>
                <w:rFonts w:ascii="Arial" w:eastAsia="Times New Roman" w:hAnsi="Arial" w:cs="Arial"/>
                <w:b/>
                <w:bCs/>
                <w:color w:val="0081E3"/>
                <w:szCs w:val="18"/>
              </w:rPr>
              <w:t>PMPM ADD-ONS</w:t>
            </w:r>
          </w:p>
        </w:tc>
      </w:tr>
      <w:tr w:rsidR="00EF14A0" w:rsidRPr="00D50659" w14:paraId="5BD889D4" w14:textId="77777777" w:rsidTr="00D92AFA">
        <w:trPr>
          <w:gridAfter w:val="1"/>
          <w:wAfter w:w="11" w:type="dxa"/>
          <w:trHeight w:val="450"/>
        </w:trPr>
        <w:tc>
          <w:tcPr>
            <w:tcW w:w="2396" w:type="dxa"/>
            <w:tcBorders>
              <w:top w:val="nil"/>
              <w:left w:val="nil"/>
              <w:bottom w:val="single" w:sz="4" w:space="0" w:color="C6C9CA"/>
              <w:right w:val="nil"/>
            </w:tcBorders>
            <w:shd w:val="clear" w:color="auto" w:fill="auto"/>
            <w:vAlign w:val="bottom"/>
            <w:hideMark/>
          </w:tcPr>
          <w:p w14:paraId="34CE74F3" w14:textId="77777777" w:rsidR="00EF14A0" w:rsidRPr="00D50659" w:rsidRDefault="00EF14A0" w:rsidP="002560C4">
            <w:pPr>
              <w:spacing w:after="0" w:line="240" w:lineRule="auto"/>
              <w:rPr>
                <w:rFonts w:ascii="Arial" w:eastAsia="Times New Roman" w:hAnsi="Arial" w:cs="Arial"/>
                <w:b/>
                <w:bCs/>
                <w:color w:val="39414D"/>
                <w:sz w:val="16"/>
                <w:szCs w:val="16"/>
              </w:rPr>
            </w:pPr>
            <w:r>
              <w:rPr>
                <w:rFonts w:ascii="Arial" w:hAnsi="Arial" w:cs="Arial"/>
                <w:b/>
                <w:bCs/>
                <w:color w:val="39414D"/>
                <w:szCs w:val="18"/>
              </w:rPr>
              <w:t>Population</w:t>
            </w:r>
          </w:p>
        </w:tc>
        <w:tc>
          <w:tcPr>
            <w:tcW w:w="1541" w:type="dxa"/>
            <w:tcBorders>
              <w:top w:val="nil"/>
              <w:left w:val="nil"/>
              <w:bottom w:val="single" w:sz="4" w:space="0" w:color="C6C9CA"/>
              <w:right w:val="nil"/>
            </w:tcBorders>
            <w:shd w:val="clear" w:color="auto" w:fill="auto"/>
            <w:vAlign w:val="bottom"/>
            <w:hideMark/>
          </w:tcPr>
          <w:p w14:paraId="6F696E1C" w14:textId="0FA7BEA2" w:rsidR="00EF14A0" w:rsidRPr="00D50659" w:rsidRDefault="00DF491B" w:rsidP="002560C4">
            <w:pPr>
              <w:spacing w:after="0" w:line="240" w:lineRule="auto"/>
              <w:jc w:val="center"/>
              <w:rPr>
                <w:rFonts w:ascii="Arial" w:eastAsia="Times New Roman" w:hAnsi="Arial" w:cs="Arial"/>
                <w:b/>
                <w:bCs/>
                <w:color w:val="39414D"/>
                <w:sz w:val="16"/>
                <w:szCs w:val="16"/>
              </w:rPr>
            </w:pPr>
            <w:r w:rsidRPr="00DF491B">
              <w:rPr>
                <w:rFonts w:ascii="Arial" w:hAnsi="Arial" w:cs="Arial"/>
                <w:b/>
                <w:bCs/>
                <w:color w:val="39414D"/>
                <w:szCs w:val="18"/>
              </w:rPr>
              <w:t>Care Transformation Collaborative</w:t>
            </w:r>
          </w:p>
        </w:tc>
        <w:tc>
          <w:tcPr>
            <w:tcW w:w="1542" w:type="dxa"/>
            <w:tcBorders>
              <w:top w:val="nil"/>
              <w:left w:val="nil"/>
              <w:bottom w:val="single" w:sz="4" w:space="0" w:color="C6C9CA"/>
              <w:right w:val="nil"/>
            </w:tcBorders>
            <w:shd w:val="clear" w:color="auto" w:fill="auto"/>
            <w:vAlign w:val="bottom"/>
            <w:hideMark/>
          </w:tcPr>
          <w:p w14:paraId="3AB20E3A" w14:textId="6C09B1BF" w:rsidR="00EF14A0" w:rsidRPr="00D50659" w:rsidRDefault="00EF14A0" w:rsidP="002560C4">
            <w:pPr>
              <w:spacing w:after="0" w:line="240" w:lineRule="auto"/>
              <w:jc w:val="center"/>
              <w:rPr>
                <w:rFonts w:ascii="Arial" w:eastAsia="Times New Roman" w:hAnsi="Arial" w:cs="Arial"/>
                <w:b/>
                <w:bCs/>
                <w:color w:val="39414D"/>
                <w:sz w:val="16"/>
                <w:szCs w:val="16"/>
              </w:rPr>
            </w:pPr>
            <w:r>
              <w:rPr>
                <w:rFonts w:ascii="Arial" w:hAnsi="Arial" w:cs="Arial"/>
                <w:b/>
                <w:bCs/>
                <w:color w:val="39414D"/>
                <w:szCs w:val="18"/>
              </w:rPr>
              <w:t>Vaccine Assessment</w:t>
            </w:r>
          </w:p>
        </w:tc>
      </w:tr>
      <w:tr w:rsidR="002564F0" w:rsidRPr="00D50659" w14:paraId="350A4E45" w14:textId="77777777" w:rsidTr="00D92AFA">
        <w:trPr>
          <w:gridAfter w:val="1"/>
          <w:wAfter w:w="11" w:type="dxa"/>
          <w:trHeight w:val="255"/>
        </w:trPr>
        <w:tc>
          <w:tcPr>
            <w:tcW w:w="2396" w:type="dxa"/>
            <w:tcBorders>
              <w:top w:val="nil"/>
              <w:left w:val="nil"/>
              <w:bottom w:val="nil"/>
              <w:right w:val="nil"/>
            </w:tcBorders>
            <w:shd w:val="clear" w:color="auto" w:fill="auto"/>
            <w:noWrap/>
            <w:vAlign w:val="center"/>
            <w:hideMark/>
          </w:tcPr>
          <w:p w14:paraId="1D2C8427" w14:textId="7A4128F8" w:rsidR="002564F0" w:rsidRPr="00D50659" w:rsidRDefault="002564F0" w:rsidP="002564F0">
            <w:pPr>
              <w:spacing w:after="0" w:line="240" w:lineRule="auto"/>
              <w:rPr>
                <w:rFonts w:ascii="Arial" w:eastAsia="Times New Roman" w:hAnsi="Arial" w:cs="Arial"/>
                <w:color w:val="39414D"/>
                <w:sz w:val="16"/>
                <w:szCs w:val="16"/>
              </w:rPr>
            </w:pPr>
            <w:r>
              <w:rPr>
                <w:rFonts w:ascii="Arial" w:hAnsi="Arial" w:cs="Arial"/>
                <w:color w:val="39414D"/>
                <w:szCs w:val="18"/>
              </w:rPr>
              <w:t>RIte Care</w:t>
            </w:r>
          </w:p>
        </w:tc>
        <w:tc>
          <w:tcPr>
            <w:tcW w:w="1541" w:type="dxa"/>
            <w:tcBorders>
              <w:top w:val="nil"/>
              <w:left w:val="nil"/>
              <w:bottom w:val="nil"/>
              <w:right w:val="nil"/>
            </w:tcBorders>
            <w:shd w:val="clear" w:color="auto" w:fill="auto"/>
            <w:noWrap/>
            <w:vAlign w:val="center"/>
            <w:hideMark/>
          </w:tcPr>
          <w:p w14:paraId="4FD6827E" w14:textId="2B2BAC70" w:rsidR="002564F0" w:rsidRPr="00D50659" w:rsidRDefault="002564F0" w:rsidP="002564F0">
            <w:pPr>
              <w:spacing w:after="0" w:line="240" w:lineRule="auto"/>
              <w:jc w:val="right"/>
              <w:rPr>
                <w:rFonts w:ascii="Arial" w:eastAsia="Times New Roman" w:hAnsi="Arial" w:cs="Arial"/>
                <w:color w:val="39414D"/>
                <w:sz w:val="16"/>
                <w:szCs w:val="16"/>
              </w:rPr>
            </w:pPr>
            <w:r>
              <w:rPr>
                <w:rFonts w:ascii="Arial" w:hAnsi="Arial" w:cs="Arial"/>
                <w:color w:val="39414D"/>
                <w:szCs w:val="18"/>
              </w:rPr>
              <w:t xml:space="preserve">$ 1.31 </w:t>
            </w:r>
          </w:p>
        </w:tc>
        <w:tc>
          <w:tcPr>
            <w:tcW w:w="1542" w:type="dxa"/>
            <w:tcBorders>
              <w:top w:val="nil"/>
              <w:left w:val="nil"/>
              <w:bottom w:val="nil"/>
              <w:right w:val="nil"/>
            </w:tcBorders>
            <w:shd w:val="clear" w:color="auto" w:fill="auto"/>
            <w:noWrap/>
            <w:vAlign w:val="center"/>
            <w:hideMark/>
          </w:tcPr>
          <w:p w14:paraId="7358E9B2" w14:textId="458319F5" w:rsidR="002564F0" w:rsidRPr="00D50659" w:rsidRDefault="002564F0" w:rsidP="002564F0">
            <w:pPr>
              <w:spacing w:after="0" w:line="240" w:lineRule="auto"/>
              <w:jc w:val="right"/>
              <w:rPr>
                <w:rFonts w:ascii="Arial" w:eastAsia="Times New Roman" w:hAnsi="Arial" w:cs="Arial"/>
                <w:color w:val="39414D"/>
                <w:sz w:val="16"/>
                <w:szCs w:val="16"/>
              </w:rPr>
            </w:pPr>
            <w:r>
              <w:rPr>
                <w:rFonts w:ascii="Arial" w:hAnsi="Arial" w:cs="Arial"/>
                <w:color w:val="39414D"/>
                <w:szCs w:val="18"/>
              </w:rPr>
              <w:t xml:space="preserve">$ 1.28 </w:t>
            </w:r>
          </w:p>
        </w:tc>
      </w:tr>
      <w:tr w:rsidR="002564F0" w:rsidRPr="00D50659" w14:paraId="5495656E" w14:textId="77777777" w:rsidTr="00D92AFA">
        <w:trPr>
          <w:gridAfter w:val="1"/>
          <w:wAfter w:w="11" w:type="dxa"/>
          <w:trHeight w:val="255"/>
        </w:trPr>
        <w:tc>
          <w:tcPr>
            <w:tcW w:w="2396" w:type="dxa"/>
            <w:tcBorders>
              <w:top w:val="nil"/>
              <w:left w:val="nil"/>
              <w:bottom w:val="nil"/>
              <w:right w:val="nil"/>
            </w:tcBorders>
            <w:shd w:val="clear" w:color="000000" w:fill="E8E9E9"/>
            <w:noWrap/>
            <w:vAlign w:val="center"/>
            <w:hideMark/>
          </w:tcPr>
          <w:p w14:paraId="6769899A" w14:textId="4D72E1E0" w:rsidR="002564F0" w:rsidRPr="00D50659" w:rsidRDefault="002564F0" w:rsidP="002564F0">
            <w:pPr>
              <w:spacing w:after="0" w:line="240" w:lineRule="auto"/>
              <w:rPr>
                <w:rFonts w:ascii="Arial" w:eastAsia="Times New Roman" w:hAnsi="Arial" w:cs="Arial"/>
                <w:color w:val="39414D"/>
                <w:sz w:val="16"/>
                <w:szCs w:val="16"/>
              </w:rPr>
            </w:pPr>
            <w:r>
              <w:rPr>
                <w:rFonts w:ascii="Arial" w:hAnsi="Arial" w:cs="Arial"/>
                <w:color w:val="39414D"/>
                <w:szCs w:val="18"/>
              </w:rPr>
              <w:t>CSHCN</w:t>
            </w:r>
          </w:p>
        </w:tc>
        <w:tc>
          <w:tcPr>
            <w:tcW w:w="1541" w:type="dxa"/>
            <w:tcBorders>
              <w:top w:val="nil"/>
              <w:left w:val="nil"/>
              <w:bottom w:val="nil"/>
              <w:right w:val="nil"/>
            </w:tcBorders>
            <w:shd w:val="clear" w:color="000000" w:fill="E8E9E9"/>
            <w:noWrap/>
            <w:vAlign w:val="center"/>
            <w:hideMark/>
          </w:tcPr>
          <w:p w14:paraId="56D0BF4C" w14:textId="51879A9A" w:rsidR="002564F0" w:rsidRPr="00D50659" w:rsidRDefault="002564F0" w:rsidP="002564F0">
            <w:pPr>
              <w:spacing w:after="0" w:line="240" w:lineRule="auto"/>
              <w:jc w:val="right"/>
              <w:rPr>
                <w:rFonts w:ascii="Arial" w:eastAsia="Times New Roman" w:hAnsi="Arial" w:cs="Arial"/>
                <w:color w:val="39414D"/>
                <w:sz w:val="16"/>
                <w:szCs w:val="16"/>
              </w:rPr>
            </w:pPr>
            <w:r>
              <w:rPr>
                <w:rFonts w:ascii="Arial" w:hAnsi="Arial" w:cs="Arial"/>
                <w:color w:val="39414D"/>
                <w:szCs w:val="18"/>
              </w:rPr>
              <w:t xml:space="preserve">1.71 </w:t>
            </w:r>
          </w:p>
        </w:tc>
        <w:tc>
          <w:tcPr>
            <w:tcW w:w="1542" w:type="dxa"/>
            <w:tcBorders>
              <w:top w:val="nil"/>
              <w:left w:val="nil"/>
              <w:bottom w:val="nil"/>
              <w:right w:val="nil"/>
            </w:tcBorders>
            <w:shd w:val="clear" w:color="000000" w:fill="E8E9E9"/>
            <w:noWrap/>
            <w:vAlign w:val="center"/>
            <w:hideMark/>
          </w:tcPr>
          <w:p w14:paraId="2147A519" w14:textId="5A42F48A" w:rsidR="002564F0" w:rsidRPr="00D50659" w:rsidRDefault="002564F0" w:rsidP="002564F0">
            <w:pPr>
              <w:spacing w:after="0" w:line="240" w:lineRule="auto"/>
              <w:jc w:val="right"/>
              <w:rPr>
                <w:rFonts w:ascii="Arial" w:eastAsia="Times New Roman" w:hAnsi="Arial" w:cs="Arial"/>
                <w:color w:val="39414D"/>
                <w:sz w:val="16"/>
                <w:szCs w:val="16"/>
              </w:rPr>
            </w:pPr>
            <w:r>
              <w:rPr>
                <w:rFonts w:ascii="Arial" w:hAnsi="Arial" w:cs="Arial"/>
                <w:color w:val="39414D"/>
                <w:szCs w:val="18"/>
              </w:rPr>
              <w:t xml:space="preserve">0.59 </w:t>
            </w:r>
          </w:p>
        </w:tc>
      </w:tr>
      <w:tr w:rsidR="002564F0" w:rsidRPr="00D50659" w14:paraId="106E3EAD" w14:textId="77777777" w:rsidTr="00D92AFA">
        <w:trPr>
          <w:gridAfter w:val="1"/>
          <w:wAfter w:w="11" w:type="dxa"/>
          <w:trHeight w:val="255"/>
        </w:trPr>
        <w:tc>
          <w:tcPr>
            <w:tcW w:w="2396" w:type="dxa"/>
            <w:tcBorders>
              <w:top w:val="nil"/>
              <w:left w:val="nil"/>
              <w:bottom w:val="nil"/>
              <w:right w:val="nil"/>
            </w:tcBorders>
            <w:shd w:val="clear" w:color="auto" w:fill="auto"/>
            <w:noWrap/>
            <w:vAlign w:val="center"/>
            <w:hideMark/>
          </w:tcPr>
          <w:p w14:paraId="02611364" w14:textId="77777777" w:rsidR="002564F0" w:rsidRPr="00D50659" w:rsidRDefault="002564F0" w:rsidP="002564F0">
            <w:pPr>
              <w:spacing w:after="0" w:line="240" w:lineRule="auto"/>
              <w:rPr>
                <w:rFonts w:ascii="Arial" w:eastAsia="Times New Roman" w:hAnsi="Arial" w:cs="Arial"/>
                <w:color w:val="39414D"/>
                <w:sz w:val="16"/>
                <w:szCs w:val="16"/>
              </w:rPr>
            </w:pPr>
            <w:r>
              <w:rPr>
                <w:rFonts w:ascii="Arial" w:hAnsi="Arial" w:cs="Arial"/>
                <w:color w:val="39414D"/>
                <w:szCs w:val="18"/>
              </w:rPr>
              <w:t>Medicaid Expansion</w:t>
            </w:r>
          </w:p>
        </w:tc>
        <w:tc>
          <w:tcPr>
            <w:tcW w:w="1541" w:type="dxa"/>
            <w:tcBorders>
              <w:top w:val="nil"/>
              <w:left w:val="nil"/>
              <w:bottom w:val="nil"/>
              <w:right w:val="nil"/>
            </w:tcBorders>
            <w:shd w:val="clear" w:color="auto" w:fill="auto"/>
            <w:noWrap/>
            <w:vAlign w:val="center"/>
            <w:hideMark/>
          </w:tcPr>
          <w:p w14:paraId="6131A26B" w14:textId="55AC2FDE" w:rsidR="002564F0" w:rsidRPr="00D50659" w:rsidRDefault="002564F0" w:rsidP="002564F0">
            <w:pPr>
              <w:spacing w:after="0" w:line="240" w:lineRule="auto"/>
              <w:jc w:val="right"/>
              <w:rPr>
                <w:rFonts w:ascii="Arial" w:eastAsia="Times New Roman" w:hAnsi="Arial" w:cs="Arial"/>
                <w:color w:val="39414D"/>
                <w:sz w:val="16"/>
                <w:szCs w:val="16"/>
              </w:rPr>
            </w:pPr>
            <w:r>
              <w:rPr>
                <w:rFonts w:ascii="Arial" w:hAnsi="Arial" w:cs="Arial"/>
                <w:color w:val="39414D"/>
                <w:szCs w:val="18"/>
              </w:rPr>
              <w:t xml:space="preserve">0.00 </w:t>
            </w:r>
          </w:p>
        </w:tc>
        <w:tc>
          <w:tcPr>
            <w:tcW w:w="1542" w:type="dxa"/>
            <w:tcBorders>
              <w:top w:val="nil"/>
              <w:left w:val="nil"/>
              <w:bottom w:val="nil"/>
              <w:right w:val="nil"/>
            </w:tcBorders>
            <w:shd w:val="clear" w:color="auto" w:fill="auto"/>
            <w:noWrap/>
            <w:vAlign w:val="center"/>
            <w:hideMark/>
          </w:tcPr>
          <w:p w14:paraId="4830BA77" w14:textId="49B53A67" w:rsidR="002564F0" w:rsidRPr="00D50659" w:rsidRDefault="002564F0" w:rsidP="002564F0">
            <w:pPr>
              <w:spacing w:after="0" w:line="240" w:lineRule="auto"/>
              <w:jc w:val="right"/>
              <w:rPr>
                <w:rFonts w:ascii="Arial" w:eastAsia="Times New Roman" w:hAnsi="Arial" w:cs="Arial"/>
                <w:color w:val="39414D"/>
                <w:sz w:val="16"/>
                <w:szCs w:val="16"/>
              </w:rPr>
            </w:pPr>
            <w:r>
              <w:rPr>
                <w:rFonts w:ascii="Arial" w:hAnsi="Arial" w:cs="Arial"/>
                <w:color w:val="39414D"/>
                <w:szCs w:val="18"/>
              </w:rPr>
              <w:t xml:space="preserve">3.56 </w:t>
            </w:r>
          </w:p>
        </w:tc>
      </w:tr>
      <w:tr w:rsidR="002564F0" w:rsidRPr="00D50659" w14:paraId="6DADA074" w14:textId="77777777" w:rsidTr="00D92AFA">
        <w:trPr>
          <w:gridAfter w:val="1"/>
          <w:wAfter w:w="11" w:type="dxa"/>
          <w:trHeight w:val="255"/>
        </w:trPr>
        <w:tc>
          <w:tcPr>
            <w:tcW w:w="2396" w:type="dxa"/>
            <w:tcBorders>
              <w:top w:val="nil"/>
              <w:left w:val="nil"/>
              <w:bottom w:val="nil"/>
              <w:right w:val="nil"/>
            </w:tcBorders>
            <w:shd w:val="clear" w:color="000000" w:fill="E8E9E9"/>
            <w:noWrap/>
            <w:vAlign w:val="center"/>
            <w:hideMark/>
          </w:tcPr>
          <w:p w14:paraId="70672559" w14:textId="77777777" w:rsidR="002564F0" w:rsidRPr="00D50659" w:rsidRDefault="002564F0" w:rsidP="002564F0">
            <w:pPr>
              <w:spacing w:after="0" w:line="240" w:lineRule="auto"/>
              <w:rPr>
                <w:rFonts w:ascii="Arial" w:eastAsia="Times New Roman" w:hAnsi="Arial" w:cs="Arial"/>
                <w:color w:val="39414D"/>
                <w:sz w:val="16"/>
                <w:szCs w:val="16"/>
              </w:rPr>
            </w:pPr>
            <w:r>
              <w:rPr>
                <w:rFonts w:ascii="Arial" w:hAnsi="Arial" w:cs="Arial"/>
                <w:color w:val="39414D"/>
                <w:szCs w:val="18"/>
              </w:rPr>
              <w:t>Rhody Health Partners</w:t>
            </w:r>
          </w:p>
        </w:tc>
        <w:tc>
          <w:tcPr>
            <w:tcW w:w="1541" w:type="dxa"/>
            <w:tcBorders>
              <w:top w:val="nil"/>
              <w:left w:val="nil"/>
              <w:bottom w:val="nil"/>
              <w:right w:val="nil"/>
            </w:tcBorders>
            <w:shd w:val="clear" w:color="000000" w:fill="E8E9E9"/>
            <w:noWrap/>
            <w:vAlign w:val="center"/>
            <w:hideMark/>
          </w:tcPr>
          <w:p w14:paraId="4010B181" w14:textId="488E6AB1" w:rsidR="002564F0" w:rsidRPr="00D50659" w:rsidRDefault="002564F0" w:rsidP="002564F0">
            <w:pPr>
              <w:spacing w:after="0" w:line="240" w:lineRule="auto"/>
              <w:jc w:val="right"/>
              <w:rPr>
                <w:rFonts w:ascii="Arial" w:eastAsia="Times New Roman" w:hAnsi="Arial" w:cs="Arial"/>
                <w:color w:val="39414D"/>
                <w:sz w:val="16"/>
                <w:szCs w:val="16"/>
              </w:rPr>
            </w:pPr>
            <w:r>
              <w:rPr>
                <w:rFonts w:ascii="Arial" w:hAnsi="Arial" w:cs="Arial"/>
                <w:color w:val="39414D"/>
                <w:szCs w:val="18"/>
              </w:rPr>
              <w:t xml:space="preserve">0.00 </w:t>
            </w:r>
          </w:p>
        </w:tc>
        <w:tc>
          <w:tcPr>
            <w:tcW w:w="1542" w:type="dxa"/>
            <w:tcBorders>
              <w:top w:val="nil"/>
              <w:left w:val="nil"/>
              <w:bottom w:val="nil"/>
              <w:right w:val="nil"/>
            </w:tcBorders>
            <w:shd w:val="clear" w:color="000000" w:fill="E8E9E9"/>
            <w:noWrap/>
            <w:vAlign w:val="center"/>
            <w:hideMark/>
          </w:tcPr>
          <w:p w14:paraId="5B768A89" w14:textId="1A9FEA03" w:rsidR="002564F0" w:rsidRPr="00D50659" w:rsidRDefault="002564F0" w:rsidP="002564F0">
            <w:pPr>
              <w:spacing w:after="0" w:line="240" w:lineRule="auto"/>
              <w:jc w:val="right"/>
              <w:rPr>
                <w:rFonts w:ascii="Arial" w:eastAsia="Times New Roman" w:hAnsi="Arial" w:cs="Arial"/>
                <w:color w:val="39414D"/>
                <w:sz w:val="16"/>
                <w:szCs w:val="16"/>
              </w:rPr>
            </w:pPr>
            <w:r>
              <w:rPr>
                <w:rFonts w:ascii="Arial" w:hAnsi="Arial" w:cs="Arial"/>
                <w:color w:val="39414D"/>
                <w:szCs w:val="18"/>
              </w:rPr>
              <w:t xml:space="preserve">3.56 </w:t>
            </w:r>
          </w:p>
        </w:tc>
      </w:tr>
      <w:tr w:rsidR="002564F0" w:rsidRPr="00D50659" w14:paraId="429AD403" w14:textId="77777777" w:rsidTr="00D92AFA">
        <w:trPr>
          <w:gridAfter w:val="1"/>
          <w:wAfter w:w="11" w:type="dxa"/>
          <w:trHeight w:val="255"/>
        </w:trPr>
        <w:tc>
          <w:tcPr>
            <w:tcW w:w="2396" w:type="dxa"/>
            <w:tcBorders>
              <w:top w:val="nil"/>
              <w:left w:val="nil"/>
              <w:bottom w:val="nil"/>
              <w:right w:val="nil"/>
            </w:tcBorders>
            <w:shd w:val="clear" w:color="auto" w:fill="auto"/>
            <w:noWrap/>
            <w:vAlign w:val="center"/>
            <w:hideMark/>
          </w:tcPr>
          <w:p w14:paraId="38F1778E" w14:textId="77777777" w:rsidR="002564F0" w:rsidRPr="00D50659" w:rsidRDefault="002564F0" w:rsidP="002564F0">
            <w:pPr>
              <w:spacing w:after="0" w:line="240" w:lineRule="auto"/>
              <w:rPr>
                <w:rFonts w:ascii="Arial" w:eastAsia="Times New Roman" w:hAnsi="Arial" w:cs="Arial"/>
                <w:color w:val="39414D"/>
                <w:sz w:val="16"/>
                <w:szCs w:val="16"/>
              </w:rPr>
            </w:pPr>
            <w:r>
              <w:rPr>
                <w:rFonts w:ascii="Arial" w:hAnsi="Arial" w:cs="Arial"/>
                <w:color w:val="39414D"/>
                <w:szCs w:val="18"/>
              </w:rPr>
              <w:t>SOBRA</w:t>
            </w:r>
          </w:p>
        </w:tc>
        <w:tc>
          <w:tcPr>
            <w:tcW w:w="1541" w:type="dxa"/>
            <w:tcBorders>
              <w:top w:val="nil"/>
              <w:left w:val="nil"/>
              <w:bottom w:val="nil"/>
              <w:right w:val="nil"/>
            </w:tcBorders>
            <w:shd w:val="clear" w:color="auto" w:fill="auto"/>
            <w:noWrap/>
            <w:vAlign w:val="center"/>
            <w:hideMark/>
          </w:tcPr>
          <w:p w14:paraId="22844E57" w14:textId="03E1232D" w:rsidR="002564F0" w:rsidRPr="00D50659" w:rsidRDefault="002564F0" w:rsidP="002564F0">
            <w:pPr>
              <w:spacing w:after="0" w:line="240" w:lineRule="auto"/>
              <w:jc w:val="right"/>
              <w:rPr>
                <w:rFonts w:ascii="Arial" w:eastAsia="Times New Roman" w:hAnsi="Arial" w:cs="Arial"/>
                <w:color w:val="39414D"/>
                <w:sz w:val="16"/>
                <w:szCs w:val="16"/>
              </w:rPr>
            </w:pPr>
            <w:r>
              <w:rPr>
                <w:rFonts w:ascii="Arial" w:hAnsi="Arial" w:cs="Arial"/>
                <w:color w:val="39414D"/>
                <w:szCs w:val="18"/>
              </w:rPr>
              <w:t xml:space="preserve">0.00 </w:t>
            </w:r>
          </w:p>
        </w:tc>
        <w:tc>
          <w:tcPr>
            <w:tcW w:w="1542" w:type="dxa"/>
            <w:tcBorders>
              <w:top w:val="nil"/>
              <w:left w:val="nil"/>
              <w:bottom w:val="nil"/>
              <w:right w:val="nil"/>
            </w:tcBorders>
            <w:shd w:val="clear" w:color="auto" w:fill="auto"/>
            <w:noWrap/>
            <w:vAlign w:val="center"/>
            <w:hideMark/>
          </w:tcPr>
          <w:p w14:paraId="48BE2B95" w14:textId="6F0F1DA8" w:rsidR="002564F0" w:rsidRPr="00D50659" w:rsidRDefault="002564F0" w:rsidP="002564F0">
            <w:pPr>
              <w:spacing w:after="0" w:line="240" w:lineRule="auto"/>
              <w:jc w:val="right"/>
              <w:rPr>
                <w:rFonts w:ascii="Arial" w:eastAsia="Times New Roman" w:hAnsi="Arial" w:cs="Arial"/>
                <w:color w:val="39414D"/>
                <w:sz w:val="16"/>
                <w:szCs w:val="16"/>
              </w:rPr>
            </w:pPr>
            <w:r>
              <w:rPr>
                <w:rFonts w:ascii="Arial" w:hAnsi="Arial" w:cs="Arial"/>
                <w:color w:val="39414D"/>
                <w:szCs w:val="18"/>
              </w:rPr>
              <w:t xml:space="preserve">0.00 </w:t>
            </w:r>
          </w:p>
        </w:tc>
      </w:tr>
    </w:tbl>
    <w:p w14:paraId="4DF56D02" w14:textId="0EBA9F23" w:rsidR="001A205B" w:rsidRPr="002E18CA" w:rsidRDefault="000B5545" w:rsidP="00622097">
      <w:pPr>
        <w:pStyle w:val="RRNumberedBullet1"/>
        <w:numPr>
          <w:ilvl w:val="0"/>
          <w:numId w:val="0"/>
        </w:numPr>
        <w:spacing w:before="60"/>
        <w:jc w:val="both"/>
        <w:rPr>
          <w:rFonts w:ascii="Arial" w:eastAsia="Times New Roman" w:hAnsi="Arial" w:cs="Arial"/>
          <w:color w:val="727A7D"/>
          <w:szCs w:val="18"/>
        </w:rPr>
      </w:pPr>
      <w:r>
        <w:rPr>
          <w:rFonts w:ascii="Arial" w:eastAsia="Times New Roman" w:hAnsi="Arial" w:cs="Arial"/>
          <w:color w:val="727A7D"/>
          <w:szCs w:val="18"/>
        </w:rPr>
        <w:t xml:space="preserve">Note: Amounts are composited based on estimated SFY </w:t>
      </w:r>
      <w:r w:rsidR="00F622F0">
        <w:rPr>
          <w:rFonts w:ascii="Arial" w:eastAsia="Times New Roman" w:hAnsi="Arial" w:cs="Arial"/>
          <w:color w:val="727A7D"/>
          <w:szCs w:val="18"/>
        </w:rPr>
        <w:t xml:space="preserve">2023 </w:t>
      </w:r>
      <w:r w:rsidR="00FF0B5F">
        <w:rPr>
          <w:rFonts w:ascii="Arial" w:eastAsia="Times New Roman" w:hAnsi="Arial" w:cs="Arial"/>
          <w:color w:val="727A7D"/>
          <w:szCs w:val="18"/>
        </w:rPr>
        <w:t>enrollment</w:t>
      </w:r>
      <w:r>
        <w:rPr>
          <w:rFonts w:ascii="Arial" w:eastAsia="Times New Roman" w:hAnsi="Arial" w:cs="Arial"/>
          <w:color w:val="727A7D"/>
          <w:szCs w:val="18"/>
        </w:rPr>
        <w:t>.</w:t>
      </w:r>
    </w:p>
    <w:p w14:paraId="26FA57BA" w14:textId="09600D4A" w:rsidR="00CE2634" w:rsidRPr="00557D78" w:rsidRDefault="00CE2634" w:rsidP="00622097">
      <w:pPr>
        <w:pStyle w:val="Heading5"/>
        <w:jc w:val="both"/>
      </w:pPr>
      <w:bookmarkStart w:id="417" w:name="_Toc454354228"/>
      <w:bookmarkStart w:id="418" w:name="_Toc484701260"/>
      <w:bookmarkStart w:id="419" w:name="_Toc504389105"/>
      <w:r w:rsidRPr="00557D78">
        <w:t>Material changes</w:t>
      </w:r>
      <w:bookmarkEnd w:id="417"/>
      <w:bookmarkEnd w:id="418"/>
      <w:bookmarkEnd w:id="419"/>
    </w:p>
    <w:p w14:paraId="6D043B88" w14:textId="063108E8" w:rsidR="00CE2634" w:rsidRDefault="0069667F" w:rsidP="00622097">
      <w:pPr>
        <w:jc w:val="both"/>
      </w:pPr>
      <w:r>
        <w:t>T</w:t>
      </w:r>
      <w:r w:rsidR="00CE2634" w:rsidRPr="00541C09">
        <w:t xml:space="preserve">he data, assumptions, </w:t>
      </w:r>
      <w:r>
        <w:t xml:space="preserve">and </w:t>
      </w:r>
      <w:r w:rsidR="00CE2634" w:rsidRPr="00541C09">
        <w:t>methodology used to develop the projected non-benefit cost</w:t>
      </w:r>
      <w:r w:rsidR="0069314A">
        <w:t xml:space="preserve"> </w:t>
      </w:r>
      <w:r>
        <w:t xml:space="preserve">are generally consistent with the SFY </w:t>
      </w:r>
      <w:r w:rsidR="00F622F0">
        <w:t xml:space="preserve">2022 </w:t>
      </w:r>
      <w:r>
        <w:t xml:space="preserve">rate development. </w:t>
      </w:r>
      <w:r w:rsidR="00B60E78">
        <w:t>Based on this review, the care coordination and administrative cost load assumptions are unchanged from the SFY 2022 percentage loads</w:t>
      </w:r>
      <w:r>
        <w:t>.</w:t>
      </w:r>
      <w:r w:rsidR="002B60C1" w:rsidRPr="002B60C1">
        <w:t xml:space="preserve"> </w:t>
      </w:r>
      <w:r>
        <w:t>Prior non-benefit expense a</w:t>
      </w:r>
      <w:r w:rsidR="002B60C1" w:rsidRPr="002B60C1">
        <w:t xml:space="preserve">ssumptions are fully described within the </w:t>
      </w:r>
      <w:r>
        <w:t xml:space="preserve">SFY </w:t>
      </w:r>
      <w:r w:rsidR="002F4284">
        <w:t xml:space="preserve">2022 </w:t>
      </w:r>
      <w:r w:rsidR="002B60C1" w:rsidRPr="002B60C1">
        <w:t>rate certification report.</w:t>
      </w:r>
    </w:p>
    <w:p w14:paraId="566CBCC0" w14:textId="6B4D3606" w:rsidR="00CE2634" w:rsidRDefault="00CE2634" w:rsidP="00622097">
      <w:pPr>
        <w:pStyle w:val="Heading5"/>
        <w:jc w:val="both"/>
      </w:pPr>
      <w:bookmarkStart w:id="420" w:name="_Toc504389106"/>
      <w:bookmarkStart w:id="421" w:name="_Toc466028119"/>
      <w:r w:rsidRPr="00557D78">
        <w:t>Other material adjustments</w:t>
      </w:r>
      <w:bookmarkEnd w:id="420"/>
    </w:p>
    <w:p w14:paraId="249204C4" w14:textId="204B1CD4" w:rsidR="00CE2634" w:rsidRPr="00541C09" w:rsidRDefault="0069667F" w:rsidP="00622097">
      <w:pPr>
        <w:jc w:val="both"/>
      </w:pPr>
      <w:r>
        <w:t>There are no other material non-benefit expense adjustments not described within this section</w:t>
      </w:r>
      <w:r w:rsidR="00502777">
        <w:t xml:space="preserve">. </w:t>
      </w:r>
    </w:p>
    <w:p w14:paraId="10CDA614" w14:textId="77777777" w:rsidR="00CE2634" w:rsidRPr="009B069E" w:rsidRDefault="00CE2634" w:rsidP="00622097">
      <w:pPr>
        <w:pStyle w:val="Heading4"/>
      </w:pPr>
      <w:bookmarkStart w:id="422" w:name="_Toc484701262"/>
      <w:bookmarkStart w:id="423" w:name="_Toc504389107"/>
      <w:bookmarkStart w:id="424" w:name="_Toc8985047"/>
      <w:bookmarkStart w:id="425" w:name="_Toc100260745"/>
      <w:r w:rsidRPr="009B069E">
        <w:t>Non-benefit costs, by cost category</w:t>
      </w:r>
      <w:bookmarkEnd w:id="421"/>
      <w:bookmarkEnd w:id="422"/>
      <w:bookmarkEnd w:id="423"/>
      <w:bookmarkEnd w:id="424"/>
      <w:bookmarkEnd w:id="425"/>
    </w:p>
    <w:p w14:paraId="7BDF69B7" w14:textId="6252AE1B" w:rsidR="00B84787" w:rsidRPr="00B132DE" w:rsidRDefault="00686D21" w:rsidP="005B42FB">
      <w:pPr>
        <w:pStyle w:val="RRBody"/>
        <w:jc w:val="both"/>
        <w:rPr>
          <w:sz w:val="6"/>
        </w:rPr>
      </w:pPr>
      <w:r>
        <w:t>The care coordination, administrative cost, and risk margin</w:t>
      </w:r>
      <w:r w:rsidRPr="00686D21">
        <w:t xml:space="preserve"> are illustrated as a percentage of </w:t>
      </w:r>
      <w:r w:rsidR="00644581">
        <w:t xml:space="preserve">the </w:t>
      </w:r>
      <w:r w:rsidR="000E11C4">
        <w:t xml:space="preserve">capitation effective rate </w:t>
      </w:r>
      <w:r w:rsidR="00644581">
        <w:t xml:space="preserve">(less the </w:t>
      </w:r>
      <w:r w:rsidR="00D92AFA" w:rsidRPr="00A13AF0">
        <w:t>Care Transformation Collaborative</w:t>
      </w:r>
      <w:r w:rsidR="00D92AFA">
        <w:t xml:space="preserve"> </w:t>
      </w:r>
      <w:r w:rsidR="00644581">
        <w:t>PMPM add-on)</w:t>
      </w:r>
      <w:r w:rsidRPr="00686D21">
        <w:t xml:space="preserve">. Premium tax is applied as a percentage of </w:t>
      </w:r>
      <w:r>
        <w:t xml:space="preserve">the </w:t>
      </w:r>
      <w:r w:rsidRPr="00686D21">
        <w:t>total capitation</w:t>
      </w:r>
      <w:r>
        <w:t>.</w:t>
      </w:r>
      <w:bookmarkStart w:id="426" w:name="_Toc466028121"/>
      <w:bookmarkStart w:id="427" w:name="_Toc484701263"/>
      <w:bookmarkStart w:id="428" w:name="_Toc504389108"/>
      <w:r w:rsidR="00907F85">
        <w:t xml:space="preserve"> </w:t>
      </w:r>
      <w:r w:rsidR="0079033E">
        <w:t xml:space="preserve">The SFY </w:t>
      </w:r>
      <w:r w:rsidR="00D0599D">
        <w:t xml:space="preserve">2023 </w:t>
      </w:r>
      <w:r w:rsidR="0079033E">
        <w:t xml:space="preserve">non-benefit expense </w:t>
      </w:r>
      <w:r>
        <w:t xml:space="preserve">percentages are </w:t>
      </w:r>
      <w:r w:rsidR="0079033E">
        <w:t xml:space="preserve">illustrated in </w:t>
      </w:r>
      <w:r w:rsidR="00B06709">
        <w:t>Figure</w:t>
      </w:r>
      <w:r w:rsidR="0079033E">
        <w:t xml:space="preserve"> </w:t>
      </w:r>
      <w:r w:rsidR="00D0599D">
        <w:t>2</w:t>
      </w:r>
      <w:r w:rsidR="00273A3D">
        <w:t>4</w:t>
      </w:r>
      <w:r w:rsidR="00D0599D">
        <w:t xml:space="preserve"> </w:t>
      </w:r>
      <w:r w:rsidR="0079033E">
        <w:t>below.</w:t>
      </w:r>
    </w:p>
    <w:tbl>
      <w:tblPr>
        <w:tblW w:w="9000" w:type="dxa"/>
        <w:tblLayout w:type="fixed"/>
        <w:tblLook w:val="04A0" w:firstRow="1" w:lastRow="0" w:firstColumn="1" w:lastColumn="0" w:noHBand="0" w:noVBand="1"/>
      </w:tblPr>
      <w:tblGrid>
        <w:gridCol w:w="2880"/>
        <w:gridCol w:w="1530"/>
        <w:gridCol w:w="1530"/>
        <w:gridCol w:w="1530"/>
        <w:gridCol w:w="1530"/>
      </w:tblGrid>
      <w:tr w:rsidR="00FF0B5F" w:rsidRPr="00FF0B5F" w14:paraId="050C9594" w14:textId="77777777" w:rsidTr="00D92AFA">
        <w:trPr>
          <w:trHeight w:val="240"/>
        </w:trPr>
        <w:tc>
          <w:tcPr>
            <w:tcW w:w="9000" w:type="dxa"/>
            <w:gridSpan w:val="5"/>
            <w:tcBorders>
              <w:top w:val="nil"/>
              <w:left w:val="nil"/>
              <w:bottom w:val="nil"/>
              <w:right w:val="nil"/>
            </w:tcBorders>
            <w:shd w:val="clear" w:color="auto" w:fill="auto"/>
            <w:noWrap/>
            <w:vAlign w:val="bottom"/>
            <w:hideMark/>
          </w:tcPr>
          <w:p w14:paraId="64895EF4" w14:textId="3172FA17" w:rsidR="00FF0B5F" w:rsidRPr="00FF0B5F" w:rsidRDefault="00B06709" w:rsidP="00B06709">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00FF0B5F" w:rsidRPr="00FF0B5F">
              <w:rPr>
                <w:rFonts w:ascii="Arial" w:eastAsia="Times New Roman" w:hAnsi="Arial" w:cs="Arial"/>
                <w:b/>
                <w:bCs/>
                <w:color w:val="0081E3"/>
                <w:szCs w:val="18"/>
              </w:rPr>
              <w:t xml:space="preserve"> </w:t>
            </w:r>
            <w:r w:rsidR="00537419">
              <w:rPr>
                <w:rFonts w:ascii="Arial" w:eastAsia="Times New Roman" w:hAnsi="Arial" w:cs="Arial"/>
                <w:b/>
                <w:bCs/>
                <w:color w:val="0081E3"/>
                <w:szCs w:val="18"/>
              </w:rPr>
              <w:t>2</w:t>
            </w:r>
            <w:r w:rsidR="00273A3D">
              <w:rPr>
                <w:rFonts w:ascii="Arial" w:eastAsia="Times New Roman" w:hAnsi="Arial" w:cs="Arial"/>
                <w:b/>
                <w:bCs/>
                <w:color w:val="0081E3"/>
                <w:szCs w:val="18"/>
              </w:rPr>
              <w:t>4</w:t>
            </w:r>
            <w:r>
              <w:rPr>
                <w:rFonts w:ascii="Arial" w:eastAsia="Times New Roman" w:hAnsi="Arial" w:cs="Arial"/>
                <w:b/>
                <w:bCs/>
                <w:color w:val="0081E3"/>
                <w:szCs w:val="18"/>
              </w:rPr>
              <w:t>: NON-BENEFIT EXPENSE LOADS</w:t>
            </w:r>
          </w:p>
        </w:tc>
      </w:tr>
      <w:tr w:rsidR="00FF0B5F" w:rsidRPr="00FF0B5F" w14:paraId="17AFA8FD" w14:textId="77777777" w:rsidTr="00D92AFA">
        <w:trPr>
          <w:trHeight w:val="480"/>
        </w:trPr>
        <w:tc>
          <w:tcPr>
            <w:tcW w:w="2880" w:type="dxa"/>
            <w:tcBorders>
              <w:top w:val="nil"/>
              <w:left w:val="nil"/>
              <w:bottom w:val="single" w:sz="4" w:space="0" w:color="C6C9CA"/>
              <w:right w:val="nil"/>
            </w:tcBorders>
            <w:shd w:val="clear" w:color="auto" w:fill="auto"/>
            <w:vAlign w:val="bottom"/>
            <w:hideMark/>
          </w:tcPr>
          <w:p w14:paraId="7922E45C" w14:textId="77777777" w:rsidR="00FF0B5F" w:rsidRPr="00FF0B5F" w:rsidRDefault="00FF0B5F" w:rsidP="00FF0B5F">
            <w:pPr>
              <w:spacing w:after="0" w:line="240" w:lineRule="auto"/>
              <w:rPr>
                <w:rFonts w:ascii="Arial" w:eastAsia="Times New Roman" w:hAnsi="Arial" w:cs="Arial"/>
                <w:b/>
                <w:bCs/>
                <w:color w:val="39414D"/>
                <w:szCs w:val="18"/>
              </w:rPr>
            </w:pPr>
            <w:r w:rsidRPr="00FF0B5F">
              <w:rPr>
                <w:rFonts w:ascii="Arial" w:eastAsia="Times New Roman" w:hAnsi="Arial" w:cs="Arial"/>
                <w:b/>
                <w:bCs/>
                <w:color w:val="39414D"/>
                <w:szCs w:val="18"/>
              </w:rPr>
              <w:t>Population</w:t>
            </w:r>
          </w:p>
        </w:tc>
        <w:tc>
          <w:tcPr>
            <w:tcW w:w="1530" w:type="dxa"/>
            <w:tcBorders>
              <w:top w:val="nil"/>
              <w:left w:val="nil"/>
              <w:bottom w:val="single" w:sz="4" w:space="0" w:color="C6C9CA"/>
              <w:right w:val="nil"/>
            </w:tcBorders>
            <w:shd w:val="clear" w:color="auto" w:fill="auto"/>
            <w:vAlign w:val="bottom"/>
            <w:hideMark/>
          </w:tcPr>
          <w:p w14:paraId="4A9F95C2" w14:textId="77777777" w:rsidR="00FF0B5F" w:rsidRPr="00FF0B5F" w:rsidRDefault="00FF0B5F" w:rsidP="00FF0B5F">
            <w:pPr>
              <w:spacing w:after="0" w:line="240" w:lineRule="auto"/>
              <w:jc w:val="center"/>
              <w:rPr>
                <w:rFonts w:ascii="Arial" w:eastAsia="Times New Roman" w:hAnsi="Arial" w:cs="Arial"/>
                <w:b/>
                <w:bCs/>
                <w:color w:val="39414D"/>
                <w:szCs w:val="18"/>
              </w:rPr>
            </w:pPr>
            <w:r w:rsidRPr="00FF0B5F">
              <w:rPr>
                <w:rFonts w:ascii="Arial" w:eastAsia="Times New Roman" w:hAnsi="Arial" w:cs="Arial"/>
                <w:b/>
                <w:bCs/>
                <w:color w:val="39414D"/>
                <w:szCs w:val="18"/>
              </w:rPr>
              <w:t>Care Coordination</w:t>
            </w:r>
          </w:p>
        </w:tc>
        <w:tc>
          <w:tcPr>
            <w:tcW w:w="1530" w:type="dxa"/>
            <w:tcBorders>
              <w:top w:val="nil"/>
              <w:left w:val="nil"/>
              <w:bottom w:val="single" w:sz="4" w:space="0" w:color="C6C9CA"/>
              <w:right w:val="nil"/>
            </w:tcBorders>
            <w:shd w:val="clear" w:color="auto" w:fill="auto"/>
            <w:vAlign w:val="bottom"/>
            <w:hideMark/>
          </w:tcPr>
          <w:p w14:paraId="67410286" w14:textId="77777777" w:rsidR="00FF0B5F" w:rsidRPr="00FF0B5F" w:rsidRDefault="00FF0B5F" w:rsidP="00FF0B5F">
            <w:pPr>
              <w:spacing w:after="0" w:line="240" w:lineRule="auto"/>
              <w:jc w:val="center"/>
              <w:rPr>
                <w:rFonts w:ascii="Arial" w:eastAsia="Times New Roman" w:hAnsi="Arial" w:cs="Arial"/>
                <w:b/>
                <w:bCs/>
                <w:color w:val="39414D"/>
                <w:szCs w:val="18"/>
              </w:rPr>
            </w:pPr>
            <w:r w:rsidRPr="00FF0B5F">
              <w:rPr>
                <w:rFonts w:ascii="Arial" w:eastAsia="Times New Roman" w:hAnsi="Arial" w:cs="Arial"/>
                <w:b/>
                <w:bCs/>
                <w:color w:val="39414D"/>
                <w:szCs w:val="18"/>
              </w:rPr>
              <w:t>Administrative Cost</w:t>
            </w:r>
          </w:p>
        </w:tc>
        <w:tc>
          <w:tcPr>
            <w:tcW w:w="1530" w:type="dxa"/>
            <w:tcBorders>
              <w:top w:val="nil"/>
              <w:left w:val="nil"/>
              <w:bottom w:val="single" w:sz="4" w:space="0" w:color="C6C9CA"/>
              <w:right w:val="nil"/>
            </w:tcBorders>
            <w:shd w:val="clear" w:color="auto" w:fill="auto"/>
            <w:vAlign w:val="bottom"/>
            <w:hideMark/>
          </w:tcPr>
          <w:p w14:paraId="440AC0B8" w14:textId="77777777" w:rsidR="00FF0B5F" w:rsidRPr="00FF0B5F" w:rsidRDefault="00FF0B5F" w:rsidP="00FF0B5F">
            <w:pPr>
              <w:spacing w:after="0" w:line="240" w:lineRule="auto"/>
              <w:jc w:val="center"/>
              <w:rPr>
                <w:rFonts w:ascii="Arial" w:eastAsia="Times New Roman" w:hAnsi="Arial" w:cs="Arial"/>
                <w:b/>
                <w:bCs/>
                <w:color w:val="39414D"/>
                <w:szCs w:val="18"/>
              </w:rPr>
            </w:pPr>
            <w:r w:rsidRPr="00FF0B5F">
              <w:rPr>
                <w:rFonts w:ascii="Arial" w:eastAsia="Times New Roman" w:hAnsi="Arial" w:cs="Arial"/>
                <w:b/>
                <w:bCs/>
                <w:color w:val="39414D"/>
                <w:szCs w:val="18"/>
              </w:rPr>
              <w:t>Risk Margin</w:t>
            </w:r>
          </w:p>
        </w:tc>
        <w:tc>
          <w:tcPr>
            <w:tcW w:w="1530" w:type="dxa"/>
            <w:tcBorders>
              <w:top w:val="nil"/>
              <w:left w:val="nil"/>
              <w:bottom w:val="single" w:sz="4" w:space="0" w:color="C6C9CA"/>
              <w:right w:val="nil"/>
            </w:tcBorders>
            <w:shd w:val="clear" w:color="auto" w:fill="auto"/>
            <w:vAlign w:val="bottom"/>
            <w:hideMark/>
          </w:tcPr>
          <w:p w14:paraId="6B903E37" w14:textId="77777777" w:rsidR="00FF0B5F" w:rsidRPr="00FF0B5F" w:rsidRDefault="00FF0B5F" w:rsidP="00FF0B5F">
            <w:pPr>
              <w:spacing w:after="0" w:line="240" w:lineRule="auto"/>
              <w:jc w:val="center"/>
              <w:rPr>
                <w:rFonts w:ascii="Arial" w:eastAsia="Times New Roman" w:hAnsi="Arial" w:cs="Arial"/>
                <w:b/>
                <w:bCs/>
                <w:color w:val="39414D"/>
                <w:szCs w:val="18"/>
              </w:rPr>
            </w:pPr>
            <w:r w:rsidRPr="00FF0B5F">
              <w:rPr>
                <w:rFonts w:ascii="Arial" w:eastAsia="Times New Roman" w:hAnsi="Arial" w:cs="Arial"/>
                <w:b/>
                <w:bCs/>
                <w:color w:val="39414D"/>
                <w:szCs w:val="18"/>
              </w:rPr>
              <w:t>Premium Tax</w:t>
            </w:r>
          </w:p>
        </w:tc>
      </w:tr>
      <w:tr w:rsidR="003E5EAF" w:rsidRPr="00FF0B5F" w14:paraId="2561E8C5" w14:textId="77777777" w:rsidTr="00D92AFA">
        <w:trPr>
          <w:trHeight w:val="240"/>
        </w:trPr>
        <w:tc>
          <w:tcPr>
            <w:tcW w:w="2880" w:type="dxa"/>
            <w:tcBorders>
              <w:top w:val="nil"/>
              <w:left w:val="nil"/>
              <w:bottom w:val="nil"/>
              <w:right w:val="nil"/>
            </w:tcBorders>
            <w:shd w:val="clear" w:color="auto" w:fill="auto"/>
            <w:noWrap/>
            <w:vAlign w:val="center"/>
            <w:hideMark/>
          </w:tcPr>
          <w:p w14:paraId="48F29FB1" w14:textId="56BFC6A8" w:rsidR="003E5EAF" w:rsidRPr="00FF0B5F" w:rsidRDefault="003E5EAF" w:rsidP="003E5EAF">
            <w:pPr>
              <w:spacing w:after="0" w:line="240" w:lineRule="auto"/>
              <w:rPr>
                <w:rFonts w:ascii="Arial" w:eastAsia="Times New Roman" w:hAnsi="Arial" w:cs="Arial"/>
                <w:color w:val="39414D"/>
                <w:szCs w:val="18"/>
              </w:rPr>
            </w:pPr>
            <w:r>
              <w:rPr>
                <w:rFonts w:ascii="Arial" w:hAnsi="Arial" w:cs="Arial"/>
                <w:color w:val="39414D"/>
                <w:szCs w:val="18"/>
              </w:rPr>
              <w:t>RIte Care &lt;15</w:t>
            </w:r>
          </w:p>
        </w:tc>
        <w:tc>
          <w:tcPr>
            <w:tcW w:w="1530" w:type="dxa"/>
            <w:tcBorders>
              <w:top w:val="nil"/>
              <w:left w:val="nil"/>
              <w:bottom w:val="nil"/>
              <w:right w:val="nil"/>
            </w:tcBorders>
            <w:shd w:val="clear" w:color="auto" w:fill="auto"/>
            <w:noWrap/>
            <w:vAlign w:val="center"/>
            <w:hideMark/>
          </w:tcPr>
          <w:p w14:paraId="1EE52278" w14:textId="1634FB18"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57680EEA" w14:textId="099175F4"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7.50% </w:t>
            </w:r>
          </w:p>
        </w:tc>
        <w:tc>
          <w:tcPr>
            <w:tcW w:w="1530" w:type="dxa"/>
            <w:tcBorders>
              <w:top w:val="nil"/>
              <w:left w:val="nil"/>
              <w:bottom w:val="nil"/>
              <w:right w:val="nil"/>
            </w:tcBorders>
            <w:shd w:val="clear" w:color="auto" w:fill="auto"/>
            <w:noWrap/>
            <w:vAlign w:val="center"/>
            <w:hideMark/>
          </w:tcPr>
          <w:p w14:paraId="4E10FF1F" w14:textId="2C66C7E4"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7D18397A" w14:textId="7E0F3CC8"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3E5EAF" w:rsidRPr="00FF0B5F" w14:paraId="409EAF40" w14:textId="77777777" w:rsidTr="00D92AFA">
        <w:trPr>
          <w:trHeight w:val="240"/>
        </w:trPr>
        <w:tc>
          <w:tcPr>
            <w:tcW w:w="2880" w:type="dxa"/>
            <w:tcBorders>
              <w:top w:val="nil"/>
              <w:left w:val="nil"/>
              <w:bottom w:val="nil"/>
              <w:right w:val="nil"/>
            </w:tcBorders>
            <w:shd w:val="clear" w:color="000000" w:fill="E8E9E9"/>
            <w:noWrap/>
            <w:vAlign w:val="center"/>
            <w:hideMark/>
          </w:tcPr>
          <w:p w14:paraId="382B9353" w14:textId="299BC562" w:rsidR="003E5EAF" w:rsidRPr="00FF0B5F" w:rsidRDefault="003E5EAF" w:rsidP="003E5EAF">
            <w:pPr>
              <w:spacing w:after="0" w:line="240" w:lineRule="auto"/>
              <w:rPr>
                <w:rFonts w:ascii="Arial" w:eastAsia="Times New Roman" w:hAnsi="Arial" w:cs="Arial"/>
                <w:color w:val="39414D"/>
                <w:szCs w:val="18"/>
              </w:rPr>
            </w:pPr>
            <w:r>
              <w:rPr>
                <w:rFonts w:ascii="Arial" w:hAnsi="Arial" w:cs="Arial"/>
                <w:color w:val="39414D"/>
                <w:szCs w:val="18"/>
              </w:rPr>
              <w:t>RIte Care 15+</w:t>
            </w:r>
          </w:p>
        </w:tc>
        <w:tc>
          <w:tcPr>
            <w:tcW w:w="1530" w:type="dxa"/>
            <w:tcBorders>
              <w:top w:val="nil"/>
              <w:left w:val="nil"/>
              <w:bottom w:val="nil"/>
              <w:right w:val="nil"/>
            </w:tcBorders>
            <w:shd w:val="clear" w:color="000000" w:fill="E8E9E9"/>
            <w:noWrap/>
            <w:vAlign w:val="center"/>
            <w:hideMark/>
          </w:tcPr>
          <w:p w14:paraId="7ABFB51C" w14:textId="57F01CD6"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2793EAD6" w14:textId="318F2E96"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6.75% </w:t>
            </w:r>
          </w:p>
        </w:tc>
        <w:tc>
          <w:tcPr>
            <w:tcW w:w="1530" w:type="dxa"/>
            <w:tcBorders>
              <w:top w:val="nil"/>
              <w:left w:val="nil"/>
              <w:bottom w:val="nil"/>
              <w:right w:val="nil"/>
            </w:tcBorders>
            <w:shd w:val="clear" w:color="000000" w:fill="E8E9E9"/>
            <w:noWrap/>
            <w:vAlign w:val="center"/>
            <w:hideMark/>
          </w:tcPr>
          <w:p w14:paraId="70A4CA5D" w14:textId="5CFAF919"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7CF43B95" w14:textId="23330E4C"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3E5EAF" w:rsidRPr="00FF0B5F" w14:paraId="1FDF4510" w14:textId="77777777" w:rsidTr="00D92AFA">
        <w:trPr>
          <w:trHeight w:val="240"/>
        </w:trPr>
        <w:tc>
          <w:tcPr>
            <w:tcW w:w="2880" w:type="dxa"/>
            <w:tcBorders>
              <w:top w:val="nil"/>
              <w:left w:val="nil"/>
              <w:bottom w:val="nil"/>
              <w:right w:val="nil"/>
            </w:tcBorders>
            <w:shd w:val="clear" w:color="auto" w:fill="auto"/>
            <w:noWrap/>
            <w:vAlign w:val="center"/>
            <w:hideMark/>
          </w:tcPr>
          <w:p w14:paraId="22B6084A" w14:textId="78B847C2" w:rsidR="003E5EAF" w:rsidRPr="00FF0B5F" w:rsidRDefault="003E5EAF" w:rsidP="003E5EAF">
            <w:pPr>
              <w:spacing w:after="0" w:line="240" w:lineRule="auto"/>
              <w:rPr>
                <w:rFonts w:ascii="Arial" w:eastAsia="Times New Roman" w:hAnsi="Arial" w:cs="Arial"/>
                <w:color w:val="39414D"/>
                <w:szCs w:val="18"/>
              </w:rPr>
            </w:pPr>
            <w:r>
              <w:rPr>
                <w:rFonts w:ascii="Arial" w:hAnsi="Arial" w:cs="Arial"/>
                <w:color w:val="39414D"/>
                <w:szCs w:val="18"/>
              </w:rPr>
              <w:t>EFP</w:t>
            </w:r>
          </w:p>
        </w:tc>
        <w:tc>
          <w:tcPr>
            <w:tcW w:w="1530" w:type="dxa"/>
            <w:tcBorders>
              <w:top w:val="nil"/>
              <w:left w:val="nil"/>
              <w:bottom w:val="nil"/>
              <w:right w:val="nil"/>
            </w:tcBorders>
            <w:shd w:val="clear" w:color="auto" w:fill="auto"/>
            <w:noWrap/>
            <w:vAlign w:val="center"/>
            <w:hideMark/>
          </w:tcPr>
          <w:p w14:paraId="3C68B0C9" w14:textId="50A5C8A0"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1752E7D0" w14:textId="030E7261"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10.00% </w:t>
            </w:r>
          </w:p>
        </w:tc>
        <w:tc>
          <w:tcPr>
            <w:tcW w:w="1530" w:type="dxa"/>
            <w:tcBorders>
              <w:top w:val="nil"/>
              <w:left w:val="nil"/>
              <w:bottom w:val="nil"/>
              <w:right w:val="nil"/>
            </w:tcBorders>
            <w:shd w:val="clear" w:color="auto" w:fill="auto"/>
            <w:noWrap/>
            <w:vAlign w:val="center"/>
            <w:hideMark/>
          </w:tcPr>
          <w:p w14:paraId="6293D367" w14:textId="5C4694F4"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5C220323" w14:textId="1ACD4ACF"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3E5EAF" w:rsidRPr="00FF0B5F" w14:paraId="784B7970" w14:textId="77777777" w:rsidTr="00D92AFA">
        <w:trPr>
          <w:trHeight w:val="240"/>
        </w:trPr>
        <w:tc>
          <w:tcPr>
            <w:tcW w:w="2880" w:type="dxa"/>
            <w:tcBorders>
              <w:top w:val="nil"/>
              <w:left w:val="nil"/>
              <w:bottom w:val="nil"/>
              <w:right w:val="nil"/>
            </w:tcBorders>
            <w:shd w:val="clear" w:color="000000" w:fill="E8E9E9"/>
            <w:noWrap/>
            <w:vAlign w:val="center"/>
            <w:hideMark/>
          </w:tcPr>
          <w:p w14:paraId="53692724" w14:textId="50BB9C79" w:rsidR="003E5EAF" w:rsidRPr="00FF0B5F" w:rsidRDefault="003E5EAF" w:rsidP="003E5EAF">
            <w:pPr>
              <w:spacing w:after="0" w:line="240" w:lineRule="auto"/>
              <w:rPr>
                <w:rFonts w:ascii="Arial" w:eastAsia="Times New Roman" w:hAnsi="Arial" w:cs="Arial"/>
                <w:color w:val="39414D"/>
                <w:szCs w:val="18"/>
              </w:rPr>
            </w:pPr>
            <w:r>
              <w:rPr>
                <w:rFonts w:ascii="Arial" w:hAnsi="Arial" w:cs="Arial"/>
                <w:color w:val="39414D"/>
                <w:szCs w:val="18"/>
              </w:rPr>
              <w:t>CSHCN - Adoption/Sub Care</w:t>
            </w:r>
          </w:p>
        </w:tc>
        <w:tc>
          <w:tcPr>
            <w:tcW w:w="1530" w:type="dxa"/>
            <w:tcBorders>
              <w:top w:val="nil"/>
              <w:left w:val="nil"/>
              <w:bottom w:val="nil"/>
              <w:right w:val="nil"/>
            </w:tcBorders>
            <w:shd w:val="clear" w:color="000000" w:fill="E8E9E9"/>
            <w:noWrap/>
            <w:vAlign w:val="center"/>
            <w:hideMark/>
          </w:tcPr>
          <w:p w14:paraId="040F6FFE" w14:textId="486EAD6A"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5F480391" w14:textId="58FFA515"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9.00% </w:t>
            </w:r>
          </w:p>
        </w:tc>
        <w:tc>
          <w:tcPr>
            <w:tcW w:w="1530" w:type="dxa"/>
            <w:tcBorders>
              <w:top w:val="nil"/>
              <w:left w:val="nil"/>
              <w:bottom w:val="nil"/>
              <w:right w:val="nil"/>
            </w:tcBorders>
            <w:shd w:val="clear" w:color="000000" w:fill="E8E9E9"/>
            <w:noWrap/>
            <w:vAlign w:val="center"/>
            <w:hideMark/>
          </w:tcPr>
          <w:p w14:paraId="68BDB687" w14:textId="626CEDD8"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5110459D" w14:textId="07ED61CC"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3E5EAF" w:rsidRPr="00FF0B5F" w14:paraId="3558CA86" w14:textId="77777777" w:rsidTr="00D92AFA">
        <w:trPr>
          <w:trHeight w:val="240"/>
        </w:trPr>
        <w:tc>
          <w:tcPr>
            <w:tcW w:w="2880" w:type="dxa"/>
            <w:tcBorders>
              <w:top w:val="nil"/>
              <w:left w:val="nil"/>
              <w:bottom w:val="nil"/>
              <w:right w:val="nil"/>
            </w:tcBorders>
            <w:shd w:val="clear" w:color="auto" w:fill="auto"/>
            <w:noWrap/>
            <w:vAlign w:val="center"/>
            <w:hideMark/>
          </w:tcPr>
          <w:p w14:paraId="027EC2FD" w14:textId="38CD78EC" w:rsidR="003E5EAF" w:rsidRPr="00FF0B5F" w:rsidRDefault="003E5EAF" w:rsidP="003E5EAF">
            <w:pPr>
              <w:spacing w:after="0" w:line="240" w:lineRule="auto"/>
              <w:rPr>
                <w:rFonts w:ascii="Arial" w:eastAsia="Times New Roman" w:hAnsi="Arial" w:cs="Arial"/>
                <w:color w:val="39414D"/>
                <w:szCs w:val="18"/>
              </w:rPr>
            </w:pPr>
            <w:r>
              <w:rPr>
                <w:rFonts w:ascii="Arial" w:hAnsi="Arial" w:cs="Arial"/>
                <w:color w:val="39414D"/>
                <w:szCs w:val="18"/>
              </w:rPr>
              <w:t>CSHCN - Other</w:t>
            </w:r>
          </w:p>
        </w:tc>
        <w:tc>
          <w:tcPr>
            <w:tcW w:w="1530" w:type="dxa"/>
            <w:tcBorders>
              <w:top w:val="nil"/>
              <w:left w:val="nil"/>
              <w:bottom w:val="nil"/>
              <w:right w:val="nil"/>
            </w:tcBorders>
            <w:shd w:val="clear" w:color="auto" w:fill="auto"/>
            <w:noWrap/>
            <w:vAlign w:val="center"/>
            <w:hideMark/>
          </w:tcPr>
          <w:p w14:paraId="540B1CC8" w14:textId="3DA4B6D9"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495BF954" w14:textId="730776C0"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7.00% </w:t>
            </w:r>
          </w:p>
        </w:tc>
        <w:tc>
          <w:tcPr>
            <w:tcW w:w="1530" w:type="dxa"/>
            <w:tcBorders>
              <w:top w:val="nil"/>
              <w:left w:val="nil"/>
              <w:bottom w:val="nil"/>
              <w:right w:val="nil"/>
            </w:tcBorders>
            <w:shd w:val="clear" w:color="auto" w:fill="auto"/>
            <w:noWrap/>
            <w:vAlign w:val="center"/>
            <w:hideMark/>
          </w:tcPr>
          <w:p w14:paraId="6878DFBC" w14:textId="00638E61"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002C0F6F" w14:textId="0659BEA3" w:rsidR="003E5EAF" w:rsidRPr="00FF0B5F" w:rsidRDefault="003E5EAF" w:rsidP="003E5EAF">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1A130B" w:rsidRPr="00FF0B5F" w14:paraId="28EB68B5" w14:textId="77777777" w:rsidTr="00D92AFA">
        <w:trPr>
          <w:trHeight w:val="240"/>
        </w:trPr>
        <w:tc>
          <w:tcPr>
            <w:tcW w:w="2880" w:type="dxa"/>
            <w:tcBorders>
              <w:top w:val="nil"/>
              <w:left w:val="nil"/>
              <w:bottom w:val="nil"/>
              <w:right w:val="nil"/>
            </w:tcBorders>
            <w:shd w:val="clear" w:color="000000" w:fill="E8E9E9"/>
            <w:noWrap/>
            <w:vAlign w:val="center"/>
            <w:hideMark/>
          </w:tcPr>
          <w:p w14:paraId="2A5E4F2C" w14:textId="77777777" w:rsidR="001A130B" w:rsidRPr="00FF0B5F" w:rsidRDefault="001A130B" w:rsidP="001A130B">
            <w:pPr>
              <w:spacing w:after="0" w:line="240" w:lineRule="auto"/>
              <w:rPr>
                <w:rFonts w:ascii="Arial" w:eastAsia="Times New Roman" w:hAnsi="Arial" w:cs="Arial"/>
                <w:color w:val="39414D"/>
                <w:szCs w:val="18"/>
              </w:rPr>
            </w:pPr>
            <w:r w:rsidRPr="00FF0B5F">
              <w:rPr>
                <w:rFonts w:ascii="Arial" w:eastAsia="Times New Roman" w:hAnsi="Arial" w:cs="Arial"/>
                <w:color w:val="39414D"/>
                <w:szCs w:val="18"/>
              </w:rPr>
              <w:t>Medicaid Expansion</w:t>
            </w:r>
          </w:p>
        </w:tc>
        <w:tc>
          <w:tcPr>
            <w:tcW w:w="1530" w:type="dxa"/>
            <w:tcBorders>
              <w:top w:val="nil"/>
              <w:left w:val="nil"/>
              <w:bottom w:val="nil"/>
              <w:right w:val="nil"/>
            </w:tcBorders>
            <w:shd w:val="clear" w:color="000000" w:fill="E8E9E9"/>
            <w:noWrap/>
            <w:vAlign w:val="center"/>
            <w:hideMark/>
          </w:tcPr>
          <w:p w14:paraId="7F1020B3" w14:textId="41AF91E2"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28C36B70" w14:textId="077C65B2"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6.75% </w:t>
            </w:r>
          </w:p>
        </w:tc>
        <w:tc>
          <w:tcPr>
            <w:tcW w:w="1530" w:type="dxa"/>
            <w:tcBorders>
              <w:top w:val="nil"/>
              <w:left w:val="nil"/>
              <w:bottom w:val="nil"/>
              <w:right w:val="nil"/>
            </w:tcBorders>
            <w:shd w:val="clear" w:color="000000" w:fill="E8E9E9"/>
            <w:noWrap/>
            <w:vAlign w:val="center"/>
            <w:hideMark/>
          </w:tcPr>
          <w:p w14:paraId="6BFD7DA1" w14:textId="4A5601EE"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76C97070" w14:textId="6094DE00"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1A130B" w:rsidRPr="00FF0B5F" w14:paraId="6A63380D" w14:textId="77777777" w:rsidTr="00D92AFA">
        <w:trPr>
          <w:trHeight w:val="240"/>
        </w:trPr>
        <w:tc>
          <w:tcPr>
            <w:tcW w:w="2880" w:type="dxa"/>
            <w:tcBorders>
              <w:top w:val="nil"/>
              <w:left w:val="nil"/>
              <w:bottom w:val="nil"/>
              <w:right w:val="nil"/>
            </w:tcBorders>
            <w:shd w:val="clear" w:color="auto" w:fill="auto"/>
            <w:noWrap/>
            <w:vAlign w:val="center"/>
            <w:hideMark/>
          </w:tcPr>
          <w:p w14:paraId="6A1CB082" w14:textId="77777777" w:rsidR="001A130B" w:rsidRPr="00FF0B5F" w:rsidRDefault="001A130B" w:rsidP="001A130B">
            <w:pPr>
              <w:spacing w:after="0" w:line="240" w:lineRule="auto"/>
              <w:rPr>
                <w:rFonts w:ascii="Arial" w:eastAsia="Times New Roman" w:hAnsi="Arial" w:cs="Arial"/>
                <w:color w:val="39414D"/>
                <w:szCs w:val="18"/>
              </w:rPr>
            </w:pPr>
            <w:r w:rsidRPr="00FF0B5F">
              <w:rPr>
                <w:rFonts w:ascii="Arial" w:eastAsia="Times New Roman" w:hAnsi="Arial" w:cs="Arial"/>
                <w:color w:val="39414D"/>
                <w:szCs w:val="18"/>
              </w:rPr>
              <w:t>Rhody Health Partners</w:t>
            </w:r>
          </w:p>
        </w:tc>
        <w:tc>
          <w:tcPr>
            <w:tcW w:w="1530" w:type="dxa"/>
            <w:tcBorders>
              <w:top w:val="nil"/>
              <w:left w:val="nil"/>
              <w:bottom w:val="nil"/>
              <w:right w:val="nil"/>
            </w:tcBorders>
            <w:shd w:val="clear" w:color="auto" w:fill="auto"/>
            <w:noWrap/>
            <w:vAlign w:val="center"/>
            <w:hideMark/>
          </w:tcPr>
          <w:p w14:paraId="69AC5360" w14:textId="4A159E56"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13077626" w14:textId="3A681824"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6.00% </w:t>
            </w:r>
          </w:p>
        </w:tc>
        <w:tc>
          <w:tcPr>
            <w:tcW w:w="1530" w:type="dxa"/>
            <w:tcBorders>
              <w:top w:val="nil"/>
              <w:left w:val="nil"/>
              <w:bottom w:val="nil"/>
              <w:right w:val="nil"/>
            </w:tcBorders>
            <w:shd w:val="clear" w:color="auto" w:fill="auto"/>
            <w:noWrap/>
            <w:vAlign w:val="center"/>
            <w:hideMark/>
          </w:tcPr>
          <w:p w14:paraId="204C5557" w14:textId="4673012F"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2B72B3AA" w14:textId="45013553"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1A130B" w:rsidRPr="00FF0B5F" w14:paraId="2247E9CD" w14:textId="77777777" w:rsidTr="00D92AFA">
        <w:trPr>
          <w:trHeight w:val="240"/>
        </w:trPr>
        <w:tc>
          <w:tcPr>
            <w:tcW w:w="2880" w:type="dxa"/>
            <w:tcBorders>
              <w:top w:val="nil"/>
              <w:left w:val="nil"/>
              <w:bottom w:val="nil"/>
              <w:right w:val="nil"/>
            </w:tcBorders>
            <w:shd w:val="clear" w:color="000000" w:fill="E8E9E9"/>
            <w:noWrap/>
            <w:vAlign w:val="center"/>
            <w:hideMark/>
          </w:tcPr>
          <w:p w14:paraId="7B6A4CDF" w14:textId="77777777" w:rsidR="001A130B" w:rsidRPr="00FF0B5F" w:rsidRDefault="001A130B" w:rsidP="001A130B">
            <w:pPr>
              <w:spacing w:after="0" w:line="240" w:lineRule="auto"/>
              <w:rPr>
                <w:rFonts w:ascii="Arial" w:eastAsia="Times New Roman" w:hAnsi="Arial" w:cs="Arial"/>
                <w:color w:val="39414D"/>
                <w:szCs w:val="18"/>
              </w:rPr>
            </w:pPr>
            <w:r w:rsidRPr="00FF0B5F">
              <w:rPr>
                <w:rFonts w:ascii="Arial" w:eastAsia="Times New Roman" w:hAnsi="Arial" w:cs="Arial"/>
                <w:color w:val="39414D"/>
                <w:szCs w:val="18"/>
              </w:rPr>
              <w:t>SOBRA</w:t>
            </w:r>
          </w:p>
        </w:tc>
        <w:tc>
          <w:tcPr>
            <w:tcW w:w="1530" w:type="dxa"/>
            <w:tcBorders>
              <w:top w:val="nil"/>
              <w:left w:val="nil"/>
              <w:bottom w:val="nil"/>
              <w:right w:val="nil"/>
            </w:tcBorders>
            <w:shd w:val="clear" w:color="000000" w:fill="E8E9E9"/>
            <w:noWrap/>
            <w:vAlign w:val="center"/>
            <w:hideMark/>
          </w:tcPr>
          <w:p w14:paraId="3813F468" w14:textId="5A679568"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1.00% </w:t>
            </w:r>
          </w:p>
        </w:tc>
        <w:tc>
          <w:tcPr>
            <w:tcW w:w="1530" w:type="dxa"/>
            <w:tcBorders>
              <w:top w:val="nil"/>
              <w:left w:val="nil"/>
              <w:bottom w:val="nil"/>
              <w:right w:val="nil"/>
            </w:tcBorders>
            <w:shd w:val="clear" w:color="000000" w:fill="E8E9E9"/>
            <w:noWrap/>
            <w:vAlign w:val="center"/>
            <w:hideMark/>
          </w:tcPr>
          <w:p w14:paraId="70941B1C" w14:textId="52DB91F8"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c>
          <w:tcPr>
            <w:tcW w:w="1530" w:type="dxa"/>
            <w:tcBorders>
              <w:top w:val="nil"/>
              <w:left w:val="nil"/>
              <w:bottom w:val="nil"/>
              <w:right w:val="nil"/>
            </w:tcBorders>
            <w:shd w:val="clear" w:color="000000" w:fill="E8E9E9"/>
            <w:noWrap/>
            <w:vAlign w:val="center"/>
            <w:hideMark/>
          </w:tcPr>
          <w:p w14:paraId="7CE0FF7F" w14:textId="4C7BB31B"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5EB6B4EE" w14:textId="4092EEBF" w:rsidR="001A130B" w:rsidRPr="00FF0B5F"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bl>
    <w:p w14:paraId="465A325E" w14:textId="77777777" w:rsidR="00FF0B5F" w:rsidRDefault="00FF0B5F" w:rsidP="00210B59"/>
    <w:p w14:paraId="6C16F074" w14:textId="23EFBDFF" w:rsidR="00D9006D" w:rsidRDefault="00D9006D" w:rsidP="00622097">
      <w:pPr>
        <w:pStyle w:val="Heading4"/>
      </w:pPr>
      <w:bookmarkStart w:id="429" w:name="_Toc9227824"/>
      <w:bookmarkStart w:id="430" w:name="_Toc8986213"/>
      <w:bookmarkStart w:id="431" w:name="_Toc9227825"/>
      <w:bookmarkStart w:id="432" w:name="_Toc100260746"/>
      <w:bookmarkStart w:id="433" w:name="_Toc8985048"/>
      <w:bookmarkEnd w:id="429"/>
      <w:bookmarkEnd w:id="430"/>
      <w:bookmarkEnd w:id="431"/>
      <w:r>
        <w:t>Historical non-benefit cost</w:t>
      </w:r>
      <w:bookmarkEnd w:id="432"/>
    </w:p>
    <w:p w14:paraId="67D2801E" w14:textId="0C05319C" w:rsidR="00801692" w:rsidRPr="00541C09" w:rsidRDefault="002D0F6D" w:rsidP="00B644B5">
      <w:pPr>
        <w:jc w:val="both"/>
        <w:rPr>
          <w:rFonts w:cstheme="minorHAnsi"/>
          <w:szCs w:val="18"/>
        </w:rPr>
      </w:pPr>
      <w:r>
        <w:t>H</w:t>
      </w:r>
      <w:r w:rsidR="00B4044A">
        <w:t xml:space="preserve">istorical non-benefit costs </w:t>
      </w:r>
      <w:r>
        <w:t xml:space="preserve">were </w:t>
      </w:r>
      <w:r w:rsidR="00B4044A">
        <w:t xml:space="preserve">reported through MCO </w:t>
      </w:r>
      <w:r>
        <w:t>FDCR submissions</w:t>
      </w:r>
      <w:r w:rsidR="00B4044A">
        <w:t xml:space="preserve"> and financial statement data.</w:t>
      </w:r>
      <w:r>
        <w:t xml:space="preserve"> We evaluated the historical program costs along with nationwide administrative cost benchmarks </w:t>
      </w:r>
      <w:r w:rsidR="00384EE9">
        <w:t xml:space="preserve">and trends when establishing the </w:t>
      </w:r>
      <w:r w:rsidR="00B4044A">
        <w:t xml:space="preserve">non-benefit expense loads. </w:t>
      </w:r>
      <w:r w:rsidR="00F64CC3">
        <w:t>In addition</w:t>
      </w:r>
      <w:r w:rsidR="00384EE9">
        <w:t xml:space="preserve">, we considered the potential impact of items such as PBM administrative costs and MCO reporting allocation methodologies in this analysis. </w:t>
      </w:r>
      <w:bookmarkEnd w:id="426"/>
      <w:bookmarkEnd w:id="427"/>
      <w:bookmarkEnd w:id="428"/>
      <w:bookmarkEnd w:id="433"/>
    </w:p>
    <w:p w14:paraId="3AF86564" w14:textId="77777777" w:rsidR="00294D8A" w:rsidRDefault="00294D8A" w:rsidP="00210B59">
      <w:r>
        <w:br w:type="page"/>
      </w:r>
    </w:p>
    <w:p w14:paraId="66566F30" w14:textId="16417CFE" w:rsidR="00CE2634" w:rsidRPr="001D7F4A" w:rsidRDefault="00CE2634" w:rsidP="00622097">
      <w:pPr>
        <w:pStyle w:val="Heading2"/>
        <w:jc w:val="both"/>
      </w:pPr>
      <w:bookmarkStart w:id="434" w:name="_Toc504389114"/>
      <w:bookmarkStart w:id="435" w:name="_Toc8985049"/>
      <w:bookmarkStart w:id="436" w:name="_Toc100260747"/>
      <w:r w:rsidRPr="001D7F4A">
        <w:lastRenderedPageBreak/>
        <w:t>Risk Adjustment and Acuity Adjustments</w:t>
      </w:r>
      <w:bookmarkEnd w:id="434"/>
      <w:bookmarkEnd w:id="435"/>
      <w:bookmarkEnd w:id="436"/>
    </w:p>
    <w:p w14:paraId="1CF477AE" w14:textId="77777777" w:rsidR="00CE2634" w:rsidRDefault="00CE2634" w:rsidP="00622097">
      <w:pPr>
        <w:jc w:val="both"/>
      </w:pPr>
      <w:r w:rsidRPr="00541C09">
        <w:t xml:space="preserve">This section provides information on the risk adjustment included in the contract. </w:t>
      </w:r>
    </w:p>
    <w:p w14:paraId="69A00F9F" w14:textId="77777777" w:rsidR="00CE2634" w:rsidRPr="005C0EEC" w:rsidRDefault="00CE2634" w:rsidP="00622097">
      <w:pPr>
        <w:pStyle w:val="Heading3"/>
        <w:numPr>
          <w:ilvl w:val="1"/>
          <w:numId w:val="40"/>
        </w:numPr>
        <w:jc w:val="both"/>
        <w:rPr>
          <w:rFonts w:cstheme="minorHAnsi"/>
        </w:rPr>
      </w:pPr>
      <w:bookmarkStart w:id="437" w:name="_Toc484701270"/>
      <w:bookmarkStart w:id="438" w:name="_Toc504389115"/>
      <w:bookmarkStart w:id="439" w:name="_Toc8985050"/>
      <w:bookmarkStart w:id="440" w:name="_Toc100260748"/>
      <w:bookmarkStart w:id="441" w:name="_Toc466028131"/>
      <w:r w:rsidRPr="00D705D5">
        <w:t>Rate Development Standards</w:t>
      </w:r>
      <w:bookmarkEnd w:id="437"/>
      <w:bookmarkEnd w:id="438"/>
      <w:bookmarkEnd w:id="439"/>
      <w:bookmarkEnd w:id="440"/>
    </w:p>
    <w:p w14:paraId="3C84368E" w14:textId="77777777" w:rsidR="00CE2634" w:rsidRPr="005E0703" w:rsidRDefault="00CE2634" w:rsidP="00622097">
      <w:pPr>
        <w:pStyle w:val="Heading4"/>
      </w:pPr>
      <w:bookmarkStart w:id="442" w:name="_Toc484701271"/>
      <w:bookmarkStart w:id="443" w:name="_Toc504389116"/>
      <w:bookmarkStart w:id="444" w:name="_Toc8985051"/>
      <w:bookmarkStart w:id="445" w:name="_Toc100260749"/>
      <w:r w:rsidRPr="005E0703">
        <w:t>Overview</w:t>
      </w:r>
      <w:bookmarkEnd w:id="442"/>
      <w:bookmarkEnd w:id="443"/>
      <w:bookmarkEnd w:id="444"/>
      <w:bookmarkEnd w:id="445"/>
    </w:p>
    <w:p w14:paraId="372DBFBA" w14:textId="7D5C2721" w:rsidR="00050D82" w:rsidRPr="00050D82" w:rsidRDefault="00050D82" w:rsidP="00622097">
      <w:pPr>
        <w:pStyle w:val="RRBody"/>
        <w:jc w:val="both"/>
      </w:pPr>
      <w:bookmarkStart w:id="446" w:name="_Toc466028133"/>
      <w:bookmarkStart w:id="447" w:name="_Toc484701272"/>
      <w:bookmarkStart w:id="448" w:name="_Toc504389117"/>
      <w:bookmarkEnd w:id="441"/>
      <w:r w:rsidRPr="00050D82">
        <w:rPr>
          <w:spacing w:val="-3"/>
        </w:rPr>
        <w:t>I</w:t>
      </w:r>
      <w:r w:rsidRPr="00050D82">
        <w:t xml:space="preserve">n </w:t>
      </w:r>
      <w:r w:rsidR="00294D8A" w:rsidRPr="00294D8A">
        <w:t xml:space="preserve">accordance with 42 CFR §438.5(g), we will follow the rate development standards related to budget-neutral risk adjustment for the </w:t>
      </w:r>
      <w:r w:rsidR="00801692">
        <w:t>Medicaid managed care</w:t>
      </w:r>
      <w:r w:rsidR="00294D8A" w:rsidRPr="00294D8A">
        <w:t xml:space="preserve"> program. The </w:t>
      </w:r>
      <w:r w:rsidR="00B31BD1">
        <w:t>capitation rates</w:t>
      </w:r>
      <w:r w:rsidR="00B31BD1" w:rsidRPr="00294D8A">
        <w:t xml:space="preserve"> </w:t>
      </w:r>
      <w:r w:rsidR="00294D8A" w:rsidRPr="00294D8A">
        <w:t xml:space="preserve">will be prospectively risk adjusted by </w:t>
      </w:r>
      <w:r w:rsidR="00801692">
        <w:t>MCO</w:t>
      </w:r>
      <w:r w:rsidR="00294D8A" w:rsidRPr="00294D8A">
        <w:t xml:space="preserve"> to reflect estimated prospective morbidity differences in the underlying population enrolling with each </w:t>
      </w:r>
      <w:r w:rsidR="00801692">
        <w:t>MCO</w:t>
      </w:r>
      <w:r w:rsidRPr="00294D8A">
        <w:t>.</w:t>
      </w:r>
      <w:r w:rsidRPr="0076558C">
        <w:t xml:space="preserve"> </w:t>
      </w:r>
    </w:p>
    <w:p w14:paraId="6143E004" w14:textId="58BAEE30" w:rsidR="00801692" w:rsidRDefault="00530F0A" w:rsidP="00622097">
      <w:pPr>
        <w:pStyle w:val="RRBody"/>
        <w:jc w:val="both"/>
      </w:pPr>
      <w:r>
        <w:t>To the extent that material items are observed</w:t>
      </w:r>
      <w:r w:rsidR="00801692">
        <w:t xml:space="preserve"> such as data quality</w:t>
      </w:r>
      <w:r>
        <w:t xml:space="preserve"> concerns</w:t>
      </w:r>
      <w:r w:rsidR="00801692">
        <w:t xml:space="preserve">, MCO </w:t>
      </w:r>
      <w:r>
        <w:t>enrollment</w:t>
      </w:r>
      <w:r w:rsidR="00801692">
        <w:t>, or risk differences not quantified by the approach outlined below</w:t>
      </w:r>
      <w:r>
        <w:t>, we may consider adjustments to the</w:t>
      </w:r>
      <w:r w:rsidR="00801692">
        <w:t xml:space="preserve"> proposed </w:t>
      </w:r>
      <w:r>
        <w:t xml:space="preserve">risk adjustment </w:t>
      </w:r>
      <w:r w:rsidR="00801692">
        <w:t xml:space="preserve">methodology. All adjustments will be in accordance with our review of the risk adjustment data, results, and methodology and will be developed in accordance with </w:t>
      </w:r>
      <w:r w:rsidR="00801692" w:rsidRPr="00F91FB0">
        <w:t>generally accepted actuarial principles and practices</w:t>
      </w:r>
      <w:r w:rsidR="00801692">
        <w:t>.</w:t>
      </w:r>
      <w:r w:rsidR="00EA6C45">
        <w:t xml:space="preserve"> These adjustments may include, but are not limited to, risk-adjustment rebasing during SFY 2023, using concurrent risk score mechanisms, or non-budget-neutral risk adjustment.</w:t>
      </w:r>
    </w:p>
    <w:p w14:paraId="25B006C8" w14:textId="4D772248" w:rsidR="00EA6C45" w:rsidRPr="00050D82" w:rsidRDefault="00EA6C45" w:rsidP="00622097">
      <w:pPr>
        <w:pStyle w:val="RRBody"/>
        <w:jc w:val="both"/>
      </w:pPr>
      <w:r>
        <w:t>The remainder of this section outlines the intended approach to risk adjusting the SFY 2023 capitation rates.</w:t>
      </w:r>
    </w:p>
    <w:p w14:paraId="712109C0" w14:textId="625A3F79" w:rsidR="00CE2634" w:rsidRPr="005E0703" w:rsidRDefault="00CE2634" w:rsidP="00622097">
      <w:pPr>
        <w:pStyle w:val="Heading4"/>
      </w:pPr>
      <w:bookmarkStart w:id="449" w:name="_Toc8985052"/>
      <w:bookmarkStart w:id="450" w:name="_Toc100260750"/>
      <w:r w:rsidRPr="005E0703">
        <w:t>Risk adjustment model</w:t>
      </w:r>
      <w:bookmarkEnd w:id="446"/>
      <w:bookmarkEnd w:id="447"/>
      <w:bookmarkEnd w:id="448"/>
      <w:bookmarkEnd w:id="449"/>
      <w:bookmarkEnd w:id="450"/>
    </w:p>
    <w:p w14:paraId="1B7FFA05" w14:textId="2DB86F0F" w:rsidR="00050D82" w:rsidRPr="003727F7" w:rsidRDefault="00294D8A" w:rsidP="00622097">
      <w:pPr>
        <w:pStyle w:val="RRBody"/>
        <w:jc w:val="both"/>
      </w:pPr>
      <w:r>
        <w:t>Risk adjustment will be performed using CDPS + Rx version 6.</w:t>
      </w:r>
      <w:r w:rsidR="001D46A9">
        <w:t>4</w:t>
      </w:r>
      <w:r w:rsidR="00A11620">
        <w:t xml:space="preserve">. We </w:t>
      </w:r>
      <w:r w:rsidR="00FE4F7F">
        <w:t>developed</w:t>
      </w:r>
      <w:r w:rsidR="00A40C9A">
        <w:t xml:space="preserve"> custom</w:t>
      </w:r>
      <w:r w:rsidR="00F64CC3">
        <w:t xml:space="preserve"> condition</w:t>
      </w:r>
      <w:r w:rsidR="00A40C9A">
        <w:t xml:space="preserve"> weights based on Rhode Island Medicaid experience</w:t>
      </w:r>
      <w:r>
        <w:t xml:space="preserve">. Risk adjustment will be performed on a </w:t>
      </w:r>
      <w:r w:rsidR="00FE4F7F">
        <w:t xml:space="preserve">basis estimated to be </w:t>
      </w:r>
      <w:r>
        <w:t xml:space="preserve">budget neutral at the rate cell level. </w:t>
      </w:r>
      <w:r w:rsidR="00801692">
        <w:t>Children less than</w:t>
      </w:r>
      <w:r>
        <w:t xml:space="preserve"> one year old, </w:t>
      </w:r>
      <w:r w:rsidR="00801692">
        <w:t>the extended family planning population,</w:t>
      </w:r>
      <w:r>
        <w:t xml:space="preserve"> delivery kick payments</w:t>
      </w:r>
      <w:r w:rsidR="001D503D">
        <w:t xml:space="preserve">, and the CSHCN substitute care rate cell </w:t>
      </w:r>
      <w:r>
        <w:t>will be excluded from the risk adjustment process</w:t>
      </w:r>
      <w:r w:rsidR="00050D82">
        <w:t>.</w:t>
      </w:r>
    </w:p>
    <w:p w14:paraId="17A7619E" w14:textId="77777777" w:rsidR="00CE2634" w:rsidRPr="005E0703" w:rsidRDefault="00CE2634" w:rsidP="00622097">
      <w:pPr>
        <w:pStyle w:val="Heading4"/>
      </w:pPr>
      <w:bookmarkStart w:id="451" w:name="_Toc484701273"/>
      <w:bookmarkStart w:id="452" w:name="_Toc504389118"/>
      <w:bookmarkStart w:id="453" w:name="_Toc8985053"/>
      <w:bookmarkStart w:id="454" w:name="_Toc100260751"/>
      <w:bookmarkStart w:id="455" w:name="_Toc466028134"/>
      <w:r w:rsidRPr="005E0703">
        <w:t>Acuity adjustments</w:t>
      </w:r>
      <w:bookmarkEnd w:id="451"/>
      <w:bookmarkEnd w:id="452"/>
      <w:bookmarkEnd w:id="453"/>
      <w:bookmarkEnd w:id="454"/>
    </w:p>
    <w:p w14:paraId="0B58AF09" w14:textId="6C8E9314" w:rsidR="00CE2634" w:rsidRPr="00541C09" w:rsidRDefault="002C5334" w:rsidP="00622097">
      <w:pPr>
        <w:jc w:val="both"/>
      </w:pPr>
      <w:r>
        <w:t xml:space="preserve">All acuity adjustments are applied on a </w:t>
      </w:r>
      <w:r w:rsidR="002F32D2">
        <w:t>prospective</w:t>
      </w:r>
      <w:r>
        <w:t xml:space="preserve"> basis </w:t>
      </w:r>
      <w:r w:rsidR="002F32D2">
        <w:t xml:space="preserve">and are described in </w:t>
      </w:r>
      <w:r w:rsidR="00CD23BB" w:rsidRPr="00CD23BB">
        <w:t>Section I</w:t>
      </w:r>
      <w:r w:rsidR="00820B74">
        <w:t xml:space="preserve">, item </w:t>
      </w:r>
      <w:r w:rsidR="00CD23BB" w:rsidRPr="00CD23BB">
        <w:t>3.B.ii</w:t>
      </w:r>
      <w:r w:rsidR="00CE2634" w:rsidRPr="00541C09">
        <w:t>.</w:t>
      </w:r>
      <w:bookmarkEnd w:id="455"/>
      <w:r w:rsidR="002F32D2">
        <w:t xml:space="preserve"> These acuity adjustments are included in the certified capitation rates documented in this report.</w:t>
      </w:r>
    </w:p>
    <w:p w14:paraId="643FAE6E" w14:textId="77777777" w:rsidR="00CE2634" w:rsidRPr="00D705D5" w:rsidRDefault="00CE2634" w:rsidP="00622097">
      <w:pPr>
        <w:pStyle w:val="Heading3"/>
        <w:jc w:val="both"/>
      </w:pPr>
      <w:bookmarkStart w:id="456" w:name="_Toc484701274"/>
      <w:bookmarkStart w:id="457" w:name="_Toc504389119"/>
      <w:bookmarkStart w:id="458" w:name="_Toc8985054"/>
      <w:bookmarkStart w:id="459" w:name="_Toc100260752"/>
      <w:bookmarkStart w:id="460" w:name="_Toc466028138"/>
      <w:r w:rsidRPr="00D705D5">
        <w:t>Appropriate Documentation</w:t>
      </w:r>
      <w:bookmarkEnd w:id="456"/>
      <w:bookmarkEnd w:id="457"/>
      <w:bookmarkEnd w:id="458"/>
      <w:bookmarkEnd w:id="459"/>
    </w:p>
    <w:p w14:paraId="7A139AB5" w14:textId="77777777" w:rsidR="00CE2634" w:rsidRPr="005E0703" w:rsidRDefault="00CE2634" w:rsidP="00622097">
      <w:pPr>
        <w:pStyle w:val="Heading4"/>
      </w:pPr>
      <w:bookmarkStart w:id="461" w:name="_Toc484701275"/>
      <w:bookmarkStart w:id="462" w:name="_Toc504389120"/>
      <w:bookmarkStart w:id="463" w:name="_Toc8985055"/>
      <w:bookmarkStart w:id="464" w:name="_Toc100260753"/>
      <w:r w:rsidRPr="005E0703">
        <w:t>Prospective risk adjustment</w:t>
      </w:r>
      <w:bookmarkEnd w:id="461"/>
      <w:bookmarkEnd w:id="462"/>
      <w:bookmarkEnd w:id="463"/>
      <w:bookmarkEnd w:id="464"/>
    </w:p>
    <w:p w14:paraId="5D230F68" w14:textId="77777777" w:rsidR="00CE2634" w:rsidRPr="00557D78" w:rsidRDefault="00CE2634" w:rsidP="00622097">
      <w:pPr>
        <w:pStyle w:val="Heading5"/>
        <w:jc w:val="both"/>
      </w:pPr>
      <w:bookmarkStart w:id="465" w:name="_Toc484701276"/>
      <w:bookmarkStart w:id="466" w:name="_Toc504389121"/>
      <w:r w:rsidRPr="00557D78">
        <w:t>Data and adjustments</w:t>
      </w:r>
      <w:bookmarkEnd w:id="465"/>
      <w:bookmarkEnd w:id="466"/>
    </w:p>
    <w:p w14:paraId="641356D3" w14:textId="2EDEABC8" w:rsidR="00CE2634" w:rsidRPr="00541C09" w:rsidRDefault="00294D8A" w:rsidP="00622097">
      <w:pPr>
        <w:pStyle w:val="RRBody"/>
        <w:jc w:val="both"/>
        <w:rPr>
          <w:rFonts w:cstheme="minorHAnsi"/>
          <w:szCs w:val="18"/>
        </w:rPr>
      </w:pPr>
      <w:r>
        <w:t xml:space="preserve">The </w:t>
      </w:r>
      <w:r w:rsidR="00801692">
        <w:t xml:space="preserve">SFY </w:t>
      </w:r>
      <w:r w:rsidR="002F4284">
        <w:t xml:space="preserve">2023 </w:t>
      </w:r>
      <w:r>
        <w:t xml:space="preserve">rate period </w:t>
      </w:r>
      <w:r w:rsidR="00EB62B9">
        <w:t xml:space="preserve">is anticipated to be </w:t>
      </w:r>
      <w:r>
        <w:t xml:space="preserve">risk adjusted based on a diagnosis and prescription drug collection period including incurred (dispensed) dates </w:t>
      </w:r>
      <w:r w:rsidR="00801692">
        <w:t xml:space="preserve">in SFY </w:t>
      </w:r>
      <w:r w:rsidR="002F4284">
        <w:t>2021</w:t>
      </w:r>
      <w:r>
        <w:t>. The risk adjustment diagnosis base data will exclude diagnosis codes associated with diagnostic testing and certain medical supply codes.</w:t>
      </w:r>
      <w:r w:rsidR="00F3796C">
        <w:t xml:space="preserve"> </w:t>
      </w:r>
      <w:r w:rsidR="00AA5A01" w:rsidRPr="006F5A7D">
        <w:t xml:space="preserve">Prospective risk scores will be applied to the </w:t>
      </w:r>
      <w:r w:rsidR="005B1E37">
        <w:t>SFY</w:t>
      </w:r>
      <w:r w:rsidR="005B1E37" w:rsidRPr="006F5A7D">
        <w:t xml:space="preserve"> </w:t>
      </w:r>
      <w:r w:rsidR="002F4284" w:rsidRPr="006F5A7D">
        <w:t>20</w:t>
      </w:r>
      <w:r w:rsidR="002F4284">
        <w:t>23</w:t>
      </w:r>
      <w:r w:rsidR="002F4284" w:rsidRPr="006F5A7D">
        <w:t xml:space="preserve"> </w:t>
      </w:r>
      <w:r w:rsidR="00AA5A01" w:rsidRPr="006F5A7D">
        <w:t xml:space="preserve">capitation rates </w:t>
      </w:r>
      <w:r w:rsidR="005B1E37">
        <w:t>in total</w:t>
      </w:r>
      <w:r w:rsidR="00AA5A01" w:rsidRPr="006F5A7D">
        <w:t>.</w:t>
      </w:r>
      <w:r>
        <w:t xml:space="preserve"> </w:t>
      </w:r>
      <w:r w:rsidR="00AA5A01" w:rsidRPr="00AA5A01">
        <w:t xml:space="preserve">We will </w:t>
      </w:r>
      <w:r w:rsidR="005B1E37">
        <w:t xml:space="preserve">calculate </w:t>
      </w:r>
      <w:r w:rsidR="00AA5A01" w:rsidRPr="00AA5A01">
        <w:t>normalized rates on a budget neutral basis</w:t>
      </w:r>
      <w:r w:rsidR="005B1E37">
        <w:t xml:space="preserve"> for each MCO</w:t>
      </w:r>
      <w:r w:rsidR="00AA5A01" w:rsidRPr="00AA5A01">
        <w:t xml:space="preserve">.  </w:t>
      </w:r>
    </w:p>
    <w:p w14:paraId="54F6C062" w14:textId="77777777" w:rsidR="00CE2634" w:rsidRPr="00557D78" w:rsidRDefault="00CE2634" w:rsidP="00622097">
      <w:pPr>
        <w:pStyle w:val="Heading5"/>
        <w:jc w:val="both"/>
      </w:pPr>
      <w:bookmarkStart w:id="467" w:name="_Toc484701277"/>
      <w:bookmarkStart w:id="468" w:name="_Toc504389122"/>
      <w:bookmarkStart w:id="469" w:name="_Toc466028135"/>
      <w:r w:rsidRPr="00557D78">
        <w:t>Risk adjustment model</w:t>
      </w:r>
      <w:bookmarkEnd w:id="467"/>
      <w:bookmarkEnd w:id="468"/>
    </w:p>
    <w:p w14:paraId="193F4061" w14:textId="2F70E595" w:rsidR="00050D82" w:rsidRPr="00050D82" w:rsidRDefault="00DA77A3" w:rsidP="00622097">
      <w:pPr>
        <w:pStyle w:val="RRBody"/>
        <w:jc w:val="both"/>
        <w:rPr>
          <w:b/>
          <w:i/>
          <w:sz w:val="20"/>
        </w:rPr>
      </w:pPr>
      <w:bookmarkStart w:id="470" w:name="_Toc484701278"/>
      <w:bookmarkStart w:id="471" w:name="_Toc504389123"/>
      <w:r>
        <w:t>The capitation rates</w:t>
      </w:r>
      <w:r w:rsidR="00AA5A01" w:rsidRPr="0076558C">
        <w:t xml:space="preserve"> will be risk-adjusted using </w:t>
      </w:r>
      <w:r w:rsidR="00AA5A01">
        <w:t>CDPS+Rx risk scoring model</w:t>
      </w:r>
      <w:r w:rsidR="00EB62B9">
        <w:t>s with custom weights</w:t>
      </w:r>
      <w:r w:rsidR="00AA5A01">
        <w:t>. We will provide full documentation of the results and methodology for the risk adjustment analysis in a separate correspondence</w:t>
      </w:r>
      <w:r w:rsidR="003131F7">
        <w:t>.</w:t>
      </w:r>
    </w:p>
    <w:p w14:paraId="2A95755F" w14:textId="77777777" w:rsidR="00CE2634" w:rsidRPr="00557D78" w:rsidRDefault="00CE2634" w:rsidP="00622097">
      <w:pPr>
        <w:pStyle w:val="Heading5"/>
        <w:jc w:val="both"/>
      </w:pPr>
      <w:r w:rsidRPr="00557D78">
        <w:t>Risk adjustment methodology</w:t>
      </w:r>
      <w:bookmarkEnd w:id="470"/>
      <w:bookmarkEnd w:id="471"/>
    </w:p>
    <w:p w14:paraId="42C496D4" w14:textId="771BB783" w:rsidR="00CE2634" w:rsidRPr="00050D82" w:rsidRDefault="00B31BD1" w:rsidP="00622097">
      <w:pPr>
        <w:pStyle w:val="RRBody"/>
        <w:jc w:val="both"/>
      </w:pPr>
      <w:bookmarkStart w:id="472" w:name="_Toc484701279"/>
      <w:bookmarkEnd w:id="469"/>
      <w:r>
        <w:t>R</w:t>
      </w:r>
      <w:r w:rsidR="00AA5A01" w:rsidRPr="0076558C">
        <w:t>isk adjustment is designed to be cost neutral</w:t>
      </w:r>
      <w:r w:rsidR="00AA5A01">
        <w:t xml:space="preserve"> for each population</w:t>
      </w:r>
      <w:r w:rsidR="00AA5A01" w:rsidRPr="0076558C">
        <w:t xml:space="preserve">. Relative risk scores will be normalized to result in a composite risk score of 1.000 for each </w:t>
      </w:r>
      <w:r w:rsidR="00AA5A01">
        <w:t>population group</w:t>
      </w:r>
      <w:r w:rsidR="00AA5A01" w:rsidRPr="0076558C">
        <w:t>.</w:t>
      </w:r>
      <w:r w:rsidR="00AA5A01">
        <w:t xml:space="preserve"> The risk adjustment methodology </w:t>
      </w:r>
      <w:r w:rsidR="00AA5A01" w:rsidRPr="00F91FB0">
        <w:t>uses generally accepted actuarial principles and practices</w:t>
      </w:r>
      <w:r w:rsidR="00050D82" w:rsidRPr="00F91FB0">
        <w:t>.</w:t>
      </w:r>
    </w:p>
    <w:p w14:paraId="0ADB0A47" w14:textId="77777777" w:rsidR="00CE2634" w:rsidRPr="00557D78" w:rsidRDefault="00CE2634" w:rsidP="00622097">
      <w:pPr>
        <w:pStyle w:val="Heading5"/>
        <w:jc w:val="both"/>
      </w:pPr>
      <w:bookmarkStart w:id="473" w:name="_Toc504389124"/>
      <w:r w:rsidRPr="00557D78">
        <w:t>Magnitude of the adjustment</w:t>
      </w:r>
      <w:bookmarkEnd w:id="472"/>
      <w:bookmarkEnd w:id="473"/>
    </w:p>
    <w:p w14:paraId="1A5A4EF1" w14:textId="7D194624" w:rsidR="0000556D" w:rsidRDefault="00AA5A01" w:rsidP="00622097">
      <w:pPr>
        <w:pStyle w:val="RRBody"/>
        <w:jc w:val="both"/>
      </w:pPr>
      <w:r>
        <w:t>We will provide full documentation of the results and methodology for the risk adjustment analysis</w:t>
      </w:r>
      <w:r w:rsidRPr="0016518E">
        <w:t xml:space="preserve"> </w:t>
      </w:r>
      <w:r>
        <w:t>in a separate correspondence</w:t>
      </w:r>
      <w:r w:rsidR="00050D82">
        <w:t>.</w:t>
      </w:r>
      <w:bookmarkStart w:id="474" w:name="_Toc484701280"/>
      <w:bookmarkStart w:id="475" w:name="_Toc504389125"/>
      <w:r w:rsidR="0000556D">
        <w:br w:type="page"/>
      </w:r>
    </w:p>
    <w:p w14:paraId="15933198" w14:textId="77777777" w:rsidR="00CE2634" w:rsidRDefault="00CE2634" w:rsidP="00622097">
      <w:pPr>
        <w:pStyle w:val="Heading5"/>
        <w:jc w:val="both"/>
      </w:pPr>
      <w:r w:rsidRPr="00557D78">
        <w:lastRenderedPageBreak/>
        <w:t>Assessment of predictive value</w:t>
      </w:r>
      <w:bookmarkEnd w:id="474"/>
      <w:bookmarkEnd w:id="475"/>
    </w:p>
    <w:p w14:paraId="4AE256FB" w14:textId="77777777" w:rsidR="00050D82" w:rsidRPr="00557D78" w:rsidRDefault="00AA5A01" w:rsidP="00622097">
      <w:pPr>
        <w:pStyle w:val="RRBody"/>
        <w:jc w:val="both"/>
        <w:rPr>
          <w:rFonts w:cstheme="minorHAnsi"/>
          <w:b/>
          <w:color w:val="727A7D" w:themeColor="accent3"/>
          <w:sz w:val="20"/>
          <w:szCs w:val="20"/>
        </w:rPr>
      </w:pPr>
      <w:r>
        <w:t>We will provide full documentation of the results and methodology for the risk adjustment analysis in a separate correspondence</w:t>
      </w:r>
      <w:r w:rsidR="00050D82">
        <w:t>.</w:t>
      </w:r>
    </w:p>
    <w:p w14:paraId="682FAEF4" w14:textId="77777777" w:rsidR="00CE2634" w:rsidRDefault="00CE2634" w:rsidP="00622097">
      <w:pPr>
        <w:pStyle w:val="Heading5"/>
        <w:jc w:val="both"/>
      </w:pPr>
      <w:bookmarkStart w:id="476" w:name="_Toc484701281"/>
      <w:bookmarkStart w:id="477" w:name="_Toc504389126"/>
      <w:r w:rsidRPr="00557D78">
        <w:t>Any concerns the actuary has with the risk adjustment process</w:t>
      </w:r>
      <w:bookmarkEnd w:id="476"/>
      <w:bookmarkEnd w:id="477"/>
    </w:p>
    <w:p w14:paraId="0857A355" w14:textId="444A1371" w:rsidR="00050D82" w:rsidRPr="00050D82" w:rsidRDefault="00A40C9A" w:rsidP="00622097">
      <w:pPr>
        <w:pStyle w:val="RRBody"/>
        <w:jc w:val="both"/>
      </w:pPr>
      <w:r>
        <w:t xml:space="preserve">The SFY </w:t>
      </w:r>
      <w:r w:rsidR="002F4284">
        <w:t xml:space="preserve">2021 </w:t>
      </w:r>
      <w:r>
        <w:t xml:space="preserve">base data for risk adjustment will include claims experience affected by the COVID-19 pandemic. </w:t>
      </w:r>
      <w:r w:rsidR="00EB62B9">
        <w:t xml:space="preserve">We previously evaluated the SFY 2020 </w:t>
      </w:r>
      <w:r>
        <w:t xml:space="preserve">diagnostic and pharmacy script data for </w:t>
      </w:r>
      <w:r w:rsidR="00EB62B9">
        <w:t xml:space="preserve">purposes of SFY 2022 risk adjustment </w:t>
      </w:r>
      <w:r w:rsidR="00FE4F7F">
        <w:t>and concluded that the budget-neutral risk adjustment results</w:t>
      </w:r>
      <w:r w:rsidR="002A2516">
        <w:t xml:space="preserve"> were not materially impacted</w:t>
      </w:r>
      <w:r w:rsidR="00EB62B9">
        <w:t xml:space="preserve"> by the pandemic</w:t>
      </w:r>
      <w:r w:rsidR="005B1E37">
        <w:t>.</w:t>
      </w:r>
      <w:r w:rsidR="00EB62B9">
        <w:t xml:space="preserve"> We will continue to evaluate this conclusion when reviewing the SFY 2021 base data for risk adjustment.</w:t>
      </w:r>
    </w:p>
    <w:p w14:paraId="25219B71" w14:textId="5146B9A3" w:rsidR="00CE2634" w:rsidRPr="005E0703" w:rsidRDefault="00CE2634" w:rsidP="00622097">
      <w:pPr>
        <w:pStyle w:val="Heading4"/>
      </w:pPr>
      <w:bookmarkStart w:id="478" w:name="_Toc465859034"/>
      <w:bookmarkStart w:id="479" w:name="_Toc465859209"/>
      <w:bookmarkStart w:id="480" w:name="_Toc466027976"/>
      <w:bookmarkStart w:id="481" w:name="_Toc466028151"/>
      <w:bookmarkStart w:id="482" w:name="_Toc465859050"/>
      <w:bookmarkStart w:id="483" w:name="_Toc465859225"/>
      <w:bookmarkStart w:id="484" w:name="_Toc466027992"/>
      <w:bookmarkStart w:id="485" w:name="_Toc466028167"/>
      <w:bookmarkStart w:id="486" w:name="_Toc484701282"/>
      <w:bookmarkStart w:id="487" w:name="_Toc504389127"/>
      <w:bookmarkStart w:id="488" w:name="_Toc8985056"/>
      <w:bookmarkStart w:id="489" w:name="_Toc100260754"/>
      <w:bookmarkEnd w:id="460"/>
      <w:bookmarkEnd w:id="478"/>
      <w:bookmarkEnd w:id="479"/>
      <w:bookmarkEnd w:id="480"/>
      <w:bookmarkEnd w:id="481"/>
      <w:bookmarkEnd w:id="482"/>
      <w:bookmarkEnd w:id="483"/>
      <w:bookmarkEnd w:id="484"/>
      <w:bookmarkEnd w:id="485"/>
      <w:r w:rsidRPr="005E0703">
        <w:t>Retrospective risk adjustment</w:t>
      </w:r>
      <w:bookmarkEnd w:id="486"/>
      <w:bookmarkEnd w:id="487"/>
      <w:bookmarkEnd w:id="488"/>
      <w:bookmarkEnd w:id="489"/>
    </w:p>
    <w:p w14:paraId="1555144C" w14:textId="77777777" w:rsidR="00CE2634" w:rsidRPr="00541C09" w:rsidRDefault="00CE2634" w:rsidP="00622097">
      <w:pPr>
        <w:jc w:val="both"/>
      </w:pPr>
      <w:r w:rsidRPr="00541C09">
        <w:t>Not applicable. The risk adjustment analysis will utilize a prospective methodology.</w:t>
      </w:r>
    </w:p>
    <w:p w14:paraId="7BF85DB4" w14:textId="77777777" w:rsidR="00CE2634" w:rsidRDefault="00CE2634" w:rsidP="00622097">
      <w:pPr>
        <w:pStyle w:val="Heading4"/>
      </w:pPr>
      <w:bookmarkStart w:id="490" w:name="_Toc484701283"/>
      <w:bookmarkStart w:id="491" w:name="_Toc504389128"/>
      <w:bookmarkStart w:id="492" w:name="_Toc8985057"/>
      <w:bookmarkStart w:id="493" w:name="_Toc100260755"/>
      <w:r w:rsidRPr="005E0703">
        <w:t>Changes to risk adjustment model since last rating period</w:t>
      </w:r>
      <w:bookmarkEnd w:id="490"/>
      <w:bookmarkEnd w:id="491"/>
      <w:bookmarkEnd w:id="492"/>
      <w:bookmarkEnd w:id="493"/>
    </w:p>
    <w:p w14:paraId="7A099106" w14:textId="1D8B6DD2" w:rsidR="00801692" w:rsidRPr="00557D78" w:rsidRDefault="00801692" w:rsidP="00622097">
      <w:pPr>
        <w:pStyle w:val="Heading5"/>
        <w:jc w:val="both"/>
      </w:pPr>
      <w:r>
        <w:t>Changes made since the last rating period</w:t>
      </w:r>
    </w:p>
    <w:p w14:paraId="3F9B1C49" w14:textId="37E620FF" w:rsidR="00DC316B" w:rsidRDefault="00801692">
      <w:pPr>
        <w:pStyle w:val="RRBody"/>
        <w:jc w:val="both"/>
      </w:pPr>
      <w:r>
        <w:t xml:space="preserve">Risk adjustment was performed on the SFY </w:t>
      </w:r>
      <w:r w:rsidR="002F4284">
        <w:t xml:space="preserve">2022 </w:t>
      </w:r>
      <w:r>
        <w:t>capitation rates</w:t>
      </w:r>
      <w:r w:rsidR="009B2C2B">
        <w:t xml:space="preserve"> </w:t>
      </w:r>
      <w:r w:rsidR="001D46A9" w:rsidRPr="00AB4B97">
        <w:rPr>
          <w:szCs w:val="18"/>
        </w:rPr>
        <w:t xml:space="preserve">using the </w:t>
      </w:r>
      <w:r w:rsidR="00DA1551">
        <w:rPr>
          <w:szCs w:val="18"/>
        </w:rPr>
        <w:t>CDPS+Rx</w:t>
      </w:r>
      <w:r w:rsidR="001D46A9">
        <w:rPr>
          <w:szCs w:val="18"/>
        </w:rPr>
        <w:t xml:space="preserve"> risk adjustment model</w:t>
      </w:r>
      <w:r w:rsidR="00A40C9A">
        <w:rPr>
          <w:szCs w:val="18"/>
        </w:rPr>
        <w:t xml:space="preserve"> with standard weights</w:t>
      </w:r>
      <w:r w:rsidR="001D46A9">
        <w:rPr>
          <w:szCs w:val="18"/>
        </w:rPr>
        <w:t>.</w:t>
      </w:r>
      <w:r w:rsidR="00A40C9A">
        <w:rPr>
          <w:szCs w:val="18"/>
        </w:rPr>
        <w:t xml:space="preserve"> </w:t>
      </w:r>
      <w:r w:rsidR="00A11620">
        <w:rPr>
          <w:szCs w:val="18"/>
        </w:rPr>
        <w:t xml:space="preserve">We </w:t>
      </w:r>
      <w:r w:rsidR="002A2516">
        <w:rPr>
          <w:szCs w:val="18"/>
        </w:rPr>
        <w:t>developed</w:t>
      </w:r>
      <w:r w:rsidR="00A11620">
        <w:rPr>
          <w:szCs w:val="18"/>
        </w:rPr>
        <w:t xml:space="preserve"> custom weights based on Rhode Island Medicaid experience for the SFY </w:t>
      </w:r>
      <w:r w:rsidR="002F4284">
        <w:rPr>
          <w:szCs w:val="18"/>
        </w:rPr>
        <w:t xml:space="preserve">2023 </w:t>
      </w:r>
      <w:r w:rsidR="00A11620">
        <w:rPr>
          <w:szCs w:val="18"/>
        </w:rPr>
        <w:t xml:space="preserve">risk adjustment process. We </w:t>
      </w:r>
      <w:r w:rsidR="002A2516">
        <w:rPr>
          <w:szCs w:val="18"/>
        </w:rPr>
        <w:t xml:space="preserve">utilized a member duration adjustment and modified the treatment of unscored members </w:t>
      </w:r>
      <w:r w:rsidR="00A11620">
        <w:rPr>
          <w:szCs w:val="18"/>
        </w:rPr>
        <w:t>to account for recent pandemic-related enrollment changes.</w:t>
      </w:r>
    </w:p>
    <w:p w14:paraId="27D7CA18" w14:textId="3BB53B3A" w:rsidR="00801692" w:rsidRPr="00557D78" w:rsidRDefault="00801692" w:rsidP="00622097">
      <w:pPr>
        <w:pStyle w:val="Heading5"/>
        <w:jc w:val="both"/>
      </w:pPr>
      <w:r>
        <w:t>Budget neutrality</w:t>
      </w:r>
    </w:p>
    <w:p w14:paraId="022FC824" w14:textId="3435E94F" w:rsidR="00050D82" w:rsidRPr="00911CDC" w:rsidRDefault="00B31BD1" w:rsidP="00622097">
      <w:pPr>
        <w:pStyle w:val="RRBody"/>
        <w:jc w:val="both"/>
      </w:pPr>
      <w:r>
        <w:t>R</w:t>
      </w:r>
      <w:r w:rsidR="005B1E37" w:rsidRPr="0076558C">
        <w:t>isk adjustment is designed to be cost neutral</w:t>
      </w:r>
      <w:r w:rsidR="005B1E37">
        <w:t xml:space="preserve"> for each population</w:t>
      </w:r>
      <w:r w:rsidR="00050D82">
        <w:t xml:space="preserve">.  </w:t>
      </w:r>
    </w:p>
    <w:p w14:paraId="7E1DC964" w14:textId="77777777" w:rsidR="00CE2634" w:rsidRPr="005E0703" w:rsidRDefault="00CE2634" w:rsidP="00622097">
      <w:pPr>
        <w:pStyle w:val="Heading4"/>
      </w:pPr>
      <w:bookmarkStart w:id="494" w:name="_Toc484701284"/>
      <w:bookmarkStart w:id="495" w:name="_Toc504389129"/>
      <w:bookmarkStart w:id="496" w:name="_Toc8985058"/>
      <w:bookmarkStart w:id="497" w:name="_Toc100260756"/>
      <w:r w:rsidRPr="005E0703">
        <w:t>Acuity adjustments</w:t>
      </w:r>
      <w:bookmarkEnd w:id="494"/>
      <w:bookmarkEnd w:id="495"/>
      <w:bookmarkEnd w:id="496"/>
      <w:bookmarkEnd w:id="497"/>
    </w:p>
    <w:p w14:paraId="57C40A00" w14:textId="128CB80C" w:rsidR="005E0703" w:rsidRDefault="00CD23BB" w:rsidP="00622097">
      <w:pPr>
        <w:jc w:val="both"/>
      </w:pPr>
      <w:r>
        <w:t>A retrospective a</w:t>
      </w:r>
      <w:r w:rsidR="00803CFC">
        <w:t>cuity adjustment</w:t>
      </w:r>
      <w:r>
        <w:t xml:space="preserve"> is not planned for the SFY </w:t>
      </w:r>
      <w:r w:rsidR="003A2CCD">
        <w:t xml:space="preserve">2023 </w:t>
      </w:r>
      <w:r>
        <w:t>rating year</w:t>
      </w:r>
      <w:r w:rsidR="00CE2634" w:rsidRPr="00541C09">
        <w:t>.</w:t>
      </w:r>
      <w:r w:rsidR="00EB62B9">
        <w:t xml:space="preserve"> As previously stated, we will consider changes to the risk adjustment methodology in the event of material program enrollment changes.</w:t>
      </w:r>
      <w:r w:rsidR="005E0703">
        <w:br w:type="page"/>
      </w:r>
    </w:p>
    <w:p w14:paraId="16C0788C" w14:textId="4C6950E0" w:rsidR="00CE2634" w:rsidRPr="00CE52C5" w:rsidRDefault="00CE2634" w:rsidP="00622097">
      <w:pPr>
        <w:pStyle w:val="Heading1"/>
        <w:jc w:val="both"/>
      </w:pPr>
      <w:bookmarkStart w:id="498" w:name="_Toc504389130"/>
      <w:bookmarkStart w:id="499" w:name="_Toc8985059"/>
      <w:bookmarkStart w:id="500" w:name="_Toc100260757"/>
      <w:r w:rsidRPr="00CE52C5">
        <w:lastRenderedPageBreak/>
        <w:t xml:space="preserve">Section II. Medicaid Managed care </w:t>
      </w:r>
      <w:r w:rsidR="00C51185">
        <w:t>r</w:t>
      </w:r>
      <w:r w:rsidRPr="00CE52C5">
        <w:t>ates with long-term services and supports</w:t>
      </w:r>
      <w:bookmarkEnd w:id="498"/>
      <w:bookmarkEnd w:id="499"/>
      <w:bookmarkEnd w:id="500"/>
    </w:p>
    <w:p w14:paraId="70DD3E77" w14:textId="39A2A3D5" w:rsidR="00050D82" w:rsidRPr="00933BDB" w:rsidRDefault="00FA363F" w:rsidP="00622097">
      <w:pPr>
        <w:pStyle w:val="RRBody"/>
        <w:jc w:val="both"/>
      </w:pPr>
      <w:r w:rsidRPr="00FA363F">
        <w:t xml:space="preserve">Section II of the CMS Guide is not applicable to </w:t>
      </w:r>
      <w:r w:rsidR="006D3DA0">
        <w:t>the populations covered under this rate certification</w:t>
      </w:r>
      <w:r w:rsidRPr="00FA363F">
        <w:t xml:space="preserve">. Managed long-term services and supports (MLTSS) </w:t>
      </w:r>
      <w:r w:rsidR="00D57886">
        <w:t>populations are generally excluded from the program</w:t>
      </w:r>
      <w:r w:rsidRPr="00FA363F">
        <w:t>.</w:t>
      </w:r>
      <w:r w:rsidR="00BA2DB0">
        <w:t xml:space="preserve"> </w:t>
      </w:r>
      <w:r w:rsidR="00613F7F">
        <w:t>EOHHS</w:t>
      </w:r>
      <w:r w:rsidR="00BA2DB0">
        <w:t xml:space="preserve"> operates </w:t>
      </w:r>
      <w:r w:rsidR="00613F7F">
        <w:t>the</w:t>
      </w:r>
      <w:r w:rsidR="00BA2DB0">
        <w:t xml:space="preserve"> </w:t>
      </w:r>
      <w:r w:rsidR="00E2545E">
        <w:t xml:space="preserve">Rhody Health Options </w:t>
      </w:r>
      <w:r w:rsidR="00BA2DB0">
        <w:t xml:space="preserve">Medicare-Medicaid Plan (MMP) </w:t>
      </w:r>
      <w:r w:rsidR="00613F7F">
        <w:t xml:space="preserve">which </w:t>
      </w:r>
      <w:r w:rsidR="00BA2DB0">
        <w:t>is outlined in a separate capitation rate certification document.</w:t>
      </w:r>
      <w:r w:rsidR="00E2545E">
        <w:t xml:space="preserve"> Long-term services and supports for the Rhody Health Partners population are reimbursed by EOHHS on a fee-for-service basis.</w:t>
      </w:r>
    </w:p>
    <w:p w14:paraId="72B2507E" w14:textId="77777777" w:rsidR="00CE2634" w:rsidRPr="00541C09" w:rsidRDefault="00CE2634" w:rsidP="00622097">
      <w:pPr>
        <w:jc w:val="both"/>
      </w:pPr>
    </w:p>
    <w:p w14:paraId="3DC6D5F4" w14:textId="77777777" w:rsidR="00CE52C5" w:rsidRDefault="00CE52C5" w:rsidP="00622097">
      <w:pPr>
        <w:pStyle w:val="RRSubhead1"/>
        <w:jc w:val="both"/>
      </w:pPr>
      <w:bookmarkStart w:id="501" w:name="_Toc504389131"/>
      <w:r>
        <w:br w:type="page"/>
      </w:r>
    </w:p>
    <w:p w14:paraId="100AC5F0" w14:textId="35464D2E" w:rsidR="00CE2634" w:rsidRPr="00541C09" w:rsidRDefault="00CE2634" w:rsidP="00622097">
      <w:pPr>
        <w:pStyle w:val="Heading1"/>
        <w:jc w:val="both"/>
      </w:pPr>
      <w:bookmarkStart w:id="502" w:name="_Toc8985060"/>
      <w:bookmarkStart w:id="503" w:name="_Toc100260758"/>
      <w:r w:rsidRPr="00541C09">
        <w:lastRenderedPageBreak/>
        <w:t xml:space="preserve">Section III. New adult group capitation </w:t>
      </w:r>
      <w:r w:rsidR="00CD1333">
        <w:t>r</w:t>
      </w:r>
      <w:r w:rsidRPr="00541C09">
        <w:t>ates</w:t>
      </w:r>
      <w:bookmarkEnd w:id="501"/>
      <w:bookmarkEnd w:id="502"/>
      <w:bookmarkEnd w:id="503"/>
    </w:p>
    <w:p w14:paraId="085848EE" w14:textId="1675A277" w:rsidR="00CE2634" w:rsidRDefault="00DF5FED" w:rsidP="00622097">
      <w:pPr>
        <w:jc w:val="both"/>
      </w:pPr>
      <w:r>
        <w:t>EOHHS</w:t>
      </w:r>
      <w:r w:rsidR="00FA363F" w:rsidRPr="00FA363F">
        <w:t xml:space="preserve"> implemented the Affordable Care Act’s Medicaid expansion on January 1, 2014. As of </w:t>
      </w:r>
      <w:r w:rsidR="00AC6BB8">
        <w:t>December</w:t>
      </w:r>
      <w:r w:rsidR="00AC6BB8" w:rsidRPr="00FA363F">
        <w:t xml:space="preserve"> </w:t>
      </w:r>
      <w:r w:rsidR="00C91210">
        <w:t>202</w:t>
      </w:r>
      <w:r w:rsidR="00FC7555">
        <w:t>1</w:t>
      </w:r>
      <w:r w:rsidR="00FA363F" w:rsidRPr="00FA363F">
        <w:t xml:space="preserve">, approximately </w:t>
      </w:r>
      <w:r w:rsidR="00AC6BB8">
        <w:t>100</w:t>
      </w:r>
      <w:r w:rsidR="00FA363F" w:rsidRPr="00FA363F">
        <w:t>,</w:t>
      </w:r>
      <w:r w:rsidR="00B57B99">
        <w:t>000</w:t>
      </w:r>
      <w:r w:rsidR="00FA363F" w:rsidRPr="00FA363F">
        <w:t xml:space="preserve"> individuals receive Medicaid benefits through </w:t>
      </w:r>
      <w:r w:rsidR="00866C9C" w:rsidRPr="00FA363F">
        <w:t>MC</w:t>
      </w:r>
      <w:r w:rsidR="00866C9C">
        <w:t>O</w:t>
      </w:r>
      <w:r w:rsidR="00866C9C" w:rsidRPr="00FA363F">
        <w:t xml:space="preserve">s </w:t>
      </w:r>
      <w:r w:rsidR="007B5C25">
        <w:t>in</w:t>
      </w:r>
      <w:r w:rsidR="007B5C25" w:rsidRPr="00FA363F">
        <w:t xml:space="preserve"> </w:t>
      </w:r>
      <w:r w:rsidR="00BA2DB0">
        <w:t>Rhode Island’s Medicaid E</w:t>
      </w:r>
      <w:r w:rsidR="00FA363F" w:rsidRPr="00FA363F">
        <w:t>xpansion population.</w:t>
      </w:r>
    </w:p>
    <w:p w14:paraId="3DF2838A" w14:textId="58CE9F22" w:rsidR="008B10D9" w:rsidRPr="00C93468" w:rsidRDefault="008B10D9" w:rsidP="00622097">
      <w:pPr>
        <w:pStyle w:val="Heading2"/>
        <w:numPr>
          <w:ilvl w:val="0"/>
          <w:numId w:val="41"/>
        </w:numPr>
        <w:jc w:val="both"/>
      </w:pPr>
      <w:bookmarkStart w:id="504" w:name="_Toc466028175"/>
      <w:bookmarkStart w:id="505" w:name="_Toc496172577"/>
      <w:bookmarkStart w:id="506" w:name="_Toc8985061"/>
      <w:bookmarkStart w:id="507" w:name="_Toc100260759"/>
      <w:r w:rsidRPr="00C93468">
        <w:t>Data</w:t>
      </w:r>
      <w:bookmarkEnd w:id="504"/>
      <w:bookmarkEnd w:id="505"/>
      <w:bookmarkEnd w:id="506"/>
      <w:bookmarkEnd w:id="507"/>
    </w:p>
    <w:p w14:paraId="1BAD1E00" w14:textId="57F67355" w:rsidR="008B10D9" w:rsidRPr="00C93468" w:rsidRDefault="008B10D9" w:rsidP="00622097">
      <w:pPr>
        <w:pStyle w:val="Heading3"/>
        <w:numPr>
          <w:ilvl w:val="1"/>
          <w:numId w:val="42"/>
        </w:numPr>
        <w:jc w:val="both"/>
      </w:pPr>
      <w:bookmarkStart w:id="508" w:name="_Toc466028176"/>
      <w:bookmarkStart w:id="509" w:name="_Toc496172578"/>
      <w:bookmarkStart w:id="510" w:name="_Toc8985062"/>
      <w:bookmarkStart w:id="511" w:name="_Toc100260760"/>
      <w:r w:rsidRPr="00C93468">
        <w:t>Data Used in Certification</w:t>
      </w:r>
      <w:bookmarkEnd w:id="508"/>
      <w:bookmarkEnd w:id="509"/>
      <w:bookmarkEnd w:id="510"/>
      <w:bookmarkEnd w:id="511"/>
    </w:p>
    <w:p w14:paraId="5B64A9CF" w14:textId="39E67092" w:rsidR="008B10D9" w:rsidRPr="008B10D9" w:rsidRDefault="008B10D9" w:rsidP="00622097">
      <w:pPr>
        <w:jc w:val="both"/>
      </w:pPr>
      <w:r w:rsidRPr="008B10D9">
        <w:t xml:space="preserve">The source of data used to develop the </w:t>
      </w:r>
      <w:r w:rsidR="00866C9C">
        <w:t>Medicaid Expansion</w:t>
      </w:r>
      <w:r w:rsidR="00866C9C" w:rsidRPr="008B10D9">
        <w:t xml:space="preserve"> </w:t>
      </w:r>
      <w:r w:rsidRPr="008B10D9">
        <w:t xml:space="preserve">capitation rates for </w:t>
      </w:r>
      <w:r w:rsidR="00866C9C">
        <w:t>SF</w:t>
      </w:r>
      <w:r w:rsidR="00866C9C" w:rsidRPr="008B10D9">
        <w:t xml:space="preserve">Y </w:t>
      </w:r>
      <w:r w:rsidR="00AC6BB8">
        <w:t xml:space="preserve">2023 </w:t>
      </w:r>
      <w:r w:rsidR="00C91210">
        <w:t>is</w:t>
      </w:r>
      <w:r w:rsidR="00C91210" w:rsidRPr="008B10D9">
        <w:t xml:space="preserve"> </w:t>
      </w:r>
      <w:r w:rsidRPr="008B10D9">
        <w:t xml:space="preserve">the </w:t>
      </w:r>
      <w:r w:rsidR="007B5C25">
        <w:t xml:space="preserve">same </w:t>
      </w:r>
      <w:r w:rsidRPr="008B10D9">
        <w:t>source of data used in the d</w:t>
      </w:r>
      <w:r w:rsidR="00D659C0">
        <w:t xml:space="preserve">evelopment of rates for the </w:t>
      </w:r>
      <w:r w:rsidR="00866C9C">
        <w:t>Rite Care, CSHCN, and Rhody Health Partners</w:t>
      </w:r>
      <w:r w:rsidRPr="008B10D9">
        <w:t xml:space="preserve"> populations</w:t>
      </w:r>
      <w:r w:rsidR="00BA2DB0">
        <w:t>, as outlined in Section I.2.B.ii</w:t>
      </w:r>
      <w:r w:rsidRPr="008B10D9">
        <w:t xml:space="preserve">. </w:t>
      </w:r>
    </w:p>
    <w:p w14:paraId="3FD352CD" w14:textId="765399D6" w:rsidR="008B10D9" w:rsidRPr="00C93468" w:rsidRDefault="000D2BCB" w:rsidP="00622097">
      <w:pPr>
        <w:pStyle w:val="Heading3"/>
        <w:jc w:val="both"/>
      </w:pPr>
      <w:bookmarkStart w:id="512" w:name="_Toc100260761"/>
      <w:r>
        <w:t>Description of Emerging Data</w:t>
      </w:r>
      <w:bookmarkEnd w:id="512"/>
    </w:p>
    <w:p w14:paraId="62A2A615" w14:textId="4B97DC18" w:rsidR="000D2BCB" w:rsidRDefault="000D2BCB" w:rsidP="00622097">
      <w:pPr>
        <w:pStyle w:val="Heading4"/>
      </w:pPr>
      <w:bookmarkStart w:id="513" w:name="_Toc100260762"/>
      <w:r>
        <w:t>New data available for rate setting</w:t>
      </w:r>
      <w:bookmarkEnd w:id="513"/>
    </w:p>
    <w:p w14:paraId="360F316F" w14:textId="418533C3" w:rsidR="000D2BCB" w:rsidRDefault="000D2BCB" w:rsidP="00622097">
      <w:pPr>
        <w:jc w:val="both"/>
      </w:pPr>
      <w:r>
        <w:t xml:space="preserve">No new data sources were available for purposes of the SFY </w:t>
      </w:r>
      <w:r w:rsidR="00AC6BB8">
        <w:t xml:space="preserve">2023 </w:t>
      </w:r>
      <w:r>
        <w:t xml:space="preserve">capitation rate </w:t>
      </w:r>
      <w:r w:rsidR="00810AA0">
        <w:t>development.</w:t>
      </w:r>
      <w:r w:rsidR="007B5C25">
        <w:t xml:space="preserve"> </w:t>
      </w:r>
      <w:r>
        <w:t xml:space="preserve">Emerging Medicaid Expansion data was used in the SFY </w:t>
      </w:r>
      <w:r w:rsidR="00AC6BB8">
        <w:t xml:space="preserve">2023 </w:t>
      </w:r>
      <w:r>
        <w:t>capitation rate development.</w:t>
      </w:r>
    </w:p>
    <w:p w14:paraId="7FE837B4" w14:textId="3C4E43C1" w:rsidR="000D2BCB" w:rsidRDefault="000D2BCB" w:rsidP="00622097">
      <w:pPr>
        <w:pStyle w:val="Heading4"/>
      </w:pPr>
      <w:bookmarkStart w:id="514" w:name="_Toc100260763"/>
      <w:r>
        <w:t>Monitoring of experience</w:t>
      </w:r>
      <w:bookmarkEnd w:id="514"/>
    </w:p>
    <w:p w14:paraId="4B79A067" w14:textId="2E1F86A6" w:rsidR="000D2BCB" w:rsidRDefault="000D2BCB" w:rsidP="00622097">
      <w:pPr>
        <w:jc w:val="both"/>
      </w:pPr>
      <w:r>
        <w:t>EOHHS</w:t>
      </w:r>
      <w:r w:rsidRPr="008B10D9">
        <w:t xml:space="preserve"> has monitored enrollment and costs in the </w:t>
      </w:r>
      <w:r>
        <w:t>Medicaid Expansion</w:t>
      </w:r>
      <w:r w:rsidRPr="008B10D9">
        <w:t xml:space="preserve"> population on an on-going basis. </w:t>
      </w:r>
      <w:r>
        <w:t xml:space="preserve">MCOs routinely submit financial experience </w:t>
      </w:r>
      <w:r w:rsidR="000247BD">
        <w:t>via the FDCR reporting process</w:t>
      </w:r>
      <w:r w:rsidRPr="008B10D9">
        <w:t xml:space="preserve">. </w:t>
      </w:r>
    </w:p>
    <w:p w14:paraId="140B5A0D" w14:textId="215DADB0" w:rsidR="000D2BCB" w:rsidRDefault="000D2BCB" w:rsidP="00622097">
      <w:pPr>
        <w:pStyle w:val="Heading4"/>
      </w:pPr>
      <w:bookmarkStart w:id="515" w:name="_Toc100260764"/>
      <w:r>
        <w:t>Comparison to previous rate certifications</w:t>
      </w:r>
      <w:bookmarkEnd w:id="515"/>
    </w:p>
    <w:p w14:paraId="46827FD1" w14:textId="6C615738" w:rsidR="000D2BCB" w:rsidRPr="008B10D9" w:rsidRDefault="00B06709" w:rsidP="00622097">
      <w:pPr>
        <w:jc w:val="both"/>
      </w:pPr>
      <w:r>
        <w:t>Figure</w:t>
      </w:r>
      <w:r w:rsidR="000D2BCB" w:rsidRPr="008B10D9">
        <w:t xml:space="preserve"> </w:t>
      </w:r>
      <w:r w:rsidR="001D322C">
        <w:t>2</w:t>
      </w:r>
      <w:r w:rsidR="00273A3D">
        <w:t>5</w:t>
      </w:r>
      <w:r w:rsidR="001D322C" w:rsidRPr="008B10D9">
        <w:t xml:space="preserve"> </w:t>
      </w:r>
      <w:r w:rsidR="000D2BCB" w:rsidRPr="008B10D9">
        <w:t xml:space="preserve">provides a comparison of actual </w:t>
      </w:r>
      <w:r w:rsidR="000D2BCB">
        <w:t xml:space="preserve">SFY </w:t>
      </w:r>
      <w:r w:rsidR="00AC6BB8">
        <w:t xml:space="preserve">2021 </w:t>
      </w:r>
      <w:r w:rsidR="000D2BCB" w:rsidRPr="008B10D9">
        <w:t>experien</w:t>
      </w:r>
      <w:r w:rsidR="000D2BCB">
        <w:t xml:space="preserve">ce by rate cell </w:t>
      </w:r>
      <w:r w:rsidR="000A6C0D">
        <w:t xml:space="preserve">used </w:t>
      </w:r>
      <w:r w:rsidR="000D2BCB">
        <w:t xml:space="preserve">relative to SFY </w:t>
      </w:r>
      <w:r w:rsidR="00AC6BB8">
        <w:t>2021</w:t>
      </w:r>
      <w:r w:rsidR="00AC6BB8" w:rsidRPr="008B10D9">
        <w:t xml:space="preserve"> </w:t>
      </w:r>
      <w:r w:rsidR="000A6C0D">
        <w:t>projections</w:t>
      </w:r>
      <w:r w:rsidR="000D2BCB">
        <w:t xml:space="preserve"> in the SFY </w:t>
      </w:r>
      <w:r w:rsidR="00AC6BB8">
        <w:t>2021</w:t>
      </w:r>
      <w:r w:rsidR="00AC6BB8" w:rsidRPr="008B10D9">
        <w:t xml:space="preserve"> </w:t>
      </w:r>
      <w:r w:rsidR="000D2BCB">
        <w:t>Medicaid Expansion</w:t>
      </w:r>
      <w:r w:rsidR="000D2BCB" w:rsidRPr="008B10D9">
        <w:t xml:space="preserve"> capitation rates.</w:t>
      </w:r>
    </w:p>
    <w:tbl>
      <w:tblPr>
        <w:tblW w:w="9776" w:type="dxa"/>
        <w:jc w:val="center"/>
        <w:tblLayout w:type="fixed"/>
        <w:tblLook w:val="04A0" w:firstRow="1" w:lastRow="0" w:firstColumn="1" w:lastColumn="0" w:noHBand="0" w:noVBand="1"/>
      </w:tblPr>
      <w:tblGrid>
        <w:gridCol w:w="1464"/>
        <w:gridCol w:w="1194"/>
        <w:gridCol w:w="1183"/>
        <w:gridCol w:w="1379"/>
        <w:gridCol w:w="238"/>
        <w:gridCol w:w="1562"/>
        <w:gridCol w:w="1530"/>
        <w:gridCol w:w="1226"/>
      </w:tblGrid>
      <w:tr w:rsidR="000D2BCB" w:rsidRPr="0074799F" w14:paraId="00B90562" w14:textId="77777777" w:rsidTr="005C2FA9">
        <w:trPr>
          <w:trHeight w:val="240"/>
          <w:jc w:val="center"/>
        </w:trPr>
        <w:tc>
          <w:tcPr>
            <w:tcW w:w="9776" w:type="dxa"/>
            <w:gridSpan w:val="8"/>
            <w:tcBorders>
              <w:top w:val="nil"/>
              <w:left w:val="nil"/>
              <w:bottom w:val="nil"/>
              <w:right w:val="nil"/>
            </w:tcBorders>
            <w:shd w:val="clear" w:color="auto" w:fill="auto"/>
            <w:noWrap/>
            <w:vAlign w:val="bottom"/>
            <w:hideMark/>
          </w:tcPr>
          <w:p w14:paraId="176E622D" w14:textId="50BDBE3D" w:rsidR="000D2BCB" w:rsidRPr="0074799F" w:rsidRDefault="00B06709" w:rsidP="00B06709">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000D2BCB" w:rsidRPr="0074799F">
              <w:rPr>
                <w:rFonts w:ascii="Arial" w:eastAsia="Times New Roman" w:hAnsi="Arial" w:cs="Arial"/>
                <w:b/>
                <w:bCs/>
                <w:color w:val="0081E3"/>
                <w:szCs w:val="18"/>
              </w:rPr>
              <w:t xml:space="preserve"> </w:t>
            </w:r>
            <w:r w:rsidR="006B4882">
              <w:rPr>
                <w:rFonts w:ascii="Arial" w:eastAsia="Times New Roman" w:hAnsi="Arial" w:cs="Arial"/>
                <w:b/>
                <w:bCs/>
                <w:color w:val="0081E3"/>
                <w:szCs w:val="18"/>
              </w:rPr>
              <w:t>2</w:t>
            </w:r>
            <w:r w:rsidR="00273A3D">
              <w:rPr>
                <w:rFonts w:ascii="Arial" w:eastAsia="Times New Roman" w:hAnsi="Arial" w:cs="Arial"/>
                <w:b/>
                <w:bCs/>
                <w:color w:val="0081E3"/>
                <w:szCs w:val="18"/>
              </w:rPr>
              <w:t>5</w:t>
            </w:r>
            <w:r>
              <w:rPr>
                <w:rFonts w:ascii="Arial" w:eastAsia="Times New Roman" w:hAnsi="Arial" w:cs="Arial"/>
                <w:b/>
                <w:bCs/>
                <w:color w:val="0081E3"/>
                <w:szCs w:val="18"/>
              </w:rPr>
              <w:t>: RECONCILIATION OF</w:t>
            </w:r>
            <w:r w:rsidRPr="0074799F">
              <w:rPr>
                <w:rFonts w:ascii="Arial" w:eastAsia="Times New Roman" w:hAnsi="Arial" w:cs="Arial"/>
                <w:b/>
                <w:bCs/>
                <w:color w:val="0081E3"/>
                <w:szCs w:val="18"/>
              </w:rPr>
              <w:t xml:space="preserve"> SFY </w:t>
            </w:r>
            <w:r w:rsidR="006B4882" w:rsidRPr="0074799F">
              <w:rPr>
                <w:rFonts w:ascii="Arial" w:eastAsia="Times New Roman" w:hAnsi="Arial" w:cs="Arial"/>
                <w:b/>
                <w:bCs/>
                <w:color w:val="0081E3"/>
                <w:szCs w:val="18"/>
              </w:rPr>
              <w:t>20</w:t>
            </w:r>
            <w:r w:rsidR="006B4882">
              <w:rPr>
                <w:rFonts w:ascii="Arial" w:eastAsia="Times New Roman" w:hAnsi="Arial" w:cs="Arial"/>
                <w:b/>
                <w:bCs/>
                <w:color w:val="0081E3"/>
                <w:szCs w:val="18"/>
              </w:rPr>
              <w:t>21</w:t>
            </w:r>
            <w:r w:rsidR="006B4882" w:rsidRPr="0074799F">
              <w:rPr>
                <w:rFonts w:ascii="Arial" w:eastAsia="Times New Roman" w:hAnsi="Arial" w:cs="Arial"/>
                <w:b/>
                <w:bCs/>
                <w:color w:val="0081E3"/>
                <w:szCs w:val="18"/>
              </w:rPr>
              <w:t xml:space="preserve"> </w:t>
            </w:r>
            <w:r w:rsidR="006A2AEE">
              <w:rPr>
                <w:rFonts w:ascii="Arial" w:eastAsia="Times New Roman" w:hAnsi="Arial" w:cs="Arial"/>
                <w:b/>
                <w:bCs/>
                <w:color w:val="0081E3"/>
                <w:szCs w:val="18"/>
              </w:rPr>
              <w:t>ASSUMED</w:t>
            </w:r>
            <w:r>
              <w:rPr>
                <w:rFonts w:ascii="Arial" w:eastAsia="Times New Roman" w:hAnsi="Arial" w:cs="Arial"/>
                <w:b/>
                <w:bCs/>
                <w:color w:val="0081E3"/>
                <w:szCs w:val="18"/>
              </w:rPr>
              <w:t xml:space="preserve"> BENEFIT EXPENSE TO ACTUAL BENEFIT EXPENSE</w:t>
            </w:r>
          </w:p>
        </w:tc>
      </w:tr>
      <w:tr w:rsidR="001B409F" w:rsidRPr="0074799F" w14:paraId="4334AC04" w14:textId="77777777" w:rsidTr="00841DBC">
        <w:trPr>
          <w:trHeight w:val="720"/>
          <w:jc w:val="center"/>
        </w:trPr>
        <w:tc>
          <w:tcPr>
            <w:tcW w:w="1464" w:type="dxa"/>
            <w:tcBorders>
              <w:top w:val="nil"/>
              <w:left w:val="nil"/>
              <w:bottom w:val="single" w:sz="4" w:space="0" w:color="C6C9CA"/>
              <w:right w:val="nil"/>
            </w:tcBorders>
            <w:shd w:val="clear" w:color="auto" w:fill="auto"/>
            <w:vAlign w:val="bottom"/>
            <w:hideMark/>
          </w:tcPr>
          <w:p w14:paraId="53A4180F" w14:textId="77777777" w:rsidR="001B409F" w:rsidRPr="0074799F" w:rsidRDefault="001B409F" w:rsidP="00BE5D44">
            <w:pPr>
              <w:spacing w:after="0" w:line="240" w:lineRule="auto"/>
              <w:rPr>
                <w:rFonts w:ascii="Arial" w:eastAsia="Times New Roman" w:hAnsi="Arial" w:cs="Arial"/>
                <w:b/>
                <w:bCs/>
                <w:color w:val="39414D"/>
                <w:szCs w:val="18"/>
              </w:rPr>
            </w:pPr>
            <w:r w:rsidRPr="0074799F">
              <w:rPr>
                <w:rFonts w:ascii="Arial" w:eastAsia="Times New Roman" w:hAnsi="Arial" w:cs="Arial"/>
                <w:b/>
                <w:bCs/>
                <w:color w:val="39414D"/>
                <w:szCs w:val="18"/>
              </w:rPr>
              <w:t>Rate Cell</w:t>
            </w:r>
          </w:p>
        </w:tc>
        <w:tc>
          <w:tcPr>
            <w:tcW w:w="1194" w:type="dxa"/>
            <w:tcBorders>
              <w:top w:val="nil"/>
              <w:left w:val="nil"/>
              <w:bottom w:val="single" w:sz="4" w:space="0" w:color="C6C9CA"/>
              <w:right w:val="nil"/>
            </w:tcBorders>
            <w:shd w:val="clear" w:color="auto" w:fill="auto"/>
            <w:vAlign w:val="bottom"/>
            <w:hideMark/>
          </w:tcPr>
          <w:p w14:paraId="593BCFCA" w14:textId="77777777" w:rsidR="001B409F" w:rsidRPr="0074799F" w:rsidRDefault="001B409F" w:rsidP="00BE5D44">
            <w:pPr>
              <w:spacing w:after="0" w:line="240" w:lineRule="auto"/>
              <w:jc w:val="center"/>
              <w:rPr>
                <w:rFonts w:ascii="Arial" w:eastAsia="Times New Roman" w:hAnsi="Arial" w:cs="Arial"/>
                <w:b/>
                <w:bCs/>
                <w:color w:val="39414D"/>
                <w:szCs w:val="18"/>
              </w:rPr>
            </w:pPr>
            <w:r w:rsidRPr="0074799F">
              <w:rPr>
                <w:rFonts w:ascii="Arial" w:eastAsia="Times New Roman" w:hAnsi="Arial" w:cs="Arial"/>
                <w:b/>
                <w:bCs/>
                <w:color w:val="39414D"/>
                <w:szCs w:val="18"/>
              </w:rPr>
              <w:t>Estimated Member Months</w:t>
            </w:r>
          </w:p>
        </w:tc>
        <w:tc>
          <w:tcPr>
            <w:tcW w:w="1183" w:type="dxa"/>
            <w:tcBorders>
              <w:top w:val="nil"/>
              <w:left w:val="nil"/>
              <w:bottom w:val="single" w:sz="4" w:space="0" w:color="C6C9CA"/>
              <w:right w:val="nil"/>
            </w:tcBorders>
            <w:shd w:val="clear" w:color="auto" w:fill="auto"/>
            <w:vAlign w:val="bottom"/>
            <w:hideMark/>
          </w:tcPr>
          <w:p w14:paraId="669F5824" w14:textId="77777777" w:rsidR="001B409F" w:rsidRPr="0074799F" w:rsidRDefault="001B409F" w:rsidP="00BE5D44">
            <w:pPr>
              <w:spacing w:after="0" w:line="240" w:lineRule="auto"/>
              <w:jc w:val="center"/>
              <w:rPr>
                <w:rFonts w:ascii="Arial" w:eastAsia="Times New Roman" w:hAnsi="Arial" w:cs="Arial"/>
                <w:b/>
                <w:bCs/>
                <w:color w:val="39414D"/>
                <w:szCs w:val="18"/>
              </w:rPr>
            </w:pPr>
            <w:r w:rsidRPr="0074799F">
              <w:rPr>
                <w:rFonts w:ascii="Arial" w:eastAsia="Times New Roman" w:hAnsi="Arial" w:cs="Arial"/>
                <w:b/>
                <w:bCs/>
                <w:color w:val="39414D"/>
                <w:szCs w:val="18"/>
              </w:rPr>
              <w:t>Actual Member Months</w:t>
            </w:r>
          </w:p>
        </w:tc>
        <w:tc>
          <w:tcPr>
            <w:tcW w:w="1379" w:type="dxa"/>
            <w:tcBorders>
              <w:top w:val="nil"/>
              <w:left w:val="nil"/>
              <w:bottom w:val="single" w:sz="4" w:space="0" w:color="C6C9CA"/>
              <w:right w:val="nil"/>
            </w:tcBorders>
            <w:shd w:val="clear" w:color="auto" w:fill="auto"/>
            <w:vAlign w:val="bottom"/>
            <w:hideMark/>
          </w:tcPr>
          <w:p w14:paraId="697172A8" w14:textId="77777777" w:rsidR="001B409F" w:rsidRPr="0074799F" w:rsidRDefault="001B409F" w:rsidP="00BE5D44">
            <w:pPr>
              <w:spacing w:after="0" w:line="240" w:lineRule="auto"/>
              <w:jc w:val="center"/>
              <w:rPr>
                <w:rFonts w:ascii="Arial" w:eastAsia="Times New Roman" w:hAnsi="Arial" w:cs="Arial"/>
                <w:b/>
                <w:bCs/>
                <w:color w:val="39414D"/>
                <w:szCs w:val="18"/>
              </w:rPr>
            </w:pPr>
            <w:r w:rsidRPr="0074799F">
              <w:rPr>
                <w:rFonts w:ascii="Arial" w:eastAsia="Times New Roman" w:hAnsi="Arial" w:cs="Arial"/>
                <w:b/>
                <w:bCs/>
                <w:color w:val="39414D"/>
                <w:szCs w:val="18"/>
              </w:rPr>
              <w:t>Difference</w:t>
            </w:r>
          </w:p>
          <w:p w14:paraId="05E1DDFE" w14:textId="543AA8FA" w:rsidR="001B409F" w:rsidRPr="0074799F" w:rsidRDefault="001B409F" w:rsidP="00BE5D44">
            <w:pPr>
              <w:spacing w:after="0" w:line="240" w:lineRule="auto"/>
              <w:jc w:val="center"/>
              <w:rPr>
                <w:rFonts w:ascii="Arial" w:eastAsia="Times New Roman" w:hAnsi="Arial" w:cs="Arial"/>
                <w:b/>
                <w:bCs/>
                <w:color w:val="39414D"/>
                <w:szCs w:val="18"/>
              </w:rPr>
            </w:pPr>
            <w:r w:rsidRPr="0074799F">
              <w:rPr>
                <w:rFonts w:ascii="Arial" w:eastAsia="Times New Roman" w:hAnsi="Arial" w:cs="Arial"/>
                <w:b/>
                <w:bCs/>
                <w:color w:val="39414D"/>
                <w:szCs w:val="18"/>
              </w:rPr>
              <w:t> </w:t>
            </w:r>
          </w:p>
        </w:tc>
        <w:tc>
          <w:tcPr>
            <w:tcW w:w="238" w:type="dxa"/>
            <w:tcBorders>
              <w:top w:val="nil"/>
              <w:left w:val="nil"/>
              <w:bottom w:val="single" w:sz="4" w:space="0" w:color="C6C9CA"/>
              <w:right w:val="nil"/>
            </w:tcBorders>
            <w:shd w:val="clear" w:color="auto" w:fill="auto"/>
            <w:vAlign w:val="bottom"/>
            <w:hideMark/>
          </w:tcPr>
          <w:p w14:paraId="2073852B" w14:textId="4C3A7764" w:rsidR="001B409F" w:rsidRPr="0074799F" w:rsidRDefault="001B409F" w:rsidP="00BE5D44">
            <w:pPr>
              <w:spacing w:after="0" w:line="240" w:lineRule="auto"/>
              <w:jc w:val="center"/>
              <w:rPr>
                <w:rFonts w:ascii="Arial" w:eastAsia="Times New Roman" w:hAnsi="Arial" w:cs="Arial"/>
                <w:b/>
                <w:bCs/>
                <w:color w:val="39414D"/>
                <w:szCs w:val="18"/>
              </w:rPr>
            </w:pPr>
          </w:p>
        </w:tc>
        <w:tc>
          <w:tcPr>
            <w:tcW w:w="1562" w:type="dxa"/>
            <w:tcBorders>
              <w:top w:val="nil"/>
              <w:left w:val="nil"/>
              <w:bottom w:val="single" w:sz="4" w:space="0" w:color="C6C9CA"/>
              <w:right w:val="nil"/>
            </w:tcBorders>
            <w:shd w:val="clear" w:color="auto" w:fill="auto"/>
            <w:vAlign w:val="bottom"/>
          </w:tcPr>
          <w:p w14:paraId="450E1EBB" w14:textId="4309D96B" w:rsidR="001B409F" w:rsidRPr="0074799F" w:rsidRDefault="001B409F" w:rsidP="00BE5D44">
            <w:pPr>
              <w:spacing w:after="0" w:line="240" w:lineRule="auto"/>
              <w:jc w:val="center"/>
              <w:rPr>
                <w:rFonts w:ascii="Arial" w:eastAsia="Times New Roman" w:hAnsi="Arial" w:cs="Arial"/>
                <w:b/>
                <w:bCs/>
                <w:color w:val="39414D"/>
                <w:szCs w:val="18"/>
              </w:rPr>
            </w:pPr>
            <w:r w:rsidRPr="0074799F">
              <w:rPr>
                <w:rFonts w:ascii="Arial" w:eastAsia="Times New Roman" w:hAnsi="Arial" w:cs="Arial"/>
                <w:b/>
                <w:bCs/>
                <w:color w:val="39414D"/>
                <w:szCs w:val="18"/>
              </w:rPr>
              <w:t>Estimated Benefit Expense PMPM</w:t>
            </w:r>
          </w:p>
        </w:tc>
        <w:tc>
          <w:tcPr>
            <w:tcW w:w="1530" w:type="dxa"/>
            <w:tcBorders>
              <w:top w:val="nil"/>
              <w:left w:val="nil"/>
              <w:bottom w:val="single" w:sz="4" w:space="0" w:color="C6C9CA"/>
              <w:right w:val="nil"/>
            </w:tcBorders>
            <w:shd w:val="clear" w:color="auto" w:fill="auto"/>
            <w:vAlign w:val="bottom"/>
            <w:hideMark/>
          </w:tcPr>
          <w:p w14:paraId="49BDD462" w14:textId="77777777" w:rsidR="001B409F" w:rsidRPr="0074799F" w:rsidRDefault="001B409F" w:rsidP="00BE5D44">
            <w:pPr>
              <w:spacing w:after="0" w:line="240" w:lineRule="auto"/>
              <w:jc w:val="center"/>
              <w:rPr>
                <w:rFonts w:ascii="Arial" w:eastAsia="Times New Roman" w:hAnsi="Arial" w:cs="Arial"/>
                <w:b/>
                <w:bCs/>
                <w:color w:val="39414D"/>
                <w:szCs w:val="18"/>
              </w:rPr>
            </w:pPr>
            <w:r w:rsidRPr="0074799F">
              <w:rPr>
                <w:rFonts w:ascii="Arial" w:eastAsia="Times New Roman" w:hAnsi="Arial" w:cs="Arial"/>
                <w:b/>
                <w:bCs/>
                <w:color w:val="39414D"/>
                <w:szCs w:val="18"/>
              </w:rPr>
              <w:t>Actual Benefit Expense PMPM</w:t>
            </w:r>
          </w:p>
        </w:tc>
        <w:tc>
          <w:tcPr>
            <w:tcW w:w="1226" w:type="dxa"/>
            <w:tcBorders>
              <w:top w:val="nil"/>
              <w:left w:val="nil"/>
              <w:bottom w:val="single" w:sz="4" w:space="0" w:color="C6C9CA"/>
              <w:right w:val="nil"/>
            </w:tcBorders>
            <w:shd w:val="clear" w:color="auto" w:fill="auto"/>
            <w:vAlign w:val="bottom"/>
            <w:hideMark/>
          </w:tcPr>
          <w:p w14:paraId="12899563" w14:textId="77777777" w:rsidR="001B409F" w:rsidRPr="0074799F" w:rsidRDefault="001B409F" w:rsidP="00BE5D44">
            <w:pPr>
              <w:spacing w:after="0" w:line="240" w:lineRule="auto"/>
              <w:jc w:val="center"/>
              <w:rPr>
                <w:rFonts w:ascii="Arial" w:eastAsia="Times New Roman" w:hAnsi="Arial" w:cs="Arial"/>
                <w:b/>
                <w:bCs/>
                <w:color w:val="39414D"/>
                <w:szCs w:val="18"/>
              </w:rPr>
            </w:pPr>
            <w:r w:rsidRPr="0074799F">
              <w:rPr>
                <w:rFonts w:ascii="Arial" w:eastAsia="Times New Roman" w:hAnsi="Arial" w:cs="Arial"/>
                <w:b/>
                <w:bCs/>
                <w:color w:val="39414D"/>
                <w:szCs w:val="18"/>
              </w:rPr>
              <w:t>Difference</w:t>
            </w:r>
          </w:p>
        </w:tc>
      </w:tr>
      <w:tr w:rsidR="00105871" w:rsidRPr="0074799F" w14:paraId="05AB6BD7" w14:textId="77777777" w:rsidTr="009126E4">
        <w:trPr>
          <w:trHeight w:val="240"/>
          <w:jc w:val="center"/>
        </w:trPr>
        <w:tc>
          <w:tcPr>
            <w:tcW w:w="1464" w:type="dxa"/>
            <w:tcBorders>
              <w:top w:val="nil"/>
              <w:left w:val="nil"/>
              <w:bottom w:val="nil"/>
              <w:right w:val="nil"/>
            </w:tcBorders>
            <w:shd w:val="clear" w:color="auto" w:fill="auto"/>
            <w:noWrap/>
            <w:vAlign w:val="center"/>
            <w:hideMark/>
          </w:tcPr>
          <w:p w14:paraId="56B7E001" w14:textId="77777777" w:rsidR="00105871" w:rsidRPr="0074799F" w:rsidRDefault="00105871" w:rsidP="00105871">
            <w:pPr>
              <w:spacing w:after="0" w:line="240" w:lineRule="auto"/>
              <w:rPr>
                <w:rFonts w:ascii="Arial" w:eastAsia="Times New Roman" w:hAnsi="Arial" w:cs="Arial"/>
                <w:color w:val="39414D"/>
                <w:szCs w:val="18"/>
              </w:rPr>
            </w:pPr>
            <w:r w:rsidRPr="0074799F">
              <w:rPr>
                <w:rFonts w:ascii="Arial" w:eastAsia="Times New Roman" w:hAnsi="Arial" w:cs="Arial"/>
                <w:color w:val="39414D"/>
                <w:szCs w:val="18"/>
              </w:rPr>
              <w:t>ME - F 19-24</w:t>
            </w:r>
          </w:p>
        </w:tc>
        <w:tc>
          <w:tcPr>
            <w:tcW w:w="1194" w:type="dxa"/>
            <w:tcBorders>
              <w:top w:val="nil"/>
              <w:left w:val="nil"/>
              <w:bottom w:val="nil"/>
              <w:right w:val="nil"/>
            </w:tcBorders>
            <w:shd w:val="clear" w:color="auto" w:fill="auto"/>
            <w:noWrap/>
            <w:vAlign w:val="center"/>
            <w:hideMark/>
          </w:tcPr>
          <w:p w14:paraId="67197C4C" w14:textId="1A37FDDC"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115,701 </w:t>
            </w:r>
          </w:p>
        </w:tc>
        <w:tc>
          <w:tcPr>
            <w:tcW w:w="1183" w:type="dxa"/>
            <w:tcBorders>
              <w:top w:val="nil"/>
              <w:left w:val="nil"/>
              <w:bottom w:val="nil"/>
              <w:right w:val="nil"/>
            </w:tcBorders>
            <w:shd w:val="clear" w:color="auto" w:fill="auto"/>
            <w:noWrap/>
            <w:vAlign w:val="center"/>
            <w:hideMark/>
          </w:tcPr>
          <w:p w14:paraId="57C26C10" w14:textId="71129046"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114,812 </w:t>
            </w:r>
          </w:p>
        </w:tc>
        <w:tc>
          <w:tcPr>
            <w:tcW w:w="1379" w:type="dxa"/>
            <w:tcBorders>
              <w:top w:val="nil"/>
              <w:left w:val="nil"/>
              <w:bottom w:val="nil"/>
              <w:right w:val="nil"/>
            </w:tcBorders>
            <w:shd w:val="clear" w:color="auto" w:fill="auto"/>
            <w:noWrap/>
            <w:vAlign w:val="center"/>
            <w:hideMark/>
          </w:tcPr>
          <w:p w14:paraId="58B896B3" w14:textId="7035C5D6"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(0.8%)</w:t>
            </w:r>
          </w:p>
        </w:tc>
        <w:tc>
          <w:tcPr>
            <w:tcW w:w="238" w:type="dxa"/>
            <w:tcBorders>
              <w:top w:val="nil"/>
              <w:left w:val="nil"/>
              <w:bottom w:val="nil"/>
              <w:right w:val="nil"/>
            </w:tcBorders>
            <w:shd w:val="clear" w:color="auto" w:fill="auto"/>
            <w:noWrap/>
            <w:vAlign w:val="center"/>
            <w:hideMark/>
          </w:tcPr>
          <w:p w14:paraId="3C7A38A7" w14:textId="77777777" w:rsidR="00105871" w:rsidRPr="0074799F" w:rsidRDefault="00105871" w:rsidP="00105871">
            <w:pPr>
              <w:spacing w:after="0" w:line="240" w:lineRule="auto"/>
              <w:jc w:val="right"/>
              <w:rPr>
                <w:rFonts w:ascii="Arial" w:eastAsia="Times New Roman" w:hAnsi="Arial" w:cs="Arial"/>
                <w:color w:val="39414D"/>
                <w:szCs w:val="18"/>
              </w:rPr>
            </w:pPr>
          </w:p>
        </w:tc>
        <w:tc>
          <w:tcPr>
            <w:tcW w:w="1562" w:type="dxa"/>
            <w:tcBorders>
              <w:top w:val="nil"/>
              <w:left w:val="nil"/>
              <w:bottom w:val="nil"/>
              <w:right w:val="nil"/>
            </w:tcBorders>
            <w:shd w:val="clear" w:color="auto" w:fill="auto"/>
            <w:noWrap/>
            <w:vAlign w:val="center"/>
            <w:hideMark/>
          </w:tcPr>
          <w:p w14:paraId="37DC4086" w14:textId="59F39F0C"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$ 282.63 </w:t>
            </w:r>
          </w:p>
        </w:tc>
        <w:tc>
          <w:tcPr>
            <w:tcW w:w="1530" w:type="dxa"/>
            <w:tcBorders>
              <w:top w:val="nil"/>
              <w:left w:val="nil"/>
              <w:bottom w:val="nil"/>
              <w:right w:val="nil"/>
            </w:tcBorders>
            <w:shd w:val="clear" w:color="auto" w:fill="auto"/>
            <w:noWrap/>
            <w:vAlign w:val="center"/>
            <w:hideMark/>
          </w:tcPr>
          <w:p w14:paraId="17A43710" w14:textId="5F939F92"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$ 277.61 </w:t>
            </w:r>
          </w:p>
        </w:tc>
        <w:tc>
          <w:tcPr>
            <w:tcW w:w="1226" w:type="dxa"/>
            <w:tcBorders>
              <w:top w:val="nil"/>
              <w:left w:val="nil"/>
              <w:bottom w:val="nil"/>
              <w:right w:val="nil"/>
            </w:tcBorders>
            <w:shd w:val="clear" w:color="auto" w:fill="auto"/>
            <w:noWrap/>
            <w:vAlign w:val="center"/>
            <w:hideMark/>
          </w:tcPr>
          <w:p w14:paraId="11E12740" w14:textId="3D5D9BDA"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(1.8%)</w:t>
            </w:r>
          </w:p>
        </w:tc>
      </w:tr>
      <w:tr w:rsidR="00105871" w:rsidRPr="0074799F" w14:paraId="6B165CC3" w14:textId="77777777" w:rsidTr="009126E4">
        <w:trPr>
          <w:trHeight w:val="240"/>
          <w:jc w:val="center"/>
        </w:trPr>
        <w:tc>
          <w:tcPr>
            <w:tcW w:w="1464" w:type="dxa"/>
            <w:tcBorders>
              <w:top w:val="nil"/>
              <w:left w:val="nil"/>
              <w:bottom w:val="nil"/>
              <w:right w:val="nil"/>
            </w:tcBorders>
            <w:shd w:val="clear" w:color="000000" w:fill="E8E9E9"/>
            <w:noWrap/>
            <w:vAlign w:val="center"/>
            <w:hideMark/>
          </w:tcPr>
          <w:p w14:paraId="1C54C351" w14:textId="77777777" w:rsidR="00105871" w:rsidRPr="0074799F" w:rsidRDefault="00105871" w:rsidP="00105871">
            <w:pPr>
              <w:spacing w:after="0" w:line="240" w:lineRule="auto"/>
              <w:rPr>
                <w:rFonts w:ascii="Arial" w:eastAsia="Times New Roman" w:hAnsi="Arial" w:cs="Arial"/>
                <w:color w:val="39414D"/>
                <w:szCs w:val="18"/>
              </w:rPr>
            </w:pPr>
            <w:r w:rsidRPr="0074799F">
              <w:rPr>
                <w:rFonts w:ascii="Arial" w:eastAsia="Times New Roman" w:hAnsi="Arial" w:cs="Arial"/>
                <w:color w:val="39414D"/>
                <w:szCs w:val="18"/>
              </w:rPr>
              <w:t>ME - F 25-29</w:t>
            </w:r>
          </w:p>
        </w:tc>
        <w:tc>
          <w:tcPr>
            <w:tcW w:w="1194" w:type="dxa"/>
            <w:tcBorders>
              <w:top w:val="nil"/>
              <w:left w:val="nil"/>
              <w:bottom w:val="nil"/>
              <w:right w:val="nil"/>
            </w:tcBorders>
            <w:shd w:val="clear" w:color="000000" w:fill="E8E9E9"/>
            <w:noWrap/>
            <w:vAlign w:val="center"/>
            <w:hideMark/>
          </w:tcPr>
          <w:p w14:paraId="7AD5B458" w14:textId="577899D2" w:rsidR="00105871" w:rsidRPr="0074799F" w:rsidRDefault="00105871" w:rsidP="00105871">
            <w:pPr>
              <w:tabs>
                <w:tab w:val="left" w:pos="1091"/>
              </w:tabs>
              <w:spacing w:after="0" w:line="240" w:lineRule="auto"/>
              <w:jc w:val="right"/>
              <w:rPr>
                <w:rFonts w:ascii="Arial" w:eastAsia="Times New Roman" w:hAnsi="Arial" w:cs="Arial"/>
                <w:color w:val="39414D"/>
                <w:szCs w:val="18"/>
              </w:rPr>
            </w:pPr>
            <w:r>
              <w:rPr>
                <w:rFonts w:ascii="Arial" w:hAnsi="Arial" w:cs="Arial"/>
                <w:color w:val="39414D"/>
                <w:szCs w:val="18"/>
              </w:rPr>
              <w:t xml:space="preserve">62,683 </w:t>
            </w:r>
          </w:p>
        </w:tc>
        <w:tc>
          <w:tcPr>
            <w:tcW w:w="1183" w:type="dxa"/>
            <w:tcBorders>
              <w:top w:val="nil"/>
              <w:left w:val="nil"/>
              <w:bottom w:val="nil"/>
              <w:right w:val="nil"/>
            </w:tcBorders>
            <w:shd w:val="clear" w:color="000000" w:fill="E8E9E9"/>
            <w:noWrap/>
            <w:vAlign w:val="center"/>
            <w:hideMark/>
          </w:tcPr>
          <w:p w14:paraId="73747D77" w14:textId="48B20506"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65,569 </w:t>
            </w:r>
          </w:p>
        </w:tc>
        <w:tc>
          <w:tcPr>
            <w:tcW w:w="1379" w:type="dxa"/>
            <w:tcBorders>
              <w:top w:val="nil"/>
              <w:left w:val="nil"/>
              <w:bottom w:val="nil"/>
              <w:right w:val="nil"/>
            </w:tcBorders>
            <w:shd w:val="clear" w:color="000000" w:fill="E8E9E9"/>
            <w:noWrap/>
            <w:vAlign w:val="center"/>
            <w:hideMark/>
          </w:tcPr>
          <w:p w14:paraId="56FE34D7" w14:textId="70779B0E"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4.6% </w:t>
            </w:r>
          </w:p>
        </w:tc>
        <w:tc>
          <w:tcPr>
            <w:tcW w:w="238" w:type="dxa"/>
            <w:tcBorders>
              <w:top w:val="nil"/>
              <w:left w:val="nil"/>
              <w:bottom w:val="nil"/>
              <w:right w:val="nil"/>
            </w:tcBorders>
            <w:shd w:val="clear" w:color="000000" w:fill="E8E9E9"/>
            <w:noWrap/>
            <w:vAlign w:val="center"/>
            <w:hideMark/>
          </w:tcPr>
          <w:p w14:paraId="713E0A9F" w14:textId="0E7E128D"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w:t>
            </w:r>
          </w:p>
        </w:tc>
        <w:tc>
          <w:tcPr>
            <w:tcW w:w="1562" w:type="dxa"/>
            <w:tcBorders>
              <w:top w:val="nil"/>
              <w:left w:val="nil"/>
              <w:bottom w:val="nil"/>
              <w:right w:val="nil"/>
            </w:tcBorders>
            <w:shd w:val="clear" w:color="000000" w:fill="E8E9E9"/>
            <w:noWrap/>
            <w:vAlign w:val="center"/>
            <w:hideMark/>
          </w:tcPr>
          <w:p w14:paraId="742A72E4" w14:textId="37846D29"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404.80 </w:t>
            </w:r>
          </w:p>
        </w:tc>
        <w:tc>
          <w:tcPr>
            <w:tcW w:w="1530" w:type="dxa"/>
            <w:tcBorders>
              <w:top w:val="nil"/>
              <w:left w:val="nil"/>
              <w:bottom w:val="nil"/>
              <w:right w:val="nil"/>
            </w:tcBorders>
            <w:shd w:val="clear" w:color="000000" w:fill="E8E9E9"/>
            <w:noWrap/>
            <w:vAlign w:val="center"/>
            <w:hideMark/>
          </w:tcPr>
          <w:p w14:paraId="1B867BDB" w14:textId="4B30BEAE"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376.74 </w:t>
            </w:r>
          </w:p>
        </w:tc>
        <w:tc>
          <w:tcPr>
            <w:tcW w:w="1226" w:type="dxa"/>
            <w:tcBorders>
              <w:top w:val="nil"/>
              <w:left w:val="nil"/>
              <w:bottom w:val="nil"/>
              <w:right w:val="nil"/>
            </w:tcBorders>
            <w:shd w:val="clear" w:color="000000" w:fill="E8E9E9"/>
            <w:noWrap/>
            <w:vAlign w:val="center"/>
            <w:hideMark/>
          </w:tcPr>
          <w:p w14:paraId="114A511C" w14:textId="280FF3CD"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(6.9%)</w:t>
            </w:r>
          </w:p>
        </w:tc>
      </w:tr>
      <w:tr w:rsidR="00105871" w:rsidRPr="0074799F" w14:paraId="6138CEF4" w14:textId="77777777" w:rsidTr="009126E4">
        <w:trPr>
          <w:trHeight w:val="240"/>
          <w:jc w:val="center"/>
        </w:trPr>
        <w:tc>
          <w:tcPr>
            <w:tcW w:w="1464" w:type="dxa"/>
            <w:tcBorders>
              <w:top w:val="nil"/>
              <w:left w:val="nil"/>
              <w:bottom w:val="nil"/>
              <w:right w:val="nil"/>
            </w:tcBorders>
            <w:shd w:val="clear" w:color="auto" w:fill="auto"/>
            <w:noWrap/>
            <w:vAlign w:val="center"/>
            <w:hideMark/>
          </w:tcPr>
          <w:p w14:paraId="53F18A84" w14:textId="77777777" w:rsidR="00105871" w:rsidRPr="0074799F" w:rsidRDefault="00105871" w:rsidP="00105871">
            <w:pPr>
              <w:spacing w:after="0" w:line="240" w:lineRule="auto"/>
              <w:rPr>
                <w:rFonts w:ascii="Arial" w:eastAsia="Times New Roman" w:hAnsi="Arial" w:cs="Arial"/>
                <w:color w:val="39414D"/>
                <w:szCs w:val="18"/>
              </w:rPr>
            </w:pPr>
            <w:r w:rsidRPr="0074799F">
              <w:rPr>
                <w:rFonts w:ascii="Arial" w:eastAsia="Times New Roman" w:hAnsi="Arial" w:cs="Arial"/>
                <w:color w:val="39414D"/>
                <w:szCs w:val="18"/>
              </w:rPr>
              <w:t>ME - F 30-39</w:t>
            </w:r>
          </w:p>
        </w:tc>
        <w:tc>
          <w:tcPr>
            <w:tcW w:w="1194" w:type="dxa"/>
            <w:tcBorders>
              <w:top w:val="nil"/>
              <w:left w:val="nil"/>
              <w:bottom w:val="nil"/>
              <w:right w:val="nil"/>
            </w:tcBorders>
            <w:shd w:val="clear" w:color="auto" w:fill="auto"/>
            <w:noWrap/>
            <w:vAlign w:val="center"/>
            <w:hideMark/>
          </w:tcPr>
          <w:p w14:paraId="745BD685" w14:textId="209B7261"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59,801 </w:t>
            </w:r>
          </w:p>
        </w:tc>
        <w:tc>
          <w:tcPr>
            <w:tcW w:w="1183" w:type="dxa"/>
            <w:tcBorders>
              <w:top w:val="nil"/>
              <w:left w:val="nil"/>
              <w:bottom w:val="nil"/>
              <w:right w:val="nil"/>
            </w:tcBorders>
            <w:shd w:val="clear" w:color="auto" w:fill="auto"/>
            <w:noWrap/>
            <w:vAlign w:val="center"/>
            <w:hideMark/>
          </w:tcPr>
          <w:p w14:paraId="0241B417" w14:textId="067FA7EB"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66,056 </w:t>
            </w:r>
          </w:p>
        </w:tc>
        <w:tc>
          <w:tcPr>
            <w:tcW w:w="1379" w:type="dxa"/>
            <w:tcBorders>
              <w:top w:val="nil"/>
              <w:left w:val="nil"/>
              <w:bottom w:val="nil"/>
              <w:right w:val="nil"/>
            </w:tcBorders>
            <w:shd w:val="clear" w:color="auto" w:fill="auto"/>
            <w:noWrap/>
            <w:vAlign w:val="center"/>
            <w:hideMark/>
          </w:tcPr>
          <w:p w14:paraId="2DA68EEE" w14:textId="6A598A15"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10.5% </w:t>
            </w:r>
          </w:p>
        </w:tc>
        <w:tc>
          <w:tcPr>
            <w:tcW w:w="238" w:type="dxa"/>
            <w:tcBorders>
              <w:top w:val="nil"/>
              <w:left w:val="nil"/>
              <w:bottom w:val="nil"/>
              <w:right w:val="nil"/>
            </w:tcBorders>
            <w:shd w:val="clear" w:color="auto" w:fill="auto"/>
            <w:noWrap/>
            <w:vAlign w:val="center"/>
            <w:hideMark/>
          </w:tcPr>
          <w:p w14:paraId="69C5F942" w14:textId="77777777" w:rsidR="00105871" w:rsidRPr="0074799F" w:rsidRDefault="00105871" w:rsidP="00105871">
            <w:pPr>
              <w:spacing w:after="0" w:line="240" w:lineRule="auto"/>
              <w:jc w:val="right"/>
              <w:rPr>
                <w:rFonts w:ascii="Arial" w:eastAsia="Times New Roman" w:hAnsi="Arial" w:cs="Arial"/>
                <w:color w:val="39414D"/>
                <w:szCs w:val="18"/>
              </w:rPr>
            </w:pPr>
          </w:p>
        </w:tc>
        <w:tc>
          <w:tcPr>
            <w:tcW w:w="1562" w:type="dxa"/>
            <w:tcBorders>
              <w:top w:val="nil"/>
              <w:left w:val="nil"/>
              <w:bottom w:val="nil"/>
              <w:right w:val="nil"/>
            </w:tcBorders>
            <w:shd w:val="clear" w:color="auto" w:fill="auto"/>
            <w:noWrap/>
            <w:vAlign w:val="center"/>
            <w:hideMark/>
          </w:tcPr>
          <w:p w14:paraId="6AF83DAE" w14:textId="08132BD0"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604.82 </w:t>
            </w:r>
          </w:p>
        </w:tc>
        <w:tc>
          <w:tcPr>
            <w:tcW w:w="1530" w:type="dxa"/>
            <w:tcBorders>
              <w:top w:val="nil"/>
              <w:left w:val="nil"/>
              <w:bottom w:val="nil"/>
              <w:right w:val="nil"/>
            </w:tcBorders>
            <w:shd w:val="clear" w:color="auto" w:fill="auto"/>
            <w:noWrap/>
            <w:vAlign w:val="center"/>
            <w:hideMark/>
          </w:tcPr>
          <w:p w14:paraId="50631AD8" w14:textId="0708CA1B"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588.61 </w:t>
            </w:r>
          </w:p>
        </w:tc>
        <w:tc>
          <w:tcPr>
            <w:tcW w:w="1226" w:type="dxa"/>
            <w:tcBorders>
              <w:top w:val="nil"/>
              <w:left w:val="nil"/>
              <w:bottom w:val="nil"/>
              <w:right w:val="nil"/>
            </w:tcBorders>
            <w:shd w:val="clear" w:color="auto" w:fill="auto"/>
            <w:noWrap/>
            <w:vAlign w:val="center"/>
            <w:hideMark/>
          </w:tcPr>
          <w:p w14:paraId="0509BA32" w14:textId="773E1DFC"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(2.7%)</w:t>
            </w:r>
          </w:p>
        </w:tc>
      </w:tr>
      <w:tr w:rsidR="00105871" w:rsidRPr="0074799F" w14:paraId="35F28648" w14:textId="77777777" w:rsidTr="009126E4">
        <w:trPr>
          <w:trHeight w:val="240"/>
          <w:jc w:val="center"/>
        </w:trPr>
        <w:tc>
          <w:tcPr>
            <w:tcW w:w="1464" w:type="dxa"/>
            <w:tcBorders>
              <w:top w:val="nil"/>
              <w:left w:val="nil"/>
              <w:bottom w:val="nil"/>
              <w:right w:val="nil"/>
            </w:tcBorders>
            <w:shd w:val="clear" w:color="000000" w:fill="E8E9E9"/>
            <w:noWrap/>
            <w:vAlign w:val="center"/>
            <w:hideMark/>
          </w:tcPr>
          <w:p w14:paraId="5B6848B8" w14:textId="77777777" w:rsidR="00105871" w:rsidRPr="0074799F" w:rsidRDefault="00105871" w:rsidP="00105871">
            <w:pPr>
              <w:spacing w:after="0" w:line="240" w:lineRule="auto"/>
              <w:rPr>
                <w:rFonts w:ascii="Arial" w:eastAsia="Times New Roman" w:hAnsi="Arial" w:cs="Arial"/>
                <w:color w:val="39414D"/>
                <w:szCs w:val="18"/>
              </w:rPr>
            </w:pPr>
            <w:r w:rsidRPr="0074799F">
              <w:rPr>
                <w:rFonts w:ascii="Arial" w:eastAsia="Times New Roman" w:hAnsi="Arial" w:cs="Arial"/>
                <w:color w:val="39414D"/>
                <w:szCs w:val="18"/>
              </w:rPr>
              <w:t>ME - F 40-49</w:t>
            </w:r>
          </w:p>
        </w:tc>
        <w:tc>
          <w:tcPr>
            <w:tcW w:w="1194" w:type="dxa"/>
            <w:tcBorders>
              <w:top w:val="nil"/>
              <w:left w:val="nil"/>
              <w:bottom w:val="nil"/>
              <w:right w:val="nil"/>
            </w:tcBorders>
            <w:shd w:val="clear" w:color="000000" w:fill="E8E9E9"/>
            <w:noWrap/>
            <w:vAlign w:val="center"/>
            <w:hideMark/>
          </w:tcPr>
          <w:p w14:paraId="4ABAB221" w14:textId="6DBDDEEC"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62,066 </w:t>
            </w:r>
          </w:p>
        </w:tc>
        <w:tc>
          <w:tcPr>
            <w:tcW w:w="1183" w:type="dxa"/>
            <w:tcBorders>
              <w:top w:val="nil"/>
              <w:left w:val="nil"/>
              <w:bottom w:val="nil"/>
              <w:right w:val="nil"/>
            </w:tcBorders>
            <w:shd w:val="clear" w:color="000000" w:fill="E8E9E9"/>
            <w:noWrap/>
            <w:vAlign w:val="center"/>
            <w:hideMark/>
          </w:tcPr>
          <w:p w14:paraId="77507C6B" w14:textId="281E0297"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63,371 </w:t>
            </w:r>
          </w:p>
        </w:tc>
        <w:tc>
          <w:tcPr>
            <w:tcW w:w="1379" w:type="dxa"/>
            <w:tcBorders>
              <w:top w:val="nil"/>
              <w:left w:val="nil"/>
              <w:bottom w:val="nil"/>
              <w:right w:val="nil"/>
            </w:tcBorders>
            <w:shd w:val="clear" w:color="000000" w:fill="E8E9E9"/>
            <w:noWrap/>
            <w:vAlign w:val="center"/>
            <w:hideMark/>
          </w:tcPr>
          <w:p w14:paraId="65C20C4E" w14:textId="22562244"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2.1% </w:t>
            </w:r>
          </w:p>
        </w:tc>
        <w:tc>
          <w:tcPr>
            <w:tcW w:w="238" w:type="dxa"/>
            <w:tcBorders>
              <w:top w:val="nil"/>
              <w:left w:val="nil"/>
              <w:bottom w:val="nil"/>
              <w:right w:val="nil"/>
            </w:tcBorders>
            <w:shd w:val="clear" w:color="000000" w:fill="E8E9E9"/>
            <w:noWrap/>
            <w:vAlign w:val="center"/>
            <w:hideMark/>
          </w:tcPr>
          <w:p w14:paraId="605EFADB" w14:textId="7030C984"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w:t>
            </w:r>
          </w:p>
        </w:tc>
        <w:tc>
          <w:tcPr>
            <w:tcW w:w="1562" w:type="dxa"/>
            <w:tcBorders>
              <w:top w:val="nil"/>
              <w:left w:val="nil"/>
              <w:bottom w:val="nil"/>
              <w:right w:val="nil"/>
            </w:tcBorders>
            <w:shd w:val="clear" w:color="000000" w:fill="E8E9E9"/>
            <w:noWrap/>
            <w:vAlign w:val="center"/>
            <w:hideMark/>
          </w:tcPr>
          <w:p w14:paraId="36CA7A54" w14:textId="5D6D4226"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789.18 </w:t>
            </w:r>
          </w:p>
        </w:tc>
        <w:tc>
          <w:tcPr>
            <w:tcW w:w="1530" w:type="dxa"/>
            <w:tcBorders>
              <w:top w:val="nil"/>
              <w:left w:val="nil"/>
              <w:bottom w:val="nil"/>
              <w:right w:val="nil"/>
            </w:tcBorders>
            <w:shd w:val="clear" w:color="000000" w:fill="E8E9E9"/>
            <w:noWrap/>
            <w:vAlign w:val="center"/>
            <w:hideMark/>
          </w:tcPr>
          <w:p w14:paraId="10C3A908" w14:textId="251144E2"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684.82 </w:t>
            </w:r>
          </w:p>
        </w:tc>
        <w:tc>
          <w:tcPr>
            <w:tcW w:w="1226" w:type="dxa"/>
            <w:tcBorders>
              <w:top w:val="nil"/>
              <w:left w:val="nil"/>
              <w:bottom w:val="nil"/>
              <w:right w:val="nil"/>
            </w:tcBorders>
            <w:shd w:val="clear" w:color="000000" w:fill="E8E9E9"/>
            <w:noWrap/>
            <w:vAlign w:val="center"/>
            <w:hideMark/>
          </w:tcPr>
          <w:p w14:paraId="3D385A71" w14:textId="228C6127"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(13.2%)</w:t>
            </w:r>
          </w:p>
        </w:tc>
      </w:tr>
      <w:tr w:rsidR="00105871" w:rsidRPr="0074799F" w14:paraId="7FC91E43" w14:textId="77777777" w:rsidTr="009126E4">
        <w:trPr>
          <w:trHeight w:val="240"/>
          <w:jc w:val="center"/>
        </w:trPr>
        <w:tc>
          <w:tcPr>
            <w:tcW w:w="1464" w:type="dxa"/>
            <w:tcBorders>
              <w:top w:val="nil"/>
              <w:left w:val="nil"/>
              <w:bottom w:val="nil"/>
              <w:right w:val="nil"/>
            </w:tcBorders>
            <w:shd w:val="clear" w:color="auto" w:fill="auto"/>
            <w:noWrap/>
            <w:vAlign w:val="center"/>
            <w:hideMark/>
          </w:tcPr>
          <w:p w14:paraId="34163AD8" w14:textId="77777777" w:rsidR="00105871" w:rsidRPr="0074799F" w:rsidRDefault="00105871" w:rsidP="00105871">
            <w:pPr>
              <w:spacing w:after="0" w:line="240" w:lineRule="auto"/>
              <w:rPr>
                <w:rFonts w:ascii="Arial" w:eastAsia="Times New Roman" w:hAnsi="Arial" w:cs="Arial"/>
                <w:color w:val="39414D"/>
                <w:szCs w:val="18"/>
              </w:rPr>
            </w:pPr>
            <w:r w:rsidRPr="0074799F">
              <w:rPr>
                <w:rFonts w:ascii="Arial" w:eastAsia="Times New Roman" w:hAnsi="Arial" w:cs="Arial"/>
                <w:color w:val="39414D"/>
                <w:szCs w:val="18"/>
              </w:rPr>
              <w:t>ME - F 50-64</w:t>
            </w:r>
          </w:p>
        </w:tc>
        <w:tc>
          <w:tcPr>
            <w:tcW w:w="1194" w:type="dxa"/>
            <w:tcBorders>
              <w:top w:val="nil"/>
              <w:left w:val="nil"/>
              <w:bottom w:val="nil"/>
              <w:right w:val="nil"/>
            </w:tcBorders>
            <w:shd w:val="clear" w:color="auto" w:fill="auto"/>
            <w:noWrap/>
            <w:vAlign w:val="center"/>
            <w:hideMark/>
          </w:tcPr>
          <w:p w14:paraId="53DC3D45" w14:textId="1899FD3F"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164,125 </w:t>
            </w:r>
          </w:p>
        </w:tc>
        <w:tc>
          <w:tcPr>
            <w:tcW w:w="1183" w:type="dxa"/>
            <w:tcBorders>
              <w:top w:val="nil"/>
              <w:left w:val="nil"/>
              <w:bottom w:val="nil"/>
              <w:right w:val="nil"/>
            </w:tcBorders>
            <w:shd w:val="clear" w:color="auto" w:fill="auto"/>
            <w:noWrap/>
            <w:vAlign w:val="center"/>
            <w:hideMark/>
          </w:tcPr>
          <w:p w14:paraId="432760E0" w14:textId="66952AE2"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175,317 </w:t>
            </w:r>
          </w:p>
        </w:tc>
        <w:tc>
          <w:tcPr>
            <w:tcW w:w="1379" w:type="dxa"/>
            <w:tcBorders>
              <w:top w:val="nil"/>
              <w:left w:val="nil"/>
              <w:bottom w:val="nil"/>
              <w:right w:val="nil"/>
            </w:tcBorders>
            <w:shd w:val="clear" w:color="auto" w:fill="auto"/>
            <w:noWrap/>
            <w:vAlign w:val="center"/>
            <w:hideMark/>
          </w:tcPr>
          <w:p w14:paraId="58BC3EED" w14:textId="039B0782"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6.8% </w:t>
            </w:r>
          </w:p>
        </w:tc>
        <w:tc>
          <w:tcPr>
            <w:tcW w:w="238" w:type="dxa"/>
            <w:tcBorders>
              <w:top w:val="nil"/>
              <w:left w:val="nil"/>
              <w:bottom w:val="nil"/>
              <w:right w:val="nil"/>
            </w:tcBorders>
            <w:shd w:val="clear" w:color="auto" w:fill="auto"/>
            <w:noWrap/>
            <w:vAlign w:val="center"/>
            <w:hideMark/>
          </w:tcPr>
          <w:p w14:paraId="48C6E3DD" w14:textId="77777777" w:rsidR="00105871" w:rsidRPr="0074799F" w:rsidRDefault="00105871" w:rsidP="00105871">
            <w:pPr>
              <w:spacing w:after="0" w:line="240" w:lineRule="auto"/>
              <w:jc w:val="right"/>
              <w:rPr>
                <w:rFonts w:ascii="Arial" w:eastAsia="Times New Roman" w:hAnsi="Arial" w:cs="Arial"/>
                <w:color w:val="39414D"/>
                <w:szCs w:val="18"/>
              </w:rPr>
            </w:pPr>
          </w:p>
        </w:tc>
        <w:tc>
          <w:tcPr>
            <w:tcW w:w="1562" w:type="dxa"/>
            <w:tcBorders>
              <w:top w:val="nil"/>
              <w:left w:val="nil"/>
              <w:bottom w:val="nil"/>
              <w:right w:val="nil"/>
            </w:tcBorders>
            <w:shd w:val="clear" w:color="auto" w:fill="auto"/>
            <w:noWrap/>
            <w:vAlign w:val="center"/>
            <w:hideMark/>
          </w:tcPr>
          <w:p w14:paraId="11205FFE" w14:textId="6D7BACD0"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733.54 </w:t>
            </w:r>
          </w:p>
        </w:tc>
        <w:tc>
          <w:tcPr>
            <w:tcW w:w="1530" w:type="dxa"/>
            <w:tcBorders>
              <w:top w:val="nil"/>
              <w:left w:val="nil"/>
              <w:bottom w:val="nil"/>
              <w:right w:val="nil"/>
            </w:tcBorders>
            <w:shd w:val="clear" w:color="auto" w:fill="auto"/>
            <w:noWrap/>
            <w:vAlign w:val="center"/>
            <w:hideMark/>
          </w:tcPr>
          <w:p w14:paraId="220F4A6C" w14:textId="7E77E0D8"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696.24 </w:t>
            </w:r>
          </w:p>
        </w:tc>
        <w:tc>
          <w:tcPr>
            <w:tcW w:w="1226" w:type="dxa"/>
            <w:tcBorders>
              <w:top w:val="nil"/>
              <w:left w:val="nil"/>
              <w:bottom w:val="nil"/>
              <w:right w:val="nil"/>
            </w:tcBorders>
            <w:shd w:val="clear" w:color="auto" w:fill="auto"/>
            <w:noWrap/>
            <w:vAlign w:val="center"/>
            <w:hideMark/>
          </w:tcPr>
          <w:p w14:paraId="3FA6DF16" w14:textId="57F9A9D7"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(5.1%)</w:t>
            </w:r>
          </w:p>
        </w:tc>
      </w:tr>
      <w:tr w:rsidR="00105871" w:rsidRPr="0074799F" w14:paraId="5C7CCA92" w14:textId="77777777" w:rsidTr="009126E4">
        <w:trPr>
          <w:trHeight w:val="240"/>
          <w:jc w:val="center"/>
        </w:trPr>
        <w:tc>
          <w:tcPr>
            <w:tcW w:w="1464" w:type="dxa"/>
            <w:tcBorders>
              <w:top w:val="nil"/>
              <w:left w:val="nil"/>
              <w:bottom w:val="nil"/>
              <w:right w:val="nil"/>
            </w:tcBorders>
            <w:shd w:val="clear" w:color="000000" w:fill="E8E9E9"/>
            <w:noWrap/>
            <w:vAlign w:val="center"/>
            <w:hideMark/>
          </w:tcPr>
          <w:p w14:paraId="619AF749" w14:textId="77777777" w:rsidR="00105871" w:rsidRPr="0074799F" w:rsidRDefault="00105871" w:rsidP="00105871">
            <w:pPr>
              <w:spacing w:after="0" w:line="240" w:lineRule="auto"/>
              <w:rPr>
                <w:rFonts w:ascii="Arial" w:eastAsia="Times New Roman" w:hAnsi="Arial" w:cs="Arial"/>
                <w:color w:val="39414D"/>
                <w:szCs w:val="18"/>
              </w:rPr>
            </w:pPr>
            <w:r w:rsidRPr="0074799F">
              <w:rPr>
                <w:rFonts w:ascii="Arial" w:eastAsia="Times New Roman" w:hAnsi="Arial" w:cs="Arial"/>
                <w:color w:val="39414D"/>
                <w:szCs w:val="18"/>
              </w:rPr>
              <w:t>ME - M 19-24</w:t>
            </w:r>
          </w:p>
        </w:tc>
        <w:tc>
          <w:tcPr>
            <w:tcW w:w="1194" w:type="dxa"/>
            <w:tcBorders>
              <w:top w:val="nil"/>
              <w:left w:val="nil"/>
              <w:bottom w:val="nil"/>
              <w:right w:val="nil"/>
            </w:tcBorders>
            <w:shd w:val="clear" w:color="000000" w:fill="E8E9E9"/>
            <w:noWrap/>
            <w:vAlign w:val="center"/>
            <w:hideMark/>
          </w:tcPr>
          <w:p w14:paraId="110D8A9B" w14:textId="6AC858FB"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118,837 </w:t>
            </w:r>
          </w:p>
        </w:tc>
        <w:tc>
          <w:tcPr>
            <w:tcW w:w="1183" w:type="dxa"/>
            <w:tcBorders>
              <w:top w:val="nil"/>
              <w:left w:val="nil"/>
              <w:bottom w:val="nil"/>
              <w:right w:val="nil"/>
            </w:tcBorders>
            <w:shd w:val="clear" w:color="000000" w:fill="E8E9E9"/>
            <w:noWrap/>
            <w:vAlign w:val="center"/>
            <w:hideMark/>
          </w:tcPr>
          <w:p w14:paraId="4F8B230A" w14:textId="230A76F8"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119,491 </w:t>
            </w:r>
          </w:p>
        </w:tc>
        <w:tc>
          <w:tcPr>
            <w:tcW w:w="1379" w:type="dxa"/>
            <w:tcBorders>
              <w:top w:val="nil"/>
              <w:left w:val="nil"/>
              <w:bottom w:val="nil"/>
              <w:right w:val="nil"/>
            </w:tcBorders>
            <w:shd w:val="clear" w:color="000000" w:fill="E8E9E9"/>
            <w:noWrap/>
            <w:vAlign w:val="center"/>
            <w:hideMark/>
          </w:tcPr>
          <w:p w14:paraId="27CC2275" w14:textId="6382BD37"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0.6% </w:t>
            </w:r>
          </w:p>
        </w:tc>
        <w:tc>
          <w:tcPr>
            <w:tcW w:w="238" w:type="dxa"/>
            <w:tcBorders>
              <w:top w:val="nil"/>
              <w:left w:val="nil"/>
              <w:bottom w:val="nil"/>
              <w:right w:val="nil"/>
            </w:tcBorders>
            <w:shd w:val="clear" w:color="000000" w:fill="E8E9E9"/>
            <w:noWrap/>
            <w:vAlign w:val="center"/>
            <w:hideMark/>
          </w:tcPr>
          <w:p w14:paraId="5D52A497" w14:textId="30D7C3CA"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w:t>
            </w:r>
          </w:p>
        </w:tc>
        <w:tc>
          <w:tcPr>
            <w:tcW w:w="1562" w:type="dxa"/>
            <w:tcBorders>
              <w:top w:val="nil"/>
              <w:left w:val="nil"/>
              <w:bottom w:val="nil"/>
              <w:right w:val="nil"/>
            </w:tcBorders>
            <w:shd w:val="clear" w:color="000000" w:fill="E8E9E9"/>
            <w:noWrap/>
            <w:vAlign w:val="center"/>
            <w:hideMark/>
          </w:tcPr>
          <w:p w14:paraId="468116A3" w14:textId="29A1DEDE"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192.72 </w:t>
            </w:r>
          </w:p>
        </w:tc>
        <w:tc>
          <w:tcPr>
            <w:tcW w:w="1530" w:type="dxa"/>
            <w:tcBorders>
              <w:top w:val="nil"/>
              <w:left w:val="nil"/>
              <w:bottom w:val="nil"/>
              <w:right w:val="nil"/>
            </w:tcBorders>
            <w:shd w:val="clear" w:color="000000" w:fill="E8E9E9"/>
            <w:noWrap/>
            <w:vAlign w:val="center"/>
            <w:hideMark/>
          </w:tcPr>
          <w:p w14:paraId="614E46A0" w14:textId="1FF58230"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187.37 </w:t>
            </w:r>
          </w:p>
        </w:tc>
        <w:tc>
          <w:tcPr>
            <w:tcW w:w="1226" w:type="dxa"/>
            <w:tcBorders>
              <w:top w:val="nil"/>
              <w:left w:val="nil"/>
              <w:bottom w:val="nil"/>
              <w:right w:val="nil"/>
            </w:tcBorders>
            <w:shd w:val="clear" w:color="000000" w:fill="E8E9E9"/>
            <w:noWrap/>
            <w:vAlign w:val="center"/>
            <w:hideMark/>
          </w:tcPr>
          <w:p w14:paraId="12F8590C" w14:textId="28902030"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(2.8%)</w:t>
            </w:r>
          </w:p>
        </w:tc>
      </w:tr>
      <w:tr w:rsidR="00105871" w:rsidRPr="0074799F" w14:paraId="3082E430" w14:textId="77777777" w:rsidTr="009126E4">
        <w:trPr>
          <w:trHeight w:val="240"/>
          <w:jc w:val="center"/>
        </w:trPr>
        <w:tc>
          <w:tcPr>
            <w:tcW w:w="1464" w:type="dxa"/>
            <w:tcBorders>
              <w:top w:val="nil"/>
              <w:left w:val="nil"/>
              <w:bottom w:val="nil"/>
              <w:right w:val="nil"/>
            </w:tcBorders>
            <w:shd w:val="clear" w:color="auto" w:fill="auto"/>
            <w:noWrap/>
            <w:vAlign w:val="center"/>
            <w:hideMark/>
          </w:tcPr>
          <w:p w14:paraId="3A741922" w14:textId="77777777" w:rsidR="00105871" w:rsidRPr="0074799F" w:rsidRDefault="00105871" w:rsidP="00105871">
            <w:pPr>
              <w:spacing w:after="0" w:line="240" w:lineRule="auto"/>
              <w:rPr>
                <w:rFonts w:ascii="Arial" w:eastAsia="Times New Roman" w:hAnsi="Arial" w:cs="Arial"/>
                <w:color w:val="39414D"/>
                <w:szCs w:val="18"/>
              </w:rPr>
            </w:pPr>
            <w:r w:rsidRPr="0074799F">
              <w:rPr>
                <w:rFonts w:ascii="Arial" w:eastAsia="Times New Roman" w:hAnsi="Arial" w:cs="Arial"/>
                <w:color w:val="39414D"/>
                <w:szCs w:val="18"/>
              </w:rPr>
              <w:t>ME - M 25-29</w:t>
            </w:r>
          </w:p>
        </w:tc>
        <w:tc>
          <w:tcPr>
            <w:tcW w:w="1194" w:type="dxa"/>
            <w:tcBorders>
              <w:top w:val="nil"/>
              <w:left w:val="nil"/>
              <w:bottom w:val="nil"/>
              <w:right w:val="nil"/>
            </w:tcBorders>
            <w:shd w:val="clear" w:color="auto" w:fill="auto"/>
            <w:noWrap/>
            <w:vAlign w:val="center"/>
            <w:hideMark/>
          </w:tcPr>
          <w:p w14:paraId="12F4FBE1" w14:textId="7499B102"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90,701 </w:t>
            </w:r>
          </w:p>
        </w:tc>
        <w:tc>
          <w:tcPr>
            <w:tcW w:w="1183" w:type="dxa"/>
            <w:tcBorders>
              <w:top w:val="nil"/>
              <w:left w:val="nil"/>
              <w:bottom w:val="nil"/>
              <w:right w:val="nil"/>
            </w:tcBorders>
            <w:shd w:val="clear" w:color="auto" w:fill="auto"/>
            <w:noWrap/>
            <w:vAlign w:val="center"/>
            <w:hideMark/>
          </w:tcPr>
          <w:p w14:paraId="5B6FA800" w14:textId="4728931C"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91,220 </w:t>
            </w:r>
          </w:p>
        </w:tc>
        <w:tc>
          <w:tcPr>
            <w:tcW w:w="1379" w:type="dxa"/>
            <w:tcBorders>
              <w:top w:val="nil"/>
              <w:left w:val="nil"/>
              <w:bottom w:val="nil"/>
              <w:right w:val="nil"/>
            </w:tcBorders>
            <w:shd w:val="clear" w:color="auto" w:fill="auto"/>
            <w:noWrap/>
            <w:vAlign w:val="center"/>
            <w:hideMark/>
          </w:tcPr>
          <w:p w14:paraId="658CE9DB" w14:textId="7AA07CE6"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0.6% </w:t>
            </w:r>
          </w:p>
        </w:tc>
        <w:tc>
          <w:tcPr>
            <w:tcW w:w="238" w:type="dxa"/>
            <w:tcBorders>
              <w:top w:val="nil"/>
              <w:left w:val="nil"/>
              <w:bottom w:val="nil"/>
              <w:right w:val="nil"/>
            </w:tcBorders>
            <w:shd w:val="clear" w:color="auto" w:fill="auto"/>
            <w:noWrap/>
            <w:vAlign w:val="center"/>
            <w:hideMark/>
          </w:tcPr>
          <w:p w14:paraId="69F458F0" w14:textId="77777777" w:rsidR="00105871" w:rsidRPr="0074799F" w:rsidRDefault="00105871" w:rsidP="00105871">
            <w:pPr>
              <w:spacing w:after="0" w:line="240" w:lineRule="auto"/>
              <w:jc w:val="right"/>
              <w:rPr>
                <w:rFonts w:ascii="Arial" w:eastAsia="Times New Roman" w:hAnsi="Arial" w:cs="Arial"/>
                <w:color w:val="39414D"/>
                <w:szCs w:val="18"/>
              </w:rPr>
            </w:pPr>
          </w:p>
        </w:tc>
        <w:tc>
          <w:tcPr>
            <w:tcW w:w="1562" w:type="dxa"/>
            <w:tcBorders>
              <w:top w:val="nil"/>
              <w:left w:val="nil"/>
              <w:bottom w:val="nil"/>
              <w:right w:val="nil"/>
            </w:tcBorders>
            <w:shd w:val="clear" w:color="auto" w:fill="auto"/>
            <w:noWrap/>
            <w:vAlign w:val="center"/>
            <w:hideMark/>
          </w:tcPr>
          <w:p w14:paraId="5E04DBFB" w14:textId="79E47AB0"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359.65 </w:t>
            </w:r>
          </w:p>
        </w:tc>
        <w:tc>
          <w:tcPr>
            <w:tcW w:w="1530" w:type="dxa"/>
            <w:tcBorders>
              <w:top w:val="nil"/>
              <w:left w:val="nil"/>
              <w:bottom w:val="nil"/>
              <w:right w:val="nil"/>
            </w:tcBorders>
            <w:shd w:val="clear" w:color="auto" w:fill="auto"/>
            <w:noWrap/>
            <w:vAlign w:val="center"/>
            <w:hideMark/>
          </w:tcPr>
          <w:p w14:paraId="7B78227E" w14:textId="3C2FA67B"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330.91 </w:t>
            </w:r>
          </w:p>
        </w:tc>
        <w:tc>
          <w:tcPr>
            <w:tcW w:w="1226" w:type="dxa"/>
            <w:tcBorders>
              <w:top w:val="nil"/>
              <w:left w:val="nil"/>
              <w:bottom w:val="nil"/>
              <w:right w:val="nil"/>
            </w:tcBorders>
            <w:shd w:val="clear" w:color="auto" w:fill="auto"/>
            <w:noWrap/>
            <w:vAlign w:val="center"/>
            <w:hideMark/>
          </w:tcPr>
          <w:p w14:paraId="4AD034B5" w14:textId="0B129CBF"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(8.0%)</w:t>
            </w:r>
          </w:p>
        </w:tc>
      </w:tr>
      <w:tr w:rsidR="00105871" w:rsidRPr="0074799F" w14:paraId="57DABCE1" w14:textId="77777777" w:rsidTr="009126E4">
        <w:trPr>
          <w:trHeight w:val="240"/>
          <w:jc w:val="center"/>
        </w:trPr>
        <w:tc>
          <w:tcPr>
            <w:tcW w:w="1464" w:type="dxa"/>
            <w:tcBorders>
              <w:top w:val="nil"/>
              <w:left w:val="nil"/>
              <w:bottom w:val="nil"/>
              <w:right w:val="nil"/>
            </w:tcBorders>
            <w:shd w:val="clear" w:color="000000" w:fill="E8E9E9"/>
            <w:noWrap/>
            <w:vAlign w:val="center"/>
            <w:hideMark/>
          </w:tcPr>
          <w:p w14:paraId="2878D683" w14:textId="77777777" w:rsidR="00105871" w:rsidRPr="0074799F" w:rsidRDefault="00105871" w:rsidP="00105871">
            <w:pPr>
              <w:spacing w:after="0" w:line="240" w:lineRule="auto"/>
              <w:rPr>
                <w:rFonts w:ascii="Arial" w:eastAsia="Times New Roman" w:hAnsi="Arial" w:cs="Arial"/>
                <w:color w:val="39414D"/>
                <w:szCs w:val="18"/>
              </w:rPr>
            </w:pPr>
            <w:r w:rsidRPr="0074799F">
              <w:rPr>
                <w:rFonts w:ascii="Arial" w:eastAsia="Times New Roman" w:hAnsi="Arial" w:cs="Arial"/>
                <w:color w:val="39414D"/>
                <w:szCs w:val="18"/>
              </w:rPr>
              <w:t>ME - M 30-39</w:t>
            </w:r>
          </w:p>
        </w:tc>
        <w:tc>
          <w:tcPr>
            <w:tcW w:w="1194" w:type="dxa"/>
            <w:tcBorders>
              <w:top w:val="nil"/>
              <w:left w:val="nil"/>
              <w:bottom w:val="nil"/>
              <w:right w:val="nil"/>
            </w:tcBorders>
            <w:shd w:val="clear" w:color="000000" w:fill="E8E9E9"/>
            <w:noWrap/>
            <w:vAlign w:val="center"/>
            <w:hideMark/>
          </w:tcPr>
          <w:p w14:paraId="3ECA2799" w14:textId="3CF72982"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125,904 </w:t>
            </w:r>
          </w:p>
        </w:tc>
        <w:tc>
          <w:tcPr>
            <w:tcW w:w="1183" w:type="dxa"/>
            <w:tcBorders>
              <w:top w:val="nil"/>
              <w:left w:val="nil"/>
              <w:bottom w:val="nil"/>
              <w:right w:val="nil"/>
            </w:tcBorders>
            <w:shd w:val="clear" w:color="000000" w:fill="E8E9E9"/>
            <w:noWrap/>
            <w:vAlign w:val="center"/>
            <w:hideMark/>
          </w:tcPr>
          <w:p w14:paraId="6C5DE169" w14:textId="71002CBA"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133,956 </w:t>
            </w:r>
          </w:p>
        </w:tc>
        <w:tc>
          <w:tcPr>
            <w:tcW w:w="1379" w:type="dxa"/>
            <w:tcBorders>
              <w:top w:val="nil"/>
              <w:left w:val="nil"/>
              <w:bottom w:val="nil"/>
              <w:right w:val="nil"/>
            </w:tcBorders>
            <w:shd w:val="clear" w:color="000000" w:fill="E8E9E9"/>
            <w:noWrap/>
            <w:vAlign w:val="center"/>
            <w:hideMark/>
          </w:tcPr>
          <w:p w14:paraId="689D6843" w14:textId="2EC0C6DE"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6.4% </w:t>
            </w:r>
          </w:p>
        </w:tc>
        <w:tc>
          <w:tcPr>
            <w:tcW w:w="238" w:type="dxa"/>
            <w:tcBorders>
              <w:top w:val="nil"/>
              <w:left w:val="nil"/>
              <w:bottom w:val="nil"/>
              <w:right w:val="nil"/>
            </w:tcBorders>
            <w:shd w:val="clear" w:color="000000" w:fill="E8E9E9"/>
            <w:noWrap/>
            <w:vAlign w:val="center"/>
            <w:hideMark/>
          </w:tcPr>
          <w:p w14:paraId="79B5BA90" w14:textId="28D3115A"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w:t>
            </w:r>
          </w:p>
        </w:tc>
        <w:tc>
          <w:tcPr>
            <w:tcW w:w="1562" w:type="dxa"/>
            <w:tcBorders>
              <w:top w:val="nil"/>
              <w:left w:val="nil"/>
              <w:bottom w:val="nil"/>
              <w:right w:val="nil"/>
            </w:tcBorders>
            <w:shd w:val="clear" w:color="000000" w:fill="E8E9E9"/>
            <w:noWrap/>
            <w:vAlign w:val="center"/>
            <w:hideMark/>
          </w:tcPr>
          <w:p w14:paraId="4BC3198D" w14:textId="349A10AF"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530.45 </w:t>
            </w:r>
          </w:p>
        </w:tc>
        <w:tc>
          <w:tcPr>
            <w:tcW w:w="1530" w:type="dxa"/>
            <w:tcBorders>
              <w:top w:val="nil"/>
              <w:left w:val="nil"/>
              <w:bottom w:val="nil"/>
              <w:right w:val="nil"/>
            </w:tcBorders>
            <w:shd w:val="clear" w:color="000000" w:fill="E8E9E9"/>
            <w:noWrap/>
            <w:vAlign w:val="center"/>
            <w:hideMark/>
          </w:tcPr>
          <w:p w14:paraId="16B81E27" w14:textId="6413F99E"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521.65 </w:t>
            </w:r>
          </w:p>
        </w:tc>
        <w:tc>
          <w:tcPr>
            <w:tcW w:w="1226" w:type="dxa"/>
            <w:tcBorders>
              <w:top w:val="nil"/>
              <w:left w:val="nil"/>
              <w:bottom w:val="nil"/>
              <w:right w:val="nil"/>
            </w:tcBorders>
            <w:shd w:val="clear" w:color="000000" w:fill="E8E9E9"/>
            <w:noWrap/>
            <w:vAlign w:val="center"/>
            <w:hideMark/>
          </w:tcPr>
          <w:p w14:paraId="30696F2C" w14:textId="6D5BFF02"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(1.7%)</w:t>
            </w:r>
          </w:p>
        </w:tc>
      </w:tr>
      <w:tr w:rsidR="00105871" w:rsidRPr="0074799F" w14:paraId="2C7D1DAB" w14:textId="77777777" w:rsidTr="009126E4">
        <w:trPr>
          <w:trHeight w:val="240"/>
          <w:jc w:val="center"/>
        </w:trPr>
        <w:tc>
          <w:tcPr>
            <w:tcW w:w="1464" w:type="dxa"/>
            <w:tcBorders>
              <w:top w:val="nil"/>
              <w:left w:val="nil"/>
              <w:bottom w:val="nil"/>
              <w:right w:val="nil"/>
            </w:tcBorders>
            <w:shd w:val="clear" w:color="auto" w:fill="auto"/>
            <w:noWrap/>
            <w:vAlign w:val="center"/>
            <w:hideMark/>
          </w:tcPr>
          <w:p w14:paraId="7D8CF207" w14:textId="77777777" w:rsidR="00105871" w:rsidRPr="0074799F" w:rsidRDefault="00105871" w:rsidP="00105871">
            <w:pPr>
              <w:spacing w:after="0" w:line="240" w:lineRule="auto"/>
              <w:rPr>
                <w:rFonts w:ascii="Arial" w:eastAsia="Times New Roman" w:hAnsi="Arial" w:cs="Arial"/>
                <w:color w:val="39414D"/>
                <w:szCs w:val="18"/>
              </w:rPr>
            </w:pPr>
            <w:r w:rsidRPr="0074799F">
              <w:rPr>
                <w:rFonts w:ascii="Arial" w:eastAsia="Times New Roman" w:hAnsi="Arial" w:cs="Arial"/>
                <w:color w:val="39414D"/>
                <w:szCs w:val="18"/>
              </w:rPr>
              <w:t>ME - M 40-49</w:t>
            </w:r>
          </w:p>
        </w:tc>
        <w:tc>
          <w:tcPr>
            <w:tcW w:w="1194" w:type="dxa"/>
            <w:tcBorders>
              <w:top w:val="nil"/>
              <w:left w:val="nil"/>
              <w:bottom w:val="nil"/>
              <w:right w:val="nil"/>
            </w:tcBorders>
            <w:shd w:val="clear" w:color="auto" w:fill="auto"/>
            <w:noWrap/>
            <w:vAlign w:val="center"/>
            <w:hideMark/>
          </w:tcPr>
          <w:p w14:paraId="232E0522" w14:textId="16A9AD66"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81,498 </w:t>
            </w:r>
          </w:p>
        </w:tc>
        <w:tc>
          <w:tcPr>
            <w:tcW w:w="1183" w:type="dxa"/>
            <w:tcBorders>
              <w:top w:val="nil"/>
              <w:left w:val="nil"/>
              <w:bottom w:val="nil"/>
              <w:right w:val="nil"/>
            </w:tcBorders>
            <w:shd w:val="clear" w:color="auto" w:fill="auto"/>
            <w:noWrap/>
            <w:vAlign w:val="center"/>
            <w:hideMark/>
          </w:tcPr>
          <w:p w14:paraId="3787B64E" w14:textId="066DE86B"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83,924 </w:t>
            </w:r>
          </w:p>
        </w:tc>
        <w:tc>
          <w:tcPr>
            <w:tcW w:w="1379" w:type="dxa"/>
            <w:tcBorders>
              <w:top w:val="nil"/>
              <w:left w:val="nil"/>
              <w:bottom w:val="nil"/>
              <w:right w:val="nil"/>
            </w:tcBorders>
            <w:shd w:val="clear" w:color="auto" w:fill="auto"/>
            <w:noWrap/>
            <w:vAlign w:val="center"/>
            <w:hideMark/>
          </w:tcPr>
          <w:p w14:paraId="6C6996B7" w14:textId="4179F37D"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3.0% </w:t>
            </w:r>
          </w:p>
        </w:tc>
        <w:tc>
          <w:tcPr>
            <w:tcW w:w="238" w:type="dxa"/>
            <w:tcBorders>
              <w:top w:val="nil"/>
              <w:left w:val="nil"/>
              <w:bottom w:val="nil"/>
              <w:right w:val="nil"/>
            </w:tcBorders>
            <w:shd w:val="clear" w:color="auto" w:fill="auto"/>
            <w:noWrap/>
            <w:vAlign w:val="center"/>
            <w:hideMark/>
          </w:tcPr>
          <w:p w14:paraId="29C7D627" w14:textId="77777777" w:rsidR="00105871" w:rsidRPr="0074799F" w:rsidRDefault="00105871" w:rsidP="00105871">
            <w:pPr>
              <w:spacing w:after="0" w:line="240" w:lineRule="auto"/>
              <w:jc w:val="right"/>
              <w:rPr>
                <w:rFonts w:ascii="Arial" w:eastAsia="Times New Roman" w:hAnsi="Arial" w:cs="Arial"/>
                <w:color w:val="39414D"/>
                <w:szCs w:val="18"/>
              </w:rPr>
            </w:pPr>
          </w:p>
        </w:tc>
        <w:tc>
          <w:tcPr>
            <w:tcW w:w="1562" w:type="dxa"/>
            <w:tcBorders>
              <w:top w:val="nil"/>
              <w:left w:val="nil"/>
              <w:bottom w:val="nil"/>
              <w:right w:val="nil"/>
            </w:tcBorders>
            <w:shd w:val="clear" w:color="auto" w:fill="auto"/>
            <w:noWrap/>
            <w:vAlign w:val="center"/>
            <w:hideMark/>
          </w:tcPr>
          <w:p w14:paraId="726F70C1" w14:textId="7E7ED919"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693.61 </w:t>
            </w:r>
          </w:p>
        </w:tc>
        <w:tc>
          <w:tcPr>
            <w:tcW w:w="1530" w:type="dxa"/>
            <w:tcBorders>
              <w:top w:val="nil"/>
              <w:left w:val="nil"/>
              <w:bottom w:val="nil"/>
              <w:right w:val="nil"/>
            </w:tcBorders>
            <w:shd w:val="clear" w:color="auto" w:fill="auto"/>
            <w:noWrap/>
            <w:vAlign w:val="center"/>
            <w:hideMark/>
          </w:tcPr>
          <w:p w14:paraId="38458D1B" w14:textId="7D52DD0B"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686.59 </w:t>
            </w:r>
          </w:p>
        </w:tc>
        <w:tc>
          <w:tcPr>
            <w:tcW w:w="1226" w:type="dxa"/>
            <w:tcBorders>
              <w:top w:val="nil"/>
              <w:left w:val="nil"/>
              <w:bottom w:val="nil"/>
              <w:right w:val="nil"/>
            </w:tcBorders>
            <w:shd w:val="clear" w:color="auto" w:fill="auto"/>
            <w:noWrap/>
            <w:vAlign w:val="center"/>
            <w:hideMark/>
          </w:tcPr>
          <w:p w14:paraId="5F431B59" w14:textId="6EF6EFCC"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(1.0%)</w:t>
            </w:r>
          </w:p>
        </w:tc>
      </w:tr>
      <w:tr w:rsidR="00105871" w:rsidRPr="0074799F" w14:paraId="5240D164" w14:textId="77777777" w:rsidTr="009126E4">
        <w:trPr>
          <w:trHeight w:val="240"/>
          <w:jc w:val="center"/>
        </w:trPr>
        <w:tc>
          <w:tcPr>
            <w:tcW w:w="1464" w:type="dxa"/>
            <w:tcBorders>
              <w:top w:val="nil"/>
              <w:left w:val="nil"/>
              <w:bottom w:val="nil"/>
              <w:right w:val="nil"/>
            </w:tcBorders>
            <w:shd w:val="clear" w:color="000000" w:fill="E8E9E9"/>
            <w:noWrap/>
            <w:vAlign w:val="center"/>
            <w:hideMark/>
          </w:tcPr>
          <w:p w14:paraId="56E7F805" w14:textId="77777777" w:rsidR="00105871" w:rsidRPr="0074799F" w:rsidRDefault="00105871" w:rsidP="00105871">
            <w:pPr>
              <w:spacing w:after="0" w:line="240" w:lineRule="auto"/>
              <w:rPr>
                <w:rFonts w:ascii="Arial" w:eastAsia="Times New Roman" w:hAnsi="Arial" w:cs="Arial"/>
                <w:color w:val="39414D"/>
                <w:szCs w:val="18"/>
              </w:rPr>
            </w:pPr>
            <w:r w:rsidRPr="0074799F">
              <w:rPr>
                <w:rFonts w:ascii="Arial" w:eastAsia="Times New Roman" w:hAnsi="Arial" w:cs="Arial"/>
                <w:color w:val="39414D"/>
                <w:szCs w:val="18"/>
              </w:rPr>
              <w:t>ME - M 50-64</w:t>
            </w:r>
          </w:p>
        </w:tc>
        <w:tc>
          <w:tcPr>
            <w:tcW w:w="1194" w:type="dxa"/>
            <w:tcBorders>
              <w:top w:val="nil"/>
              <w:left w:val="nil"/>
              <w:bottom w:val="nil"/>
              <w:right w:val="nil"/>
            </w:tcBorders>
            <w:shd w:val="clear" w:color="000000" w:fill="E8E9E9"/>
            <w:noWrap/>
            <w:vAlign w:val="center"/>
            <w:hideMark/>
          </w:tcPr>
          <w:p w14:paraId="1C22BBEC" w14:textId="68F46055"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139,263 </w:t>
            </w:r>
          </w:p>
        </w:tc>
        <w:tc>
          <w:tcPr>
            <w:tcW w:w="1183" w:type="dxa"/>
            <w:tcBorders>
              <w:top w:val="nil"/>
              <w:left w:val="nil"/>
              <w:bottom w:val="nil"/>
              <w:right w:val="nil"/>
            </w:tcBorders>
            <w:shd w:val="clear" w:color="000000" w:fill="E8E9E9"/>
            <w:noWrap/>
            <w:vAlign w:val="center"/>
            <w:hideMark/>
          </w:tcPr>
          <w:p w14:paraId="7B9019FB" w14:textId="02208974"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146,532 </w:t>
            </w:r>
          </w:p>
        </w:tc>
        <w:tc>
          <w:tcPr>
            <w:tcW w:w="1379" w:type="dxa"/>
            <w:tcBorders>
              <w:top w:val="nil"/>
              <w:left w:val="nil"/>
              <w:bottom w:val="nil"/>
              <w:right w:val="nil"/>
            </w:tcBorders>
            <w:shd w:val="clear" w:color="000000" w:fill="E8E9E9"/>
            <w:noWrap/>
            <w:vAlign w:val="center"/>
            <w:hideMark/>
          </w:tcPr>
          <w:p w14:paraId="6241BCCD" w14:textId="3545E22F"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5.2% </w:t>
            </w:r>
          </w:p>
        </w:tc>
        <w:tc>
          <w:tcPr>
            <w:tcW w:w="238" w:type="dxa"/>
            <w:tcBorders>
              <w:top w:val="nil"/>
              <w:left w:val="nil"/>
              <w:bottom w:val="nil"/>
              <w:right w:val="nil"/>
            </w:tcBorders>
            <w:shd w:val="clear" w:color="000000" w:fill="E8E9E9"/>
            <w:noWrap/>
            <w:vAlign w:val="center"/>
            <w:hideMark/>
          </w:tcPr>
          <w:p w14:paraId="0EF4DFD0" w14:textId="459CA9B9"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w:t>
            </w:r>
          </w:p>
        </w:tc>
        <w:tc>
          <w:tcPr>
            <w:tcW w:w="1562" w:type="dxa"/>
            <w:tcBorders>
              <w:top w:val="nil"/>
              <w:left w:val="nil"/>
              <w:bottom w:val="nil"/>
              <w:right w:val="nil"/>
            </w:tcBorders>
            <w:shd w:val="clear" w:color="000000" w:fill="E8E9E9"/>
            <w:noWrap/>
            <w:vAlign w:val="center"/>
            <w:hideMark/>
          </w:tcPr>
          <w:p w14:paraId="633AF225" w14:textId="55030402"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778.72 </w:t>
            </w:r>
          </w:p>
        </w:tc>
        <w:tc>
          <w:tcPr>
            <w:tcW w:w="1530" w:type="dxa"/>
            <w:tcBorders>
              <w:top w:val="nil"/>
              <w:left w:val="nil"/>
              <w:bottom w:val="nil"/>
              <w:right w:val="nil"/>
            </w:tcBorders>
            <w:shd w:val="clear" w:color="000000" w:fill="E8E9E9"/>
            <w:noWrap/>
            <w:vAlign w:val="center"/>
            <w:hideMark/>
          </w:tcPr>
          <w:p w14:paraId="67686F7F" w14:textId="125A483E"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 xml:space="preserve">773.90 </w:t>
            </w:r>
          </w:p>
        </w:tc>
        <w:tc>
          <w:tcPr>
            <w:tcW w:w="1226" w:type="dxa"/>
            <w:tcBorders>
              <w:top w:val="nil"/>
              <w:left w:val="nil"/>
              <w:bottom w:val="nil"/>
              <w:right w:val="nil"/>
            </w:tcBorders>
            <w:shd w:val="clear" w:color="000000" w:fill="E8E9E9"/>
            <w:noWrap/>
            <w:vAlign w:val="center"/>
            <w:hideMark/>
          </w:tcPr>
          <w:p w14:paraId="2C8A5738" w14:textId="2C9231FD" w:rsidR="00105871" w:rsidRPr="0074799F" w:rsidRDefault="00105871" w:rsidP="00105871">
            <w:pPr>
              <w:spacing w:after="0" w:line="240" w:lineRule="auto"/>
              <w:jc w:val="right"/>
              <w:rPr>
                <w:rFonts w:ascii="Arial" w:eastAsia="Times New Roman" w:hAnsi="Arial" w:cs="Arial"/>
                <w:color w:val="39414D"/>
                <w:szCs w:val="18"/>
              </w:rPr>
            </w:pPr>
            <w:r>
              <w:rPr>
                <w:rFonts w:ascii="Arial" w:hAnsi="Arial" w:cs="Arial"/>
                <w:color w:val="39414D"/>
                <w:szCs w:val="18"/>
              </w:rPr>
              <w:t>(0.6%)</w:t>
            </w:r>
          </w:p>
        </w:tc>
      </w:tr>
      <w:tr w:rsidR="00105871" w:rsidRPr="0074799F" w14:paraId="42713C8D" w14:textId="77777777" w:rsidTr="008C339B">
        <w:trPr>
          <w:trHeight w:val="60"/>
          <w:jc w:val="center"/>
        </w:trPr>
        <w:tc>
          <w:tcPr>
            <w:tcW w:w="1464" w:type="dxa"/>
            <w:tcBorders>
              <w:top w:val="nil"/>
              <w:left w:val="nil"/>
              <w:bottom w:val="nil"/>
              <w:right w:val="nil"/>
            </w:tcBorders>
            <w:shd w:val="clear" w:color="auto" w:fill="auto"/>
            <w:noWrap/>
            <w:vAlign w:val="center"/>
            <w:hideMark/>
          </w:tcPr>
          <w:p w14:paraId="0FD61663" w14:textId="77777777" w:rsidR="00105871" w:rsidRPr="0074799F" w:rsidRDefault="00105871" w:rsidP="00105871">
            <w:pPr>
              <w:spacing w:after="0" w:line="240" w:lineRule="auto"/>
              <w:rPr>
                <w:rFonts w:ascii="Arial" w:eastAsia="Times New Roman" w:hAnsi="Arial" w:cs="Arial"/>
                <w:b/>
                <w:bCs/>
                <w:color w:val="39414D"/>
                <w:szCs w:val="18"/>
              </w:rPr>
            </w:pPr>
            <w:r w:rsidRPr="0074799F">
              <w:rPr>
                <w:rFonts w:ascii="Arial" w:eastAsia="Times New Roman" w:hAnsi="Arial" w:cs="Arial"/>
                <w:b/>
                <w:bCs/>
                <w:color w:val="39414D"/>
                <w:szCs w:val="18"/>
              </w:rPr>
              <w:t>Composite</w:t>
            </w:r>
          </w:p>
        </w:tc>
        <w:tc>
          <w:tcPr>
            <w:tcW w:w="1194" w:type="dxa"/>
            <w:tcBorders>
              <w:top w:val="nil"/>
              <w:left w:val="nil"/>
              <w:bottom w:val="nil"/>
              <w:right w:val="nil"/>
            </w:tcBorders>
            <w:shd w:val="clear" w:color="auto" w:fill="auto"/>
            <w:noWrap/>
            <w:vAlign w:val="center"/>
            <w:hideMark/>
          </w:tcPr>
          <w:p w14:paraId="23257B74" w14:textId="07F75065" w:rsidR="00105871" w:rsidRPr="0074799F" w:rsidRDefault="00105871" w:rsidP="00105871">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1,020,579 </w:t>
            </w:r>
          </w:p>
        </w:tc>
        <w:tc>
          <w:tcPr>
            <w:tcW w:w="1183" w:type="dxa"/>
            <w:tcBorders>
              <w:top w:val="nil"/>
              <w:left w:val="nil"/>
              <w:bottom w:val="nil"/>
              <w:right w:val="nil"/>
            </w:tcBorders>
            <w:shd w:val="clear" w:color="auto" w:fill="auto"/>
            <w:noWrap/>
            <w:vAlign w:val="center"/>
            <w:hideMark/>
          </w:tcPr>
          <w:p w14:paraId="6FFDE06A" w14:textId="35D3F514" w:rsidR="00105871" w:rsidRPr="0074799F" w:rsidRDefault="00105871" w:rsidP="00105871">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1,060,248 </w:t>
            </w:r>
          </w:p>
        </w:tc>
        <w:tc>
          <w:tcPr>
            <w:tcW w:w="1379" w:type="dxa"/>
            <w:tcBorders>
              <w:top w:val="nil"/>
              <w:left w:val="nil"/>
              <w:bottom w:val="nil"/>
              <w:right w:val="nil"/>
            </w:tcBorders>
            <w:shd w:val="clear" w:color="auto" w:fill="auto"/>
            <w:noWrap/>
            <w:vAlign w:val="center"/>
            <w:hideMark/>
          </w:tcPr>
          <w:p w14:paraId="79972316" w14:textId="1F6DD78F" w:rsidR="00105871" w:rsidRPr="0074799F" w:rsidRDefault="00105871" w:rsidP="00105871">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3.9% </w:t>
            </w:r>
          </w:p>
        </w:tc>
        <w:tc>
          <w:tcPr>
            <w:tcW w:w="238" w:type="dxa"/>
            <w:tcBorders>
              <w:top w:val="nil"/>
              <w:left w:val="nil"/>
              <w:bottom w:val="nil"/>
              <w:right w:val="nil"/>
            </w:tcBorders>
            <w:shd w:val="clear" w:color="auto" w:fill="auto"/>
            <w:noWrap/>
            <w:vAlign w:val="center"/>
            <w:hideMark/>
          </w:tcPr>
          <w:p w14:paraId="362A0871" w14:textId="77777777" w:rsidR="00105871" w:rsidRPr="0074799F" w:rsidRDefault="00105871" w:rsidP="00105871">
            <w:pPr>
              <w:spacing w:after="0" w:line="240" w:lineRule="auto"/>
              <w:jc w:val="right"/>
              <w:rPr>
                <w:rFonts w:ascii="Arial" w:eastAsia="Times New Roman" w:hAnsi="Arial" w:cs="Arial"/>
                <w:b/>
                <w:bCs/>
                <w:color w:val="39414D"/>
                <w:szCs w:val="18"/>
              </w:rPr>
            </w:pPr>
          </w:p>
        </w:tc>
        <w:tc>
          <w:tcPr>
            <w:tcW w:w="1562" w:type="dxa"/>
            <w:tcBorders>
              <w:top w:val="nil"/>
              <w:left w:val="nil"/>
              <w:bottom w:val="nil"/>
              <w:right w:val="nil"/>
            </w:tcBorders>
            <w:shd w:val="clear" w:color="auto" w:fill="auto"/>
            <w:noWrap/>
            <w:vAlign w:val="center"/>
            <w:hideMark/>
          </w:tcPr>
          <w:p w14:paraId="05929DDD" w14:textId="53F353E0" w:rsidR="00105871" w:rsidRPr="0074799F" w:rsidRDefault="00105871" w:rsidP="00105871">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$ 539.79 </w:t>
            </w:r>
          </w:p>
        </w:tc>
        <w:tc>
          <w:tcPr>
            <w:tcW w:w="1530" w:type="dxa"/>
            <w:tcBorders>
              <w:top w:val="nil"/>
              <w:left w:val="nil"/>
              <w:bottom w:val="nil"/>
              <w:right w:val="nil"/>
            </w:tcBorders>
            <w:shd w:val="clear" w:color="auto" w:fill="auto"/>
            <w:noWrap/>
            <w:vAlign w:val="center"/>
            <w:hideMark/>
          </w:tcPr>
          <w:p w14:paraId="64BECD59" w14:textId="7F948AFA" w:rsidR="00105871" w:rsidRPr="0074799F" w:rsidRDefault="00105871" w:rsidP="00105871">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$ 522.89 </w:t>
            </w:r>
          </w:p>
        </w:tc>
        <w:tc>
          <w:tcPr>
            <w:tcW w:w="1226" w:type="dxa"/>
            <w:tcBorders>
              <w:top w:val="nil"/>
              <w:left w:val="nil"/>
              <w:bottom w:val="nil"/>
              <w:right w:val="nil"/>
            </w:tcBorders>
            <w:shd w:val="clear" w:color="auto" w:fill="auto"/>
            <w:noWrap/>
            <w:vAlign w:val="center"/>
            <w:hideMark/>
          </w:tcPr>
          <w:p w14:paraId="06D8B3AA" w14:textId="00A49162" w:rsidR="00105871" w:rsidRPr="0074799F" w:rsidRDefault="00105871" w:rsidP="00105871">
            <w:pPr>
              <w:spacing w:after="0" w:line="240" w:lineRule="auto"/>
              <w:jc w:val="right"/>
              <w:rPr>
                <w:rFonts w:ascii="Arial" w:eastAsia="Times New Roman" w:hAnsi="Arial" w:cs="Arial"/>
                <w:b/>
                <w:bCs/>
                <w:color w:val="39414D"/>
                <w:szCs w:val="18"/>
              </w:rPr>
            </w:pPr>
            <w:r>
              <w:rPr>
                <w:rFonts w:ascii="Arial" w:hAnsi="Arial" w:cs="Arial"/>
                <w:b/>
                <w:bCs/>
                <w:color w:val="39414D"/>
                <w:szCs w:val="18"/>
              </w:rPr>
              <w:t>(3.1%)</w:t>
            </w:r>
          </w:p>
        </w:tc>
      </w:tr>
    </w:tbl>
    <w:p w14:paraId="3A168855" w14:textId="0B42A7CA" w:rsidR="00F80FF1" w:rsidRPr="002E18CA" w:rsidRDefault="00F80FF1" w:rsidP="00F80FF1">
      <w:pPr>
        <w:pStyle w:val="RRNumberedBullet1"/>
        <w:numPr>
          <w:ilvl w:val="0"/>
          <w:numId w:val="0"/>
        </w:numPr>
        <w:spacing w:before="60"/>
        <w:jc w:val="both"/>
        <w:rPr>
          <w:rFonts w:ascii="Arial" w:eastAsia="Times New Roman" w:hAnsi="Arial" w:cs="Arial"/>
          <w:color w:val="727A7D"/>
          <w:szCs w:val="18"/>
        </w:rPr>
      </w:pPr>
      <w:r>
        <w:rPr>
          <w:rFonts w:ascii="Arial" w:eastAsia="Times New Roman" w:hAnsi="Arial" w:cs="Arial"/>
          <w:color w:val="727A7D"/>
          <w:szCs w:val="18"/>
        </w:rPr>
        <w:t xml:space="preserve">Note: </w:t>
      </w:r>
      <w:r w:rsidR="00AB3270">
        <w:rPr>
          <w:rFonts w:ascii="Arial" w:eastAsia="Times New Roman" w:hAnsi="Arial" w:cs="Arial"/>
          <w:color w:val="727A7D"/>
          <w:szCs w:val="18"/>
        </w:rPr>
        <w:t>A</w:t>
      </w:r>
      <w:r w:rsidR="00F22D22">
        <w:rPr>
          <w:rFonts w:ascii="Arial" w:eastAsia="Times New Roman" w:hAnsi="Arial" w:cs="Arial"/>
          <w:color w:val="727A7D"/>
          <w:szCs w:val="18"/>
        </w:rPr>
        <w:t xml:space="preserve">ctual benefit expense PMPMs are </w:t>
      </w:r>
      <w:r w:rsidR="00620046">
        <w:rPr>
          <w:rFonts w:ascii="Arial" w:eastAsia="Times New Roman" w:hAnsi="Arial" w:cs="Arial"/>
          <w:color w:val="727A7D"/>
          <w:szCs w:val="18"/>
        </w:rPr>
        <w:t>derived from</w:t>
      </w:r>
      <w:r w:rsidR="00F22D22">
        <w:rPr>
          <w:rFonts w:ascii="Arial" w:eastAsia="Times New Roman" w:hAnsi="Arial" w:cs="Arial"/>
          <w:color w:val="727A7D"/>
          <w:szCs w:val="18"/>
        </w:rPr>
        <w:t xml:space="preserve"> the CY </w:t>
      </w:r>
      <w:r w:rsidR="006F0D03">
        <w:rPr>
          <w:rFonts w:ascii="Arial" w:eastAsia="Times New Roman" w:hAnsi="Arial" w:cs="Arial"/>
          <w:color w:val="727A7D"/>
          <w:szCs w:val="18"/>
        </w:rPr>
        <w:t>2021 Q</w:t>
      </w:r>
      <w:r w:rsidR="00A16BA1">
        <w:rPr>
          <w:rFonts w:ascii="Arial" w:eastAsia="Times New Roman" w:hAnsi="Arial" w:cs="Arial"/>
          <w:color w:val="727A7D"/>
          <w:szCs w:val="18"/>
        </w:rPr>
        <w:t>4</w:t>
      </w:r>
      <w:r w:rsidR="006F0D03">
        <w:rPr>
          <w:rFonts w:ascii="Arial" w:eastAsia="Times New Roman" w:hAnsi="Arial" w:cs="Arial"/>
          <w:color w:val="727A7D"/>
          <w:szCs w:val="18"/>
        </w:rPr>
        <w:t xml:space="preserve"> </w:t>
      </w:r>
      <w:r w:rsidR="00F22D22">
        <w:rPr>
          <w:rFonts w:ascii="Arial" w:eastAsia="Times New Roman" w:hAnsi="Arial" w:cs="Arial"/>
          <w:color w:val="727A7D"/>
          <w:szCs w:val="18"/>
        </w:rPr>
        <w:t xml:space="preserve">FDCR submission. </w:t>
      </w:r>
      <w:r w:rsidR="00A16BA1">
        <w:rPr>
          <w:rFonts w:ascii="Arial" w:eastAsia="Times New Roman" w:hAnsi="Arial" w:cs="Arial"/>
          <w:color w:val="727A7D"/>
          <w:szCs w:val="18"/>
        </w:rPr>
        <w:t xml:space="preserve">Adjustments were made to the actual benefit expense to exclude vaccine administration expenditures, consistent with the estimated benefit expense PMPM. </w:t>
      </w:r>
    </w:p>
    <w:p w14:paraId="0D2CC51E" w14:textId="76C16963" w:rsidR="000D2BCB" w:rsidRDefault="000D2BCB" w:rsidP="00622097">
      <w:pPr>
        <w:jc w:val="both"/>
      </w:pPr>
      <w:r w:rsidRPr="008B10D9">
        <w:t xml:space="preserve">As </w:t>
      </w:r>
      <w:r w:rsidR="00B06709">
        <w:t>Figure</w:t>
      </w:r>
      <w:r w:rsidRPr="008B10D9">
        <w:t xml:space="preserve"> </w:t>
      </w:r>
      <w:r w:rsidR="006F0D03">
        <w:t>2</w:t>
      </w:r>
      <w:r w:rsidR="00273A3D">
        <w:t>5</w:t>
      </w:r>
      <w:r w:rsidR="006F0D03" w:rsidRPr="008B10D9">
        <w:t xml:space="preserve"> </w:t>
      </w:r>
      <w:r w:rsidRPr="008B10D9">
        <w:t>illustrates, actual MC</w:t>
      </w:r>
      <w:r>
        <w:t>O-</w:t>
      </w:r>
      <w:r w:rsidRPr="008B10D9">
        <w:t>cover</w:t>
      </w:r>
      <w:r>
        <w:t>ed</w:t>
      </w:r>
      <w:r w:rsidRPr="008B10D9">
        <w:t xml:space="preserve"> member months were approximately </w:t>
      </w:r>
      <w:r w:rsidR="006F0D03">
        <w:t>3</w:t>
      </w:r>
      <w:r>
        <w:t>.</w:t>
      </w:r>
      <w:r w:rsidR="006F0D03">
        <w:t>9</w:t>
      </w:r>
      <w:r w:rsidRPr="008B10D9">
        <w:t xml:space="preserve">% </w:t>
      </w:r>
      <w:r w:rsidR="006F0D03">
        <w:t>above</w:t>
      </w:r>
      <w:r w:rsidR="006F0D03" w:rsidRPr="008B10D9">
        <w:t xml:space="preserve"> </w:t>
      </w:r>
      <w:r w:rsidRPr="008B10D9">
        <w:t xml:space="preserve">values estimated in the development of the </w:t>
      </w:r>
      <w:r>
        <w:t>SFY</w:t>
      </w:r>
      <w:r w:rsidRPr="008B10D9">
        <w:t xml:space="preserve"> </w:t>
      </w:r>
      <w:r w:rsidR="006F0D03">
        <w:t>2021</w:t>
      </w:r>
      <w:r w:rsidR="00556CE8">
        <w:t xml:space="preserve"> capitation</w:t>
      </w:r>
      <w:r w:rsidR="006F0D03" w:rsidRPr="008B10D9">
        <w:t xml:space="preserve"> </w:t>
      </w:r>
      <w:r w:rsidRPr="008B10D9">
        <w:t>rates. On an aggregate basis, actual benefit expense</w:t>
      </w:r>
      <w:r w:rsidR="00555958">
        <w:t xml:space="preserve"> PMPM</w:t>
      </w:r>
      <w:r w:rsidRPr="008B10D9">
        <w:t xml:space="preserve"> was</w:t>
      </w:r>
      <w:r>
        <w:t xml:space="preserve"> approximately </w:t>
      </w:r>
      <w:r w:rsidR="00105871">
        <w:t>3.1</w:t>
      </w:r>
      <w:r w:rsidRPr="008B10D9">
        <w:t xml:space="preserve">% </w:t>
      </w:r>
      <w:r w:rsidR="006F0D03">
        <w:t>lower</w:t>
      </w:r>
      <w:r w:rsidR="006F0D03" w:rsidRPr="008B10D9">
        <w:t xml:space="preserve"> </w:t>
      </w:r>
      <w:r w:rsidRPr="008B10D9">
        <w:t xml:space="preserve">than estimated benefit expense </w:t>
      </w:r>
      <w:r w:rsidR="003777F1">
        <w:t>assumed in the capitation rate development</w:t>
      </w:r>
      <w:r w:rsidRPr="008B10D9">
        <w:t xml:space="preserve">.  </w:t>
      </w:r>
    </w:p>
    <w:p w14:paraId="608440BA" w14:textId="0E0EA576" w:rsidR="000D2BCB" w:rsidRDefault="000D2BCB" w:rsidP="00622097">
      <w:pPr>
        <w:pStyle w:val="Heading4"/>
      </w:pPr>
      <w:bookmarkStart w:id="516" w:name="_Toc100260765"/>
      <w:r>
        <w:t>Adjustment to current rates</w:t>
      </w:r>
      <w:bookmarkEnd w:id="516"/>
    </w:p>
    <w:p w14:paraId="30FDD11A" w14:textId="7D2B309C" w:rsidR="000D2BCB" w:rsidRDefault="000D2BCB" w:rsidP="00622097">
      <w:pPr>
        <w:jc w:val="both"/>
      </w:pPr>
      <w:r>
        <w:t xml:space="preserve">An explicit adjustment was not made for differences between projected and actual experience in previous rating periods; emerging experience was utilized </w:t>
      </w:r>
      <w:r w:rsidR="00A60497">
        <w:t>when developing</w:t>
      </w:r>
      <w:r>
        <w:t xml:space="preserve"> the Medicaid Expansion </w:t>
      </w:r>
      <w:r w:rsidR="00A60497">
        <w:t xml:space="preserve">SFY </w:t>
      </w:r>
      <w:r w:rsidR="006F0D03">
        <w:t xml:space="preserve">2023 </w:t>
      </w:r>
      <w:r w:rsidR="00A60497">
        <w:t>capitation rates</w:t>
      </w:r>
      <w:r>
        <w:t>.</w:t>
      </w:r>
    </w:p>
    <w:p w14:paraId="3B2708BF" w14:textId="2EE7F21C" w:rsidR="008B10D9" w:rsidRPr="00C93468" w:rsidRDefault="008B10D9" w:rsidP="00622097">
      <w:pPr>
        <w:pStyle w:val="Heading2"/>
        <w:jc w:val="both"/>
      </w:pPr>
      <w:bookmarkStart w:id="517" w:name="_Toc466028178"/>
      <w:bookmarkStart w:id="518" w:name="_Toc496172580"/>
      <w:bookmarkStart w:id="519" w:name="_Toc8985064"/>
      <w:bookmarkStart w:id="520" w:name="_Toc100260766"/>
      <w:r w:rsidRPr="00C93468">
        <w:lastRenderedPageBreak/>
        <w:t>Projected Benefit Costs</w:t>
      </w:r>
      <w:bookmarkEnd w:id="517"/>
      <w:bookmarkEnd w:id="518"/>
      <w:bookmarkEnd w:id="519"/>
      <w:bookmarkEnd w:id="520"/>
    </w:p>
    <w:p w14:paraId="6387505D" w14:textId="1E963FD1" w:rsidR="008B10D9" w:rsidRPr="00C93468" w:rsidRDefault="008B10D9" w:rsidP="00622097">
      <w:pPr>
        <w:pStyle w:val="Heading3"/>
        <w:numPr>
          <w:ilvl w:val="1"/>
          <w:numId w:val="43"/>
        </w:numPr>
        <w:jc w:val="both"/>
      </w:pPr>
      <w:bookmarkStart w:id="521" w:name="_Toc496172581"/>
      <w:bookmarkStart w:id="522" w:name="_Toc8985065"/>
      <w:bookmarkStart w:id="523" w:name="_Toc100260767"/>
      <w:r w:rsidRPr="00C93468">
        <w:t>Description of Projected Benefit Cost Issues</w:t>
      </w:r>
      <w:bookmarkEnd w:id="521"/>
      <w:bookmarkEnd w:id="522"/>
      <w:bookmarkEnd w:id="523"/>
    </w:p>
    <w:p w14:paraId="0082F41D" w14:textId="063DF77F" w:rsidR="008B10D9" w:rsidRPr="008B10D9" w:rsidRDefault="006F0D03" w:rsidP="00622097">
      <w:pPr>
        <w:jc w:val="both"/>
      </w:pPr>
      <w:r>
        <w:t>C</w:t>
      </w:r>
      <w:r w:rsidRPr="008B10D9">
        <w:t xml:space="preserve">Y </w:t>
      </w:r>
      <w:r w:rsidR="005C2FA9" w:rsidRPr="008B10D9">
        <w:t>201</w:t>
      </w:r>
      <w:r w:rsidR="005C2FA9">
        <w:t>9</w:t>
      </w:r>
      <w:r w:rsidR="005C2FA9" w:rsidRPr="008B10D9">
        <w:t xml:space="preserve"> </w:t>
      </w:r>
      <w:r w:rsidR="00866C9C">
        <w:t>Medicaid Expansion</w:t>
      </w:r>
      <w:r w:rsidR="008B10D9" w:rsidRPr="008B10D9">
        <w:t xml:space="preserve"> population experience, in the form of adjusted encounter data, is used as the underlying data source for the development of the </w:t>
      </w:r>
      <w:r w:rsidR="00866C9C">
        <w:t>SF</w:t>
      </w:r>
      <w:r w:rsidR="00866C9C" w:rsidRPr="008B10D9">
        <w:t xml:space="preserve">Y </w:t>
      </w:r>
      <w:r w:rsidRPr="008B10D9">
        <w:t>20</w:t>
      </w:r>
      <w:r>
        <w:t xml:space="preserve">23 </w:t>
      </w:r>
      <w:r w:rsidR="00D659C0">
        <w:t xml:space="preserve">capitation rates. </w:t>
      </w:r>
      <w:r w:rsidR="008B10D9" w:rsidRPr="008B10D9">
        <w:t xml:space="preserve">Discussion of other assumption changes is provided in the next section. </w:t>
      </w:r>
    </w:p>
    <w:p w14:paraId="3ADBBB07" w14:textId="77777777" w:rsidR="008B10D9" w:rsidRDefault="0052187B" w:rsidP="00622097">
      <w:pPr>
        <w:pStyle w:val="Heading4"/>
      </w:pPr>
      <w:bookmarkStart w:id="524" w:name="_Toc8985066"/>
      <w:bookmarkStart w:id="525" w:name="_Toc100260768"/>
      <w:r>
        <w:t>For states that covered the new adult group in previous rating periods</w:t>
      </w:r>
      <w:bookmarkEnd w:id="524"/>
      <w:bookmarkEnd w:id="525"/>
    </w:p>
    <w:p w14:paraId="1AA2C1C1" w14:textId="045E6023" w:rsidR="0052187B" w:rsidRDefault="00085954" w:rsidP="00622097">
      <w:pPr>
        <w:pStyle w:val="Heading5"/>
        <w:jc w:val="both"/>
      </w:pPr>
      <w:r>
        <w:t>Data specific to newly eligible adults</w:t>
      </w:r>
    </w:p>
    <w:p w14:paraId="4B8ACADD" w14:textId="699EF4CF" w:rsidR="00387271" w:rsidRPr="00BA2DB0" w:rsidRDefault="00085954" w:rsidP="00622097">
      <w:pPr>
        <w:jc w:val="both"/>
      </w:pPr>
      <w:r w:rsidRPr="00085954">
        <w:t xml:space="preserve">There was no data </w:t>
      </w:r>
      <w:r w:rsidR="00A60497">
        <w:t xml:space="preserve">that was only available for </w:t>
      </w:r>
      <w:r w:rsidRPr="00085954">
        <w:t>newly eligible adults utilized in the capitation rate development.</w:t>
      </w:r>
    </w:p>
    <w:p w14:paraId="70EFCF9E" w14:textId="7A684E48" w:rsidR="0052187B" w:rsidRDefault="0052187B" w:rsidP="00622097">
      <w:pPr>
        <w:pStyle w:val="Heading5"/>
        <w:jc w:val="both"/>
      </w:pPr>
      <w:r>
        <w:t>Changes in data sources, assumptions, or methodologies</w:t>
      </w:r>
    </w:p>
    <w:p w14:paraId="0E900A09" w14:textId="7CCD94BD" w:rsidR="00387271" w:rsidRPr="00BA2DB0" w:rsidRDefault="00085954" w:rsidP="00622097">
      <w:pPr>
        <w:jc w:val="both"/>
      </w:pPr>
      <w:r>
        <w:t xml:space="preserve">There were no changes to the data sources, assumptions, or methodologies used to develop projected benefit costs that was specific to the Medicaid Expansion population that was not previously outlined in this </w:t>
      </w:r>
      <w:r w:rsidR="00CB17A7" w:rsidRPr="008B10D9">
        <w:t>report</w:t>
      </w:r>
      <w:r w:rsidR="00387271" w:rsidRPr="008B10D9">
        <w:t>.</w:t>
      </w:r>
    </w:p>
    <w:p w14:paraId="3AFCDDAE" w14:textId="40DE6A57" w:rsidR="0052187B" w:rsidRDefault="0052187B" w:rsidP="00622097">
      <w:pPr>
        <w:pStyle w:val="Heading5"/>
        <w:jc w:val="both"/>
      </w:pPr>
      <w:r>
        <w:t>Assumption changes from previous rating periods</w:t>
      </w:r>
    </w:p>
    <w:p w14:paraId="59971C94" w14:textId="74E9A226" w:rsidR="00085954" w:rsidRDefault="00085954" w:rsidP="00622097">
      <w:pPr>
        <w:pStyle w:val="Heading6"/>
        <w:numPr>
          <w:ilvl w:val="0"/>
          <w:numId w:val="69"/>
        </w:numPr>
        <w:jc w:val="both"/>
      </w:pPr>
      <w:r>
        <w:t xml:space="preserve"> </w:t>
      </w:r>
      <w:r w:rsidR="00E50ECA">
        <w:t>Acuity adjustments</w:t>
      </w:r>
    </w:p>
    <w:p w14:paraId="7A93D4C8" w14:textId="4C9A05B0" w:rsidR="00403682" w:rsidRPr="008B10D9" w:rsidRDefault="00A61DD3" w:rsidP="00622097">
      <w:pPr>
        <w:jc w:val="both"/>
      </w:pPr>
      <w:r>
        <w:t xml:space="preserve">An adjustment was made </w:t>
      </w:r>
      <w:r w:rsidR="00110476">
        <w:t xml:space="preserve">for changes in acuity and emerging experience </w:t>
      </w:r>
      <w:r>
        <w:t>for the Medicaid Expansion population</w:t>
      </w:r>
      <w:r w:rsidR="00110476">
        <w:t xml:space="preserve"> as described in Section I, item 3.B.ii</w:t>
      </w:r>
      <w:r w:rsidRPr="008B10D9">
        <w:t>.</w:t>
      </w:r>
      <w:r w:rsidR="00110476">
        <w:t xml:space="preserve"> The methodology to develop the acuity adjustment was consistent for all populations, and the acuity adjustment impact is illustrated separately by population. The acuity adjustment is included in the certified capitation rates documented in this report.</w:t>
      </w:r>
    </w:p>
    <w:p w14:paraId="4CAE2B2E" w14:textId="21E47D68" w:rsidR="00085954" w:rsidRDefault="00085954" w:rsidP="00622097">
      <w:pPr>
        <w:pStyle w:val="Heading6"/>
        <w:jc w:val="both"/>
      </w:pPr>
      <w:r>
        <w:t xml:space="preserve"> </w:t>
      </w:r>
      <w:r w:rsidR="008B10D9" w:rsidRPr="008B10D9">
        <w:t>Adjustments for pent-up demand</w:t>
      </w:r>
      <w:r w:rsidR="00D659C0">
        <w:t xml:space="preserve"> </w:t>
      </w:r>
    </w:p>
    <w:p w14:paraId="24F6071B" w14:textId="5E9C5BB1" w:rsidR="00570161" w:rsidRPr="008B10D9" w:rsidRDefault="00570161" w:rsidP="00622097">
      <w:pPr>
        <w:jc w:val="both"/>
      </w:pPr>
      <w:r>
        <w:t xml:space="preserve">Consistent with the SFY </w:t>
      </w:r>
      <w:r w:rsidR="006F0D03">
        <w:t>2022</w:t>
      </w:r>
      <w:r w:rsidR="006F0D03" w:rsidRPr="008B10D9">
        <w:t xml:space="preserve"> </w:t>
      </w:r>
      <w:r w:rsidRPr="008B10D9">
        <w:t xml:space="preserve">rate setting, </w:t>
      </w:r>
      <w:r>
        <w:t>a</w:t>
      </w:r>
      <w:r w:rsidR="00D77208">
        <w:t>n explicit</w:t>
      </w:r>
      <w:r>
        <w:t xml:space="preserve"> pent-up demand adjustment was not made for the Medicaid Expansion population</w:t>
      </w:r>
      <w:r w:rsidRPr="008B10D9">
        <w:t>.</w:t>
      </w:r>
    </w:p>
    <w:p w14:paraId="1B7E7CF6" w14:textId="72861101" w:rsidR="00570161" w:rsidRDefault="00085954" w:rsidP="00622097">
      <w:pPr>
        <w:pStyle w:val="Heading6"/>
        <w:jc w:val="both"/>
      </w:pPr>
      <w:r>
        <w:t xml:space="preserve"> </w:t>
      </w:r>
      <w:r w:rsidR="00570161" w:rsidRPr="00085954">
        <w:t>Adjustment for adverse selection</w:t>
      </w:r>
    </w:p>
    <w:p w14:paraId="78018BF9" w14:textId="6DC6476B" w:rsidR="00570161" w:rsidRPr="008B10D9" w:rsidRDefault="00570161" w:rsidP="00622097">
      <w:pPr>
        <w:jc w:val="both"/>
      </w:pPr>
      <w:r>
        <w:t xml:space="preserve">Consistent with the SFY </w:t>
      </w:r>
      <w:r w:rsidR="006F0D03">
        <w:t>2022</w:t>
      </w:r>
      <w:r w:rsidR="006F0D03" w:rsidRPr="008B10D9">
        <w:t xml:space="preserve"> </w:t>
      </w:r>
      <w:r w:rsidRPr="008B10D9">
        <w:t xml:space="preserve">rate setting, </w:t>
      </w:r>
      <w:r>
        <w:t>an</w:t>
      </w:r>
      <w:r w:rsidR="00D77208">
        <w:t xml:space="preserve"> explicit</w:t>
      </w:r>
      <w:r>
        <w:t xml:space="preserve"> adverse selection adjustment was not made for the Medicaid Expansion population</w:t>
      </w:r>
      <w:r w:rsidRPr="008B10D9">
        <w:t>.</w:t>
      </w:r>
    </w:p>
    <w:p w14:paraId="505CD659" w14:textId="27603312" w:rsidR="00085954" w:rsidRDefault="00570161" w:rsidP="00622097">
      <w:pPr>
        <w:pStyle w:val="Heading6"/>
        <w:jc w:val="both"/>
      </w:pPr>
      <w:r>
        <w:t xml:space="preserve"> </w:t>
      </w:r>
      <w:r w:rsidR="00085954" w:rsidRPr="00085954">
        <w:t xml:space="preserve">Adjustment for </w:t>
      </w:r>
      <w:r>
        <w:t>demographics</w:t>
      </w:r>
    </w:p>
    <w:p w14:paraId="466AC230" w14:textId="7B8E6789" w:rsidR="00570161" w:rsidRPr="008B10D9" w:rsidRDefault="00570161" w:rsidP="00622097">
      <w:pPr>
        <w:jc w:val="both"/>
      </w:pPr>
      <w:r>
        <w:t xml:space="preserve">Consistent with the SFY </w:t>
      </w:r>
      <w:r w:rsidR="006F0D03">
        <w:t>2022</w:t>
      </w:r>
      <w:r w:rsidR="006F0D03" w:rsidRPr="008B10D9">
        <w:t xml:space="preserve"> </w:t>
      </w:r>
      <w:r w:rsidRPr="008B10D9">
        <w:t xml:space="preserve">rate setting, </w:t>
      </w:r>
      <w:r>
        <w:t>an explicit demographic adjustment was not made for the Medicaid Expansion population</w:t>
      </w:r>
      <w:r w:rsidRPr="008B10D9">
        <w:t>.</w:t>
      </w:r>
      <w:r w:rsidRPr="00570161">
        <w:t xml:space="preserve"> </w:t>
      </w:r>
      <w:r w:rsidRPr="008B10D9">
        <w:t xml:space="preserve">The current rate cell structure of the </w:t>
      </w:r>
      <w:r>
        <w:t>Medicaid Expansion</w:t>
      </w:r>
      <w:r w:rsidRPr="008B10D9">
        <w:t xml:space="preserve"> population adjusts capitation payments to the MC</w:t>
      </w:r>
      <w:r>
        <w:t>O</w:t>
      </w:r>
      <w:r w:rsidRPr="008B10D9">
        <w:t xml:space="preserve">s to the extent the demographic mix of the population changes </w:t>
      </w:r>
      <w:r>
        <w:t xml:space="preserve">significantly during the SFY </w:t>
      </w:r>
      <w:r w:rsidR="006F0D03">
        <w:t>2023</w:t>
      </w:r>
      <w:r w:rsidR="006F0D03" w:rsidRPr="008B10D9">
        <w:t xml:space="preserve"> </w:t>
      </w:r>
      <w:r w:rsidRPr="008B10D9">
        <w:t>rate period</w:t>
      </w:r>
      <w:r>
        <w:t>.</w:t>
      </w:r>
    </w:p>
    <w:p w14:paraId="7ED1383E" w14:textId="011972AA" w:rsidR="00085954" w:rsidRDefault="00085954" w:rsidP="00622097">
      <w:pPr>
        <w:pStyle w:val="Heading6"/>
        <w:jc w:val="both"/>
      </w:pPr>
      <w:r w:rsidRPr="00085954">
        <w:t xml:space="preserve">Differences in provider reimbursement rates or provider networks </w:t>
      </w:r>
    </w:p>
    <w:p w14:paraId="6980CA39" w14:textId="6EAE6757" w:rsidR="008B10D9" w:rsidRPr="008B10D9" w:rsidRDefault="00D659C0" w:rsidP="00622097">
      <w:pPr>
        <w:jc w:val="both"/>
      </w:pPr>
      <w:r>
        <w:t xml:space="preserve">Consistent with the </w:t>
      </w:r>
      <w:r w:rsidR="00387271">
        <w:t xml:space="preserve">SFY </w:t>
      </w:r>
      <w:r w:rsidR="006F0D03">
        <w:t>2022</w:t>
      </w:r>
      <w:r w:rsidR="006F0D03" w:rsidRPr="008B10D9">
        <w:t xml:space="preserve"> </w:t>
      </w:r>
      <w:r w:rsidR="008B10D9" w:rsidRPr="008B10D9">
        <w:t xml:space="preserve">rate setting, </w:t>
      </w:r>
      <w:r w:rsidR="00570161">
        <w:t>differences in provider reimbursement were not assumed or observed for the Medicaid Expansion population.</w:t>
      </w:r>
    </w:p>
    <w:p w14:paraId="7918BFC8" w14:textId="0D963A36" w:rsidR="00B944C9" w:rsidRDefault="00B944C9" w:rsidP="009F514E">
      <w:pPr>
        <w:pStyle w:val="Heading6"/>
      </w:pPr>
      <w:r>
        <w:t>Other material adjustments</w:t>
      </w:r>
      <w:r w:rsidRPr="00085954">
        <w:t xml:space="preserve"> </w:t>
      </w:r>
    </w:p>
    <w:p w14:paraId="458253B1" w14:textId="53051A1D" w:rsidR="00B944C9" w:rsidRDefault="00B944C9" w:rsidP="00B944C9">
      <w:pPr>
        <w:jc w:val="both"/>
      </w:pPr>
      <w:r>
        <w:t xml:space="preserve">Consistent with the SFY </w:t>
      </w:r>
      <w:r w:rsidR="006F0D03">
        <w:t>2022</w:t>
      </w:r>
      <w:r w:rsidR="006F0D03" w:rsidRPr="008B10D9">
        <w:t xml:space="preserve"> </w:t>
      </w:r>
      <w:r w:rsidRPr="008B10D9">
        <w:t>rate setting</w:t>
      </w:r>
      <w:r>
        <w:t>, there are no other material adjustments.</w:t>
      </w:r>
    </w:p>
    <w:p w14:paraId="372AA1AB" w14:textId="3040D0ED" w:rsidR="008C7B53" w:rsidRDefault="008C7B53" w:rsidP="00072C4C">
      <w:pPr>
        <w:pStyle w:val="Heading6"/>
      </w:pPr>
      <w:r>
        <w:t>Changes to the benefit plan</w:t>
      </w:r>
    </w:p>
    <w:p w14:paraId="7988E0B4" w14:textId="0656D7B0" w:rsidR="008C7B53" w:rsidRPr="008B10D9" w:rsidRDefault="008C7B53" w:rsidP="008C7B53">
      <w:pPr>
        <w:jc w:val="both"/>
      </w:pPr>
      <w:r>
        <w:t xml:space="preserve">There </w:t>
      </w:r>
      <w:r w:rsidR="00E50A35">
        <w:t>we</w:t>
      </w:r>
      <w:r>
        <w:t>re no changes to the benefit plan offered to the new adult group.</w:t>
      </w:r>
    </w:p>
    <w:p w14:paraId="551F8FCF" w14:textId="7F3ABBAC" w:rsidR="00801E17" w:rsidRDefault="00801E17" w:rsidP="00801E17">
      <w:pPr>
        <w:pStyle w:val="Heading4"/>
      </w:pPr>
      <w:bookmarkStart w:id="526" w:name="_Toc100260769"/>
      <w:r>
        <w:t>For new adult group</w:t>
      </w:r>
      <w:r w:rsidR="00A60497">
        <w:t>s</w:t>
      </w:r>
      <w:r>
        <w:t xml:space="preserve"> </w:t>
      </w:r>
      <w:r w:rsidR="00A60497">
        <w:t xml:space="preserve">not covered </w:t>
      </w:r>
      <w:r>
        <w:t>in previous rating periods</w:t>
      </w:r>
      <w:bookmarkEnd w:id="526"/>
    </w:p>
    <w:p w14:paraId="52ABC1B3" w14:textId="5C31815A" w:rsidR="00801E17" w:rsidRPr="00BA2DB0" w:rsidRDefault="00801E17" w:rsidP="00801E17">
      <w:pPr>
        <w:jc w:val="both"/>
      </w:pPr>
      <w:r>
        <w:t>This section does not apply as the new adult group was previously covered</w:t>
      </w:r>
      <w:r w:rsidRPr="00085954">
        <w:t>.</w:t>
      </w:r>
    </w:p>
    <w:p w14:paraId="1440AA2E" w14:textId="5624B725" w:rsidR="00801E17" w:rsidRDefault="00A60497" w:rsidP="00801E17">
      <w:pPr>
        <w:pStyle w:val="Heading4"/>
      </w:pPr>
      <w:bookmarkStart w:id="527" w:name="_Toc100260770"/>
      <w:r>
        <w:t>Key assumptions</w:t>
      </w:r>
      <w:bookmarkEnd w:id="527"/>
    </w:p>
    <w:p w14:paraId="57510F58" w14:textId="68D1F3E5" w:rsidR="00801E17" w:rsidRPr="00BA2DB0" w:rsidRDefault="00801E17" w:rsidP="00801E17">
      <w:pPr>
        <w:jc w:val="both"/>
      </w:pPr>
      <w:r>
        <w:t>The key assumptions related to the new adult group are identified and described in Section III.2.A.i.</w:t>
      </w:r>
    </w:p>
    <w:p w14:paraId="26005FAD" w14:textId="37C1E5F2" w:rsidR="008B10D9" w:rsidRPr="008B10D9" w:rsidRDefault="008B10D9" w:rsidP="00622097">
      <w:pPr>
        <w:pStyle w:val="Heading3"/>
        <w:jc w:val="both"/>
        <w:rPr>
          <w:rFonts w:cstheme="minorHAnsi"/>
          <w:szCs w:val="18"/>
        </w:rPr>
      </w:pPr>
      <w:bookmarkStart w:id="528" w:name="_Toc71217522"/>
      <w:bookmarkStart w:id="529" w:name="_Toc71217523"/>
      <w:bookmarkStart w:id="530" w:name="_Toc71217524"/>
      <w:bookmarkStart w:id="531" w:name="_Toc434745431"/>
      <w:bookmarkStart w:id="532" w:name="_Toc71217525"/>
      <w:bookmarkStart w:id="533" w:name="_Toc71217526"/>
      <w:bookmarkStart w:id="534" w:name="_Toc466028184"/>
      <w:bookmarkStart w:id="535" w:name="_Toc496172584"/>
      <w:bookmarkStart w:id="536" w:name="_Toc8985074"/>
      <w:bookmarkStart w:id="537" w:name="_Toc100260771"/>
      <w:bookmarkEnd w:id="528"/>
      <w:bookmarkEnd w:id="529"/>
      <w:bookmarkEnd w:id="530"/>
      <w:bookmarkEnd w:id="531"/>
      <w:bookmarkEnd w:id="532"/>
      <w:bookmarkEnd w:id="533"/>
      <w:r w:rsidRPr="00C93468">
        <w:lastRenderedPageBreak/>
        <w:t>Other Material Changes or Adjustments to Benefit Costs</w:t>
      </w:r>
      <w:bookmarkEnd w:id="534"/>
      <w:bookmarkEnd w:id="535"/>
      <w:bookmarkEnd w:id="536"/>
      <w:bookmarkEnd w:id="537"/>
    </w:p>
    <w:p w14:paraId="77634736" w14:textId="78BF6D63" w:rsidR="008B10D9" w:rsidRPr="008B10D9" w:rsidRDefault="008B10D9" w:rsidP="00622097">
      <w:pPr>
        <w:jc w:val="both"/>
      </w:pPr>
      <w:r w:rsidRPr="008B10D9">
        <w:t xml:space="preserve">We did not make any other adjustments in the </w:t>
      </w:r>
      <w:r w:rsidR="00387271">
        <w:t>Medicaid Expansion</w:t>
      </w:r>
      <w:r w:rsidR="00387271" w:rsidRPr="008B10D9">
        <w:t xml:space="preserve"> </w:t>
      </w:r>
      <w:r w:rsidRPr="008B10D9">
        <w:t xml:space="preserve">rate development process other than those previously outlined in the report.   </w:t>
      </w:r>
    </w:p>
    <w:p w14:paraId="36AFDAE1" w14:textId="0991DF89" w:rsidR="008B10D9" w:rsidRPr="00C93468" w:rsidRDefault="008B10D9" w:rsidP="00622097">
      <w:pPr>
        <w:pStyle w:val="Heading2"/>
        <w:jc w:val="both"/>
      </w:pPr>
      <w:bookmarkStart w:id="538" w:name="_Toc466028185"/>
      <w:bookmarkStart w:id="539" w:name="_Toc496172585"/>
      <w:bookmarkStart w:id="540" w:name="_Toc8985075"/>
      <w:bookmarkStart w:id="541" w:name="_Toc100260772"/>
      <w:r w:rsidRPr="00C93468">
        <w:t>Projected Non-Benefit Costs</w:t>
      </w:r>
      <w:bookmarkEnd w:id="538"/>
      <w:bookmarkEnd w:id="539"/>
      <w:bookmarkEnd w:id="540"/>
      <w:bookmarkEnd w:id="541"/>
    </w:p>
    <w:p w14:paraId="136CB1BF" w14:textId="7E366AA6" w:rsidR="008B10D9" w:rsidRDefault="00E50ECA" w:rsidP="00622097">
      <w:pPr>
        <w:pStyle w:val="Heading3"/>
        <w:numPr>
          <w:ilvl w:val="1"/>
          <w:numId w:val="45"/>
        </w:numPr>
        <w:jc w:val="both"/>
      </w:pPr>
      <w:bookmarkStart w:id="542" w:name="_Toc8985076"/>
      <w:bookmarkStart w:id="543" w:name="_Toc100260773"/>
      <w:r>
        <w:t>Description of Issues</w:t>
      </w:r>
      <w:bookmarkEnd w:id="542"/>
      <w:bookmarkEnd w:id="543"/>
    </w:p>
    <w:p w14:paraId="4BEBB537" w14:textId="77777777" w:rsidR="00E50ECA" w:rsidRPr="00E50ECA" w:rsidRDefault="00E50ECA" w:rsidP="00622097">
      <w:pPr>
        <w:pStyle w:val="Heading4"/>
      </w:pPr>
      <w:bookmarkStart w:id="544" w:name="_Toc8985077"/>
      <w:bookmarkStart w:id="545" w:name="_Toc100260774"/>
      <w:r>
        <w:t>Changes in data sources, assumptions, or methodologies</w:t>
      </w:r>
      <w:bookmarkEnd w:id="544"/>
      <w:bookmarkEnd w:id="545"/>
    </w:p>
    <w:p w14:paraId="2C93EE1A" w14:textId="20C3ED92" w:rsidR="00696E64" w:rsidRDefault="00B944C9" w:rsidP="00622097">
      <w:pPr>
        <w:jc w:val="both"/>
      </w:pPr>
      <w:r>
        <w:t>T</w:t>
      </w:r>
      <w:r w:rsidR="00CB17A7">
        <w:t xml:space="preserve">he data sources, assumptions, and methodologies utilized in the development of the non-benefit expense component of the capitation rates is outlined in Section </w:t>
      </w:r>
      <w:r w:rsidR="00043814">
        <w:t>I</w:t>
      </w:r>
      <w:r w:rsidR="00CB17A7">
        <w:t>.5.B.</w:t>
      </w:r>
      <w:r w:rsidR="008B10D9" w:rsidRPr="008B10D9">
        <w:t xml:space="preserve"> </w:t>
      </w:r>
    </w:p>
    <w:p w14:paraId="42221D3C" w14:textId="77777777" w:rsidR="00E50ECA" w:rsidRDefault="00E50ECA" w:rsidP="00622097">
      <w:pPr>
        <w:pStyle w:val="Heading4"/>
      </w:pPr>
      <w:bookmarkStart w:id="546" w:name="_Toc8985078"/>
      <w:bookmarkStart w:id="547" w:name="_Toc100260775"/>
      <w:r>
        <w:t>Assumption changes for previous rating periods</w:t>
      </w:r>
      <w:bookmarkEnd w:id="546"/>
      <w:bookmarkEnd w:id="547"/>
    </w:p>
    <w:p w14:paraId="50F24AD1" w14:textId="71A28509" w:rsidR="00D77208" w:rsidRDefault="00B06709" w:rsidP="00622097">
      <w:pPr>
        <w:jc w:val="both"/>
      </w:pPr>
      <w:r>
        <w:t>Figure</w:t>
      </w:r>
      <w:r w:rsidR="00387271" w:rsidRPr="008B10D9">
        <w:t xml:space="preserve"> </w:t>
      </w:r>
      <w:r w:rsidR="001D322C">
        <w:t>2</w:t>
      </w:r>
      <w:r w:rsidR="00273A3D">
        <w:t>6</w:t>
      </w:r>
      <w:r w:rsidR="001D322C" w:rsidRPr="008B10D9">
        <w:t xml:space="preserve"> </w:t>
      </w:r>
      <w:r w:rsidR="00387271" w:rsidRPr="008B10D9">
        <w:t>illustrates the non-benefit expen</w:t>
      </w:r>
      <w:r w:rsidR="00387271">
        <w:t xml:space="preserve">se assumptions for the SFY </w:t>
      </w:r>
      <w:r w:rsidR="00403682">
        <w:t>2023</w:t>
      </w:r>
      <w:r w:rsidR="00403682" w:rsidRPr="008B10D9">
        <w:t xml:space="preserve"> </w:t>
      </w:r>
      <w:r w:rsidR="00387271" w:rsidRPr="008B10D9">
        <w:t>capitation rates</w:t>
      </w:r>
      <w:r w:rsidR="00CB17A7">
        <w:t xml:space="preserve"> relative to the SFY </w:t>
      </w:r>
      <w:r w:rsidR="00403682">
        <w:t xml:space="preserve">2022 </w:t>
      </w:r>
      <w:r w:rsidR="00CB17A7">
        <w:t>capitation rate development</w:t>
      </w:r>
      <w:r w:rsidR="00387271" w:rsidRPr="008B10D9">
        <w:t xml:space="preserve">. </w:t>
      </w:r>
    </w:p>
    <w:tbl>
      <w:tblPr>
        <w:tblW w:w="0" w:type="auto"/>
        <w:tblLayout w:type="fixed"/>
        <w:tblLook w:val="04A0" w:firstRow="1" w:lastRow="0" w:firstColumn="1" w:lastColumn="0" w:noHBand="0" w:noVBand="1"/>
      </w:tblPr>
      <w:tblGrid>
        <w:gridCol w:w="4939"/>
        <w:gridCol w:w="1306"/>
        <w:gridCol w:w="1307"/>
      </w:tblGrid>
      <w:tr w:rsidR="00387271" w:rsidRPr="00387271" w14:paraId="3B8DA64B" w14:textId="77777777" w:rsidTr="00CB17A7">
        <w:trPr>
          <w:trHeight w:val="240"/>
        </w:trPr>
        <w:tc>
          <w:tcPr>
            <w:tcW w:w="7552" w:type="dxa"/>
            <w:gridSpan w:val="3"/>
            <w:tcBorders>
              <w:top w:val="nil"/>
              <w:left w:val="nil"/>
              <w:bottom w:val="nil"/>
              <w:right w:val="nil"/>
            </w:tcBorders>
            <w:shd w:val="clear" w:color="auto" w:fill="auto"/>
            <w:noWrap/>
            <w:vAlign w:val="bottom"/>
            <w:hideMark/>
          </w:tcPr>
          <w:p w14:paraId="7EDE91D5" w14:textId="42EBAD60" w:rsidR="00387271" w:rsidRPr="00387271" w:rsidRDefault="00B06709" w:rsidP="00B06709">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00387271" w:rsidRPr="00387271">
              <w:rPr>
                <w:rFonts w:ascii="Arial" w:eastAsia="Times New Roman" w:hAnsi="Arial" w:cs="Arial"/>
                <w:b/>
                <w:bCs/>
                <w:color w:val="0081E3"/>
                <w:szCs w:val="18"/>
              </w:rPr>
              <w:t xml:space="preserve"> </w:t>
            </w:r>
            <w:r w:rsidR="00C85DA5">
              <w:rPr>
                <w:rFonts w:ascii="Arial" w:eastAsia="Times New Roman" w:hAnsi="Arial" w:cs="Arial"/>
                <w:b/>
                <w:bCs/>
                <w:color w:val="0081E3"/>
                <w:szCs w:val="18"/>
              </w:rPr>
              <w:t>2</w:t>
            </w:r>
            <w:r w:rsidR="00273A3D">
              <w:rPr>
                <w:rFonts w:ascii="Arial" w:eastAsia="Times New Roman" w:hAnsi="Arial" w:cs="Arial"/>
                <w:b/>
                <w:bCs/>
                <w:color w:val="0081E3"/>
                <w:szCs w:val="18"/>
              </w:rPr>
              <w:t>6</w:t>
            </w:r>
            <w:r>
              <w:rPr>
                <w:rFonts w:ascii="Arial" w:eastAsia="Times New Roman" w:hAnsi="Arial" w:cs="Arial"/>
                <w:b/>
                <w:bCs/>
                <w:color w:val="0081E3"/>
                <w:szCs w:val="18"/>
              </w:rPr>
              <w:t>: MEDICAID EXPANSION</w:t>
            </w:r>
            <w:r w:rsidRPr="00387271">
              <w:rPr>
                <w:rFonts w:ascii="Arial" w:eastAsia="Times New Roman" w:hAnsi="Arial" w:cs="Arial"/>
                <w:b/>
                <w:bCs/>
                <w:color w:val="0081E3"/>
                <w:szCs w:val="18"/>
              </w:rPr>
              <w:t xml:space="preserve"> </w:t>
            </w:r>
            <w:r>
              <w:rPr>
                <w:rFonts w:ascii="Arial" w:eastAsia="Times New Roman" w:hAnsi="Arial" w:cs="Arial"/>
                <w:b/>
                <w:bCs/>
                <w:color w:val="0081E3"/>
                <w:szCs w:val="18"/>
              </w:rPr>
              <w:t>NON-BENEFIT EXPENSE ASSUMPTIONS</w:t>
            </w:r>
          </w:p>
        </w:tc>
      </w:tr>
      <w:tr w:rsidR="005C2FA9" w:rsidRPr="00387271" w14:paraId="38393080" w14:textId="77777777" w:rsidTr="00CB17A7">
        <w:trPr>
          <w:trHeight w:val="240"/>
        </w:trPr>
        <w:tc>
          <w:tcPr>
            <w:tcW w:w="4939" w:type="dxa"/>
            <w:tcBorders>
              <w:top w:val="nil"/>
              <w:left w:val="nil"/>
              <w:bottom w:val="single" w:sz="4" w:space="0" w:color="C6C9CA"/>
              <w:right w:val="nil"/>
            </w:tcBorders>
            <w:shd w:val="clear" w:color="auto" w:fill="auto"/>
            <w:vAlign w:val="bottom"/>
            <w:hideMark/>
          </w:tcPr>
          <w:p w14:paraId="52DA4406" w14:textId="77777777" w:rsidR="005C2FA9" w:rsidRPr="00387271" w:rsidRDefault="005C2FA9" w:rsidP="005C2FA9">
            <w:pPr>
              <w:spacing w:after="0" w:line="240" w:lineRule="auto"/>
              <w:rPr>
                <w:rFonts w:ascii="Arial" w:eastAsia="Times New Roman" w:hAnsi="Arial" w:cs="Arial"/>
                <w:b/>
                <w:bCs/>
                <w:color w:val="39414D"/>
                <w:szCs w:val="18"/>
              </w:rPr>
            </w:pPr>
            <w:r w:rsidRPr="00387271">
              <w:rPr>
                <w:rFonts w:ascii="Arial" w:eastAsia="Times New Roman" w:hAnsi="Arial" w:cs="Arial"/>
                <w:b/>
                <w:bCs/>
                <w:color w:val="39414D"/>
                <w:szCs w:val="18"/>
              </w:rPr>
              <w:t>Non-Benefit Expenses</w:t>
            </w:r>
          </w:p>
        </w:tc>
        <w:tc>
          <w:tcPr>
            <w:tcW w:w="1306" w:type="dxa"/>
            <w:tcBorders>
              <w:top w:val="nil"/>
              <w:left w:val="nil"/>
              <w:bottom w:val="single" w:sz="4" w:space="0" w:color="C6C9CA"/>
              <w:right w:val="nil"/>
            </w:tcBorders>
            <w:shd w:val="clear" w:color="auto" w:fill="auto"/>
            <w:vAlign w:val="bottom"/>
            <w:hideMark/>
          </w:tcPr>
          <w:p w14:paraId="1A70881A" w14:textId="666713FC" w:rsidR="005C2FA9" w:rsidRPr="00387271" w:rsidRDefault="005C2FA9" w:rsidP="005C2FA9">
            <w:pPr>
              <w:spacing w:after="0" w:line="240" w:lineRule="auto"/>
              <w:jc w:val="center"/>
              <w:rPr>
                <w:rFonts w:ascii="Arial" w:eastAsia="Times New Roman" w:hAnsi="Arial" w:cs="Arial"/>
                <w:b/>
                <w:bCs/>
                <w:color w:val="39414D"/>
                <w:szCs w:val="18"/>
              </w:rPr>
            </w:pPr>
            <w:r>
              <w:rPr>
                <w:rFonts w:ascii="Arial" w:hAnsi="Arial" w:cs="Arial"/>
                <w:b/>
                <w:bCs/>
                <w:color w:val="39414D"/>
                <w:szCs w:val="18"/>
              </w:rPr>
              <w:t xml:space="preserve">SFY </w:t>
            </w:r>
            <w:r w:rsidR="00403682">
              <w:rPr>
                <w:rFonts w:ascii="Arial" w:hAnsi="Arial" w:cs="Arial"/>
                <w:b/>
                <w:bCs/>
                <w:color w:val="39414D"/>
                <w:szCs w:val="18"/>
              </w:rPr>
              <w:t>2022</w:t>
            </w:r>
          </w:p>
        </w:tc>
        <w:tc>
          <w:tcPr>
            <w:tcW w:w="1307" w:type="dxa"/>
            <w:tcBorders>
              <w:top w:val="nil"/>
              <w:left w:val="nil"/>
              <w:bottom w:val="single" w:sz="4" w:space="0" w:color="C6C9CA"/>
              <w:right w:val="nil"/>
            </w:tcBorders>
            <w:shd w:val="clear" w:color="auto" w:fill="auto"/>
            <w:vAlign w:val="bottom"/>
            <w:hideMark/>
          </w:tcPr>
          <w:p w14:paraId="6A2212D4" w14:textId="1B768AD5" w:rsidR="005C2FA9" w:rsidRPr="00387271" w:rsidRDefault="005C2FA9" w:rsidP="005C2FA9">
            <w:pPr>
              <w:spacing w:after="0" w:line="240" w:lineRule="auto"/>
              <w:jc w:val="center"/>
              <w:rPr>
                <w:rFonts w:ascii="Arial" w:eastAsia="Times New Roman" w:hAnsi="Arial" w:cs="Arial"/>
                <w:b/>
                <w:bCs/>
                <w:color w:val="39414D"/>
                <w:szCs w:val="18"/>
              </w:rPr>
            </w:pPr>
            <w:r>
              <w:rPr>
                <w:rFonts w:ascii="Arial" w:hAnsi="Arial" w:cs="Arial"/>
                <w:b/>
                <w:bCs/>
                <w:color w:val="39414D"/>
                <w:szCs w:val="18"/>
              </w:rPr>
              <w:t xml:space="preserve">SFY </w:t>
            </w:r>
            <w:r w:rsidR="00403682">
              <w:rPr>
                <w:rFonts w:ascii="Arial" w:hAnsi="Arial" w:cs="Arial"/>
                <w:b/>
                <w:bCs/>
                <w:color w:val="39414D"/>
                <w:szCs w:val="18"/>
              </w:rPr>
              <w:t>2023</w:t>
            </w:r>
          </w:p>
        </w:tc>
      </w:tr>
      <w:tr w:rsidR="001A130B" w:rsidRPr="00387271" w14:paraId="3B649621" w14:textId="77777777" w:rsidTr="007B5C25">
        <w:trPr>
          <w:trHeight w:val="240"/>
        </w:trPr>
        <w:tc>
          <w:tcPr>
            <w:tcW w:w="4939" w:type="dxa"/>
            <w:tcBorders>
              <w:top w:val="nil"/>
              <w:left w:val="nil"/>
              <w:bottom w:val="nil"/>
              <w:right w:val="nil"/>
            </w:tcBorders>
            <w:shd w:val="clear" w:color="auto" w:fill="auto"/>
            <w:noWrap/>
            <w:vAlign w:val="center"/>
            <w:hideMark/>
          </w:tcPr>
          <w:p w14:paraId="05065E0B" w14:textId="77777777" w:rsidR="001A130B" w:rsidRPr="00387271" w:rsidRDefault="001A130B" w:rsidP="001A130B">
            <w:pPr>
              <w:spacing w:after="0" w:line="240" w:lineRule="auto"/>
              <w:rPr>
                <w:rFonts w:ascii="Arial" w:eastAsia="Times New Roman" w:hAnsi="Arial" w:cs="Arial"/>
                <w:color w:val="39414D"/>
                <w:szCs w:val="18"/>
              </w:rPr>
            </w:pPr>
            <w:r w:rsidRPr="00387271">
              <w:rPr>
                <w:rFonts w:ascii="Arial" w:eastAsia="Times New Roman" w:hAnsi="Arial" w:cs="Arial"/>
                <w:color w:val="39414D"/>
                <w:szCs w:val="18"/>
              </w:rPr>
              <w:t>Admin</w:t>
            </w:r>
          </w:p>
        </w:tc>
        <w:tc>
          <w:tcPr>
            <w:tcW w:w="1306" w:type="dxa"/>
            <w:tcBorders>
              <w:top w:val="nil"/>
              <w:left w:val="nil"/>
              <w:bottom w:val="nil"/>
              <w:right w:val="nil"/>
            </w:tcBorders>
            <w:shd w:val="clear" w:color="auto" w:fill="auto"/>
            <w:noWrap/>
            <w:vAlign w:val="center"/>
            <w:hideMark/>
          </w:tcPr>
          <w:p w14:paraId="605280AB" w14:textId="2DB8D084" w:rsidR="001A130B" w:rsidRPr="00387271"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6.75% </w:t>
            </w:r>
          </w:p>
        </w:tc>
        <w:tc>
          <w:tcPr>
            <w:tcW w:w="1307" w:type="dxa"/>
            <w:tcBorders>
              <w:top w:val="nil"/>
              <w:left w:val="nil"/>
              <w:bottom w:val="nil"/>
              <w:right w:val="nil"/>
            </w:tcBorders>
            <w:shd w:val="clear" w:color="auto" w:fill="auto"/>
            <w:noWrap/>
            <w:vAlign w:val="center"/>
            <w:hideMark/>
          </w:tcPr>
          <w:p w14:paraId="581F148F" w14:textId="54271AF9" w:rsidR="001A130B" w:rsidRPr="00387271"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6.75% </w:t>
            </w:r>
          </w:p>
        </w:tc>
      </w:tr>
      <w:tr w:rsidR="001A130B" w:rsidRPr="00387271" w14:paraId="729CCD88" w14:textId="77777777" w:rsidTr="007B5C25">
        <w:trPr>
          <w:trHeight w:val="240"/>
        </w:trPr>
        <w:tc>
          <w:tcPr>
            <w:tcW w:w="4939" w:type="dxa"/>
            <w:tcBorders>
              <w:top w:val="nil"/>
              <w:left w:val="nil"/>
              <w:bottom w:val="nil"/>
              <w:right w:val="nil"/>
            </w:tcBorders>
            <w:shd w:val="clear" w:color="000000" w:fill="E8E9E9"/>
            <w:noWrap/>
            <w:vAlign w:val="center"/>
            <w:hideMark/>
          </w:tcPr>
          <w:p w14:paraId="1CE04436" w14:textId="77777777" w:rsidR="001A130B" w:rsidRPr="00387271" w:rsidRDefault="001A130B" w:rsidP="001A130B">
            <w:pPr>
              <w:spacing w:after="0" w:line="240" w:lineRule="auto"/>
              <w:rPr>
                <w:rFonts w:ascii="Arial" w:eastAsia="Times New Roman" w:hAnsi="Arial" w:cs="Arial"/>
                <w:color w:val="39414D"/>
                <w:szCs w:val="18"/>
              </w:rPr>
            </w:pPr>
            <w:r w:rsidRPr="00387271">
              <w:rPr>
                <w:rFonts w:ascii="Arial" w:eastAsia="Times New Roman" w:hAnsi="Arial" w:cs="Arial"/>
                <w:color w:val="39414D"/>
                <w:szCs w:val="18"/>
              </w:rPr>
              <w:t>Care Coordination</w:t>
            </w:r>
          </w:p>
        </w:tc>
        <w:tc>
          <w:tcPr>
            <w:tcW w:w="1306" w:type="dxa"/>
            <w:tcBorders>
              <w:top w:val="nil"/>
              <w:left w:val="nil"/>
              <w:bottom w:val="nil"/>
              <w:right w:val="nil"/>
            </w:tcBorders>
            <w:shd w:val="clear" w:color="000000" w:fill="E8E9E9"/>
            <w:noWrap/>
            <w:vAlign w:val="center"/>
            <w:hideMark/>
          </w:tcPr>
          <w:p w14:paraId="62A58563" w14:textId="7B429241" w:rsidR="001A130B" w:rsidRPr="00387271"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307" w:type="dxa"/>
            <w:tcBorders>
              <w:top w:val="nil"/>
              <w:left w:val="nil"/>
              <w:bottom w:val="nil"/>
              <w:right w:val="nil"/>
            </w:tcBorders>
            <w:shd w:val="clear" w:color="000000" w:fill="E8E9E9"/>
            <w:noWrap/>
            <w:vAlign w:val="center"/>
            <w:hideMark/>
          </w:tcPr>
          <w:p w14:paraId="02FB0288" w14:textId="43F1B29C" w:rsidR="001A130B" w:rsidRPr="00387271"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r>
      <w:tr w:rsidR="001A130B" w:rsidRPr="00387271" w14:paraId="7C3E64E2" w14:textId="77777777" w:rsidTr="007B5C25">
        <w:trPr>
          <w:trHeight w:val="240"/>
        </w:trPr>
        <w:tc>
          <w:tcPr>
            <w:tcW w:w="4939" w:type="dxa"/>
            <w:tcBorders>
              <w:top w:val="nil"/>
              <w:left w:val="nil"/>
              <w:bottom w:val="nil"/>
              <w:right w:val="nil"/>
            </w:tcBorders>
            <w:shd w:val="clear" w:color="auto" w:fill="auto"/>
            <w:noWrap/>
            <w:vAlign w:val="center"/>
            <w:hideMark/>
          </w:tcPr>
          <w:p w14:paraId="0485C81C" w14:textId="77777777" w:rsidR="001A130B" w:rsidRPr="00387271" w:rsidRDefault="001A130B" w:rsidP="001A130B">
            <w:pPr>
              <w:spacing w:after="0" w:line="240" w:lineRule="auto"/>
              <w:rPr>
                <w:rFonts w:ascii="Arial" w:eastAsia="Times New Roman" w:hAnsi="Arial" w:cs="Arial"/>
                <w:b/>
                <w:bCs/>
                <w:color w:val="39414D"/>
                <w:szCs w:val="18"/>
              </w:rPr>
            </w:pPr>
            <w:r w:rsidRPr="00387271">
              <w:rPr>
                <w:rFonts w:ascii="Arial" w:eastAsia="Times New Roman" w:hAnsi="Arial" w:cs="Arial"/>
                <w:b/>
                <w:bCs/>
                <w:color w:val="39414D"/>
                <w:szCs w:val="18"/>
              </w:rPr>
              <w:t>Subtotal Non-Benefit Expense</w:t>
            </w:r>
          </w:p>
        </w:tc>
        <w:tc>
          <w:tcPr>
            <w:tcW w:w="1306" w:type="dxa"/>
            <w:tcBorders>
              <w:top w:val="nil"/>
              <w:left w:val="nil"/>
              <w:bottom w:val="nil"/>
              <w:right w:val="nil"/>
            </w:tcBorders>
            <w:shd w:val="clear" w:color="auto" w:fill="auto"/>
            <w:noWrap/>
            <w:vAlign w:val="center"/>
            <w:hideMark/>
          </w:tcPr>
          <w:p w14:paraId="1B5A7B5E" w14:textId="2A5DF333" w:rsidR="001A130B" w:rsidRPr="00387271" w:rsidRDefault="001A130B" w:rsidP="001A130B">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8.25% </w:t>
            </w:r>
          </w:p>
        </w:tc>
        <w:tc>
          <w:tcPr>
            <w:tcW w:w="1307" w:type="dxa"/>
            <w:tcBorders>
              <w:top w:val="nil"/>
              <w:left w:val="nil"/>
              <w:bottom w:val="nil"/>
              <w:right w:val="nil"/>
            </w:tcBorders>
            <w:shd w:val="clear" w:color="auto" w:fill="auto"/>
            <w:noWrap/>
            <w:vAlign w:val="center"/>
            <w:hideMark/>
          </w:tcPr>
          <w:p w14:paraId="793B8A87" w14:textId="7147ADE9" w:rsidR="001A130B" w:rsidRPr="00387271" w:rsidRDefault="001A130B" w:rsidP="001A130B">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8.25% </w:t>
            </w:r>
          </w:p>
        </w:tc>
      </w:tr>
      <w:tr w:rsidR="001A130B" w:rsidRPr="00387271" w14:paraId="6BCB5D5D" w14:textId="77777777" w:rsidTr="007B5C25">
        <w:trPr>
          <w:trHeight w:val="83"/>
        </w:trPr>
        <w:tc>
          <w:tcPr>
            <w:tcW w:w="4939" w:type="dxa"/>
            <w:tcBorders>
              <w:top w:val="nil"/>
              <w:left w:val="nil"/>
              <w:bottom w:val="nil"/>
              <w:right w:val="nil"/>
            </w:tcBorders>
            <w:shd w:val="clear" w:color="auto" w:fill="auto"/>
            <w:noWrap/>
            <w:vAlign w:val="center"/>
            <w:hideMark/>
          </w:tcPr>
          <w:p w14:paraId="00B13E72" w14:textId="77777777" w:rsidR="001A130B" w:rsidRPr="00387271" w:rsidRDefault="001A130B" w:rsidP="001A130B">
            <w:pPr>
              <w:spacing w:after="0" w:line="240" w:lineRule="auto"/>
              <w:rPr>
                <w:rFonts w:ascii="Arial" w:eastAsia="Times New Roman" w:hAnsi="Arial" w:cs="Arial"/>
                <w:b/>
                <w:bCs/>
                <w:color w:val="39414D"/>
                <w:szCs w:val="18"/>
              </w:rPr>
            </w:pPr>
          </w:p>
        </w:tc>
        <w:tc>
          <w:tcPr>
            <w:tcW w:w="1306" w:type="dxa"/>
            <w:tcBorders>
              <w:top w:val="nil"/>
              <w:left w:val="nil"/>
              <w:bottom w:val="nil"/>
              <w:right w:val="nil"/>
            </w:tcBorders>
            <w:shd w:val="clear" w:color="auto" w:fill="auto"/>
            <w:noWrap/>
            <w:vAlign w:val="center"/>
            <w:hideMark/>
          </w:tcPr>
          <w:p w14:paraId="2AB55722" w14:textId="77777777" w:rsidR="001A130B" w:rsidRPr="00387271" w:rsidRDefault="001A130B" w:rsidP="001A130B">
            <w:pPr>
              <w:spacing w:after="0" w:line="240" w:lineRule="auto"/>
              <w:jc w:val="right"/>
              <w:rPr>
                <w:rFonts w:ascii="Times New Roman" w:eastAsia="Times New Roman" w:hAnsi="Times New Roman" w:cs="Times New Roman"/>
                <w:sz w:val="20"/>
                <w:szCs w:val="20"/>
              </w:rPr>
            </w:pPr>
          </w:p>
        </w:tc>
        <w:tc>
          <w:tcPr>
            <w:tcW w:w="1307" w:type="dxa"/>
            <w:tcBorders>
              <w:top w:val="nil"/>
              <w:left w:val="nil"/>
              <w:bottom w:val="nil"/>
              <w:right w:val="nil"/>
            </w:tcBorders>
            <w:shd w:val="clear" w:color="auto" w:fill="auto"/>
            <w:noWrap/>
            <w:vAlign w:val="center"/>
            <w:hideMark/>
          </w:tcPr>
          <w:p w14:paraId="09DC8447" w14:textId="77777777" w:rsidR="001A130B" w:rsidRPr="00387271" w:rsidRDefault="001A130B" w:rsidP="001A130B">
            <w:pPr>
              <w:spacing w:after="0" w:line="240" w:lineRule="auto"/>
              <w:jc w:val="right"/>
              <w:rPr>
                <w:rFonts w:ascii="Times New Roman" w:eastAsia="Times New Roman" w:hAnsi="Times New Roman" w:cs="Times New Roman"/>
                <w:sz w:val="20"/>
                <w:szCs w:val="20"/>
              </w:rPr>
            </w:pPr>
          </w:p>
        </w:tc>
      </w:tr>
      <w:tr w:rsidR="001A130B" w:rsidRPr="00387271" w14:paraId="6796C575" w14:textId="77777777" w:rsidTr="007B5C25">
        <w:trPr>
          <w:trHeight w:val="240"/>
        </w:trPr>
        <w:tc>
          <w:tcPr>
            <w:tcW w:w="4939" w:type="dxa"/>
            <w:tcBorders>
              <w:top w:val="nil"/>
              <w:left w:val="nil"/>
              <w:bottom w:val="nil"/>
              <w:right w:val="nil"/>
            </w:tcBorders>
            <w:shd w:val="clear" w:color="000000" w:fill="E8E9E9"/>
            <w:noWrap/>
            <w:vAlign w:val="center"/>
            <w:hideMark/>
          </w:tcPr>
          <w:p w14:paraId="73C99881" w14:textId="77777777" w:rsidR="001A130B" w:rsidRPr="00387271" w:rsidRDefault="001A130B" w:rsidP="001A130B">
            <w:pPr>
              <w:spacing w:after="0" w:line="240" w:lineRule="auto"/>
              <w:rPr>
                <w:rFonts w:ascii="Arial" w:eastAsia="Times New Roman" w:hAnsi="Arial" w:cs="Arial"/>
                <w:color w:val="39414D"/>
                <w:szCs w:val="18"/>
              </w:rPr>
            </w:pPr>
            <w:r w:rsidRPr="00387271">
              <w:rPr>
                <w:rFonts w:ascii="Arial" w:eastAsia="Times New Roman" w:hAnsi="Arial" w:cs="Arial"/>
                <w:color w:val="39414D"/>
                <w:szCs w:val="18"/>
              </w:rPr>
              <w:t>Risk Margin</w:t>
            </w:r>
          </w:p>
        </w:tc>
        <w:tc>
          <w:tcPr>
            <w:tcW w:w="1306" w:type="dxa"/>
            <w:tcBorders>
              <w:top w:val="nil"/>
              <w:left w:val="nil"/>
              <w:bottom w:val="nil"/>
              <w:right w:val="nil"/>
            </w:tcBorders>
            <w:shd w:val="clear" w:color="000000" w:fill="E8E9E9"/>
            <w:noWrap/>
            <w:vAlign w:val="center"/>
            <w:hideMark/>
          </w:tcPr>
          <w:p w14:paraId="17EC7BAF" w14:textId="65E7C14C" w:rsidR="001A130B" w:rsidRPr="00387271"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307" w:type="dxa"/>
            <w:tcBorders>
              <w:top w:val="nil"/>
              <w:left w:val="nil"/>
              <w:bottom w:val="nil"/>
              <w:right w:val="nil"/>
            </w:tcBorders>
            <w:shd w:val="clear" w:color="000000" w:fill="E8E9E9"/>
            <w:noWrap/>
            <w:vAlign w:val="center"/>
            <w:hideMark/>
          </w:tcPr>
          <w:p w14:paraId="6651B4ED" w14:textId="06EF71FB" w:rsidR="001A130B" w:rsidRPr="00387271" w:rsidRDefault="001A130B" w:rsidP="001A130B">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r>
      <w:tr w:rsidR="001A130B" w:rsidRPr="00387271" w14:paraId="47F7BDFA" w14:textId="77777777" w:rsidTr="007B5C25">
        <w:trPr>
          <w:trHeight w:val="240"/>
        </w:trPr>
        <w:tc>
          <w:tcPr>
            <w:tcW w:w="4939" w:type="dxa"/>
            <w:tcBorders>
              <w:top w:val="nil"/>
              <w:left w:val="nil"/>
              <w:bottom w:val="nil"/>
              <w:right w:val="nil"/>
            </w:tcBorders>
            <w:shd w:val="clear" w:color="auto" w:fill="auto"/>
            <w:noWrap/>
            <w:vAlign w:val="center"/>
            <w:hideMark/>
          </w:tcPr>
          <w:p w14:paraId="1E21FFC9" w14:textId="77777777" w:rsidR="001A130B" w:rsidRPr="00387271" w:rsidRDefault="001A130B" w:rsidP="001A130B">
            <w:pPr>
              <w:spacing w:after="0" w:line="240" w:lineRule="auto"/>
              <w:rPr>
                <w:rFonts w:ascii="Arial" w:eastAsia="Times New Roman" w:hAnsi="Arial" w:cs="Arial"/>
                <w:b/>
                <w:bCs/>
                <w:color w:val="39414D"/>
                <w:szCs w:val="18"/>
              </w:rPr>
            </w:pPr>
            <w:r w:rsidRPr="00387271">
              <w:rPr>
                <w:rFonts w:ascii="Arial" w:eastAsia="Times New Roman" w:hAnsi="Arial" w:cs="Arial"/>
                <w:b/>
                <w:bCs/>
                <w:color w:val="39414D"/>
                <w:szCs w:val="18"/>
              </w:rPr>
              <w:t>Total Non-Benefit Expense (Excluding Fees and Taxes)</w:t>
            </w:r>
          </w:p>
        </w:tc>
        <w:tc>
          <w:tcPr>
            <w:tcW w:w="1306" w:type="dxa"/>
            <w:tcBorders>
              <w:top w:val="nil"/>
              <w:left w:val="nil"/>
              <w:bottom w:val="nil"/>
              <w:right w:val="nil"/>
            </w:tcBorders>
            <w:shd w:val="clear" w:color="auto" w:fill="auto"/>
            <w:noWrap/>
            <w:vAlign w:val="center"/>
            <w:hideMark/>
          </w:tcPr>
          <w:p w14:paraId="195E732D" w14:textId="2AF456D8" w:rsidR="001A130B" w:rsidRPr="00387271" w:rsidRDefault="001A130B" w:rsidP="001A130B">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9.75% </w:t>
            </w:r>
          </w:p>
        </w:tc>
        <w:tc>
          <w:tcPr>
            <w:tcW w:w="1307" w:type="dxa"/>
            <w:tcBorders>
              <w:top w:val="nil"/>
              <w:left w:val="nil"/>
              <w:bottom w:val="nil"/>
              <w:right w:val="nil"/>
            </w:tcBorders>
            <w:shd w:val="clear" w:color="auto" w:fill="auto"/>
            <w:noWrap/>
            <w:vAlign w:val="center"/>
            <w:hideMark/>
          </w:tcPr>
          <w:p w14:paraId="57753ED1" w14:textId="7AB459D5" w:rsidR="001A130B" w:rsidRPr="00387271" w:rsidRDefault="001A130B" w:rsidP="001A130B">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9.75% </w:t>
            </w:r>
          </w:p>
        </w:tc>
      </w:tr>
    </w:tbl>
    <w:p w14:paraId="195497B8" w14:textId="78494400" w:rsidR="00D77208" w:rsidRDefault="00D77208" w:rsidP="002C280A">
      <w:pPr>
        <w:pStyle w:val="RRBody"/>
        <w:spacing w:after="0" w:line="240" w:lineRule="auto"/>
        <w:rPr>
          <w:rFonts w:ascii="Arial" w:eastAsia="Times New Roman" w:hAnsi="Arial" w:cs="Arial"/>
          <w:color w:val="727A7D"/>
          <w:szCs w:val="18"/>
        </w:rPr>
      </w:pPr>
    </w:p>
    <w:p w14:paraId="2DC2A00C" w14:textId="0849959A" w:rsidR="00915AB3" w:rsidRDefault="007166DA" w:rsidP="002C280A">
      <w:pPr>
        <w:pStyle w:val="RRBody"/>
        <w:spacing w:after="0" w:line="240" w:lineRule="auto"/>
      </w:pPr>
      <w:r>
        <w:t>The SFY 2023 non-benefit expense load assumptions are consistent with the SFY 2022 non-benefit expense load assumptions.</w:t>
      </w:r>
    </w:p>
    <w:p w14:paraId="33FBEDDB" w14:textId="77777777" w:rsidR="00915AB3" w:rsidRDefault="00915AB3" w:rsidP="002C280A">
      <w:pPr>
        <w:pStyle w:val="RRBody"/>
        <w:spacing w:after="0" w:line="240" w:lineRule="auto"/>
        <w:rPr>
          <w:rFonts w:ascii="Arial" w:eastAsia="Times New Roman" w:hAnsi="Arial" w:cs="Arial"/>
          <w:color w:val="727A7D"/>
          <w:szCs w:val="18"/>
        </w:rPr>
      </w:pPr>
    </w:p>
    <w:p w14:paraId="613AA5DA" w14:textId="7A9D3D40" w:rsidR="008B10D9" w:rsidRPr="00C93468" w:rsidRDefault="008B10D9" w:rsidP="00622097">
      <w:pPr>
        <w:pStyle w:val="Heading3"/>
        <w:jc w:val="both"/>
      </w:pPr>
      <w:bookmarkStart w:id="548" w:name="_Toc466028187"/>
      <w:bookmarkStart w:id="549" w:name="_Toc496172587"/>
      <w:bookmarkStart w:id="550" w:name="_Toc8985079"/>
      <w:bookmarkStart w:id="551" w:name="_Toc100260776"/>
      <w:r w:rsidRPr="00C93468">
        <w:t>Assumption Differences Relative to Other Medicaid Populations</w:t>
      </w:r>
      <w:bookmarkEnd w:id="548"/>
      <w:bookmarkEnd w:id="549"/>
      <w:bookmarkEnd w:id="550"/>
      <w:bookmarkEnd w:id="551"/>
    </w:p>
    <w:p w14:paraId="21F98F70" w14:textId="105E8A36" w:rsidR="008B10D9" w:rsidRPr="008B10D9" w:rsidRDefault="00B06709" w:rsidP="00622097">
      <w:pPr>
        <w:jc w:val="both"/>
      </w:pPr>
      <w:r>
        <w:t>Figure</w:t>
      </w:r>
      <w:r w:rsidR="008B10D9" w:rsidRPr="008B10D9">
        <w:t xml:space="preserve"> </w:t>
      </w:r>
      <w:r w:rsidR="00403682">
        <w:t>2</w:t>
      </w:r>
      <w:r w:rsidR="00273A3D">
        <w:t>6</w:t>
      </w:r>
      <w:r w:rsidR="00403682" w:rsidRPr="008B10D9">
        <w:t xml:space="preserve"> </w:t>
      </w:r>
      <w:r w:rsidR="008B10D9" w:rsidRPr="008B10D9">
        <w:t xml:space="preserve">provides the non-benefit expense assumptions for the </w:t>
      </w:r>
      <w:r w:rsidR="00F62335">
        <w:t>Medicaid Expansion</w:t>
      </w:r>
      <w:r w:rsidR="00F62335" w:rsidRPr="008B10D9">
        <w:t xml:space="preserve"> </w:t>
      </w:r>
      <w:r w:rsidR="008B10D9" w:rsidRPr="008B10D9">
        <w:t>population and other populations</w:t>
      </w:r>
      <w:r w:rsidR="00F62335">
        <w:t xml:space="preserve"> administered by EOHHS</w:t>
      </w:r>
      <w:r w:rsidR="008B10D9" w:rsidRPr="008B10D9">
        <w:t xml:space="preserve">. </w:t>
      </w:r>
      <w:r w:rsidR="00B944C9" w:rsidRPr="00B944C9">
        <w:t xml:space="preserve">Any differences among </w:t>
      </w:r>
      <w:r w:rsidR="00B944C9">
        <w:t xml:space="preserve">assumptions </w:t>
      </w:r>
      <w:r w:rsidR="00B944C9" w:rsidRPr="00B944C9">
        <w:t>according to covered populations are based on valid rate development standards and are not based on the rate of federal financial participation associated with the covered populations</w:t>
      </w:r>
      <w:r w:rsidR="00F62335">
        <w:t>.</w:t>
      </w:r>
    </w:p>
    <w:p w14:paraId="1850EB0F" w14:textId="1EF2B9A0" w:rsidR="008B10D9" w:rsidRPr="00C93468" w:rsidRDefault="008B10D9" w:rsidP="00622097">
      <w:pPr>
        <w:pStyle w:val="Heading2"/>
        <w:jc w:val="both"/>
      </w:pPr>
      <w:bookmarkStart w:id="552" w:name="_Toc466028188"/>
      <w:bookmarkStart w:id="553" w:name="_Toc496172588"/>
      <w:bookmarkStart w:id="554" w:name="_Toc8985080"/>
      <w:bookmarkStart w:id="555" w:name="_Toc100260777"/>
      <w:r w:rsidRPr="00C93468">
        <w:t>Final Certified Rates</w:t>
      </w:r>
      <w:bookmarkEnd w:id="552"/>
      <w:bookmarkEnd w:id="553"/>
      <w:bookmarkEnd w:id="554"/>
      <w:bookmarkEnd w:id="555"/>
    </w:p>
    <w:p w14:paraId="73564E2D" w14:textId="77777777" w:rsidR="00E50ECA" w:rsidRDefault="00E50ECA" w:rsidP="00622097">
      <w:pPr>
        <w:pStyle w:val="Heading3"/>
        <w:numPr>
          <w:ilvl w:val="1"/>
          <w:numId w:val="46"/>
        </w:numPr>
        <w:jc w:val="both"/>
      </w:pPr>
      <w:bookmarkStart w:id="556" w:name="_Toc8985081"/>
      <w:bookmarkStart w:id="557" w:name="_Toc100260778"/>
      <w:bookmarkStart w:id="558" w:name="_Toc466028189"/>
      <w:bookmarkStart w:id="559" w:name="_Toc496172589"/>
      <w:r>
        <w:t>CMS Requests</w:t>
      </w:r>
      <w:bookmarkEnd w:id="556"/>
      <w:bookmarkEnd w:id="557"/>
    </w:p>
    <w:p w14:paraId="5102093C" w14:textId="136C1B11" w:rsidR="008B10D9" w:rsidRPr="00C93468" w:rsidRDefault="008B10D9" w:rsidP="00622097">
      <w:pPr>
        <w:pStyle w:val="Heading4"/>
      </w:pPr>
      <w:bookmarkStart w:id="560" w:name="_Toc8985082"/>
      <w:bookmarkStart w:id="561" w:name="_Toc100260779"/>
      <w:r w:rsidRPr="00C93468">
        <w:t>Comparison to Previous Certification</w:t>
      </w:r>
      <w:bookmarkEnd w:id="558"/>
      <w:bookmarkEnd w:id="559"/>
      <w:bookmarkEnd w:id="560"/>
      <w:bookmarkEnd w:id="561"/>
    </w:p>
    <w:p w14:paraId="53321B2F" w14:textId="006E286E" w:rsidR="00E45446" w:rsidRDefault="00E45446" w:rsidP="00622097">
      <w:pPr>
        <w:jc w:val="both"/>
      </w:pPr>
      <w:r>
        <w:t xml:space="preserve">Appendix </w:t>
      </w:r>
      <w:r w:rsidR="00403682">
        <w:t xml:space="preserve">4 </w:t>
      </w:r>
      <w:r w:rsidR="00043814">
        <w:t>illustrates</w:t>
      </w:r>
      <w:r w:rsidR="00F62335">
        <w:t xml:space="preserve"> </w:t>
      </w:r>
      <w:r>
        <w:t xml:space="preserve">a comparison of the SFY </w:t>
      </w:r>
      <w:r w:rsidR="00403682">
        <w:t xml:space="preserve">2022 </w:t>
      </w:r>
      <w:r w:rsidR="00043814">
        <w:t xml:space="preserve">and </w:t>
      </w:r>
      <w:r>
        <w:t xml:space="preserve">SFY </w:t>
      </w:r>
      <w:r w:rsidR="00403682">
        <w:t xml:space="preserve">2023 </w:t>
      </w:r>
      <w:r w:rsidR="00043814">
        <w:t xml:space="preserve">capitation </w:t>
      </w:r>
      <w:r>
        <w:t>rates</w:t>
      </w:r>
      <w:r w:rsidR="00F62335">
        <w:t>.</w:t>
      </w:r>
    </w:p>
    <w:p w14:paraId="2917CFAE" w14:textId="77777777" w:rsidR="008B10D9" w:rsidRPr="00C93468" w:rsidRDefault="008B10D9" w:rsidP="00622097">
      <w:pPr>
        <w:pStyle w:val="Heading4"/>
      </w:pPr>
      <w:bookmarkStart w:id="562" w:name="_Toc466028190"/>
      <w:bookmarkStart w:id="563" w:name="_Toc496172590"/>
      <w:bookmarkStart w:id="564" w:name="_Toc8985083"/>
      <w:bookmarkStart w:id="565" w:name="_Toc100260780"/>
      <w:r w:rsidRPr="00C93468">
        <w:t>Description of Other Material Changes to the Capitation Rates</w:t>
      </w:r>
      <w:bookmarkEnd w:id="562"/>
      <w:bookmarkEnd w:id="563"/>
      <w:bookmarkEnd w:id="564"/>
      <w:bookmarkEnd w:id="565"/>
    </w:p>
    <w:p w14:paraId="11871B7C" w14:textId="35C0BC32" w:rsidR="008B10D9" w:rsidRDefault="00043814" w:rsidP="00622097">
      <w:pPr>
        <w:jc w:val="both"/>
      </w:pPr>
      <w:r>
        <w:t>A</w:t>
      </w:r>
      <w:r w:rsidR="008B10D9" w:rsidRPr="008B10D9">
        <w:t xml:space="preserve">ll material changes to the </w:t>
      </w:r>
      <w:r w:rsidR="00F62335">
        <w:t>Medicaid Expansion</w:t>
      </w:r>
      <w:r w:rsidR="00F62335" w:rsidRPr="008B10D9">
        <w:t xml:space="preserve"> </w:t>
      </w:r>
      <w:r w:rsidR="008B10D9" w:rsidRPr="008B10D9">
        <w:t>rate development methodology</w:t>
      </w:r>
      <w:r>
        <w:t xml:space="preserve"> are outlined in this report</w:t>
      </w:r>
      <w:r w:rsidR="008B10D9" w:rsidRPr="008B10D9">
        <w:t>.</w:t>
      </w:r>
    </w:p>
    <w:p w14:paraId="07360C4A" w14:textId="4A7A4DC0" w:rsidR="008B10D9" w:rsidRPr="00C93468" w:rsidRDefault="008B10D9" w:rsidP="00622097">
      <w:pPr>
        <w:pStyle w:val="Heading2"/>
        <w:jc w:val="both"/>
      </w:pPr>
      <w:bookmarkStart w:id="566" w:name="_Toc466028191"/>
      <w:bookmarkStart w:id="567" w:name="_Toc496172591"/>
      <w:bookmarkStart w:id="568" w:name="_Toc8985084"/>
      <w:bookmarkStart w:id="569" w:name="_Toc100260781"/>
      <w:r w:rsidRPr="00C93468">
        <w:t>Risk Mitigation Strategies</w:t>
      </w:r>
      <w:bookmarkEnd w:id="566"/>
      <w:bookmarkEnd w:id="567"/>
      <w:bookmarkEnd w:id="568"/>
      <w:bookmarkEnd w:id="569"/>
    </w:p>
    <w:p w14:paraId="3F8214C0" w14:textId="6B7F9EF8" w:rsidR="008B10D9" w:rsidRPr="00C93468" w:rsidRDefault="008B10D9" w:rsidP="00622097">
      <w:pPr>
        <w:pStyle w:val="Heading3"/>
        <w:numPr>
          <w:ilvl w:val="1"/>
          <w:numId w:val="47"/>
        </w:numPr>
        <w:jc w:val="both"/>
      </w:pPr>
      <w:bookmarkStart w:id="570" w:name="_Toc466028192"/>
      <w:bookmarkStart w:id="571" w:name="_Toc496172592"/>
      <w:bookmarkStart w:id="572" w:name="_Toc8985085"/>
      <w:bookmarkStart w:id="573" w:name="_Toc100260782"/>
      <w:r w:rsidRPr="00C93468">
        <w:t>Description of Risk Mitigation Strategy</w:t>
      </w:r>
      <w:bookmarkEnd w:id="570"/>
      <w:bookmarkEnd w:id="571"/>
      <w:bookmarkEnd w:id="572"/>
      <w:bookmarkEnd w:id="573"/>
    </w:p>
    <w:p w14:paraId="7C62E77B" w14:textId="1D11A3F5" w:rsidR="008B10D9" w:rsidRPr="008B10D9" w:rsidRDefault="00043814" w:rsidP="00622097">
      <w:pPr>
        <w:jc w:val="both"/>
        <w:rPr>
          <w:i/>
        </w:rPr>
      </w:pPr>
      <w:r>
        <w:t xml:space="preserve">The Medicaid expansion population </w:t>
      </w:r>
      <w:r w:rsidR="00063050">
        <w:t>is</w:t>
      </w:r>
      <w:r>
        <w:t xml:space="preserve"> included in the risk mitigation programs</w:t>
      </w:r>
      <w:r w:rsidR="00664071" w:rsidRPr="00664071">
        <w:t xml:space="preserve"> </w:t>
      </w:r>
      <w:r w:rsidR="00664071">
        <w:t>consistent with all other populations as</w:t>
      </w:r>
      <w:r>
        <w:t xml:space="preserve"> outlined in Section I.4 and Section I.6</w:t>
      </w:r>
      <w:r w:rsidR="008B10D9" w:rsidRPr="008B10D9">
        <w:t>.</w:t>
      </w:r>
      <w:r>
        <w:t xml:space="preserve"> There are no risk mitigation strategies specific to the Medicaid Expansion population.</w:t>
      </w:r>
    </w:p>
    <w:p w14:paraId="795762CD" w14:textId="1FC20577" w:rsidR="008B10D9" w:rsidRPr="00C93468" w:rsidRDefault="008B10D9" w:rsidP="00622097">
      <w:pPr>
        <w:pStyle w:val="Heading3"/>
        <w:jc w:val="both"/>
      </w:pPr>
      <w:bookmarkStart w:id="574" w:name="_Toc466028193"/>
      <w:bookmarkStart w:id="575" w:name="_Toc496172593"/>
      <w:bookmarkStart w:id="576" w:name="_Toc8985086"/>
      <w:bookmarkStart w:id="577" w:name="_Toc100260783"/>
      <w:r w:rsidRPr="00C93468">
        <w:t>Changes to Risk Mitigation Strategy Relative to Prior Years</w:t>
      </w:r>
      <w:bookmarkEnd w:id="574"/>
      <w:bookmarkEnd w:id="575"/>
      <w:bookmarkEnd w:id="576"/>
      <w:bookmarkEnd w:id="577"/>
    </w:p>
    <w:p w14:paraId="123D50D1" w14:textId="79933BC7" w:rsidR="00CE2634" w:rsidRPr="00CE2634" w:rsidRDefault="00043814" w:rsidP="00210B59">
      <w:r>
        <w:t>There are no risk mitigation strategies specific to the Medicaid Expansion population</w:t>
      </w:r>
      <w:r w:rsidR="008B10D9" w:rsidRPr="008B10D9">
        <w:t xml:space="preserve">.  </w:t>
      </w:r>
      <w:r w:rsidR="00CE2634" w:rsidRPr="00CE2634">
        <w:br w:type="page"/>
      </w:r>
    </w:p>
    <w:p w14:paraId="55522D3A" w14:textId="0CC06BE7" w:rsidR="00A254F5" w:rsidRDefault="00A254F5" w:rsidP="005E3730">
      <w:pPr>
        <w:pStyle w:val="Heading1"/>
      </w:pPr>
      <w:bookmarkStart w:id="578" w:name="_Toc8985087"/>
      <w:bookmarkStart w:id="579" w:name="_Toc100260784"/>
      <w:r>
        <w:lastRenderedPageBreak/>
        <w:t>Limitations</w:t>
      </w:r>
      <w:bookmarkEnd w:id="578"/>
      <w:bookmarkEnd w:id="579"/>
    </w:p>
    <w:p w14:paraId="4C9DF8F7" w14:textId="77777777" w:rsidR="005E3730" w:rsidRPr="00CB2F8A" w:rsidRDefault="005E3730">
      <w:pPr>
        <w:pStyle w:val="RRSubhead2"/>
        <w:spacing w:line="240" w:lineRule="auto"/>
        <w:contextualSpacing/>
        <w:jc w:val="both"/>
        <w:rPr>
          <w:szCs w:val="18"/>
        </w:rPr>
      </w:pPr>
    </w:p>
    <w:p w14:paraId="6364EEF9" w14:textId="4A37C3BD" w:rsidR="005E3730" w:rsidRDefault="005E3730">
      <w:pPr>
        <w:pStyle w:val="RRBody"/>
        <w:jc w:val="both"/>
      </w:pPr>
      <w:r w:rsidRPr="00CB2F8A">
        <w:t xml:space="preserve">The information contained in this report has been prepared for </w:t>
      </w:r>
      <w:r w:rsidRPr="006F6771">
        <w:t xml:space="preserve">the Rhode Island Executive Office of Health </w:t>
      </w:r>
      <w:r>
        <w:t>and</w:t>
      </w:r>
      <w:r w:rsidRPr="006F6771">
        <w:t xml:space="preserve"> Human Services (EOHHS)</w:t>
      </w:r>
      <w:r>
        <w:t xml:space="preserve"> </w:t>
      </w:r>
      <w:r w:rsidRPr="00CB2F8A">
        <w:t xml:space="preserve">to provide documentation of the methodology and data sources anticipated to be used for developing the certified </w:t>
      </w:r>
      <w:r>
        <w:t>state fiscal year (SFY</w:t>
      </w:r>
      <w:r w:rsidRPr="00CB2F8A">
        <w:t xml:space="preserve">) </w:t>
      </w:r>
      <w:r w:rsidR="002A6264">
        <w:t>2023</w:t>
      </w:r>
      <w:r w:rsidR="002A6264" w:rsidRPr="00CB2F8A">
        <w:t xml:space="preserve"> </w:t>
      </w:r>
      <w:r w:rsidRPr="00CB2F8A">
        <w:t>capitation rates</w:t>
      </w:r>
      <w:r>
        <w:t xml:space="preserve"> for the Rhode Island Medicaid managed care</w:t>
      </w:r>
      <w:r w:rsidRPr="00CB2F8A">
        <w:t xml:space="preserve"> program. The data and information presented may not be appropriate for any other purpose.</w:t>
      </w:r>
    </w:p>
    <w:p w14:paraId="3230BF18" w14:textId="6297C39E" w:rsidR="005E3730" w:rsidRPr="00CB2F8A" w:rsidRDefault="005E3730">
      <w:pPr>
        <w:pStyle w:val="RRBody"/>
        <w:jc w:val="both"/>
      </w:pPr>
      <w:r w:rsidRPr="00CB2F8A">
        <w:t xml:space="preserve">The information contained in this report, including the enclosures, has been prepared for </w:t>
      </w:r>
      <w:r>
        <w:t>EOHHS</w:t>
      </w:r>
      <w:r w:rsidRPr="00CB2F8A">
        <w:t xml:space="preserve"> and their consultants and advisors.  It is our understanding that the information contained in this report may be shared with managed care </w:t>
      </w:r>
      <w:r>
        <w:t>organizations (MCO</w:t>
      </w:r>
      <w:r w:rsidRPr="00CB2F8A">
        <w:t xml:space="preserve">) participating </w:t>
      </w:r>
      <w:r w:rsidR="00BA283A">
        <w:t>in</w:t>
      </w:r>
      <w:r w:rsidR="00BA283A" w:rsidRPr="00CB2F8A">
        <w:t xml:space="preserve"> </w:t>
      </w:r>
      <w:r w:rsidRPr="00CB2F8A">
        <w:t xml:space="preserve">the </w:t>
      </w:r>
      <w:r>
        <w:t>managed care</w:t>
      </w:r>
      <w:r w:rsidRPr="00CB2F8A">
        <w:t xml:space="preserve"> program</w:t>
      </w:r>
      <w:r w:rsidR="00BA283A">
        <w:t xml:space="preserve"> and the Centers for Medicare and Medicaid Services (CMS)</w:t>
      </w:r>
      <w:r w:rsidRPr="00CB2F8A">
        <w:t xml:space="preserve">. Any distribution of the information should be in its entirety. Any user of the data must possess a certain level of expertise in actuarial science and healthcare modeling so as not to misinterpret the information presented. </w:t>
      </w:r>
    </w:p>
    <w:p w14:paraId="131FC022" w14:textId="77777777" w:rsidR="005E3730" w:rsidRPr="00CB2F8A" w:rsidRDefault="005E3730">
      <w:pPr>
        <w:pStyle w:val="RRBody"/>
        <w:jc w:val="both"/>
      </w:pPr>
      <w:r w:rsidRPr="00CB2F8A">
        <w:t xml:space="preserve">Milliman makes no representations or warranties regarding the contents of this report to third parties. Likewise, third parties are instructed that they are to place no reliance upon this report prepared for </w:t>
      </w:r>
      <w:r>
        <w:t>EOHHS</w:t>
      </w:r>
      <w:r w:rsidRPr="00CB2F8A">
        <w:t xml:space="preserve"> by Milliman that would result in the creation of any duty or liability under any theory of law by Milliman or its employees to third parties.  Other parties receiving this report must rely upon their own experts in drawing conclusions about the capitation rates, assumptions, and trends.</w:t>
      </w:r>
    </w:p>
    <w:p w14:paraId="1761369B" w14:textId="585D1841" w:rsidR="008B5E70" w:rsidRPr="00F1669C" w:rsidRDefault="00D0628E" w:rsidP="00C27881">
      <w:pPr>
        <w:jc w:val="both"/>
      </w:pPr>
      <w:bookmarkStart w:id="580" w:name="_Hlk78808484"/>
      <w:r w:rsidRPr="002E5C82">
        <w:t xml:space="preserve">Milliman has developed certain models to estimate the values included in this correspondence. The intent of the models was to </w:t>
      </w:r>
      <w:r>
        <w:t xml:space="preserve">develop the SFY </w:t>
      </w:r>
      <w:r w:rsidR="00B9799C">
        <w:t xml:space="preserve">2023 </w:t>
      </w:r>
      <w:r>
        <w:t>Medicaid managed care capitation rates</w:t>
      </w:r>
      <w:r w:rsidRPr="002E5C82">
        <w:t xml:space="preserve">. We have reviewed the models, including their inputs, calculations, and outputs for consistency, reasonableness, and appropriateness to the intended purpose and in compliance with generally accepted actuarial practice and relevant actuarial standards of practice (ASOP). The models rely on data and information as input to the models. We have relied upon certain data and information provided by EOHHS </w:t>
      </w:r>
      <w:r>
        <w:t xml:space="preserve">and the MCOs </w:t>
      </w:r>
      <w:r w:rsidRPr="002E5C82">
        <w:t xml:space="preserve">for this purpose and accepted it without audit. To the extent that the data and information provided is not accurate, or is not complete, the values provided in this correspondence may likewise be inaccurate or incomplete. Milliman’s data and information reliance includes </w:t>
      </w:r>
      <w:r>
        <w:t>the data sources outlined in the body of this report</w:t>
      </w:r>
      <w:r w:rsidRPr="002E5C82">
        <w:t>. The models, including all input, calculations, and output may not be appropriate for any other purpose</w:t>
      </w:r>
      <w:r w:rsidR="008B5E70" w:rsidRPr="00F1669C">
        <w:t>.</w:t>
      </w:r>
    </w:p>
    <w:p w14:paraId="323273EB" w14:textId="584430A3" w:rsidR="00F400D3" w:rsidRDefault="00F400D3">
      <w:pPr>
        <w:pStyle w:val="RRBody"/>
        <w:jc w:val="both"/>
      </w:pPr>
      <w:bookmarkStart w:id="581" w:name="_Hlk78808609"/>
      <w:bookmarkEnd w:id="580"/>
      <w:r>
        <w:t xml:space="preserve">It should be emphasized that capitation rates are a projection of future costs based on a set of assumptions. </w:t>
      </w:r>
      <w:r w:rsidR="00BA283A" w:rsidRPr="00BA283A">
        <w:t>Differences between our projections and actual amounts depend on the extent to which future experience conforms to the assumptions made for this analysis. It is certain that actual experience will not conform exactly to the assumptions used in this analysis. Actual amounts will differ from projected amounts to the extent that actual experience deviates from expected experience</w:t>
      </w:r>
      <w:r>
        <w:t>.</w:t>
      </w:r>
    </w:p>
    <w:p w14:paraId="7859F2D7" w14:textId="77777777" w:rsidR="00BA2DDB" w:rsidRPr="0084059A" w:rsidRDefault="00BA2DDB" w:rsidP="00BA2DDB">
      <w:pPr>
        <w:pStyle w:val="RRBody"/>
        <w:spacing w:after="200"/>
      </w:pPr>
      <w:r w:rsidRPr="0084059A">
        <w:rPr>
          <w:rFonts w:cs="Arial"/>
          <w:bCs/>
        </w:rPr>
        <w:t xml:space="preserve">At the time of this report, we acknowledge there is substantial uncertainty regarding the impact of the COVID-19 pandemic on future projections. It is possible that the COVID-19 pandemic could have a material impact on the projected enrollment and capitation rates presented in this report. </w:t>
      </w:r>
    </w:p>
    <w:bookmarkEnd w:id="581"/>
    <w:p w14:paraId="1E3F8568" w14:textId="41611D94" w:rsidR="005E3730" w:rsidRPr="00CB2F8A" w:rsidRDefault="005E3730">
      <w:pPr>
        <w:pStyle w:val="RRBody"/>
        <w:jc w:val="both"/>
      </w:pPr>
      <w:r w:rsidRPr="00B9110E">
        <w:t xml:space="preserve">The services provided by Milliman to EOHHS were performed under the signed contract agreement between Milliman and EOHHS dated </w:t>
      </w:r>
      <w:r w:rsidR="002564F0">
        <w:t>March 10</w:t>
      </w:r>
      <w:r w:rsidR="00BA2DDB">
        <w:t xml:space="preserve">, </w:t>
      </w:r>
      <w:r w:rsidR="00721FEA">
        <w:t>2022</w:t>
      </w:r>
      <w:r w:rsidRPr="00B9110E">
        <w:t xml:space="preserve">. </w:t>
      </w:r>
    </w:p>
    <w:p w14:paraId="069CEF27" w14:textId="164A625E" w:rsidR="00960F51" w:rsidRDefault="005E3730">
      <w:pPr>
        <w:pStyle w:val="RRBody"/>
        <w:jc w:val="both"/>
        <w:sectPr w:rsidR="00960F51" w:rsidSect="00987971">
          <w:headerReference w:type="even" r:id="rId21"/>
          <w:headerReference w:type="default" r:id="rId22"/>
          <w:footerReference w:type="default" r:id="rId23"/>
          <w:headerReference w:type="first" r:id="rId24"/>
          <w:footerReference w:type="first" r:id="rId25"/>
          <w:pgSz w:w="12240" w:h="15840" w:code="1"/>
          <w:pgMar w:top="1440" w:right="1440" w:bottom="1080" w:left="1440" w:header="720" w:footer="720" w:gutter="0"/>
          <w:pgNumType w:start="1"/>
          <w:cols w:space="720"/>
          <w:titlePg/>
          <w:docGrid w:linePitch="360"/>
        </w:sectPr>
      </w:pPr>
      <w:r w:rsidRPr="00CB2F8A">
        <w:rPr>
          <w:rFonts w:cs="Arial"/>
        </w:rPr>
        <w:t>Guidelines issued by the American Academy of Actuaries require actuaries to include their professional qualifications in all actuarial communications. The authors of this report are members of the American Academy of Actuaries and meet the qualification standards for performing the analyses contained herein.</w:t>
      </w:r>
    </w:p>
    <w:p w14:paraId="4D8F6709" w14:textId="2F3AE805" w:rsidR="002E07B6" w:rsidRDefault="002E07B6" w:rsidP="00406EB3">
      <w:pPr>
        <w:pStyle w:val="Heading1"/>
        <w:jc w:val="center"/>
      </w:pPr>
      <w:bookmarkStart w:id="582" w:name="_Toc8985088"/>
      <w:bookmarkStart w:id="583" w:name="_Toc100260785"/>
      <w:r>
        <w:lastRenderedPageBreak/>
        <w:t xml:space="preserve">Appendix </w:t>
      </w:r>
      <w:r w:rsidR="00805A9B">
        <w:t>1</w:t>
      </w:r>
      <w:r>
        <w:t xml:space="preserve">: </w:t>
      </w:r>
      <w:r w:rsidR="00CE2634">
        <w:t xml:space="preserve">Actuarial </w:t>
      </w:r>
      <w:r w:rsidR="00871AB1">
        <w:t>C</w:t>
      </w:r>
      <w:r w:rsidR="00CE2634">
        <w:t>ertification</w:t>
      </w:r>
      <w:bookmarkEnd w:id="582"/>
      <w:bookmarkEnd w:id="583"/>
    </w:p>
    <w:p w14:paraId="1170A322" w14:textId="77777777" w:rsidR="002E07B6" w:rsidRDefault="002E07B6" w:rsidP="00210B59">
      <w:pPr>
        <w:pStyle w:val="RRBody"/>
        <w:sectPr w:rsidR="002E07B6" w:rsidSect="00F97655">
          <w:headerReference w:type="even" r:id="rId26"/>
          <w:headerReference w:type="default" r:id="rId27"/>
          <w:headerReference w:type="first" r:id="rId28"/>
          <w:footerReference w:type="first" r:id="rId29"/>
          <w:pgSz w:w="12240" w:h="15840" w:code="1"/>
          <w:pgMar w:top="1440" w:right="1440" w:bottom="1440" w:left="1440" w:header="720" w:footer="720" w:gutter="0"/>
          <w:cols w:space="720"/>
          <w:vAlign w:val="center"/>
          <w:titlePg/>
          <w:docGrid w:linePitch="360"/>
        </w:sectPr>
      </w:pPr>
    </w:p>
    <w:p w14:paraId="6A6B467F" w14:textId="26782954" w:rsidR="00E332EE" w:rsidRDefault="00E332EE" w:rsidP="00E332EE">
      <w:pPr>
        <w:spacing w:after="0"/>
        <w:jc w:val="center"/>
        <w:rPr>
          <w:rFonts w:cs="Arial"/>
          <w:b/>
          <w:sz w:val="20"/>
          <w:szCs w:val="20"/>
        </w:rPr>
      </w:pPr>
      <w:r>
        <w:rPr>
          <w:rFonts w:cs="Arial"/>
          <w:b/>
          <w:sz w:val="20"/>
          <w:szCs w:val="20"/>
        </w:rPr>
        <w:lastRenderedPageBreak/>
        <w:t xml:space="preserve">State of </w:t>
      </w:r>
      <w:r w:rsidR="0054027C">
        <w:rPr>
          <w:rFonts w:cs="Arial"/>
          <w:b/>
          <w:sz w:val="20"/>
          <w:szCs w:val="20"/>
        </w:rPr>
        <w:t>Rhode Island</w:t>
      </w:r>
    </w:p>
    <w:p w14:paraId="307C657B" w14:textId="125FB5E2" w:rsidR="00E332EE" w:rsidRDefault="0054027C" w:rsidP="00E332EE">
      <w:pPr>
        <w:spacing w:after="0"/>
        <w:jc w:val="center"/>
        <w:rPr>
          <w:rFonts w:cs="Arial"/>
          <w:b/>
          <w:sz w:val="20"/>
          <w:szCs w:val="20"/>
        </w:rPr>
      </w:pPr>
      <w:r>
        <w:rPr>
          <w:rFonts w:cs="Arial"/>
          <w:b/>
          <w:sz w:val="20"/>
          <w:szCs w:val="20"/>
        </w:rPr>
        <w:t>Executive Office of Health and Human Services</w:t>
      </w:r>
    </w:p>
    <w:p w14:paraId="2F4DF661" w14:textId="19D6FBD6" w:rsidR="00E332EE" w:rsidRDefault="00B52EB3" w:rsidP="00E332EE">
      <w:pPr>
        <w:spacing w:after="0"/>
        <w:jc w:val="center"/>
        <w:rPr>
          <w:rFonts w:cs="Arial"/>
          <w:b/>
          <w:sz w:val="20"/>
          <w:szCs w:val="20"/>
        </w:rPr>
      </w:pPr>
      <w:r>
        <w:rPr>
          <w:rFonts w:cs="Arial"/>
          <w:b/>
          <w:sz w:val="20"/>
          <w:szCs w:val="20"/>
        </w:rPr>
        <w:t xml:space="preserve">State Fiscal Year </w:t>
      </w:r>
      <w:r w:rsidR="002A6264">
        <w:rPr>
          <w:rFonts w:cs="Arial"/>
          <w:b/>
          <w:sz w:val="20"/>
          <w:szCs w:val="20"/>
        </w:rPr>
        <w:t xml:space="preserve">2023 </w:t>
      </w:r>
      <w:r w:rsidR="00E332EE">
        <w:rPr>
          <w:rFonts w:cs="Arial"/>
          <w:b/>
          <w:sz w:val="20"/>
          <w:szCs w:val="20"/>
        </w:rPr>
        <w:t xml:space="preserve">Capitation Rates </w:t>
      </w:r>
    </w:p>
    <w:p w14:paraId="5CF1A0C8" w14:textId="77777777" w:rsidR="00E332EE" w:rsidRDefault="00E332EE" w:rsidP="00E332EE">
      <w:pPr>
        <w:spacing w:after="0"/>
        <w:jc w:val="center"/>
        <w:rPr>
          <w:rFonts w:cs="Arial"/>
          <w:b/>
          <w:sz w:val="20"/>
          <w:szCs w:val="20"/>
        </w:rPr>
      </w:pPr>
      <w:r>
        <w:rPr>
          <w:rFonts w:cs="Arial"/>
          <w:b/>
          <w:sz w:val="20"/>
          <w:szCs w:val="20"/>
        </w:rPr>
        <w:t>Medicaid Managed Care</w:t>
      </w:r>
    </w:p>
    <w:p w14:paraId="3CB205AD" w14:textId="77777777" w:rsidR="00E332EE" w:rsidRPr="0086341A" w:rsidRDefault="00E332EE" w:rsidP="00E332EE">
      <w:pPr>
        <w:spacing w:after="0"/>
        <w:jc w:val="center"/>
        <w:rPr>
          <w:rFonts w:cs="Arial"/>
          <w:b/>
          <w:sz w:val="8"/>
          <w:szCs w:val="8"/>
        </w:rPr>
      </w:pPr>
    </w:p>
    <w:p w14:paraId="1490A2B4" w14:textId="77777777" w:rsidR="00E332EE" w:rsidRPr="00933BDB" w:rsidRDefault="00E332EE" w:rsidP="00E332EE">
      <w:pPr>
        <w:spacing w:after="0"/>
        <w:jc w:val="center"/>
        <w:rPr>
          <w:rFonts w:cs="Arial"/>
          <w:b/>
          <w:sz w:val="20"/>
          <w:szCs w:val="20"/>
        </w:rPr>
      </w:pPr>
      <w:r w:rsidRPr="00933BDB">
        <w:rPr>
          <w:rFonts w:cs="Arial"/>
          <w:b/>
          <w:sz w:val="20"/>
          <w:szCs w:val="20"/>
        </w:rPr>
        <w:t>Actuarial Certification</w:t>
      </w:r>
    </w:p>
    <w:p w14:paraId="0BBE999A" w14:textId="77777777" w:rsidR="00E332EE" w:rsidRPr="0086341A" w:rsidRDefault="00E332EE" w:rsidP="00E332EE">
      <w:pPr>
        <w:spacing w:after="0"/>
        <w:jc w:val="center"/>
        <w:rPr>
          <w:rFonts w:cs="Arial"/>
          <w:b/>
          <w:sz w:val="8"/>
          <w:szCs w:val="8"/>
        </w:rPr>
      </w:pPr>
    </w:p>
    <w:p w14:paraId="2A1763FE" w14:textId="36C3EF49" w:rsidR="00E332EE" w:rsidRPr="00933BDB" w:rsidRDefault="00E332EE" w:rsidP="00CF01D7">
      <w:pPr>
        <w:spacing w:after="60"/>
        <w:jc w:val="both"/>
        <w:rPr>
          <w:rFonts w:cs="Arial"/>
          <w:sz w:val="17"/>
          <w:szCs w:val="17"/>
        </w:rPr>
      </w:pPr>
      <w:r w:rsidRPr="00933BDB">
        <w:rPr>
          <w:rFonts w:cs="Arial"/>
          <w:sz w:val="17"/>
          <w:szCs w:val="17"/>
        </w:rPr>
        <w:t xml:space="preserve">I, </w:t>
      </w:r>
      <w:r w:rsidR="0054027C">
        <w:rPr>
          <w:rFonts w:cs="Arial"/>
          <w:sz w:val="17"/>
          <w:szCs w:val="17"/>
        </w:rPr>
        <w:t>Jason A. Clarkson</w:t>
      </w:r>
      <w:r w:rsidRPr="00933BDB">
        <w:rPr>
          <w:rFonts w:cs="Arial"/>
          <w:sz w:val="17"/>
          <w:szCs w:val="17"/>
        </w:rPr>
        <w:t xml:space="preserve">, am a Principal and Consulting Actuary with the firm of Milliman, Inc. I am a Member of the American Academy of Actuaries and a Fellow of the Society of Actuaries. I meet the qualification standards established by the American Academy of Actuaries and have followed the standards of practice established by the Actuarial Standards Board. </w:t>
      </w:r>
      <w:r w:rsidRPr="001F7064">
        <w:rPr>
          <w:rFonts w:cs="Arial"/>
          <w:sz w:val="17"/>
          <w:szCs w:val="17"/>
        </w:rPr>
        <w:t xml:space="preserve">I have been </w:t>
      </w:r>
      <w:r>
        <w:rPr>
          <w:rFonts w:cs="Arial"/>
          <w:sz w:val="17"/>
          <w:szCs w:val="17"/>
        </w:rPr>
        <w:t>contracted</w:t>
      </w:r>
      <w:r w:rsidRPr="001F7064">
        <w:rPr>
          <w:rFonts w:cs="Arial"/>
          <w:sz w:val="17"/>
          <w:szCs w:val="17"/>
        </w:rPr>
        <w:t xml:space="preserve"> by the State of </w:t>
      </w:r>
      <w:r w:rsidR="0054027C">
        <w:rPr>
          <w:rFonts w:cs="Arial"/>
          <w:sz w:val="17"/>
          <w:szCs w:val="17"/>
        </w:rPr>
        <w:t>Rhode Island</w:t>
      </w:r>
      <w:r>
        <w:rPr>
          <w:rFonts w:cs="Arial"/>
          <w:sz w:val="17"/>
          <w:szCs w:val="17"/>
        </w:rPr>
        <w:t xml:space="preserve">, </w:t>
      </w:r>
      <w:r w:rsidR="0054027C" w:rsidRPr="0054027C">
        <w:rPr>
          <w:rFonts w:cs="Arial"/>
          <w:sz w:val="17"/>
          <w:szCs w:val="17"/>
        </w:rPr>
        <w:t>Executive Office of Health and Human Services</w:t>
      </w:r>
      <w:r w:rsidR="0054027C">
        <w:rPr>
          <w:rFonts w:cs="Arial"/>
          <w:sz w:val="17"/>
          <w:szCs w:val="17"/>
        </w:rPr>
        <w:t xml:space="preserve"> </w:t>
      </w:r>
      <w:r>
        <w:rPr>
          <w:rFonts w:cs="Arial"/>
          <w:sz w:val="17"/>
          <w:szCs w:val="17"/>
        </w:rPr>
        <w:t xml:space="preserve">to perform an actuarial review and certification regarding the development of capitation rates for the Medicaid Managed Care program effective </w:t>
      </w:r>
      <w:r w:rsidR="009C467E">
        <w:rPr>
          <w:rFonts w:cs="Arial"/>
          <w:sz w:val="17"/>
          <w:szCs w:val="17"/>
        </w:rPr>
        <w:t>July 1, 2022</w:t>
      </w:r>
      <w:r>
        <w:rPr>
          <w:rFonts w:cs="Arial"/>
          <w:sz w:val="17"/>
          <w:szCs w:val="17"/>
        </w:rPr>
        <w:t>.</w:t>
      </w:r>
      <w:r w:rsidRPr="001F7064">
        <w:rPr>
          <w:rFonts w:cs="Arial"/>
          <w:sz w:val="17"/>
          <w:szCs w:val="17"/>
        </w:rPr>
        <w:t xml:space="preserve"> </w:t>
      </w:r>
      <w:r>
        <w:rPr>
          <w:rFonts w:cs="Arial"/>
          <w:sz w:val="17"/>
          <w:szCs w:val="17"/>
        </w:rPr>
        <w:t>I</w:t>
      </w:r>
      <w:r w:rsidRPr="001F7064">
        <w:rPr>
          <w:rFonts w:cs="Arial"/>
          <w:sz w:val="17"/>
          <w:szCs w:val="17"/>
        </w:rPr>
        <w:t xml:space="preserve"> am generally familiar with the state-specific Medicaid program, eligibility rules, and benefit provisions.</w:t>
      </w:r>
    </w:p>
    <w:p w14:paraId="5E63BFD8" w14:textId="77777777" w:rsidR="00E332EE" w:rsidRPr="00933BDB" w:rsidRDefault="00E332EE" w:rsidP="00CF01D7">
      <w:pPr>
        <w:spacing w:after="60"/>
        <w:jc w:val="both"/>
        <w:rPr>
          <w:rFonts w:cs="Arial"/>
          <w:sz w:val="17"/>
          <w:szCs w:val="17"/>
        </w:rPr>
      </w:pPr>
      <w:r w:rsidRPr="00933BDB">
        <w:rPr>
          <w:rFonts w:cs="Arial"/>
          <w:sz w:val="17"/>
          <w:szCs w:val="17"/>
        </w:rPr>
        <w:t xml:space="preserve">The capitation rates provided with this certification are considered “actuarially sound” for purposes of 42 CFR 438.4(a), according to the following criteria: </w:t>
      </w:r>
    </w:p>
    <w:p w14:paraId="33C3A0A1" w14:textId="77777777" w:rsidR="00E332EE" w:rsidRPr="00933BDB" w:rsidRDefault="00E332EE" w:rsidP="00CF01D7">
      <w:pPr>
        <w:pStyle w:val="ListParagraph"/>
        <w:numPr>
          <w:ilvl w:val="0"/>
          <w:numId w:val="11"/>
        </w:numPr>
        <w:spacing w:after="60" w:line="264" w:lineRule="auto"/>
        <w:jc w:val="both"/>
        <w:rPr>
          <w:rFonts w:cs="Arial"/>
          <w:sz w:val="17"/>
          <w:szCs w:val="17"/>
        </w:rPr>
      </w:pPr>
      <w:r w:rsidRPr="00933BDB">
        <w:rPr>
          <w:rFonts w:cs="Arial"/>
          <w:sz w:val="17"/>
          <w:szCs w:val="17"/>
        </w:rPr>
        <w:t>the capitation rates provide for all reasonable, appropriate, and attainable costs that are required under terms of the contract and for the operation of the MCO for the time period and population covered under the terms of the contract, and such capitation rates were developed in accordance with the requirements under 42 CFR 438.4(b).</w:t>
      </w:r>
    </w:p>
    <w:p w14:paraId="72F60E30" w14:textId="77777777" w:rsidR="00E332EE" w:rsidRPr="00933BDB" w:rsidRDefault="00E332EE" w:rsidP="00CF01D7">
      <w:pPr>
        <w:spacing w:after="60"/>
        <w:jc w:val="both"/>
        <w:rPr>
          <w:sz w:val="17"/>
          <w:szCs w:val="17"/>
        </w:rPr>
      </w:pPr>
      <w:r w:rsidRPr="00933BDB">
        <w:rPr>
          <w:sz w:val="17"/>
          <w:szCs w:val="17"/>
        </w:rPr>
        <w:t xml:space="preserve">For the purposes of this certification and consistent with the requirements under 42 CFR 438.4(a), “actuarial soundness” is defined as in ASOP 49: </w:t>
      </w:r>
    </w:p>
    <w:p w14:paraId="648B2F23" w14:textId="77777777" w:rsidR="00E332EE" w:rsidRPr="00933BDB" w:rsidRDefault="00E332EE" w:rsidP="00CF01D7">
      <w:pPr>
        <w:spacing w:after="60"/>
        <w:jc w:val="both"/>
        <w:rPr>
          <w:rFonts w:cs="Arial"/>
          <w:sz w:val="17"/>
          <w:szCs w:val="17"/>
        </w:rPr>
      </w:pPr>
      <w:r w:rsidRPr="00933BDB">
        <w:rPr>
          <w:i/>
          <w:sz w:val="17"/>
          <w:szCs w:val="17"/>
        </w:rPr>
        <w:t>“Medicaid capitation rates are “actuarially sound” if, for business for which the certification is being prepared and for the period covered by the certification, projected capitation rates and other revenue sources provide for all reasonable, appropriate, and attainable costs. For purposes of this definition, other revenue sources include, but are not limited to, expected reinsurance and governmental stop-loss cash flows, governmental risk-adjustment cash flows, and investment income. For purposes of this definition, costs include, but are not limited to, expected health benefits; health benefit settlement expenses; administrative expenses; the cost of capital, and government-mandated assessments, fees, and taxes.”</w:t>
      </w:r>
    </w:p>
    <w:p w14:paraId="2D43C754" w14:textId="77777777" w:rsidR="00072C4C" w:rsidRDefault="00E332EE" w:rsidP="007A73F9">
      <w:pPr>
        <w:spacing w:after="60" w:line="240" w:lineRule="auto"/>
        <w:jc w:val="both"/>
        <w:rPr>
          <w:rFonts w:cs="Arial"/>
          <w:sz w:val="17"/>
          <w:szCs w:val="17"/>
        </w:rPr>
      </w:pPr>
      <w:r w:rsidRPr="001F7064">
        <w:rPr>
          <w:rFonts w:cs="Arial"/>
          <w:sz w:val="17"/>
          <w:szCs w:val="17"/>
        </w:rPr>
        <w:t>The assumptions used in the development of the “actuarially sound” capitation rate</w:t>
      </w:r>
      <w:r>
        <w:rPr>
          <w:rFonts w:cs="Arial"/>
          <w:sz w:val="17"/>
          <w:szCs w:val="17"/>
        </w:rPr>
        <w:t>s</w:t>
      </w:r>
      <w:r w:rsidRPr="001F7064">
        <w:rPr>
          <w:rFonts w:cs="Arial"/>
          <w:sz w:val="17"/>
          <w:szCs w:val="17"/>
        </w:rPr>
        <w:t xml:space="preserve"> have been documented in my correspondence with the State of </w:t>
      </w:r>
      <w:r w:rsidR="0054027C">
        <w:rPr>
          <w:rFonts w:cs="Arial"/>
          <w:sz w:val="17"/>
          <w:szCs w:val="17"/>
        </w:rPr>
        <w:t>Rhode Island</w:t>
      </w:r>
      <w:r w:rsidRPr="001F7064">
        <w:rPr>
          <w:rFonts w:cs="Arial"/>
          <w:sz w:val="17"/>
          <w:szCs w:val="17"/>
        </w:rPr>
        <w:t>. The “actuarially sound” capitation rate</w:t>
      </w:r>
      <w:r>
        <w:rPr>
          <w:rFonts w:cs="Arial"/>
          <w:sz w:val="17"/>
          <w:szCs w:val="17"/>
        </w:rPr>
        <w:t>s</w:t>
      </w:r>
      <w:r w:rsidRPr="001F7064">
        <w:rPr>
          <w:rFonts w:cs="Arial"/>
          <w:sz w:val="17"/>
          <w:szCs w:val="17"/>
        </w:rPr>
        <w:t xml:space="preserve"> that are associated with this certification are effective for </w:t>
      </w:r>
      <w:r w:rsidR="00B52EB3">
        <w:rPr>
          <w:rFonts w:cs="Arial"/>
          <w:sz w:val="17"/>
          <w:szCs w:val="17"/>
        </w:rPr>
        <w:t>State Fiscal Year 2022</w:t>
      </w:r>
      <w:r w:rsidRPr="001F7064">
        <w:rPr>
          <w:rFonts w:cs="Arial"/>
          <w:sz w:val="17"/>
          <w:szCs w:val="17"/>
        </w:rPr>
        <w:t xml:space="preserve">. </w:t>
      </w:r>
    </w:p>
    <w:p w14:paraId="6EE9ADED" w14:textId="166D94BF" w:rsidR="00E332EE" w:rsidRPr="00933BDB" w:rsidRDefault="00E332EE" w:rsidP="00CF01D7">
      <w:pPr>
        <w:spacing w:after="60"/>
        <w:jc w:val="both"/>
        <w:rPr>
          <w:rFonts w:cs="Arial"/>
          <w:sz w:val="17"/>
          <w:szCs w:val="17"/>
        </w:rPr>
      </w:pPr>
      <w:r w:rsidRPr="00933BDB">
        <w:rPr>
          <w:rFonts w:cs="Arial"/>
          <w:sz w:val="17"/>
          <w:szCs w:val="17"/>
        </w:rPr>
        <w:t>The capitation rates are considered actuarially sound after adjustment for the amount of the withhold not expected to be earned.</w:t>
      </w:r>
      <w:r w:rsidR="00072C4C">
        <w:rPr>
          <w:rFonts w:cs="Arial"/>
          <w:sz w:val="17"/>
          <w:szCs w:val="17"/>
        </w:rPr>
        <w:t xml:space="preserve"> </w:t>
      </w:r>
      <w:r w:rsidRPr="00933BDB">
        <w:rPr>
          <w:rFonts w:cs="Arial"/>
          <w:sz w:val="17"/>
          <w:szCs w:val="17"/>
        </w:rPr>
        <w:t>The “actuarially sound” capitation rates are based on a projection of future events. Actual experience may be expected to vary from the experience assumed in the rates.</w:t>
      </w:r>
      <w:r w:rsidR="00072C4C">
        <w:rPr>
          <w:rFonts w:cs="Arial"/>
          <w:sz w:val="17"/>
          <w:szCs w:val="17"/>
        </w:rPr>
        <w:t xml:space="preserve"> </w:t>
      </w:r>
      <w:r w:rsidRPr="00933BDB">
        <w:rPr>
          <w:rFonts w:cs="Arial"/>
          <w:sz w:val="17"/>
          <w:szCs w:val="17"/>
        </w:rPr>
        <w:t xml:space="preserve">In developing the “actuarially sound” capitation rates, I have relied upon data and information provided by the State. I have relied upon the State for audit of the data. However, I did review the data for reasonableness and consistency. </w:t>
      </w:r>
    </w:p>
    <w:p w14:paraId="15C2416E" w14:textId="56DB97B7" w:rsidR="00E332EE" w:rsidRDefault="00BA2DDB" w:rsidP="00CF01D7">
      <w:pPr>
        <w:spacing w:after="60"/>
        <w:jc w:val="both"/>
        <w:rPr>
          <w:rFonts w:cs="Arial"/>
          <w:sz w:val="17"/>
          <w:szCs w:val="17"/>
        </w:rPr>
      </w:pPr>
      <w:r>
        <w:rPr>
          <w:rFonts w:cs="Arial"/>
          <w:sz w:val="17"/>
          <w:szCs w:val="17"/>
        </w:rPr>
        <w:t>I</w:t>
      </w:r>
      <w:r w:rsidRPr="00556578">
        <w:rPr>
          <w:rFonts w:cs="Arial"/>
          <w:sz w:val="17"/>
          <w:szCs w:val="17"/>
        </w:rPr>
        <w:t xml:space="preserve"> acknowledge that </w:t>
      </w:r>
      <w:r>
        <w:rPr>
          <w:rFonts w:cs="Arial"/>
          <w:sz w:val="17"/>
          <w:szCs w:val="17"/>
        </w:rPr>
        <w:t>the state</w:t>
      </w:r>
      <w:r w:rsidRPr="00556578">
        <w:rPr>
          <w:rFonts w:cs="Arial"/>
          <w:sz w:val="17"/>
          <w:szCs w:val="17"/>
        </w:rPr>
        <w:t xml:space="preserve"> may elect to amend the capitation rates in accordance with 42 CFR 438.7(c)(3), which indicates that a capitation rate certification is not required for adjustments that increase or decrease capitation rates by 1.5% or less</w:t>
      </w:r>
      <w:r>
        <w:rPr>
          <w:rFonts w:cs="Arial"/>
          <w:sz w:val="17"/>
          <w:szCs w:val="17"/>
        </w:rPr>
        <w:t>.</w:t>
      </w:r>
      <w:r w:rsidR="0086341A">
        <w:rPr>
          <w:rFonts w:cs="Arial"/>
          <w:sz w:val="17"/>
          <w:szCs w:val="17"/>
        </w:rPr>
        <w:t xml:space="preserve"> </w:t>
      </w:r>
      <w:r w:rsidR="00E332EE" w:rsidRPr="00933BDB">
        <w:rPr>
          <w:rFonts w:cs="Arial"/>
          <w:sz w:val="17"/>
          <w:szCs w:val="17"/>
        </w:rPr>
        <w:t xml:space="preserve">The capitation rates developed may not be appropriate for any specific </w:t>
      </w:r>
      <w:r w:rsidR="00E332EE">
        <w:rPr>
          <w:rFonts w:cs="Arial"/>
          <w:sz w:val="17"/>
          <w:szCs w:val="17"/>
        </w:rPr>
        <w:t>managed care plan</w:t>
      </w:r>
      <w:r w:rsidR="00E332EE" w:rsidRPr="00933BDB">
        <w:rPr>
          <w:rFonts w:cs="Arial"/>
          <w:sz w:val="17"/>
          <w:szCs w:val="17"/>
        </w:rPr>
        <w:t xml:space="preserve">. An individual </w:t>
      </w:r>
      <w:r w:rsidR="00E2431B">
        <w:rPr>
          <w:rFonts w:cs="Arial"/>
          <w:sz w:val="17"/>
          <w:szCs w:val="17"/>
        </w:rPr>
        <w:t>managed care</w:t>
      </w:r>
      <w:r w:rsidR="00E2431B" w:rsidRPr="00933BDB">
        <w:rPr>
          <w:rFonts w:cs="Arial"/>
          <w:sz w:val="17"/>
          <w:szCs w:val="17"/>
        </w:rPr>
        <w:t xml:space="preserve"> </w:t>
      </w:r>
      <w:r w:rsidR="00E332EE" w:rsidRPr="00933BDB">
        <w:rPr>
          <w:rFonts w:cs="Arial"/>
          <w:sz w:val="17"/>
          <w:szCs w:val="17"/>
        </w:rPr>
        <w:t xml:space="preserve">plan will need to review the rates in relation to the benefits that it will be obligated to provide. The </w:t>
      </w:r>
      <w:r w:rsidR="00E332EE">
        <w:rPr>
          <w:rFonts w:cs="Arial"/>
          <w:sz w:val="17"/>
          <w:szCs w:val="17"/>
        </w:rPr>
        <w:t>managed care plan</w:t>
      </w:r>
      <w:r w:rsidR="00E332EE" w:rsidRPr="00933BDB">
        <w:rPr>
          <w:rFonts w:cs="Arial"/>
          <w:sz w:val="17"/>
          <w:szCs w:val="17"/>
        </w:rPr>
        <w:t xml:space="preserve"> should evaluate the rates in the context of its own experience, expenses, capital and surplus, and profit requirements prior to agreeing to contract with the State. The </w:t>
      </w:r>
      <w:r w:rsidR="00E332EE">
        <w:rPr>
          <w:rFonts w:cs="Arial"/>
          <w:sz w:val="17"/>
          <w:szCs w:val="17"/>
        </w:rPr>
        <w:t>managed care plan</w:t>
      </w:r>
      <w:r w:rsidR="00E332EE" w:rsidRPr="00933BDB">
        <w:rPr>
          <w:rFonts w:cs="Arial"/>
          <w:sz w:val="17"/>
          <w:szCs w:val="17"/>
        </w:rPr>
        <w:t xml:space="preserve"> may require rates above, equal to, or below the “actuarially sound” capitation rates that are associated with this certification.</w:t>
      </w:r>
    </w:p>
    <w:p w14:paraId="539D8F62" w14:textId="727D8A2B" w:rsidR="0086341A" w:rsidRPr="00933BDB" w:rsidRDefault="0086341A" w:rsidP="00CF01D7">
      <w:pPr>
        <w:spacing w:after="60"/>
        <w:jc w:val="both"/>
        <w:rPr>
          <w:rFonts w:cs="Arial"/>
          <w:sz w:val="17"/>
          <w:szCs w:val="17"/>
        </w:rPr>
      </w:pPr>
      <w:r w:rsidRPr="008E06B2">
        <w:rPr>
          <w:rFonts w:cs="Arial"/>
          <w:sz w:val="17"/>
          <w:szCs w:val="17"/>
        </w:rPr>
        <w:t>At the time of this rate certification, there is uncertainty regarding the impact of the COVID-19</w:t>
      </w:r>
      <w:r>
        <w:rPr>
          <w:rFonts w:cs="Arial"/>
          <w:sz w:val="17"/>
          <w:szCs w:val="17"/>
        </w:rPr>
        <w:t xml:space="preserve"> pandemic</w:t>
      </w:r>
      <w:r w:rsidRPr="008E06B2">
        <w:rPr>
          <w:rFonts w:cs="Arial"/>
          <w:sz w:val="17"/>
          <w:szCs w:val="17"/>
        </w:rPr>
        <w:t xml:space="preserve">, including whether the pandemic will increase or decrease costs in </w:t>
      </w:r>
      <w:r>
        <w:rPr>
          <w:rFonts w:cs="Arial"/>
          <w:sz w:val="17"/>
          <w:szCs w:val="17"/>
        </w:rPr>
        <w:t>SFY</w:t>
      </w:r>
      <w:r w:rsidRPr="008E06B2">
        <w:rPr>
          <w:rFonts w:cs="Arial"/>
          <w:sz w:val="17"/>
          <w:szCs w:val="17"/>
        </w:rPr>
        <w:t xml:space="preserve"> </w:t>
      </w:r>
      <w:r w:rsidR="00B9799C" w:rsidRPr="008E06B2">
        <w:rPr>
          <w:rFonts w:cs="Arial"/>
          <w:sz w:val="17"/>
          <w:szCs w:val="17"/>
        </w:rPr>
        <w:t>202</w:t>
      </w:r>
      <w:r w:rsidR="00B9799C">
        <w:rPr>
          <w:rFonts w:cs="Arial"/>
          <w:sz w:val="17"/>
          <w:szCs w:val="17"/>
        </w:rPr>
        <w:t>3</w:t>
      </w:r>
      <w:r w:rsidRPr="008E06B2">
        <w:rPr>
          <w:rFonts w:cs="Arial"/>
          <w:sz w:val="17"/>
          <w:szCs w:val="17"/>
        </w:rPr>
        <w:t xml:space="preserve">. </w:t>
      </w:r>
      <w:r>
        <w:rPr>
          <w:rFonts w:cs="Arial"/>
          <w:sz w:val="17"/>
          <w:szCs w:val="17"/>
        </w:rPr>
        <w:t>We acknowledge</w:t>
      </w:r>
      <w:r w:rsidRPr="008E06B2">
        <w:rPr>
          <w:rFonts w:cs="Arial"/>
          <w:sz w:val="17"/>
          <w:szCs w:val="17"/>
        </w:rPr>
        <w:t xml:space="preserve"> that the COVID-19 pandemic could have a material impact on morbidity, enrollment, providers, and other factors related to the capitation rates illustrated in this rate certification. </w:t>
      </w:r>
    </w:p>
    <w:p w14:paraId="5854D4D4" w14:textId="2356281B" w:rsidR="00E332EE" w:rsidRPr="00933BDB" w:rsidRDefault="00E332EE" w:rsidP="002D5AEE">
      <w:pPr>
        <w:spacing w:after="0"/>
        <w:jc w:val="both"/>
        <w:rPr>
          <w:rFonts w:cs="Arial"/>
        </w:rPr>
      </w:pPr>
    </w:p>
    <w:p w14:paraId="4975A7E0" w14:textId="27CC61E9" w:rsidR="00E332EE" w:rsidRPr="003131F7" w:rsidRDefault="00344F7A" w:rsidP="00E332EE">
      <w:pPr>
        <w:spacing w:after="0"/>
        <w:jc w:val="both"/>
        <w:rPr>
          <w:rFonts w:cs="Arial"/>
          <w:szCs w:val="20"/>
          <w:u w:val="single"/>
        </w:rPr>
      </w:pPr>
      <w:r w:rsidRPr="00344F7A">
        <w:rPr>
          <w:noProof/>
          <w:u w:val="single"/>
        </w:rPr>
        <w:drawing>
          <wp:inline distT="0" distB="0" distL="0" distR="0" wp14:anchorId="08288837" wp14:editId="0508306D">
            <wp:extent cx="811033" cy="38610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43669" cy="401640"/>
                    </a:xfrm>
                    <a:prstGeom prst="rect">
                      <a:avLst/>
                    </a:prstGeom>
                    <a:noFill/>
                    <a:ln>
                      <a:noFill/>
                    </a:ln>
                  </pic:spPr>
                </pic:pic>
              </a:graphicData>
            </a:graphic>
          </wp:inline>
        </w:drawing>
      </w:r>
    </w:p>
    <w:p w14:paraId="41B61491" w14:textId="1522C763" w:rsidR="00E332EE" w:rsidRPr="003131F7" w:rsidRDefault="00E332EE" w:rsidP="00E332EE">
      <w:pPr>
        <w:spacing w:after="0" w:line="240" w:lineRule="auto"/>
        <w:rPr>
          <w:rFonts w:cs="Arial"/>
          <w:szCs w:val="20"/>
        </w:rPr>
      </w:pPr>
      <w:r>
        <w:rPr>
          <w:rFonts w:cs="Arial"/>
          <w:szCs w:val="20"/>
        </w:rPr>
        <w:t>Jason A. Clarkson</w:t>
      </w:r>
      <w:r w:rsidRPr="003131F7">
        <w:rPr>
          <w:rFonts w:cs="Arial"/>
          <w:szCs w:val="20"/>
        </w:rPr>
        <w:t>, FSA</w:t>
      </w:r>
    </w:p>
    <w:p w14:paraId="013FD080" w14:textId="77777777" w:rsidR="00E332EE" w:rsidRPr="003131F7" w:rsidRDefault="00E332EE" w:rsidP="00E332EE">
      <w:pPr>
        <w:spacing w:after="0" w:line="240" w:lineRule="auto"/>
        <w:rPr>
          <w:rFonts w:cs="Arial"/>
          <w:szCs w:val="20"/>
        </w:rPr>
      </w:pPr>
      <w:r w:rsidRPr="003131F7">
        <w:rPr>
          <w:rFonts w:cs="Arial"/>
          <w:szCs w:val="20"/>
        </w:rPr>
        <w:t>Member, American Academy of Actuaries</w:t>
      </w:r>
    </w:p>
    <w:p w14:paraId="082E7F77" w14:textId="77777777" w:rsidR="00E332EE" w:rsidRPr="00027779" w:rsidRDefault="00E332EE" w:rsidP="00E332EE">
      <w:pPr>
        <w:rPr>
          <w:rFonts w:cs="Arial"/>
          <w:sz w:val="12"/>
          <w:szCs w:val="14"/>
        </w:rPr>
      </w:pPr>
    </w:p>
    <w:p w14:paraId="7ADCBE36" w14:textId="4BAB9E8E" w:rsidR="00E332EE" w:rsidRPr="003131F7" w:rsidRDefault="00C356F5" w:rsidP="00E332EE">
      <w:pPr>
        <w:spacing w:after="0" w:line="240" w:lineRule="auto"/>
        <w:rPr>
          <w:rFonts w:cs="Arial"/>
          <w:szCs w:val="20"/>
          <w:u w:val="single"/>
        </w:rPr>
      </w:pPr>
      <w:r>
        <w:rPr>
          <w:rFonts w:cs="Arial"/>
          <w:szCs w:val="20"/>
          <w:u w:val="single"/>
        </w:rPr>
        <w:fldChar w:fldCharType="begin"/>
      </w:r>
      <w:r>
        <w:rPr>
          <w:rFonts w:cs="Arial"/>
          <w:szCs w:val="20"/>
          <w:u w:val="single"/>
        </w:rPr>
        <w:instrText xml:space="preserve"> DATE \@ "MMMM d, yyyy" </w:instrText>
      </w:r>
      <w:r>
        <w:rPr>
          <w:rFonts w:cs="Arial"/>
          <w:szCs w:val="20"/>
          <w:u w:val="single"/>
        </w:rPr>
        <w:fldChar w:fldCharType="separate"/>
      </w:r>
      <w:r w:rsidR="00344F7A">
        <w:rPr>
          <w:rFonts w:cs="Arial"/>
          <w:noProof/>
          <w:szCs w:val="20"/>
          <w:u w:val="single"/>
        </w:rPr>
        <w:t>June 22, 2022</w:t>
      </w:r>
      <w:r>
        <w:rPr>
          <w:rFonts w:cs="Arial"/>
          <w:szCs w:val="20"/>
          <w:u w:val="single"/>
        </w:rPr>
        <w:fldChar w:fldCharType="end"/>
      </w:r>
      <w:r w:rsidR="006C6706">
        <w:rPr>
          <w:rFonts w:cs="Arial"/>
          <w:szCs w:val="20"/>
          <w:u w:val="single"/>
        </w:rPr>
        <w:t xml:space="preserve">                            </w:t>
      </w:r>
      <w:r w:rsidR="00E332EE" w:rsidRPr="003131F7">
        <w:rPr>
          <w:rFonts w:cs="Arial"/>
          <w:szCs w:val="20"/>
          <w:u w:val="single"/>
        </w:rPr>
        <w:tab/>
      </w:r>
      <w:r w:rsidR="00E332EE" w:rsidRPr="003131F7">
        <w:rPr>
          <w:rFonts w:cs="Arial"/>
          <w:szCs w:val="20"/>
          <w:u w:val="single"/>
        </w:rPr>
        <w:tab/>
      </w:r>
    </w:p>
    <w:p w14:paraId="686B4B13" w14:textId="7D132FB5" w:rsidR="002E07B6" w:rsidRPr="003131F7" w:rsidRDefault="00E332EE" w:rsidP="00E332EE">
      <w:pPr>
        <w:pStyle w:val="RRBody"/>
        <w:spacing w:after="0"/>
        <w:rPr>
          <w:noProof/>
        </w:rPr>
        <w:sectPr w:rsidR="002E07B6" w:rsidRPr="003131F7" w:rsidSect="005A641B">
          <w:headerReference w:type="even" r:id="rId31"/>
          <w:headerReference w:type="default" r:id="rId32"/>
          <w:footerReference w:type="default" r:id="rId33"/>
          <w:headerReference w:type="first" r:id="rId34"/>
          <w:pgSz w:w="12240" w:h="15840" w:code="1"/>
          <w:pgMar w:top="1440" w:right="1440" w:bottom="1440" w:left="1440" w:header="720" w:footer="720" w:gutter="0"/>
          <w:cols w:space="720"/>
          <w:vAlign w:val="center"/>
          <w:docGrid w:linePitch="360"/>
        </w:sectPr>
      </w:pPr>
      <w:r w:rsidRPr="003131F7">
        <w:rPr>
          <w:rFonts w:cs="Arial"/>
          <w:szCs w:val="20"/>
        </w:rPr>
        <w:t>Date</w:t>
      </w:r>
      <w:r w:rsidR="00AA3430" w:rsidRPr="003131F7">
        <w:t xml:space="preserve"> </w:t>
      </w:r>
    </w:p>
    <w:p w14:paraId="32D5B051" w14:textId="199EBE5C" w:rsidR="00D629A2" w:rsidRDefault="002E07B6" w:rsidP="00406EB3">
      <w:pPr>
        <w:pStyle w:val="Heading1"/>
        <w:jc w:val="center"/>
        <w:sectPr w:rsidR="00D629A2" w:rsidSect="00F97655">
          <w:pgSz w:w="12240" w:h="15840" w:code="1"/>
          <w:pgMar w:top="1440" w:right="1440" w:bottom="1440" w:left="1440" w:header="720" w:footer="720" w:gutter="0"/>
          <w:cols w:space="720"/>
          <w:vAlign w:val="center"/>
          <w:titlePg/>
          <w:docGrid w:linePitch="360"/>
        </w:sectPr>
      </w:pPr>
      <w:bookmarkStart w:id="584" w:name="_Toc8985089"/>
      <w:bookmarkStart w:id="585" w:name="_Toc100260786"/>
      <w:r>
        <w:lastRenderedPageBreak/>
        <w:t xml:space="preserve">Appendix </w:t>
      </w:r>
      <w:r w:rsidR="00805A9B">
        <w:t>2</w:t>
      </w:r>
      <w:r>
        <w:t xml:space="preserve">: </w:t>
      </w:r>
      <w:r w:rsidR="00721FEA">
        <w:t xml:space="preserve">CY 2019 </w:t>
      </w:r>
      <w:r w:rsidR="00557670">
        <w:t xml:space="preserve">Base Data </w:t>
      </w:r>
      <w:r w:rsidR="00D1585E">
        <w:t>Development</w:t>
      </w:r>
      <w:bookmarkEnd w:id="584"/>
      <w:bookmarkEnd w:id="585"/>
    </w:p>
    <w:p w14:paraId="276962E1" w14:textId="18C6304D" w:rsidR="005A641B" w:rsidRDefault="005A641B" w:rsidP="00406EB3">
      <w:pPr>
        <w:pStyle w:val="Heading1"/>
        <w:jc w:val="center"/>
        <w:sectPr w:rsidR="005A641B" w:rsidSect="00F97655">
          <w:pgSz w:w="12240" w:h="15840" w:code="1"/>
          <w:pgMar w:top="1440" w:right="1440" w:bottom="1440" w:left="1440" w:header="720" w:footer="720" w:gutter="0"/>
          <w:cols w:space="720"/>
          <w:vAlign w:val="center"/>
          <w:titlePg/>
          <w:docGrid w:linePitch="360"/>
        </w:sectPr>
      </w:pPr>
      <w:bookmarkStart w:id="586" w:name="_Toc8985091"/>
      <w:bookmarkStart w:id="587" w:name="_Toc100260787"/>
      <w:r>
        <w:lastRenderedPageBreak/>
        <w:t xml:space="preserve">Appendix </w:t>
      </w:r>
      <w:r w:rsidR="001F1B6D">
        <w:t>3</w:t>
      </w:r>
      <w:r>
        <w:t xml:space="preserve">: </w:t>
      </w:r>
      <w:r w:rsidR="00D0556D">
        <w:t xml:space="preserve">SFY </w:t>
      </w:r>
      <w:r w:rsidR="00721FEA">
        <w:t xml:space="preserve">2023 </w:t>
      </w:r>
      <w:r w:rsidR="00557670">
        <w:t>Projected Benefit Expense Development</w:t>
      </w:r>
      <w:bookmarkEnd w:id="586"/>
      <w:bookmarkEnd w:id="587"/>
    </w:p>
    <w:p w14:paraId="110306A4" w14:textId="222DF921" w:rsidR="005A641B" w:rsidRDefault="00557670" w:rsidP="00406EB3">
      <w:pPr>
        <w:pStyle w:val="Heading1"/>
        <w:jc w:val="center"/>
        <w:sectPr w:rsidR="005A641B" w:rsidSect="00F97655">
          <w:pgSz w:w="12240" w:h="15840" w:code="1"/>
          <w:pgMar w:top="1440" w:right="1440" w:bottom="1440" w:left="1440" w:header="720" w:footer="720" w:gutter="0"/>
          <w:cols w:space="720"/>
          <w:vAlign w:val="center"/>
          <w:titlePg/>
          <w:docGrid w:linePitch="360"/>
        </w:sectPr>
      </w:pPr>
      <w:bookmarkStart w:id="588" w:name="_Toc8985092"/>
      <w:bookmarkStart w:id="589" w:name="_Toc100260788"/>
      <w:r>
        <w:lastRenderedPageBreak/>
        <w:t xml:space="preserve">Appendix </w:t>
      </w:r>
      <w:r w:rsidR="001F1B6D">
        <w:t>4</w:t>
      </w:r>
      <w:r w:rsidR="005A641B">
        <w:t xml:space="preserve">: </w:t>
      </w:r>
      <w:r w:rsidR="00D0556D">
        <w:t xml:space="preserve">SFY </w:t>
      </w:r>
      <w:r w:rsidR="00721FEA">
        <w:t xml:space="preserve">2023 </w:t>
      </w:r>
      <w:r>
        <w:t>Capitation Rate Development</w:t>
      </w:r>
      <w:bookmarkEnd w:id="588"/>
      <w:bookmarkEnd w:id="589"/>
    </w:p>
    <w:p w14:paraId="755B823F" w14:textId="51966655" w:rsidR="00717A2D" w:rsidRDefault="00732862" w:rsidP="00210B59">
      <w:r>
        <w:rPr>
          <w:noProof/>
        </w:rPr>
        <w:lastRenderedPageBreak/>
        <w:drawing>
          <wp:anchor distT="0" distB="0" distL="114300" distR="114300" simplePos="0" relativeHeight="251658242" behindDoc="0" locked="1" layoutInCell="1" allowOverlap="1" wp14:anchorId="136313F2" wp14:editId="5B00D8F5">
            <wp:simplePos x="0" y="0"/>
            <wp:positionH relativeFrom="column">
              <wp:posOffset>-7620</wp:posOffset>
            </wp:positionH>
            <wp:positionV relativeFrom="page">
              <wp:posOffset>6951345</wp:posOffset>
            </wp:positionV>
            <wp:extent cx="1188720" cy="2743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8720" cy="274320"/>
                    </a:xfrm>
                    <a:prstGeom prst="rect">
                      <a:avLst/>
                    </a:prstGeom>
                    <a:noFill/>
                  </pic:spPr>
                </pic:pic>
              </a:graphicData>
            </a:graphic>
            <wp14:sizeRelH relativeFrom="page">
              <wp14:pctWidth>0</wp14:pctWidth>
            </wp14:sizeRelH>
            <wp14:sizeRelV relativeFrom="page">
              <wp14:pctHeight>0</wp14:pctHeight>
            </wp14:sizeRelV>
          </wp:anchor>
        </w:drawing>
      </w:r>
      <w:r w:rsidR="00121069">
        <w:rPr>
          <w:noProof/>
        </w:rPr>
        <mc:AlternateContent>
          <mc:Choice Requires="wps">
            <w:drawing>
              <wp:anchor distT="0" distB="0" distL="114300" distR="114300" simplePos="0" relativeHeight="251658241" behindDoc="0" locked="1" layoutInCell="1" allowOverlap="1" wp14:anchorId="4A900D60" wp14:editId="135E0048">
                <wp:simplePos x="0" y="0"/>
                <wp:positionH relativeFrom="margin">
                  <wp:posOffset>0</wp:posOffset>
                </wp:positionH>
                <wp:positionV relativeFrom="page">
                  <wp:posOffset>7219315</wp:posOffset>
                </wp:positionV>
                <wp:extent cx="3108960" cy="1341120"/>
                <wp:effectExtent l="0" t="0" r="15240" b="11430"/>
                <wp:wrapNone/>
                <wp:docPr id="26" name="Text Box 26"/>
                <wp:cNvGraphicFramePr/>
                <a:graphic xmlns:a="http://schemas.openxmlformats.org/drawingml/2006/main">
                  <a:graphicData uri="http://schemas.microsoft.com/office/word/2010/wordprocessingShape">
                    <wps:wsp>
                      <wps:cNvSpPr txBox="1"/>
                      <wps:spPr>
                        <a:xfrm>
                          <a:off x="0" y="0"/>
                          <a:ext cx="31089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2C1DE" w14:textId="77777777" w:rsidR="004E714A" w:rsidRPr="004D2869" w:rsidRDefault="004E714A"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1CD46590" w14:textId="77777777" w:rsidR="004E714A" w:rsidRPr="00937776" w:rsidRDefault="00344F7A" w:rsidP="00210B59">
                            <w:pPr>
                              <w:rPr>
                                <w:rStyle w:val="Hyperlink"/>
                                <w:sz w:val="20"/>
                              </w:rPr>
                            </w:pPr>
                            <w:hyperlink r:id="rId36" w:history="1">
                              <w:r w:rsidR="004E714A" w:rsidRPr="00937776">
                                <w:rPr>
                                  <w:rStyle w:val="Hyperlink"/>
                                  <w:sz w:val="16"/>
                                </w:rPr>
                                <w:t>milliman.com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00D60" id="_x0000_t202" coordsize="21600,21600" o:spt="202" path="m,l,21600r21600,l21600,xe">
                <v:stroke joinstyle="miter"/>
                <v:path gradientshapeok="t" o:connecttype="rect"/>
              </v:shapetype>
              <v:shape id="Text Box 26" o:spid="_x0000_s1026" type="#_x0000_t202" style="position:absolute;margin-left:0;margin-top:568.45pt;width:244.8pt;height:105.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" filled="f" stroked="f" strokeweight=".5pt">
                <v:textbox inset="0,0,0,0">
                  <w:txbxContent>
                    <w:p w14:paraId="7802C1DE" w14:textId="77777777" w:rsidR="004E714A" w:rsidRPr="004D2869" w:rsidRDefault="004E714A"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1CD46590" w14:textId="77777777" w:rsidR="004E714A" w:rsidRPr="00937776" w:rsidRDefault="00687A4C" w:rsidP="00210B59">
                      <w:pPr>
                        <w:rPr>
                          <w:rStyle w:val="Hyperlink"/>
                          <w:sz w:val="20"/>
                        </w:rPr>
                      </w:pPr>
                      <w:hyperlink r:id="rId37" w:history="1">
                        <w:r w:rsidR="004E714A" w:rsidRPr="00937776">
                          <w:rPr>
                            <w:rStyle w:val="Hyperlink"/>
                            <w:sz w:val="16"/>
                          </w:rPr>
                          <w:t>milliman.com</w:t>
                        </w:r>
                      </w:hyperlink>
                    </w:p>
                  </w:txbxContent>
                </v:textbox>
                <w10:wrap anchorx="margin" anchory="page"/>
                <w10:anchorlock/>
              </v:shape>
            </w:pict>
          </mc:Fallback>
        </mc:AlternateContent>
      </w:r>
    </w:p>
    <w:p w14:paraId="11E0B0B6" w14:textId="728A4BD3" w:rsidR="007A73F9" w:rsidRPr="007A73F9" w:rsidRDefault="007A73F9" w:rsidP="007A73F9"/>
    <w:p w14:paraId="3E8BCE45" w14:textId="14750735" w:rsidR="007A73F9" w:rsidRPr="007A73F9" w:rsidRDefault="007A73F9" w:rsidP="007A73F9"/>
    <w:p w14:paraId="68A2436F" w14:textId="3401E898" w:rsidR="007A73F9" w:rsidRPr="007A73F9" w:rsidRDefault="007A73F9" w:rsidP="007A73F9"/>
    <w:p w14:paraId="4844DEF1" w14:textId="1529A795" w:rsidR="007A73F9" w:rsidRPr="007A73F9" w:rsidRDefault="007A73F9" w:rsidP="007A73F9"/>
    <w:p w14:paraId="7A0EC569" w14:textId="23B83586" w:rsidR="007A73F9" w:rsidRPr="007A73F9" w:rsidRDefault="007A73F9" w:rsidP="007A73F9"/>
    <w:p w14:paraId="6CEA0A34" w14:textId="69965364" w:rsidR="007A73F9" w:rsidRPr="007A73F9" w:rsidRDefault="007A73F9" w:rsidP="007A73F9"/>
    <w:p w14:paraId="470A0FC0" w14:textId="680B0C38" w:rsidR="007A73F9" w:rsidRPr="007A73F9" w:rsidRDefault="007A73F9" w:rsidP="007A73F9"/>
    <w:p w14:paraId="0AE0A786" w14:textId="678777B9" w:rsidR="007A73F9" w:rsidRPr="007A73F9" w:rsidRDefault="007A73F9" w:rsidP="007A73F9"/>
    <w:p w14:paraId="5308EF50" w14:textId="18D1BA9D" w:rsidR="007A73F9" w:rsidRPr="007A73F9" w:rsidRDefault="007A73F9" w:rsidP="007A73F9"/>
    <w:p w14:paraId="40F0D7C0" w14:textId="7291BBDC" w:rsidR="007A73F9" w:rsidRPr="007A73F9" w:rsidRDefault="007A73F9" w:rsidP="007A73F9"/>
    <w:p w14:paraId="5BE0E254" w14:textId="5D5790A6" w:rsidR="007A73F9" w:rsidRPr="007A73F9" w:rsidRDefault="007A73F9" w:rsidP="007A73F9"/>
    <w:p w14:paraId="03550BDF" w14:textId="70B51C23" w:rsidR="007A73F9" w:rsidRPr="007A73F9" w:rsidRDefault="007A73F9" w:rsidP="007A73F9"/>
    <w:p w14:paraId="6F055869" w14:textId="3B1DA211" w:rsidR="007A73F9" w:rsidRDefault="007A73F9" w:rsidP="007A73F9"/>
    <w:p w14:paraId="7ADF2BA2" w14:textId="5E99CE4D" w:rsidR="007A73F9" w:rsidRDefault="007A73F9" w:rsidP="007A73F9"/>
    <w:p w14:paraId="4D8C41E7" w14:textId="77777777" w:rsidR="007A73F9" w:rsidRPr="007A73F9" w:rsidRDefault="007A73F9" w:rsidP="007A73F9">
      <w:pPr>
        <w:jc w:val="center"/>
      </w:pPr>
    </w:p>
    <w:sectPr w:rsidR="007A73F9" w:rsidRPr="007A73F9" w:rsidSect="003871A8">
      <w:headerReference w:type="even" r:id="rId38"/>
      <w:headerReference w:type="default" r:id="rId39"/>
      <w:footerReference w:type="default" r:id="rId40"/>
      <w:headerReference w:type="first" r:id="rId4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6B942" w14:textId="77777777" w:rsidR="004E714A" w:rsidRDefault="004E714A" w:rsidP="00210B59">
      <w:r>
        <w:separator/>
      </w:r>
    </w:p>
  </w:endnote>
  <w:endnote w:type="continuationSeparator" w:id="0">
    <w:p w14:paraId="4FEB64F0" w14:textId="77777777" w:rsidR="004E714A" w:rsidRDefault="004E714A" w:rsidP="00210B59">
      <w:r>
        <w:continuationSeparator/>
      </w:r>
    </w:p>
  </w:endnote>
  <w:endnote w:type="continuationNotice" w:id="1">
    <w:p w14:paraId="5EBA779F" w14:textId="77777777" w:rsidR="004E714A" w:rsidRDefault="004E71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E2AD" w14:textId="77777777" w:rsidR="004E714A" w:rsidRPr="00E76A3D" w:rsidRDefault="004E714A" w:rsidP="00210B59">
    <w:pPr>
      <w:pStyle w:val="Footer"/>
    </w:pPr>
    <w:r w:rsidRPr="00E76A3D">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4C0E" w14:textId="0D6FC083" w:rsidR="004E714A" w:rsidRPr="00DA66EB" w:rsidRDefault="004E714A">
    <w:pPr>
      <w:pStyle w:val="Footer"/>
      <w:jc w:val="center"/>
      <w:rPr>
        <w:noProof/>
        <w:color w:val="727A7D" w:themeColor="accent3"/>
        <w:sz w:val="14"/>
      </w:rPr>
    </w:pPr>
  </w:p>
  <w:p w14:paraId="262C9346" w14:textId="0E560CE9" w:rsidR="004E714A" w:rsidRDefault="004E714A" w:rsidP="00743CE5">
    <w:pPr>
      <w:pStyle w:val="RRFooter"/>
    </w:pPr>
    <w:r>
      <w:t xml:space="preserve">State Fiscal Year </w:t>
    </w:r>
    <w:r w:rsidR="00C14780">
      <w:t>2023</w:t>
    </w:r>
    <w:r w:rsidR="00C14780" w:rsidRPr="00102B69">
      <w:t xml:space="preserve"> </w:t>
    </w:r>
    <w:r w:rsidRPr="00102B69">
      <w:t xml:space="preserve">Capitation Rate </w:t>
    </w:r>
    <w:r>
      <w:t>Certification</w:t>
    </w:r>
    <w:r w:rsidRPr="004E3708" w:rsidDel="00B165CC">
      <w:t xml:space="preserve"> </w:t>
    </w:r>
    <w:r>
      <w:tab/>
    </w:r>
    <w:r>
      <w:tab/>
    </w:r>
    <w:r>
      <w:fldChar w:fldCharType="begin"/>
    </w:r>
    <w:r>
      <w:instrText xml:space="preserve"> DATE \@ "MMMM d, yyyy" </w:instrText>
    </w:r>
    <w:r>
      <w:fldChar w:fldCharType="separate"/>
    </w:r>
    <w:r w:rsidR="00344F7A">
      <w:rPr>
        <w:noProof/>
      </w:rPr>
      <w:t>June 22, 2022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2E96" w14:textId="77777777" w:rsidR="004E714A" w:rsidRPr="00DA66EB" w:rsidRDefault="004E714A">
    <w:pPr>
      <w:pStyle w:val="Footer"/>
      <w:jc w:val="center"/>
      <w:rPr>
        <w:noProof/>
        <w:color w:val="727A7D" w:themeColor="accent3"/>
        <w:sz w:val="14"/>
      </w:rPr>
    </w:pPr>
  </w:p>
  <w:p w14:paraId="6CD3F31A" w14:textId="43303C14" w:rsidR="004E714A" w:rsidRDefault="004E714A" w:rsidP="00743CE5">
    <w:pPr>
      <w:pStyle w:val="RRFooter"/>
    </w:pPr>
    <w:r>
      <w:t xml:space="preserve">State Fiscal Year </w:t>
    </w:r>
    <w:r w:rsidR="00484E49">
      <w:t>2023</w:t>
    </w:r>
    <w:r w:rsidR="00484E49" w:rsidRPr="00102B69">
      <w:t xml:space="preserve"> </w:t>
    </w:r>
    <w:r w:rsidRPr="00102B69">
      <w:t xml:space="preserve">Capitation Rate </w:t>
    </w:r>
    <w:r>
      <w:t>Certification</w:t>
    </w:r>
    <w:r w:rsidRPr="004E3708" w:rsidDel="00B165CC">
      <w:t xml:space="preserve"> </w:t>
    </w:r>
    <w:r>
      <w:tab/>
    </w:r>
    <w:r>
      <w:fldChar w:fldCharType="begin"/>
    </w:r>
    <w:r>
      <w:instrText xml:space="preserve"> PAGE   \* MERGEFORMAT </w:instrText>
    </w:r>
    <w:r>
      <w:fldChar w:fldCharType="separate"/>
    </w:r>
    <w:r>
      <w:rPr>
        <w:noProof/>
      </w:rPr>
      <w:t>32</w:t>
    </w:r>
    <w:r>
      <w:rPr>
        <w:noProof/>
      </w:rPr>
      <w:fldChar w:fldCharType="end"/>
    </w:r>
    <w:r>
      <w:tab/>
    </w:r>
    <w:r>
      <w:fldChar w:fldCharType="begin"/>
    </w:r>
    <w:r>
      <w:instrText xml:space="preserve"> DATE \@ "MMMM d, yyyy" </w:instrText>
    </w:r>
    <w:r>
      <w:fldChar w:fldCharType="separate"/>
    </w:r>
    <w:r w:rsidR="00344F7A">
      <w:rPr>
        <w:noProof/>
      </w:rPr>
      <w:t>June 22,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0318E" w14:textId="22287B74" w:rsidR="004E714A" w:rsidRDefault="004E714A" w:rsidP="00210B59">
    <w:pPr>
      <w:pStyle w:val="RRFooter"/>
    </w:pPr>
    <w:r>
      <w:t>State Fiscal Year 202</w:t>
    </w:r>
    <w:r w:rsidR="002B26A1">
      <w:t>3</w:t>
    </w:r>
    <w:r w:rsidRPr="00102B69">
      <w:t xml:space="preserve"> Capitation Rate </w:t>
    </w:r>
    <w:r>
      <w:t>Certification</w:t>
    </w:r>
    <w:r w:rsidRPr="004E3708" w:rsidDel="00B165CC">
      <w:t xml:space="preserve"> </w:t>
    </w:r>
    <w:r>
      <w:tab/>
    </w:r>
    <w:r>
      <w:fldChar w:fldCharType="begin"/>
    </w:r>
    <w:r>
      <w:instrText xml:space="preserve"> PAGE   \* MERGEFORMAT </w:instrText>
    </w:r>
    <w:r>
      <w:fldChar w:fldCharType="separate"/>
    </w:r>
    <w:r>
      <w:rPr>
        <w:noProof/>
      </w:rPr>
      <w:t>1</w:t>
    </w:r>
    <w:r>
      <w:rPr>
        <w:noProof/>
      </w:rPr>
      <w:fldChar w:fldCharType="end"/>
    </w:r>
    <w:r>
      <w:tab/>
    </w:r>
    <w:r>
      <w:fldChar w:fldCharType="begin"/>
    </w:r>
    <w:r>
      <w:instrText xml:space="preserve"> DATE \@ "MMMM d, yyyy" </w:instrText>
    </w:r>
    <w:r>
      <w:fldChar w:fldCharType="separate"/>
    </w:r>
    <w:r w:rsidR="00344F7A">
      <w:rPr>
        <w:noProof/>
      </w:rPr>
      <w:t>June 22, 2022</w:t>
    </w:r>
    <w:r>
      <w:fldChar w:fldCharType="end"/>
    </w:r>
  </w:p>
  <w:p w14:paraId="11B9D673" w14:textId="42A0B621" w:rsidR="004E714A" w:rsidRPr="00AA5A01" w:rsidRDefault="004E714A" w:rsidP="00210B59">
    <w:pPr>
      <w:pStyle w:val="RRFoote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DC72" w14:textId="3D1152EE" w:rsidR="004E714A" w:rsidRDefault="004E714A" w:rsidP="00210B59">
    <w:pPr>
      <w:pStyle w:val="RRFooter"/>
    </w:pPr>
    <w:r>
      <w:t>State Fiscal Year 202</w:t>
    </w:r>
    <w:r w:rsidR="002B26A1">
      <w:t>3</w:t>
    </w:r>
    <w:r w:rsidRPr="00102B69">
      <w:t xml:space="preserve"> Capitation Rate </w:t>
    </w:r>
    <w:r>
      <w:t>Certification</w:t>
    </w:r>
    <w:r w:rsidRPr="004E3708" w:rsidDel="00B165CC">
      <w:t xml:space="preserve"> </w:t>
    </w:r>
    <w:r>
      <w:tab/>
    </w:r>
    <w:r>
      <w:tab/>
    </w:r>
    <w:r>
      <w:fldChar w:fldCharType="begin"/>
    </w:r>
    <w:r>
      <w:instrText xml:space="preserve"> DATE \@ "MMMM d, yyyy" </w:instrText>
    </w:r>
    <w:r>
      <w:fldChar w:fldCharType="separate"/>
    </w:r>
    <w:r w:rsidR="00344F7A">
      <w:rPr>
        <w:noProof/>
      </w:rPr>
      <w:t>June 22, 2022</w:t>
    </w:r>
    <w:r>
      <w:fldChar w:fldCharType="end"/>
    </w:r>
  </w:p>
  <w:p w14:paraId="7186CAD7" w14:textId="444D61B5" w:rsidR="004E714A" w:rsidRPr="00AA5A01" w:rsidRDefault="004E714A" w:rsidP="00210B59">
    <w:pPr>
      <w:pStyle w:val="RR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19EF" w14:textId="345D930B" w:rsidR="004E714A" w:rsidRDefault="004E714A" w:rsidP="00210B59">
    <w:pPr>
      <w:pStyle w:val="RRFooter"/>
    </w:pPr>
    <w:r>
      <w:t>State Fiscal Year 202</w:t>
    </w:r>
    <w:r w:rsidR="002B26A1">
      <w:t>3</w:t>
    </w:r>
    <w:r w:rsidRPr="00102B69">
      <w:t xml:space="preserve"> Capitation Rate </w:t>
    </w:r>
    <w:r>
      <w:t>Certification</w:t>
    </w:r>
    <w:r w:rsidRPr="004E3708" w:rsidDel="00B165CC">
      <w:t xml:space="preserve"> </w:t>
    </w:r>
    <w:r>
      <w:tab/>
    </w:r>
    <w:r>
      <w:tab/>
    </w:r>
    <w:r>
      <w:fldChar w:fldCharType="begin"/>
    </w:r>
    <w:r>
      <w:instrText xml:space="preserve"> DATE \@ "MMMM d, yyyy" </w:instrText>
    </w:r>
    <w:r>
      <w:fldChar w:fldCharType="separate"/>
    </w:r>
    <w:r w:rsidR="00344F7A">
      <w:rPr>
        <w:noProof/>
      </w:rPr>
      <w:t>June 22, 2022</w:t>
    </w:r>
    <w:r>
      <w:fldChar w:fldCharType="end"/>
    </w:r>
  </w:p>
  <w:p w14:paraId="59678F55" w14:textId="0C1D6AF4" w:rsidR="004E714A" w:rsidRPr="00121069" w:rsidRDefault="004E714A" w:rsidP="00210B59">
    <w:pPr>
      <w:pStyle w:val="RRFooter"/>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FFD4" w14:textId="02A2319E" w:rsidR="004E714A" w:rsidRDefault="004E714A" w:rsidP="00210B59">
    <w:pPr>
      <w:pStyle w:val="RR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7F0A" w14:textId="77777777" w:rsidR="004E714A" w:rsidRPr="00D90323" w:rsidRDefault="004E714A" w:rsidP="00210B59">
      <w:pPr>
        <w:pStyle w:val="Footer"/>
      </w:pPr>
    </w:p>
  </w:footnote>
  <w:footnote w:type="continuationSeparator" w:id="0">
    <w:p w14:paraId="39457CFD" w14:textId="77777777" w:rsidR="004E714A" w:rsidRDefault="004E714A" w:rsidP="00210B59">
      <w:r>
        <w:continuationSeparator/>
      </w:r>
    </w:p>
  </w:footnote>
  <w:footnote w:type="continuationNotice" w:id="1">
    <w:p w14:paraId="4A0C13EF" w14:textId="77777777" w:rsidR="004E714A" w:rsidRDefault="004E714A">
      <w:pPr>
        <w:spacing w:after="0" w:line="240" w:lineRule="auto"/>
      </w:pPr>
    </w:p>
  </w:footnote>
  <w:footnote w:id="2">
    <w:p w14:paraId="01AEA05E" w14:textId="42FCC298" w:rsidR="004E714A" w:rsidRDefault="004E714A" w:rsidP="00210B59">
      <w:pPr>
        <w:pStyle w:val="FootnoteText"/>
      </w:pPr>
      <w:r w:rsidRPr="006B2FA5">
        <w:rPr>
          <w:rStyle w:val="FootnoteReference"/>
          <w:sz w:val="16"/>
        </w:rPr>
        <w:footnoteRef/>
      </w:r>
      <w:r w:rsidRPr="006B2FA5">
        <w:t xml:space="preserve"> </w:t>
      </w:r>
      <w:hyperlink r:id="rId1" w:history="1">
        <w:r w:rsidRPr="007A65D4">
          <w:rPr>
            <w:rStyle w:val="Hyperlink"/>
            <w:sz w:val="14"/>
            <w:szCs w:val="14"/>
          </w:rPr>
          <w:t>http://www.actuarialstandardsboard.org/asops/medicaid-managed-care-capitation-rate-development-and-certification/</w:t>
        </w:r>
      </w:hyperlink>
    </w:p>
  </w:footnote>
  <w:footnote w:id="3">
    <w:p w14:paraId="31F313BA" w14:textId="6128449C" w:rsidR="00651448" w:rsidRPr="00783C4E" w:rsidRDefault="00651448">
      <w:pPr>
        <w:pStyle w:val="FootnoteText"/>
        <w:rPr>
          <w:sz w:val="14"/>
          <w:szCs w:val="14"/>
        </w:rPr>
      </w:pPr>
      <w:r w:rsidRPr="00783C4E">
        <w:rPr>
          <w:rStyle w:val="FootnoteReference"/>
          <w:sz w:val="14"/>
          <w:szCs w:val="14"/>
        </w:rPr>
        <w:footnoteRef/>
      </w:r>
      <w:r w:rsidRPr="00783C4E">
        <w:rPr>
          <w:sz w:val="14"/>
          <w:szCs w:val="14"/>
        </w:rPr>
        <w:t xml:space="preserve"> </w:t>
      </w:r>
      <w:r w:rsidRPr="00783C4E">
        <w:rPr>
          <w:rStyle w:val="Hyperlink"/>
          <w:sz w:val="14"/>
          <w:szCs w:val="14"/>
        </w:rPr>
        <w:t>https://eohhs.ri.gov/sites/g/files/xkgbur226/files/2021-06/DRG_calculator_2021.xlsx</w:t>
      </w:r>
    </w:p>
  </w:footnote>
  <w:footnote w:id="4">
    <w:p w14:paraId="782198AC" w14:textId="77777777" w:rsidR="004E714A" w:rsidRPr="00C07983" w:rsidRDefault="004E714A" w:rsidP="0022132B">
      <w:pPr>
        <w:pStyle w:val="FootnoteText"/>
        <w:ind w:left="90" w:hanging="90"/>
        <w:rPr>
          <w:sz w:val="16"/>
        </w:rPr>
      </w:pPr>
      <w:r w:rsidRPr="00C07983">
        <w:rPr>
          <w:rStyle w:val="FootnoteReference"/>
          <w:sz w:val="16"/>
        </w:rPr>
        <w:footnoteRef/>
      </w:r>
      <w:r w:rsidRPr="00C07983">
        <w:rPr>
          <w:sz w:val="16"/>
        </w:rPr>
        <w:t xml:space="preserve"> </w:t>
      </w:r>
      <w:hyperlink r:id="rId2" w:history="1">
        <w:r w:rsidRPr="00C07983">
          <w:rPr>
            <w:rStyle w:val="Hyperlink"/>
            <w:sz w:val="16"/>
          </w:rPr>
          <w:t>https://www.cms.gov/research-statistics-data-and-systems/statistics-trends-and-reports/nationalhealthexpenddata/nationalhealthaccountsprojected.html</w:t>
        </w:r>
      </w:hyperlink>
    </w:p>
  </w:footnote>
  <w:footnote w:id="5">
    <w:p w14:paraId="3BEAED4E" w14:textId="5459744A" w:rsidR="004E714A" w:rsidRDefault="004E714A" w:rsidP="0022132B">
      <w:pPr>
        <w:pStyle w:val="FootnoteText"/>
      </w:pPr>
      <w:r w:rsidRPr="00C07983">
        <w:rPr>
          <w:rStyle w:val="FootnoteReference"/>
          <w:sz w:val="16"/>
        </w:rPr>
        <w:footnoteRef/>
      </w:r>
      <w:r w:rsidRPr="00C07983">
        <w:rPr>
          <w:sz w:val="16"/>
        </w:rPr>
        <w:t xml:space="preserve"> </w:t>
      </w:r>
      <w:hyperlink r:id="rId3" w:history="1">
        <w:r>
          <w:rPr>
            <w:rStyle w:val="Hyperlink"/>
            <w:sz w:val="16"/>
          </w:rPr>
          <w:t>https://www1.magellanrx.com/read-watch-listen/read/our-publications/medicaid-pharmacy-trend-report/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9EC3" w14:textId="4178E995" w:rsidR="004E714A" w:rsidRDefault="004E714A" w:rsidP="00210B59">
    <w:pPr>
      <w:pStyle w:val="Header"/>
    </w:pPr>
    <w:r>
      <w:rPr>
        <w:noProof/>
      </w:rPr>
      <w:drawing>
        <wp:anchor distT="0" distB="0" distL="114300" distR="114300" simplePos="0" relativeHeight="251657728" behindDoc="0" locked="1" layoutInCell="1" allowOverlap="1" wp14:anchorId="05822606" wp14:editId="6CF96B66">
          <wp:simplePos x="457200" y="274320"/>
          <wp:positionH relativeFrom="margin">
            <wp:align>right</wp:align>
          </wp:positionH>
          <wp:positionV relativeFrom="page">
            <wp:posOffset>2377440</wp:posOffset>
          </wp:positionV>
          <wp:extent cx="1746504" cy="429768"/>
          <wp:effectExtent l="0" t="0" r="635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_Logo_WhiteKO.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504" cy="4297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1" locked="1" layoutInCell="1" allowOverlap="1" wp14:anchorId="379A233D" wp14:editId="2F46A651">
              <wp:simplePos x="0" y="0"/>
              <wp:positionH relativeFrom="page">
                <wp:align>left</wp:align>
              </wp:positionH>
              <wp:positionV relativeFrom="page">
                <wp:align>top</wp:align>
              </wp:positionV>
              <wp:extent cx="7764780" cy="10789920"/>
              <wp:effectExtent l="0" t="0" r="7620" b="0"/>
              <wp:wrapNone/>
              <wp:docPr id="3" name="Rectangle 3"/>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D3863" id="Rectangle 3" o:spid="_x0000_s1026" style="position:absolute;margin-left:0;margin-top:0;width:611.4pt;height:849.6pt;z-index:-25165977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" fillcolor="#727a7d [3206]" stroked="f" strokeweight="1pt">
              <w10:wrap anchorx="page" anchory="page"/>
              <w10:anchorlock/>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144E" w14:textId="08DD18C4" w:rsidR="004E714A" w:rsidRDefault="004E714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F58C" w14:textId="12852026" w:rsidR="004E714A" w:rsidRDefault="004E714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4A67" w14:textId="5111FF62" w:rsidR="004E714A" w:rsidRDefault="004E714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2238" w14:textId="182F0CED" w:rsidR="004E714A" w:rsidRDefault="004E714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795B" w14:textId="600F9FA3" w:rsidR="004E714A" w:rsidRDefault="004E714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2677" w14:textId="6901CEC7" w:rsidR="004E714A" w:rsidRDefault="004E714A" w:rsidP="00210B59">
    <w:pPr>
      <w:pStyle w:val="RRHeader"/>
    </w:pPr>
    <w:r w:rsidRPr="006C3AFC">
      <w:rPr>
        <w:color w:val="0A4977" w:themeColor="text2"/>
      </w:rPr>
      <w:t>l</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93DB" w14:textId="4AF70C5D" w:rsidR="004E714A" w:rsidRDefault="004E714A" w:rsidP="00210B59">
    <w:pPr>
      <w:pStyle w:val="RR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C1AEE" w14:textId="77777777" w:rsidR="004E714A" w:rsidRDefault="004E714A" w:rsidP="00210B59">
    <w:pPr>
      <w:pStyle w:val="RRHeader"/>
    </w:pPr>
    <w:r w:rsidRPr="006C3AFC">
      <w:rPr>
        <w:color w:val="0A4977" w:themeColor="text2"/>
      </w:rPr>
      <w:t xml:space="preserve"> </w:t>
    </w:r>
    <w:r>
      <w:t>Research Report</w:t>
    </w:r>
  </w:p>
  <w:p w14:paraId="2ADE670B" w14:textId="77777777" w:rsidR="004E714A" w:rsidRDefault="004E714A"/>
  <w:p w14:paraId="22B8BC39" w14:textId="3123D33C" w:rsidR="004E714A" w:rsidRDefault="004E714A" w:rsidP="00210B59">
    <w:pPr>
      <w:pStyle w:val="RRHeader"/>
    </w:pPr>
    <w:r>
      <w:t>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9F75" w14:textId="72FEAAAD" w:rsidR="004E714A" w:rsidRDefault="004E714A" w:rsidP="00210B59">
    <w:pPr>
      <w:pStyle w:val="RRCoverResearchReport"/>
    </w:pPr>
    <w:r w:rsidRPr="001F1784">
      <w:rPr>
        <w:color w:val="0A4977" w:themeColor="text2"/>
      </w:rPr>
      <w:t>Milliman</w:t>
    </w:r>
    <w:r w:rsidRPr="003169DD">
      <w:t xml:space="preserve"> </w:t>
    </w:r>
    <w:r>
      <w:t>Client</w:t>
    </w:r>
    <w:r w:rsidRPr="003169DD">
      <w:t xml:space="preserve">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9CF6" w14:textId="30B29BC1" w:rsidR="004E714A" w:rsidRDefault="004E714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31E6" w14:textId="11EF8689" w:rsidR="004E714A" w:rsidRPr="004E09DD" w:rsidRDefault="004E714A" w:rsidP="009503CA">
    <w:pPr>
      <w:pStyle w:val="RRHeader2"/>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B06F2" w14:textId="56A5C63B" w:rsidR="004E714A" w:rsidRDefault="004E714A" w:rsidP="00B00F42">
    <w:pPr>
      <w:pStyle w:val="RRHeader"/>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11CF" w14:textId="49C84E70" w:rsidR="004E714A" w:rsidRDefault="004E71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AB5C" w14:textId="0E7A83CE" w:rsidR="004E714A" w:rsidRPr="004E09DD" w:rsidRDefault="004E714A" w:rsidP="00622097">
    <w:pPr>
      <w:pStyle w:val="RRHeader2"/>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p w14:paraId="3E5FEE4D" w14:textId="2325E402" w:rsidR="004E714A" w:rsidRDefault="004E714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53B2" w14:textId="240E5046" w:rsidR="004E714A" w:rsidRDefault="004E714A" w:rsidP="00210B59">
    <w:pPr>
      <w:pStyle w:val="RRHeader"/>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p w14:paraId="45CC8DE2" w14:textId="77777777" w:rsidR="004E714A" w:rsidRDefault="004E714A" w:rsidP="00210B59"/>
  <w:p w14:paraId="536BF61C" w14:textId="0A278039" w:rsidR="004E714A" w:rsidRDefault="004E714A" w:rsidP="00210B5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E6A8" w14:textId="7D3C2ED2" w:rsidR="004E714A" w:rsidRDefault="004E7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974E054"/>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1" w15:restartNumberingAfterBreak="0">
    <w:nsid w:val="01665C7B"/>
    <w:multiLevelType w:val="hybridMultilevel"/>
    <w:tmpl w:val="6986A97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2CE3F18"/>
    <w:multiLevelType w:val="multilevel"/>
    <w:tmpl w:val="5DACF888"/>
    <w:lvl w:ilvl="0">
      <w:start w:val="1"/>
      <w:numFmt w:val="decimal"/>
      <w:pStyle w:val="RRNumberedSubhead1"/>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3"/>
      <w:numFmt w:val="decimal"/>
      <w:lvlRestart w:val="0"/>
      <w:lvlText w:val="%1.%2.%3."/>
      <w:lvlJc w:val="left"/>
      <w:pPr>
        <w:ind w:left="13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147ECE"/>
    <w:multiLevelType w:val="hybridMultilevel"/>
    <w:tmpl w:val="EA8E0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56066A6"/>
    <w:multiLevelType w:val="hybridMultilevel"/>
    <w:tmpl w:val="A3BE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741AA"/>
    <w:multiLevelType w:val="hybridMultilevel"/>
    <w:tmpl w:val="3DEE308E"/>
    <w:lvl w:ilvl="0" w:tplc="9A5A095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76692"/>
    <w:multiLevelType w:val="hybridMultilevel"/>
    <w:tmpl w:val="8340B1C8"/>
    <w:lvl w:ilvl="0" w:tplc="E1C28A30">
      <w:start w:val="1"/>
      <w:numFmt w:val="decimal"/>
      <w:lvlText w:val="%1."/>
      <w:lvlJc w:val="left"/>
      <w:pPr>
        <w:ind w:left="1530" w:hanging="360"/>
      </w:pPr>
      <w:rPr>
        <w:rFonts w:hint="default"/>
        <w:b w:val="0"/>
        <w:color w:val="auto"/>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0DD4266F"/>
    <w:multiLevelType w:val="hybridMultilevel"/>
    <w:tmpl w:val="41AA932A"/>
    <w:lvl w:ilvl="0" w:tplc="3C841C70">
      <w:start w:val="1"/>
      <w:numFmt w:val="bullet"/>
      <w:lvlText w:val=""/>
      <w:lvlJc w:val="left"/>
      <w:pPr>
        <w:ind w:left="720" w:hanging="360"/>
      </w:pPr>
      <w:rPr>
        <w:rFonts w:ascii="Wingdings 2" w:hAnsi="Wingdings 2"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A513A"/>
    <w:multiLevelType w:val="hybridMultilevel"/>
    <w:tmpl w:val="336E623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11AA5CC2"/>
    <w:multiLevelType w:val="hybridMultilevel"/>
    <w:tmpl w:val="59F47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131282"/>
    <w:multiLevelType w:val="hybridMultilevel"/>
    <w:tmpl w:val="92809D62"/>
    <w:lvl w:ilvl="0" w:tplc="3C841C70">
      <w:start w:val="1"/>
      <w:numFmt w:val="bullet"/>
      <w:lvlText w:val=""/>
      <w:lvlJc w:val="left"/>
      <w:pPr>
        <w:ind w:left="720" w:hanging="360"/>
      </w:pPr>
      <w:rPr>
        <w:rFonts w:ascii="Wingdings 2" w:hAnsi="Wingdings 2"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5D3DA6"/>
    <w:multiLevelType w:val="hybridMultilevel"/>
    <w:tmpl w:val="3E663DA6"/>
    <w:lvl w:ilvl="0" w:tplc="94085FCA">
      <w:start w:val="1"/>
      <w:numFmt w:val="decimal"/>
      <w:pStyle w:val="RR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0576E"/>
    <w:multiLevelType w:val="hybridMultilevel"/>
    <w:tmpl w:val="DD602982"/>
    <w:lvl w:ilvl="0" w:tplc="3C841C70">
      <w:start w:val="1"/>
      <w:numFmt w:val="bullet"/>
      <w:lvlText w:val=""/>
      <w:lvlJc w:val="left"/>
      <w:pPr>
        <w:ind w:left="720" w:hanging="360"/>
      </w:pPr>
      <w:rPr>
        <w:rFonts w:ascii="Wingdings 2" w:hAnsi="Wingdings 2"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05B51"/>
    <w:multiLevelType w:val="hybridMultilevel"/>
    <w:tmpl w:val="6D4EBD26"/>
    <w:lvl w:ilvl="0" w:tplc="086EC3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946B77"/>
    <w:multiLevelType w:val="hybridMultilevel"/>
    <w:tmpl w:val="9362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C46DF"/>
    <w:multiLevelType w:val="multilevel"/>
    <w:tmpl w:val="DE2A75E0"/>
    <w:lvl w:ilvl="0">
      <w:start w:val="1"/>
      <w:numFmt w:val="decimal"/>
      <w:lvlText w:val="%1"/>
      <w:lvlJc w:val="left"/>
      <w:pPr>
        <w:ind w:left="360" w:hanging="360"/>
      </w:pPr>
      <w:rPr>
        <w:rFonts w:hint="default"/>
      </w:rPr>
    </w:lvl>
    <w:lvl w:ilvl="1">
      <w:start w:val="1"/>
      <w:numFmt w:val="decimal"/>
      <w:pStyle w:val="RRNumberedSubhead2"/>
      <w:lvlText w:val="%1.%2"/>
      <w:lvlJc w:val="left"/>
      <w:pPr>
        <w:ind w:left="720" w:hanging="360"/>
      </w:pPr>
      <w:rPr>
        <w:rFonts w:hint="default"/>
      </w:rPr>
    </w:lvl>
    <w:lvl w:ilvl="2">
      <w:start w:val="1"/>
      <w:numFmt w:val="decimal"/>
      <w:pStyle w:val="RRNumberedSubhead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652880"/>
    <w:multiLevelType w:val="hybridMultilevel"/>
    <w:tmpl w:val="887A1296"/>
    <w:lvl w:ilvl="0" w:tplc="184C8310">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A38A5"/>
    <w:multiLevelType w:val="hybridMultilevel"/>
    <w:tmpl w:val="540A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4522D"/>
    <w:multiLevelType w:val="hybridMultilevel"/>
    <w:tmpl w:val="50B48934"/>
    <w:lvl w:ilvl="0" w:tplc="B60C9C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35608"/>
    <w:multiLevelType w:val="hybridMultilevel"/>
    <w:tmpl w:val="9634E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773FD"/>
    <w:multiLevelType w:val="hybridMultilevel"/>
    <w:tmpl w:val="8104086E"/>
    <w:lvl w:ilvl="0" w:tplc="AC5E3170">
      <w:start w:val="1"/>
      <w:numFmt w:val="lowerRoman"/>
      <w:pStyle w:val="RRNumberedRoman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DD7741"/>
    <w:multiLevelType w:val="hybridMultilevel"/>
    <w:tmpl w:val="7B32C8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A5BCA"/>
    <w:multiLevelType w:val="hybridMultilevel"/>
    <w:tmpl w:val="62F4ADD8"/>
    <w:lvl w:ilvl="0" w:tplc="891C911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D5DB0"/>
    <w:multiLevelType w:val="hybridMultilevel"/>
    <w:tmpl w:val="F5B0032E"/>
    <w:lvl w:ilvl="0" w:tplc="67CED9CA">
      <w:start w:val="1"/>
      <w:numFmt w:val="lowerRoman"/>
      <w:lvlText w:val="(%1)"/>
      <w:lvlJc w:val="left"/>
      <w:pPr>
        <w:ind w:left="504" w:hanging="360"/>
      </w:pPr>
      <w:rPr>
        <w:rFonts w:hint="default"/>
        <w:sz w:val="17"/>
        <w:szCs w:val="17"/>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41C03704"/>
    <w:multiLevelType w:val="hybridMultilevel"/>
    <w:tmpl w:val="A78058C2"/>
    <w:lvl w:ilvl="0" w:tplc="3C841C70">
      <w:start w:val="1"/>
      <w:numFmt w:val="bullet"/>
      <w:lvlText w:val=""/>
      <w:lvlJc w:val="left"/>
      <w:pPr>
        <w:ind w:left="360" w:hanging="360"/>
      </w:pPr>
      <w:rPr>
        <w:rFonts w:ascii="Wingdings 2" w:hAnsi="Wingdings 2" w:hint="default"/>
        <w:color w:val="727A7D" w:themeColor="accent3"/>
        <w:sz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FB18E9"/>
    <w:multiLevelType w:val="hybridMultilevel"/>
    <w:tmpl w:val="237001CE"/>
    <w:lvl w:ilvl="0" w:tplc="923449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77331F"/>
    <w:multiLevelType w:val="hybridMultilevel"/>
    <w:tmpl w:val="F38E2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D26E64"/>
    <w:multiLevelType w:val="hybridMultilevel"/>
    <w:tmpl w:val="6B866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8255F"/>
    <w:multiLevelType w:val="multilevel"/>
    <w:tmpl w:val="7E8EB64C"/>
    <w:lvl w:ilvl="0">
      <w:start w:val="1"/>
      <w:numFmt w:val="lowerRoman"/>
      <w:lvlText w:val="(%1)"/>
      <w:lvlJc w:val="left"/>
      <w:pPr>
        <w:tabs>
          <w:tab w:val="num" w:pos="360"/>
        </w:tabs>
        <w:ind w:left="1080" w:hanging="1080"/>
      </w:pPr>
      <w:rPr>
        <w:rFonts w:hint="default"/>
      </w:rPr>
    </w:lvl>
    <w:lvl w:ilvl="1">
      <w:start w:val="1"/>
      <w:numFmt w:val="upperLetter"/>
      <w:pStyle w:val="Heading3"/>
      <w:lvlText w:val="%2."/>
      <w:lvlJc w:val="left"/>
      <w:pPr>
        <w:tabs>
          <w:tab w:val="num" w:pos="360"/>
        </w:tabs>
        <w:ind w:left="1080" w:hanging="1080"/>
      </w:pPr>
      <w:rPr>
        <w:rFonts w:hint="default"/>
      </w:rPr>
    </w:lvl>
    <w:lvl w:ilvl="2">
      <w:start w:val="1"/>
      <w:numFmt w:val="lowerRoman"/>
      <w:pStyle w:val="Heading4"/>
      <w:lvlText w:val="%3."/>
      <w:lvlJc w:val="left"/>
      <w:pPr>
        <w:tabs>
          <w:tab w:val="num" w:pos="360"/>
        </w:tabs>
        <w:ind w:left="1080" w:hanging="1080"/>
      </w:pPr>
      <w:rPr>
        <w:rFonts w:hint="default"/>
        <w:sz w:val="22"/>
        <w:szCs w:val="22"/>
      </w:rPr>
    </w:lvl>
    <w:lvl w:ilvl="3">
      <w:start w:val="1"/>
      <w:numFmt w:val="lowerLetter"/>
      <w:pStyle w:val="Heading5"/>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9B26B73"/>
    <w:multiLevelType w:val="hybridMultilevel"/>
    <w:tmpl w:val="B82A93B4"/>
    <w:lvl w:ilvl="0" w:tplc="3C841C70">
      <w:start w:val="1"/>
      <w:numFmt w:val="bullet"/>
      <w:lvlText w:val=""/>
      <w:lvlJc w:val="left"/>
      <w:pPr>
        <w:ind w:left="720" w:hanging="360"/>
      </w:pPr>
      <w:rPr>
        <w:rFonts w:ascii="Wingdings 2" w:hAnsi="Wingdings 2"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12489"/>
    <w:multiLevelType w:val="hybridMultilevel"/>
    <w:tmpl w:val="288A7C48"/>
    <w:lvl w:ilvl="0" w:tplc="AAA2ADD2">
      <w:start w:val="1"/>
      <w:numFmt w:val="upp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1" w15:restartNumberingAfterBreak="0">
    <w:nsid w:val="525E18C4"/>
    <w:multiLevelType w:val="hybridMultilevel"/>
    <w:tmpl w:val="AB904DDA"/>
    <w:lvl w:ilvl="0" w:tplc="EA5673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E4784E"/>
    <w:multiLevelType w:val="hybridMultilevel"/>
    <w:tmpl w:val="D1D44ED2"/>
    <w:lvl w:ilvl="0" w:tplc="AAA2ADD2">
      <w:start w:val="1"/>
      <w:numFmt w:val="upp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3" w15:restartNumberingAfterBreak="0">
    <w:nsid w:val="57872400"/>
    <w:multiLevelType w:val="hybridMultilevel"/>
    <w:tmpl w:val="A8B80B80"/>
    <w:lvl w:ilvl="0" w:tplc="04090003">
      <w:start w:val="1"/>
      <w:numFmt w:val="bullet"/>
      <w:lvlText w:val="o"/>
      <w:lvlJc w:val="left"/>
      <w:pPr>
        <w:ind w:left="360" w:hanging="360"/>
      </w:pPr>
      <w:rPr>
        <w:rFonts w:ascii="Courier New" w:hAnsi="Courier New" w:cs="Courier New" w:hint="default"/>
        <w:color w:val="727A7D" w:themeColor="accent3"/>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8F2039"/>
    <w:multiLevelType w:val="hybridMultilevel"/>
    <w:tmpl w:val="C9BE3B5A"/>
    <w:lvl w:ilvl="0" w:tplc="6D62E13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5416E0"/>
    <w:multiLevelType w:val="hybridMultilevel"/>
    <w:tmpl w:val="FFEE02F2"/>
    <w:lvl w:ilvl="0" w:tplc="48983C2E">
      <w:start w:val="1"/>
      <w:numFmt w:val="decimal"/>
      <w:pStyle w:val="RRNumberTable"/>
      <w:lvlText w:val="%1."/>
      <w:lvlJc w:val="left"/>
      <w:pPr>
        <w:ind w:left="720" w:hanging="360"/>
      </w:pPr>
      <w:rPr>
        <w:color w:val="727A7D" w:themeColor="accent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29A0363"/>
    <w:multiLevelType w:val="multilevel"/>
    <w:tmpl w:val="F78E84EC"/>
    <w:lvl w:ilvl="0">
      <w:start w:val="1"/>
      <w:numFmt w:val="decimal"/>
      <w:pStyle w:val="ListBullet"/>
      <w:lvlText w:val="%1."/>
      <w:lvlJc w:val="left"/>
      <w:pPr>
        <w:tabs>
          <w:tab w:val="num" w:pos="360"/>
        </w:tabs>
        <w:ind w:left="1080" w:hanging="1080"/>
      </w:pPr>
      <w:rPr>
        <w:rFonts w:hint="default"/>
      </w:rPr>
    </w:lvl>
    <w:lvl w:ilvl="1">
      <w:start w:val="1"/>
      <w:numFmt w:val="upperLetter"/>
      <w:lvlText w:val="%2."/>
      <w:lvlJc w:val="left"/>
      <w:pPr>
        <w:tabs>
          <w:tab w:val="num" w:pos="360"/>
        </w:tabs>
        <w:ind w:left="1080" w:hanging="1080"/>
      </w:pPr>
      <w:rPr>
        <w:rFonts w:hint="default"/>
      </w:rPr>
    </w:lvl>
    <w:lvl w:ilvl="2">
      <w:start w:val="1"/>
      <w:numFmt w:val="lowerRoman"/>
      <w:lvlText w:val="%3."/>
      <w:lvlJc w:val="left"/>
      <w:pPr>
        <w:tabs>
          <w:tab w:val="num" w:pos="360"/>
        </w:tabs>
        <w:ind w:left="1080" w:hanging="1080"/>
      </w:pPr>
      <w:rPr>
        <w:rFonts w:hint="default"/>
      </w:rPr>
    </w:lvl>
    <w:lvl w:ilvl="3">
      <w:start w:val="1"/>
      <w:numFmt w:val="lowerLetter"/>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53B5DFE"/>
    <w:multiLevelType w:val="hybridMultilevel"/>
    <w:tmpl w:val="42C63C1E"/>
    <w:lvl w:ilvl="0" w:tplc="3C841C70">
      <w:start w:val="1"/>
      <w:numFmt w:val="bullet"/>
      <w:lvlText w:val=""/>
      <w:lvlJc w:val="left"/>
      <w:pPr>
        <w:ind w:left="360" w:hanging="360"/>
      </w:pPr>
      <w:rPr>
        <w:rFonts w:ascii="Wingdings 2" w:hAnsi="Wingdings 2" w:hint="default"/>
        <w:color w:val="727A7D" w:themeColor="accent3"/>
        <w:sz w:val="1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187A49"/>
    <w:multiLevelType w:val="hybridMultilevel"/>
    <w:tmpl w:val="C646F8E0"/>
    <w:lvl w:ilvl="0" w:tplc="E93E7A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5032EC"/>
    <w:multiLevelType w:val="hybridMultilevel"/>
    <w:tmpl w:val="5B10DC68"/>
    <w:lvl w:ilvl="0" w:tplc="3C841C70">
      <w:start w:val="1"/>
      <w:numFmt w:val="bullet"/>
      <w:pStyle w:val="RRBullet1"/>
      <w:lvlText w:val=""/>
      <w:lvlJc w:val="left"/>
      <w:pPr>
        <w:ind w:left="360" w:hanging="360"/>
      </w:pPr>
      <w:rPr>
        <w:rFonts w:ascii="Wingdings 2" w:hAnsi="Wingdings 2" w:hint="default"/>
        <w:color w:val="727A7D" w:themeColor="accent3"/>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E7F76"/>
    <w:multiLevelType w:val="hybridMultilevel"/>
    <w:tmpl w:val="DB806CEA"/>
    <w:lvl w:ilvl="0" w:tplc="B70E1BD0">
      <w:start w:val="1"/>
      <w:numFmt w:val="bullet"/>
      <w:pStyle w:val="RRBullet2"/>
      <w:lvlText w:val="−"/>
      <w:lvlJc w:val="left"/>
      <w:pPr>
        <w:ind w:left="540" w:hanging="360"/>
      </w:pPr>
      <w:rPr>
        <w:rFonts w:ascii="Arial" w:hAnsi="Arial"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0F1036"/>
    <w:multiLevelType w:val="hybridMultilevel"/>
    <w:tmpl w:val="18AE1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9A2856"/>
    <w:multiLevelType w:val="hybridMultilevel"/>
    <w:tmpl w:val="02364502"/>
    <w:lvl w:ilvl="0" w:tplc="52D06918">
      <w:start w:val="1"/>
      <w:numFmt w:val="lowerRoman"/>
      <w:pStyle w:val="Heading6"/>
      <w:lvlText w:val="(%1)"/>
      <w:lvlJc w:val="left"/>
      <w:pPr>
        <w:ind w:left="1152" w:hanging="360"/>
      </w:pPr>
      <w:rPr>
        <w:rFonts w:hint="default"/>
        <w:sz w:val="17"/>
        <w:szCs w:val="17"/>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3" w15:restartNumberingAfterBreak="0">
    <w:nsid w:val="72E51C0F"/>
    <w:multiLevelType w:val="hybridMultilevel"/>
    <w:tmpl w:val="ACD053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281382"/>
    <w:multiLevelType w:val="hybridMultilevel"/>
    <w:tmpl w:val="59F47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7251E1D"/>
    <w:multiLevelType w:val="hybridMultilevel"/>
    <w:tmpl w:val="614885C2"/>
    <w:lvl w:ilvl="0" w:tplc="DBC81E92">
      <w:start w:val="1"/>
      <w:numFmt w:val="decimal"/>
      <w:pStyle w:val="RRNumber2"/>
      <w:lvlText w:val="%1."/>
      <w:lvlJc w:val="left"/>
      <w:pPr>
        <w:ind w:left="960" w:hanging="360"/>
      </w:pPr>
      <w:rPr>
        <w:rFonts w:hint="default"/>
        <w:sz w:val="16"/>
        <w:u w:color="727A7D" w:themeColor="accent3"/>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39"/>
  </w:num>
  <w:num w:numId="2">
    <w:abstractNumId w:val="40"/>
  </w:num>
  <w:num w:numId="3">
    <w:abstractNumId w:val="11"/>
  </w:num>
  <w:num w:numId="4">
    <w:abstractNumId w:val="2"/>
  </w:num>
  <w:num w:numId="5">
    <w:abstractNumId w:val="20"/>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num>
  <w:num w:numId="8">
    <w:abstractNumId w:val="15"/>
  </w:num>
  <w:num w:numId="9">
    <w:abstractNumId w:val="28"/>
  </w:num>
  <w:num w:numId="10">
    <w:abstractNumId w:val="19"/>
  </w:num>
  <w:num w:numId="11">
    <w:abstractNumId w:val="4"/>
  </w:num>
  <w:num w:numId="12">
    <w:abstractNumId w:val="0"/>
  </w:num>
  <w:num w:numId="13">
    <w:abstractNumId w:val="34"/>
  </w:num>
  <w:num w:numId="14">
    <w:abstractNumId w:val="23"/>
  </w:num>
  <w:num w:numId="15">
    <w:abstractNumId w:val="36"/>
  </w:num>
  <w:num w:numId="16">
    <w:abstractNumId w:val="8"/>
  </w:num>
  <w:num w:numId="17">
    <w:abstractNumId w:val="17"/>
  </w:num>
  <w:num w:numId="18">
    <w:abstractNumId w:val="25"/>
  </w:num>
  <w:num w:numId="19">
    <w:abstractNumId w:val="6"/>
  </w:num>
  <w:num w:numId="20">
    <w:abstractNumId w:val="33"/>
  </w:num>
  <w:num w:numId="21">
    <w:abstractNumId w:val="1"/>
  </w:num>
  <w:num w:numId="22">
    <w:abstractNumId w:val="43"/>
  </w:num>
  <w:num w:numId="23">
    <w:abstractNumId w:val="44"/>
  </w:num>
  <w:num w:numId="24">
    <w:abstractNumId w:val="13"/>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3"/>
    <w:lvlOverride w:ilvl="0">
      <w:startOverride w:val="1"/>
    </w:lvlOverride>
  </w:num>
  <w:num w:numId="32">
    <w:abstractNumId w:val="23"/>
    <w:lvlOverride w:ilvl="0">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num>
  <w:num w:numId="35">
    <w:abstractNumId w:val="23"/>
    <w:lvlOverride w:ilvl="0">
      <w:startOverride w:val="1"/>
    </w:lvlOverride>
  </w:num>
  <w:num w:numId="36">
    <w:abstractNumId w:val="23"/>
    <w:lvlOverride w:ilvl="0">
      <w:startOverride w:val="1"/>
    </w:lvlOverride>
  </w:num>
  <w:num w:numId="37">
    <w:abstractNumId w:val="23"/>
    <w:lvlOverride w:ilvl="0">
      <w:startOverride w:val="1"/>
    </w:lvlOverride>
  </w:num>
  <w:num w:numId="38">
    <w:abstractNumId w:val="23"/>
    <w:lvlOverride w:ilvl="0">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lvlOverride w:ilvl="0">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num>
  <w:num w:numId="51">
    <w:abstractNumId w:val="12"/>
  </w:num>
  <w:num w:numId="52">
    <w:abstractNumId w:val="37"/>
  </w:num>
  <w:num w:numId="53">
    <w:abstractNumId w:val="10"/>
  </w:num>
  <w:num w:numId="54">
    <w:abstractNumId w:val="9"/>
  </w:num>
  <w:num w:numId="55">
    <w:abstractNumId w:val="3"/>
  </w:num>
  <w:num w:numId="56">
    <w:abstractNumId w:val="23"/>
    <w:lvlOverride w:ilvl="0">
      <w:startOverride w:val="1"/>
    </w:lvlOverride>
  </w:num>
  <w:num w:numId="57">
    <w:abstractNumId w:val="14"/>
  </w:num>
  <w:num w:numId="58">
    <w:abstractNumId w:val="42"/>
  </w:num>
  <w:num w:numId="59">
    <w:abstractNumId w:val="42"/>
    <w:lvlOverride w:ilvl="0">
      <w:startOverride w:val="1"/>
    </w:lvlOverride>
  </w:num>
  <w:num w:numId="60">
    <w:abstractNumId w:val="42"/>
    <w:lvlOverride w:ilvl="0">
      <w:startOverride w:val="1"/>
    </w:lvlOverride>
  </w:num>
  <w:num w:numId="61">
    <w:abstractNumId w:val="42"/>
    <w:lvlOverride w:ilvl="0">
      <w:startOverride w:val="1"/>
    </w:lvlOverride>
  </w:num>
  <w:num w:numId="62">
    <w:abstractNumId w:val="42"/>
    <w:lvlOverride w:ilvl="0">
      <w:startOverride w:val="1"/>
    </w:lvlOverride>
  </w:num>
  <w:num w:numId="63">
    <w:abstractNumId w:val="42"/>
    <w:lvlOverride w:ilvl="0">
      <w:startOverride w:val="1"/>
    </w:lvlOverride>
  </w:num>
  <w:num w:numId="64">
    <w:abstractNumId w:val="42"/>
    <w:lvlOverride w:ilvl="0">
      <w:startOverride w:val="1"/>
    </w:lvlOverride>
  </w:num>
  <w:num w:numId="65">
    <w:abstractNumId w:val="42"/>
  </w:num>
  <w:num w:numId="66">
    <w:abstractNumId w:val="42"/>
    <w:lvlOverride w:ilvl="0">
      <w:startOverride w:val="1"/>
    </w:lvlOverride>
  </w:num>
  <w:num w:numId="67">
    <w:abstractNumId w:val="42"/>
    <w:lvlOverride w:ilvl="0">
      <w:startOverride w:val="1"/>
    </w:lvlOverride>
  </w:num>
  <w:num w:numId="68">
    <w:abstractNumId w:val="42"/>
    <w:lvlOverride w:ilvl="0">
      <w:startOverride w:val="1"/>
    </w:lvlOverride>
  </w:num>
  <w:num w:numId="69">
    <w:abstractNumId w:val="42"/>
    <w:lvlOverride w:ilvl="0">
      <w:startOverride w:val="1"/>
    </w:lvlOverride>
  </w:num>
  <w:num w:numId="70">
    <w:abstractNumId w:val="41"/>
  </w:num>
  <w:num w:numId="71">
    <w:abstractNumId w:val="42"/>
  </w:num>
  <w:num w:numId="72">
    <w:abstractNumId w:val="42"/>
    <w:lvlOverride w:ilvl="0">
      <w:startOverride w:val="1"/>
    </w:lvlOverride>
  </w:num>
  <w:num w:numId="73">
    <w:abstractNumId w:val="42"/>
    <w:lvlOverride w:ilvl="0">
      <w:startOverride w:val="1"/>
    </w:lvlOverride>
  </w:num>
  <w:num w:numId="74">
    <w:abstractNumId w:val="42"/>
    <w:lvlOverride w:ilvl="0">
      <w:startOverride w:val="1"/>
    </w:lvlOverride>
  </w:num>
  <w:num w:numId="75">
    <w:abstractNumId w:val="42"/>
    <w:lvlOverride w:ilvl="0">
      <w:startOverride w:val="1"/>
    </w:lvlOverride>
  </w:num>
  <w:num w:numId="76">
    <w:abstractNumId w:val="42"/>
    <w:lvlOverride w:ilvl="0">
      <w:startOverride w:val="1"/>
    </w:lvlOverride>
  </w:num>
  <w:num w:numId="77">
    <w:abstractNumId w:val="42"/>
    <w:lvlOverride w:ilvl="0">
      <w:startOverride w:val="1"/>
    </w:lvlOverride>
  </w:num>
  <w:num w:numId="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2"/>
    <w:lvlOverride w:ilvl="0">
      <w:startOverride w:val="1"/>
    </w:lvlOverride>
  </w:num>
  <w:num w:numId="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num>
  <w:num w:numId="83">
    <w:abstractNumId w:val="21"/>
  </w:num>
  <w:num w:numId="84">
    <w:abstractNumId w:val="22"/>
  </w:num>
  <w:num w:numId="85">
    <w:abstractNumId w:val="30"/>
  </w:num>
  <w:num w:numId="86">
    <w:abstractNumId w:val="32"/>
  </w:num>
  <w:num w:numId="87">
    <w:abstractNumId w:val="24"/>
  </w:num>
  <w:num w:numId="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7"/>
  </w:num>
  <w:num w:numId="90">
    <w:abstractNumId w:val="26"/>
  </w:num>
  <w:num w:numId="91">
    <w:abstractNumId w:val="18"/>
  </w:num>
  <w:num w:numId="92">
    <w:abstractNumId w:val="31"/>
  </w:num>
  <w:num w:numId="93">
    <w:abstractNumId w:val="38"/>
  </w:num>
  <w:num w:numId="94">
    <w:abstractNumId w:val="16"/>
  </w:num>
  <w:num w:numId="95">
    <w:abstractNumId w:val="42"/>
    <w:lvlOverride w:ilvl="0">
      <w:startOverride w:val="1"/>
    </w:lvlOverride>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5465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7A"/>
    <w:rsid w:val="00000574"/>
    <w:rsid w:val="0000089D"/>
    <w:rsid w:val="000016F5"/>
    <w:rsid w:val="000018E8"/>
    <w:rsid w:val="00002852"/>
    <w:rsid w:val="00002A9A"/>
    <w:rsid w:val="00004020"/>
    <w:rsid w:val="0000556D"/>
    <w:rsid w:val="00005C59"/>
    <w:rsid w:val="00005F0A"/>
    <w:rsid w:val="000067E5"/>
    <w:rsid w:val="0000683E"/>
    <w:rsid w:val="00010C28"/>
    <w:rsid w:val="00011637"/>
    <w:rsid w:val="000117DE"/>
    <w:rsid w:val="00011864"/>
    <w:rsid w:val="00011AC2"/>
    <w:rsid w:val="00011F92"/>
    <w:rsid w:val="000120CB"/>
    <w:rsid w:val="00012C4B"/>
    <w:rsid w:val="00013033"/>
    <w:rsid w:val="000132E5"/>
    <w:rsid w:val="00013385"/>
    <w:rsid w:val="00013454"/>
    <w:rsid w:val="00013FA1"/>
    <w:rsid w:val="00014201"/>
    <w:rsid w:val="0001420E"/>
    <w:rsid w:val="00015083"/>
    <w:rsid w:val="00015A13"/>
    <w:rsid w:val="0001624C"/>
    <w:rsid w:val="00017F09"/>
    <w:rsid w:val="000203D7"/>
    <w:rsid w:val="0002152A"/>
    <w:rsid w:val="0002329A"/>
    <w:rsid w:val="00023356"/>
    <w:rsid w:val="00023C81"/>
    <w:rsid w:val="00023D8C"/>
    <w:rsid w:val="00023E5A"/>
    <w:rsid w:val="000241EC"/>
    <w:rsid w:val="0002427A"/>
    <w:rsid w:val="000247BD"/>
    <w:rsid w:val="0002512A"/>
    <w:rsid w:val="000260C4"/>
    <w:rsid w:val="00027779"/>
    <w:rsid w:val="00031FE7"/>
    <w:rsid w:val="0003230F"/>
    <w:rsid w:val="00034B08"/>
    <w:rsid w:val="00034CD8"/>
    <w:rsid w:val="00035E95"/>
    <w:rsid w:val="0003610C"/>
    <w:rsid w:val="00036973"/>
    <w:rsid w:val="00036AAC"/>
    <w:rsid w:val="00036C89"/>
    <w:rsid w:val="000376A8"/>
    <w:rsid w:val="00040E22"/>
    <w:rsid w:val="00040FC8"/>
    <w:rsid w:val="00041418"/>
    <w:rsid w:val="00041FEB"/>
    <w:rsid w:val="00043814"/>
    <w:rsid w:val="0004690F"/>
    <w:rsid w:val="00047BB4"/>
    <w:rsid w:val="00050563"/>
    <w:rsid w:val="000509CD"/>
    <w:rsid w:val="00050D82"/>
    <w:rsid w:val="000514E6"/>
    <w:rsid w:val="00051772"/>
    <w:rsid w:val="0005498F"/>
    <w:rsid w:val="00057309"/>
    <w:rsid w:val="00057800"/>
    <w:rsid w:val="000620C8"/>
    <w:rsid w:val="0006277C"/>
    <w:rsid w:val="00063050"/>
    <w:rsid w:val="00063793"/>
    <w:rsid w:val="00064C2F"/>
    <w:rsid w:val="000663D8"/>
    <w:rsid w:val="00067000"/>
    <w:rsid w:val="00071264"/>
    <w:rsid w:val="00072C4C"/>
    <w:rsid w:val="000731E0"/>
    <w:rsid w:val="000740C6"/>
    <w:rsid w:val="0007416F"/>
    <w:rsid w:val="00074255"/>
    <w:rsid w:val="00075BFF"/>
    <w:rsid w:val="0008019F"/>
    <w:rsid w:val="00080B8F"/>
    <w:rsid w:val="0008195D"/>
    <w:rsid w:val="00081AC4"/>
    <w:rsid w:val="00081D7A"/>
    <w:rsid w:val="0008221E"/>
    <w:rsid w:val="00082691"/>
    <w:rsid w:val="00082714"/>
    <w:rsid w:val="00084133"/>
    <w:rsid w:val="00084331"/>
    <w:rsid w:val="000843D5"/>
    <w:rsid w:val="000844D1"/>
    <w:rsid w:val="0008458E"/>
    <w:rsid w:val="00084CC9"/>
    <w:rsid w:val="00084FCD"/>
    <w:rsid w:val="00085954"/>
    <w:rsid w:val="000869C3"/>
    <w:rsid w:val="00086E97"/>
    <w:rsid w:val="00087334"/>
    <w:rsid w:val="00087993"/>
    <w:rsid w:val="00087FB9"/>
    <w:rsid w:val="00090611"/>
    <w:rsid w:val="00091353"/>
    <w:rsid w:val="00091BBC"/>
    <w:rsid w:val="0009270C"/>
    <w:rsid w:val="00092E22"/>
    <w:rsid w:val="0009463A"/>
    <w:rsid w:val="00096D1E"/>
    <w:rsid w:val="000972A3"/>
    <w:rsid w:val="000976E1"/>
    <w:rsid w:val="000A0931"/>
    <w:rsid w:val="000A0FC8"/>
    <w:rsid w:val="000A36B8"/>
    <w:rsid w:val="000A44D9"/>
    <w:rsid w:val="000A4EAE"/>
    <w:rsid w:val="000A54FE"/>
    <w:rsid w:val="000A6C0D"/>
    <w:rsid w:val="000B3138"/>
    <w:rsid w:val="000B37CB"/>
    <w:rsid w:val="000B38AB"/>
    <w:rsid w:val="000B3A1A"/>
    <w:rsid w:val="000B44FD"/>
    <w:rsid w:val="000B4AD4"/>
    <w:rsid w:val="000B5545"/>
    <w:rsid w:val="000C0041"/>
    <w:rsid w:val="000C094F"/>
    <w:rsid w:val="000C0BCD"/>
    <w:rsid w:val="000C17D0"/>
    <w:rsid w:val="000C1E8C"/>
    <w:rsid w:val="000C32DA"/>
    <w:rsid w:val="000C4FEE"/>
    <w:rsid w:val="000C53EB"/>
    <w:rsid w:val="000C5FCF"/>
    <w:rsid w:val="000C62FA"/>
    <w:rsid w:val="000C66D2"/>
    <w:rsid w:val="000C6E5D"/>
    <w:rsid w:val="000C6F7F"/>
    <w:rsid w:val="000D03A2"/>
    <w:rsid w:val="000D05EC"/>
    <w:rsid w:val="000D2121"/>
    <w:rsid w:val="000D2BCB"/>
    <w:rsid w:val="000D33CE"/>
    <w:rsid w:val="000D340A"/>
    <w:rsid w:val="000D3679"/>
    <w:rsid w:val="000D4134"/>
    <w:rsid w:val="000D514B"/>
    <w:rsid w:val="000D53E0"/>
    <w:rsid w:val="000D5928"/>
    <w:rsid w:val="000E00AF"/>
    <w:rsid w:val="000E11C4"/>
    <w:rsid w:val="000E22C1"/>
    <w:rsid w:val="000E3999"/>
    <w:rsid w:val="000E448D"/>
    <w:rsid w:val="000E5478"/>
    <w:rsid w:val="000E5BF8"/>
    <w:rsid w:val="000E6486"/>
    <w:rsid w:val="000E7E31"/>
    <w:rsid w:val="000F2037"/>
    <w:rsid w:val="000F2AB9"/>
    <w:rsid w:val="000F3025"/>
    <w:rsid w:val="000F32C5"/>
    <w:rsid w:val="000F3D8D"/>
    <w:rsid w:val="000F3D8E"/>
    <w:rsid w:val="000F4069"/>
    <w:rsid w:val="000F6056"/>
    <w:rsid w:val="000F6150"/>
    <w:rsid w:val="000F672E"/>
    <w:rsid w:val="00100B5D"/>
    <w:rsid w:val="00101A48"/>
    <w:rsid w:val="00102021"/>
    <w:rsid w:val="00102133"/>
    <w:rsid w:val="00102FB9"/>
    <w:rsid w:val="0010330B"/>
    <w:rsid w:val="001036DE"/>
    <w:rsid w:val="00103C4A"/>
    <w:rsid w:val="001052A4"/>
    <w:rsid w:val="00105871"/>
    <w:rsid w:val="00110476"/>
    <w:rsid w:val="00112518"/>
    <w:rsid w:val="001126E5"/>
    <w:rsid w:val="0011414A"/>
    <w:rsid w:val="0011477C"/>
    <w:rsid w:val="001151A9"/>
    <w:rsid w:val="00115F73"/>
    <w:rsid w:val="00117AE0"/>
    <w:rsid w:val="001201FA"/>
    <w:rsid w:val="001205A2"/>
    <w:rsid w:val="00120AFF"/>
    <w:rsid w:val="00121069"/>
    <w:rsid w:val="0012131E"/>
    <w:rsid w:val="00122E39"/>
    <w:rsid w:val="001252C5"/>
    <w:rsid w:val="001255F0"/>
    <w:rsid w:val="00125A1E"/>
    <w:rsid w:val="001263E7"/>
    <w:rsid w:val="00126486"/>
    <w:rsid w:val="001269F3"/>
    <w:rsid w:val="001276BF"/>
    <w:rsid w:val="00130637"/>
    <w:rsid w:val="00130B70"/>
    <w:rsid w:val="00130FF5"/>
    <w:rsid w:val="00131B55"/>
    <w:rsid w:val="00131CCC"/>
    <w:rsid w:val="00132066"/>
    <w:rsid w:val="00132632"/>
    <w:rsid w:val="00132695"/>
    <w:rsid w:val="001339A5"/>
    <w:rsid w:val="00133E8C"/>
    <w:rsid w:val="00134BFA"/>
    <w:rsid w:val="001352B7"/>
    <w:rsid w:val="00135832"/>
    <w:rsid w:val="00135C64"/>
    <w:rsid w:val="00137084"/>
    <w:rsid w:val="00137270"/>
    <w:rsid w:val="00140BA7"/>
    <w:rsid w:val="00142986"/>
    <w:rsid w:val="001431FE"/>
    <w:rsid w:val="00143FBE"/>
    <w:rsid w:val="001454AB"/>
    <w:rsid w:val="00145B1C"/>
    <w:rsid w:val="00146CFA"/>
    <w:rsid w:val="00146D27"/>
    <w:rsid w:val="00150A26"/>
    <w:rsid w:val="00150D65"/>
    <w:rsid w:val="00151B5F"/>
    <w:rsid w:val="00153D55"/>
    <w:rsid w:val="00154D66"/>
    <w:rsid w:val="00155322"/>
    <w:rsid w:val="0015648B"/>
    <w:rsid w:val="0015704D"/>
    <w:rsid w:val="0015749E"/>
    <w:rsid w:val="00157600"/>
    <w:rsid w:val="00160663"/>
    <w:rsid w:val="00160BFF"/>
    <w:rsid w:val="00160E28"/>
    <w:rsid w:val="00163D6B"/>
    <w:rsid w:val="00164F76"/>
    <w:rsid w:val="00165507"/>
    <w:rsid w:val="001666E5"/>
    <w:rsid w:val="00167363"/>
    <w:rsid w:val="0017062F"/>
    <w:rsid w:val="00173234"/>
    <w:rsid w:val="00173D3F"/>
    <w:rsid w:val="00173DB0"/>
    <w:rsid w:val="00173EF5"/>
    <w:rsid w:val="00174F7C"/>
    <w:rsid w:val="00177657"/>
    <w:rsid w:val="00181FAD"/>
    <w:rsid w:val="0018234E"/>
    <w:rsid w:val="00182D20"/>
    <w:rsid w:val="00183726"/>
    <w:rsid w:val="0018414F"/>
    <w:rsid w:val="00184CBD"/>
    <w:rsid w:val="00185E58"/>
    <w:rsid w:val="00186784"/>
    <w:rsid w:val="00190FC1"/>
    <w:rsid w:val="0019166E"/>
    <w:rsid w:val="00193D99"/>
    <w:rsid w:val="00196973"/>
    <w:rsid w:val="001976D0"/>
    <w:rsid w:val="00197A2E"/>
    <w:rsid w:val="001A12E8"/>
    <w:rsid w:val="001A130B"/>
    <w:rsid w:val="001A1C4C"/>
    <w:rsid w:val="001A205B"/>
    <w:rsid w:val="001A2BD4"/>
    <w:rsid w:val="001A4B1D"/>
    <w:rsid w:val="001A703F"/>
    <w:rsid w:val="001A7B42"/>
    <w:rsid w:val="001B0777"/>
    <w:rsid w:val="001B115E"/>
    <w:rsid w:val="001B1651"/>
    <w:rsid w:val="001B1BBB"/>
    <w:rsid w:val="001B1C84"/>
    <w:rsid w:val="001B2A88"/>
    <w:rsid w:val="001B3E25"/>
    <w:rsid w:val="001B409F"/>
    <w:rsid w:val="001B47AC"/>
    <w:rsid w:val="001B4A3F"/>
    <w:rsid w:val="001B7845"/>
    <w:rsid w:val="001B78CA"/>
    <w:rsid w:val="001B7A35"/>
    <w:rsid w:val="001C0CD7"/>
    <w:rsid w:val="001C0FFA"/>
    <w:rsid w:val="001C232A"/>
    <w:rsid w:val="001C2346"/>
    <w:rsid w:val="001C3AB5"/>
    <w:rsid w:val="001C5DE5"/>
    <w:rsid w:val="001C6A05"/>
    <w:rsid w:val="001C6A1E"/>
    <w:rsid w:val="001D16B7"/>
    <w:rsid w:val="001D1A35"/>
    <w:rsid w:val="001D322C"/>
    <w:rsid w:val="001D46A9"/>
    <w:rsid w:val="001D4E5E"/>
    <w:rsid w:val="001D503D"/>
    <w:rsid w:val="001D579B"/>
    <w:rsid w:val="001D7230"/>
    <w:rsid w:val="001D7F4A"/>
    <w:rsid w:val="001E21B5"/>
    <w:rsid w:val="001E3A9E"/>
    <w:rsid w:val="001E3C64"/>
    <w:rsid w:val="001E46CF"/>
    <w:rsid w:val="001E5F71"/>
    <w:rsid w:val="001E61A4"/>
    <w:rsid w:val="001E6F74"/>
    <w:rsid w:val="001E7169"/>
    <w:rsid w:val="001E71A8"/>
    <w:rsid w:val="001E72AE"/>
    <w:rsid w:val="001E72AF"/>
    <w:rsid w:val="001F0ED2"/>
    <w:rsid w:val="001F1784"/>
    <w:rsid w:val="001F1B6D"/>
    <w:rsid w:val="001F35BB"/>
    <w:rsid w:val="001F6236"/>
    <w:rsid w:val="001F64E5"/>
    <w:rsid w:val="001F71A1"/>
    <w:rsid w:val="001F790F"/>
    <w:rsid w:val="001F7D36"/>
    <w:rsid w:val="002005E9"/>
    <w:rsid w:val="002010B6"/>
    <w:rsid w:val="00201EBF"/>
    <w:rsid w:val="0020258F"/>
    <w:rsid w:val="00207F3F"/>
    <w:rsid w:val="00210051"/>
    <w:rsid w:val="00210A9F"/>
    <w:rsid w:val="00210B59"/>
    <w:rsid w:val="00212BAE"/>
    <w:rsid w:val="00212BC3"/>
    <w:rsid w:val="002139CC"/>
    <w:rsid w:val="00214E70"/>
    <w:rsid w:val="00216978"/>
    <w:rsid w:val="002178B9"/>
    <w:rsid w:val="00220790"/>
    <w:rsid w:val="0022132B"/>
    <w:rsid w:val="002235D1"/>
    <w:rsid w:val="00223798"/>
    <w:rsid w:val="00223888"/>
    <w:rsid w:val="0022541E"/>
    <w:rsid w:val="00225CF1"/>
    <w:rsid w:val="00226718"/>
    <w:rsid w:val="0022712E"/>
    <w:rsid w:val="00227C66"/>
    <w:rsid w:val="00230126"/>
    <w:rsid w:val="00231482"/>
    <w:rsid w:val="0023270B"/>
    <w:rsid w:val="002332F3"/>
    <w:rsid w:val="00235103"/>
    <w:rsid w:val="00236AB9"/>
    <w:rsid w:val="00236B13"/>
    <w:rsid w:val="00242022"/>
    <w:rsid w:val="002420CE"/>
    <w:rsid w:val="002430D8"/>
    <w:rsid w:val="00243D0B"/>
    <w:rsid w:val="00244870"/>
    <w:rsid w:val="00245894"/>
    <w:rsid w:val="00245BAA"/>
    <w:rsid w:val="002466FA"/>
    <w:rsid w:val="002532CA"/>
    <w:rsid w:val="00254A52"/>
    <w:rsid w:val="002560C0"/>
    <w:rsid w:val="002560C4"/>
    <w:rsid w:val="002564AB"/>
    <w:rsid w:val="002564F0"/>
    <w:rsid w:val="00256528"/>
    <w:rsid w:val="002565D9"/>
    <w:rsid w:val="00256C0B"/>
    <w:rsid w:val="002577D2"/>
    <w:rsid w:val="00257D02"/>
    <w:rsid w:val="002613F3"/>
    <w:rsid w:val="0026437E"/>
    <w:rsid w:val="00265380"/>
    <w:rsid w:val="00265C4E"/>
    <w:rsid w:val="0026670E"/>
    <w:rsid w:val="0027012E"/>
    <w:rsid w:val="0027065D"/>
    <w:rsid w:val="0027101D"/>
    <w:rsid w:val="00271B4B"/>
    <w:rsid w:val="00273A3D"/>
    <w:rsid w:val="00273AFF"/>
    <w:rsid w:val="00275B3A"/>
    <w:rsid w:val="00276A6E"/>
    <w:rsid w:val="00277570"/>
    <w:rsid w:val="00280226"/>
    <w:rsid w:val="0028183E"/>
    <w:rsid w:val="002829E2"/>
    <w:rsid w:val="00282F6C"/>
    <w:rsid w:val="00283D39"/>
    <w:rsid w:val="00290325"/>
    <w:rsid w:val="00290D41"/>
    <w:rsid w:val="00292381"/>
    <w:rsid w:val="00293B75"/>
    <w:rsid w:val="0029438D"/>
    <w:rsid w:val="00294D8A"/>
    <w:rsid w:val="00295B46"/>
    <w:rsid w:val="00297B76"/>
    <w:rsid w:val="002A0196"/>
    <w:rsid w:val="002A068B"/>
    <w:rsid w:val="002A2516"/>
    <w:rsid w:val="002A5599"/>
    <w:rsid w:val="002A5C16"/>
    <w:rsid w:val="002A61DE"/>
    <w:rsid w:val="002A6264"/>
    <w:rsid w:val="002A6C9C"/>
    <w:rsid w:val="002A745E"/>
    <w:rsid w:val="002A77A8"/>
    <w:rsid w:val="002B0448"/>
    <w:rsid w:val="002B0DC3"/>
    <w:rsid w:val="002B1DAB"/>
    <w:rsid w:val="002B22E6"/>
    <w:rsid w:val="002B26A1"/>
    <w:rsid w:val="002B272E"/>
    <w:rsid w:val="002B28C7"/>
    <w:rsid w:val="002B4304"/>
    <w:rsid w:val="002B4316"/>
    <w:rsid w:val="002B4AAD"/>
    <w:rsid w:val="002B5A07"/>
    <w:rsid w:val="002B5D7E"/>
    <w:rsid w:val="002B60C1"/>
    <w:rsid w:val="002B6C61"/>
    <w:rsid w:val="002C0C25"/>
    <w:rsid w:val="002C0D08"/>
    <w:rsid w:val="002C1DA6"/>
    <w:rsid w:val="002C2071"/>
    <w:rsid w:val="002C22AB"/>
    <w:rsid w:val="002C257D"/>
    <w:rsid w:val="002C280A"/>
    <w:rsid w:val="002C3381"/>
    <w:rsid w:val="002C3599"/>
    <w:rsid w:val="002C394A"/>
    <w:rsid w:val="002C3D38"/>
    <w:rsid w:val="002C3D48"/>
    <w:rsid w:val="002C4811"/>
    <w:rsid w:val="002C5334"/>
    <w:rsid w:val="002C5E15"/>
    <w:rsid w:val="002C6E70"/>
    <w:rsid w:val="002C764F"/>
    <w:rsid w:val="002C7BAB"/>
    <w:rsid w:val="002C7D4E"/>
    <w:rsid w:val="002D0D28"/>
    <w:rsid w:val="002D0F6D"/>
    <w:rsid w:val="002D1142"/>
    <w:rsid w:val="002D2304"/>
    <w:rsid w:val="002D5AEE"/>
    <w:rsid w:val="002D6E90"/>
    <w:rsid w:val="002D702E"/>
    <w:rsid w:val="002D71E8"/>
    <w:rsid w:val="002D7C43"/>
    <w:rsid w:val="002D7F33"/>
    <w:rsid w:val="002E07B6"/>
    <w:rsid w:val="002E18CA"/>
    <w:rsid w:val="002E1FD8"/>
    <w:rsid w:val="002E2516"/>
    <w:rsid w:val="002E5700"/>
    <w:rsid w:val="002F1240"/>
    <w:rsid w:val="002F1502"/>
    <w:rsid w:val="002F17B1"/>
    <w:rsid w:val="002F1EE6"/>
    <w:rsid w:val="002F28A2"/>
    <w:rsid w:val="002F32D2"/>
    <w:rsid w:val="002F3A0D"/>
    <w:rsid w:val="002F3F70"/>
    <w:rsid w:val="002F4284"/>
    <w:rsid w:val="002F4677"/>
    <w:rsid w:val="002F6BE5"/>
    <w:rsid w:val="002F6F30"/>
    <w:rsid w:val="003003B4"/>
    <w:rsid w:val="003013E3"/>
    <w:rsid w:val="00301A49"/>
    <w:rsid w:val="00302DB4"/>
    <w:rsid w:val="00303D59"/>
    <w:rsid w:val="0030447B"/>
    <w:rsid w:val="003048F3"/>
    <w:rsid w:val="00304B08"/>
    <w:rsid w:val="003054B6"/>
    <w:rsid w:val="00305961"/>
    <w:rsid w:val="00306D97"/>
    <w:rsid w:val="0031086C"/>
    <w:rsid w:val="0031143D"/>
    <w:rsid w:val="0031220B"/>
    <w:rsid w:val="00312CD1"/>
    <w:rsid w:val="003131F7"/>
    <w:rsid w:val="003134E1"/>
    <w:rsid w:val="003137FA"/>
    <w:rsid w:val="00314450"/>
    <w:rsid w:val="00315A1C"/>
    <w:rsid w:val="00315A6B"/>
    <w:rsid w:val="003169DD"/>
    <w:rsid w:val="0031702E"/>
    <w:rsid w:val="003174E3"/>
    <w:rsid w:val="00317B44"/>
    <w:rsid w:val="003204FF"/>
    <w:rsid w:val="003212A9"/>
    <w:rsid w:val="00321A40"/>
    <w:rsid w:val="003233FA"/>
    <w:rsid w:val="003238B2"/>
    <w:rsid w:val="00323AD8"/>
    <w:rsid w:val="00323EAE"/>
    <w:rsid w:val="003240D1"/>
    <w:rsid w:val="003243F3"/>
    <w:rsid w:val="00325BD7"/>
    <w:rsid w:val="0032658C"/>
    <w:rsid w:val="00326D0D"/>
    <w:rsid w:val="003271B7"/>
    <w:rsid w:val="003274CB"/>
    <w:rsid w:val="00330D80"/>
    <w:rsid w:val="00332B9F"/>
    <w:rsid w:val="003335A6"/>
    <w:rsid w:val="00333FE0"/>
    <w:rsid w:val="003345E7"/>
    <w:rsid w:val="003352E7"/>
    <w:rsid w:val="00336EF3"/>
    <w:rsid w:val="0033755D"/>
    <w:rsid w:val="00341F93"/>
    <w:rsid w:val="00342286"/>
    <w:rsid w:val="00342615"/>
    <w:rsid w:val="00342DA6"/>
    <w:rsid w:val="00342E1E"/>
    <w:rsid w:val="003438C5"/>
    <w:rsid w:val="003439EA"/>
    <w:rsid w:val="0034412F"/>
    <w:rsid w:val="0034453B"/>
    <w:rsid w:val="00344E7F"/>
    <w:rsid w:val="00344F7A"/>
    <w:rsid w:val="003450E2"/>
    <w:rsid w:val="0034526F"/>
    <w:rsid w:val="003458A9"/>
    <w:rsid w:val="0034654D"/>
    <w:rsid w:val="00347875"/>
    <w:rsid w:val="00350322"/>
    <w:rsid w:val="00350B7D"/>
    <w:rsid w:val="003511DA"/>
    <w:rsid w:val="003517B7"/>
    <w:rsid w:val="00353341"/>
    <w:rsid w:val="003533B5"/>
    <w:rsid w:val="003541BD"/>
    <w:rsid w:val="00354CF6"/>
    <w:rsid w:val="00356105"/>
    <w:rsid w:val="00356C46"/>
    <w:rsid w:val="003579EF"/>
    <w:rsid w:val="00357B5D"/>
    <w:rsid w:val="00357F7F"/>
    <w:rsid w:val="00361DBD"/>
    <w:rsid w:val="003626B0"/>
    <w:rsid w:val="003628F2"/>
    <w:rsid w:val="00364618"/>
    <w:rsid w:val="003647A0"/>
    <w:rsid w:val="00365642"/>
    <w:rsid w:val="00365D8D"/>
    <w:rsid w:val="0036634E"/>
    <w:rsid w:val="00370778"/>
    <w:rsid w:val="00370AD2"/>
    <w:rsid w:val="003710F2"/>
    <w:rsid w:val="00371FD4"/>
    <w:rsid w:val="00372688"/>
    <w:rsid w:val="003727F7"/>
    <w:rsid w:val="00373ADE"/>
    <w:rsid w:val="0037462D"/>
    <w:rsid w:val="00374E2B"/>
    <w:rsid w:val="00375E5B"/>
    <w:rsid w:val="003777F1"/>
    <w:rsid w:val="00377BAF"/>
    <w:rsid w:val="00380C85"/>
    <w:rsid w:val="00380DC3"/>
    <w:rsid w:val="00381364"/>
    <w:rsid w:val="00381598"/>
    <w:rsid w:val="00382178"/>
    <w:rsid w:val="003832C1"/>
    <w:rsid w:val="00384EE9"/>
    <w:rsid w:val="00385703"/>
    <w:rsid w:val="00385E26"/>
    <w:rsid w:val="003871A8"/>
    <w:rsid w:val="00387271"/>
    <w:rsid w:val="00387B03"/>
    <w:rsid w:val="00387EE1"/>
    <w:rsid w:val="00390449"/>
    <w:rsid w:val="00390616"/>
    <w:rsid w:val="00391928"/>
    <w:rsid w:val="0039298D"/>
    <w:rsid w:val="00393268"/>
    <w:rsid w:val="00393DB6"/>
    <w:rsid w:val="00394541"/>
    <w:rsid w:val="00394A4A"/>
    <w:rsid w:val="00395DAF"/>
    <w:rsid w:val="00395E0D"/>
    <w:rsid w:val="0039626C"/>
    <w:rsid w:val="0039754B"/>
    <w:rsid w:val="003976C1"/>
    <w:rsid w:val="003A20CD"/>
    <w:rsid w:val="003A29A6"/>
    <w:rsid w:val="003A2CCD"/>
    <w:rsid w:val="003A3D36"/>
    <w:rsid w:val="003A3DE6"/>
    <w:rsid w:val="003A454E"/>
    <w:rsid w:val="003A46D5"/>
    <w:rsid w:val="003A4E05"/>
    <w:rsid w:val="003A5179"/>
    <w:rsid w:val="003A5B89"/>
    <w:rsid w:val="003B0988"/>
    <w:rsid w:val="003B119C"/>
    <w:rsid w:val="003B1B23"/>
    <w:rsid w:val="003B3180"/>
    <w:rsid w:val="003B3E2B"/>
    <w:rsid w:val="003B45BE"/>
    <w:rsid w:val="003B477D"/>
    <w:rsid w:val="003B5225"/>
    <w:rsid w:val="003B5BEE"/>
    <w:rsid w:val="003B6809"/>
    <w:rsid w:val="003B6E66"/>
    <w:rsid w:val="003C07FB"/>
    <w:rsid w:val="003C1358"/>
    <w:rsid w:val="003C17F1"/>
    <w:rsid w:val="003C1C48"/>
    <w:rsid w:val="003C2952"/>
    <w:rsid w:val="003C3848"/>
    <w:rsid w:val="003C56BC"/>
    <w:rsid w:val="003C5DCB"/>
    <w:rsid w:val="003C625D"/>
    <w:rsid w:val="003C71E4"/>
    <w:rsid w:val="003C74D9"/>
    <w:rsid w:val="003D0644"/>
    <w:rsid w:val="003D09C2"/>
    <w:rsid w:val="003D127C"/>
    <w:rsid w:val="003D2506"/>
    <w:rsid w:val="003D32EE"/>
    <w:rsid w:val="003D38DB"/>
    <w:rsid w:val="003D3B93"/>
    <w:rsid w:val="003D488E"/>
    <w:rsid w:val="003D7C96"/>
    <w:rsid w:val="003E33D5"/>
    <w:rsid w:val="003E3BCD"/>
    <w:rsid w:val="003E3EC1"/>
    <w:rsid w:val="003E414C"/>
    <w:rsid w:val="003E5EAF"/>
    <w:rsid w:val="003E6209"/>
    <w:rsid w:val="003E7616"/>
    <w:rsid w:val="003E7BD1"/>
    <w:rsid w:val="003E7D0A"/>
    <w:rsid w:val="003F00A6"/>
    <w:rsid w:val="003F0475"/>
    <w:rsid w:val="003F04DC"/>
    <w:rsid w:val="003F0F8C"/>
    <w:rsid w:val="003F13DB"/>
    <w:rsid w:val="003F2DBA"/>
    <w:rsid w:val="003F3237"/>
    <w:rsid w:val="003F39E1"/>
    <w:rsid w:val="003F523F"/>
    <w:rsid w:val="003F54B9"/>
    <w:rsid w:val="003F581E"/>
    <w:rsid w:val="003F5A5C"/>
    <w:rsid w:val="003F5A8D"/>
    <w:rsid w:val="003F5AF2"/>
    <w:rsid w:val="003F6D76"/>
    <w:rsid w:val="004018EE"/>
    <w:rsid w:val="0040312A"/>
    <w:rsid w:val="00403682"/>
    <w:rsid w:val="0040406A"/>
    <w:rsid w:val="0040470C"/>
    <w:rsid w:val="00406EB3"/>
    <w:rsid w:val="0040703E"/>
    <w:rsid w:val="0040753F"/>
    <w:rsid w:val="004076F4"/>
    <w:rsid w:val="0041012B"/>
    <w:rsid w:val="004103D6"/>
    <w:rsid w:val="0041046A"/>
    <w:rsid w:val="00411135"/>
    <w:rsid w:val="004114C5"/>
    <w:rsid w:val="004122DD"/>
    <w:rsid w:val="004126EB"/>
    <w:rsid w:val="00413D83"/>
    <w:rsid w:val="00414783"/>
    <w:rsid w:val="00414E5D"/>
    <w:rsid w:val="0041508B"/>
    <w:rsid w:val="00415E0E"/>
    <w:rsid w:val="00415ED4"/>
    <w:rsid w:val="0041608E"/>
    <w:rsid w:val="00417D19"/>
    <w:rsid w:val="00421E3E"/>
    <w:rsid w:val="0042248E"/>
    <w:rsid w:val="00423A9A"/>
    <w:rsid w:val="00423FC8"/>
    <w:rsid w:val="00424DE3"/>
    <w:rsid w:val="00425E73"/>
    <w:rsid w:val="00425E79"/>
    <w:rsid w:val="00426FAD"/>
    <w:rsid w:val="004273B4"/>
    <w:rsid w:val="004309A1"/>
    <w:rsid w:val="00431358"/>
    <w:rsid w:val="00431A84"/>
    <w:rsid w:val="004324B2"/>
    <w:rsid w:val="00432AD9"/>
    <w:rsid w:val="00432D41"/>
    <w:rsid w:val="00432E54"/>
    <w:rsid w:val="0043337B"/>
    <w:rsid w:val="00434014"/>
    <w:rsid w:val="004372F0"/>
    <w:rsid w:val="004404B1"/>
    <w:rsid w:val="004404DC"/>
    <w:rsid w:val="00440602"/>
    <w:rsid w:val="004414B9"/>
    <w:rsid w:val="004414F1"/>
    <w:rsid w:val="00441FBF"/>
    <w:rsid w:val="00442723"/>
    <w:rsid w:val="0044318C"/>
    <w:rsid w:val="004431F0"/>
    <w:rsid w:val="004436CA"/>
    <w:rsid w:val="004438ED"/>
    <w:rsid w:val="00443E1F"/>
    <w:rsid w:val="004444C0"/>
    <w:rsid w:val="00444626"/>
    <w:rsid w:val="0044588E"/>
    <w:rsid w:val="00447FA7"/>
    <w:rsid w:val="0045035A"/>
    <w:rsid w:val="00450532"/>
    <w:rsid w:val="004527AE"/>
    <w:rsid w:val="00452A05"/>
    <w:rsid w:val="00453702"/>
    <w:rsid w:val="00453EF6"/>
    <w:rsid w:val="004557A9"/>
    <w:rsid w:val="00456286"/>
    <w:rsid w:val="00456321"/>
    <w:rsid w:val="0045633C"/>
    <w:rsid w:val="00456F89"/>
    <w:rsid w:val="00457CE2"/>
    <w:rsid w:val="00461981"/>
    <w:rsid w:val="00461F28"/>
    <w:rsid w:val="00462179"/>
    <w:rsid w:val="00464A1E"/>
    <w:rsid w:val="00464C03"/>
    <w:rsid w:val="0046781B"/>
    <w:rsid w:val="00470062"/>
    <w:rsid w:val="00470156"/>
    <w:rsid w:val="00470181"/>
    <w:rsid w:val="0047149D"/>
    <w:rsid w:val="00471DC9"/>
    <w:rsid w:val="004722C5"/>
    <w:rsid w:val="00472E99"/>
    <w:rsid w:val="004751B5"/>
    <w:rsid w:val="00475600"/>
    <w:rsid w:val="00475B1C"/>
    <w:rsid w:val="0047602C"/>
    <w:rsid w:val="0047763D"/>
    <w:rsid w:val="00477861"/>
    <w:rsid w:val="00477D95"/>
    <w:rsid w:val="00481DB3"/>
    <w:rsid w:val="004830D6"/>
    <w:rsid w:val="00483450"/>
    <w:rsid w:val="00483D50"/>
    <w:rsid w:val="00484966"/>
    <w:rsid w:val="00484E49"/>
    <w:rsid w:val="00485130"/>
    <w:rsid w:val="0048518F"/>
    <w:rsid w:val="004861A0"/>
    <w:rsid w:val="00486612"/>
    <w:rsid w:val="0048694E"/>
    <w:rsid w:val="00486B4E"/>
    <w:rsid w:val="00486DE5"/>
    <w:rsid w:val="0048780E"/>
    <w:rsid w:val="00490B55"/>
    <w:rsid w:val="004920DF"/>
    <w:rsid w:val="00492CCE"/>
    <w:rsid w:val="00492DAF"/>
    <w:rsid w:val="00493329"/>
    <w:rsid w:val="00493B4B"/>
    <w:rsid w:val="004977BA"/>
    <w:rsid w:val="004A13CF"/>
    <w:rsid w:val="004A2B37"/>
    <w:rsid w:val="004A4AB5"/>
    <w:rsid w:val="004A5151"/>
    <w:rsid w:val="004A5ED9"/>
    <w:rsid w:val="004B3A1E"/>
    <w:rsid w:val="004B4653"/>
    <w:rsid w:val="004B4F2B"/>
    <w:rsid w:val="004B5737"/>
    <w:rsid w:val="004B5996"/>
    <w:rsid w:val="004B62E1"/>
    <w:rsid w:val="004B653D"/>
    <w:rsid w:val="004B6784"/>
    <w:rsid w:val="004B789F"/>
    <w:rsid w:val="004C0553"/>
    <w:rsid w:val="004C230A"/>
    <w:rsid w:val="004C4D51"/>
    <w:rsid w:val="004C5A85"/>
    <w:rsid w:val="004C5B97"/>
    <w:rsid w:val="004C6ECD"/>
    <w:rsid w:val="004C6F6E"/>
    <w:rsid w:val="004D1D81"/>
    <w:rsid w:val="004D2086"/>
    <w:rsid w:val="004D2749"/>
    <w:rsid w:val="004D2869"/>
    <w:rsid w:val="004D31F0"/>
    <w:rsid w:val="004D37D3"/>
    <w:rsid w:val="004D3ADC"/>
    <w:rsid w:val="004D4629"/>
    <w:rsid w:val="004D4C76"/>
    <w:rsid w:val="004D5199"/>
    <w:rsid w:val="004D585D"/>
    <w:rsid w:val="004D613B"/>
    <w:rsid w:val="004D770A"/>
    <w:rsid w:val="004E09DD"/>
    <w:rsid w:val="004E1862"/>
    <w:rsid w:val="004E18A7"/>
    <w:rsid w:val="004E1D0E"/>
    <w:rsid w:val="004E3708"/>
    <w:rsid w:val="004E3C65"/>
    <w:rsid w:val="004E3EE6"/>
    <w:rsid w:val="004E43FD"/>
    <w:rsid w:val="004E4B53"/>
    <w:rsid w:val="004E523B"/>
    <w:rsid w:val="004E647E"/>
    <w:rsid w:val="004E6FDA"/>
    <w:rsid w:val="004E714A"/>
    <w:rsid w:val="004E79AE"/>
    <w:rsid w:val="004F04D7"/>
    <w:rsid w:val="004F2523"/>
    <w:rsid w:val="004F5395"/>
    <w:rsid w:val="005019A5"/>
    <w:rsid w:val="00502777"/>
    <w:rsid w:val="005037BB"/>
    <w:rsid w:val="00505159"/>
    <w:rsid w:val="005055F5"/>
    <w:rsid w:val="005059C9"/>
    <w:rsid w:val="00505F03"/>
    <w:rsid w:val="005065FC"/>
    <w:rsid w:val="00507650"/>
    <w:rsid w:val="00507CC8"/>
    <w:rsid w:val="00510106"/>
    <w:rsid w:val="0051103C"/>
    <w:rsid w:val="00512FB7"/>
    <w:rsid w:val="00513EE2"/>
    <w:rsid w:val="00515DAB"/>
    <w:rsid w:val="00516FD3"/>
    <w:rsid w:val="0051718D"/>
    <w:rsid w:val="0052148B"/>
    <w:rsid w:val="0052187B"/>
    <w:rsid w:val="00521F20"/>
    <w:rsid w:val="005227B7"/>
    <w:rsid w:val="005237FA"/>
    <w:rsid w:val="0052579C"/>
    <w:rsid w:val="005261F2"/>
    <w:rsid w:val="00526536"/>
    <w:rsid w:val="00530625"/>
    <w:rsid w:val="00530642"/>
    <w:rsid w:val="00530CAE"/>
    <w:rsid w:val="00530F0A"/>
    <w:rsid w:val="005313A2"/>
    <w:rsid w:val="005318F4"/>
    <w:rsid w:val="0053247B"/>
    <w:rsid w:val="00533A8C"/>
    <w:rsid w:val="00533D4F"/>
    <w:rsid w:val="005347A5"/>
    <w:rsid w:val="00534901"/>
    <w:rsid w:val="005364BA"/>
    <w:rsid w:val="00536773"/>
    <w:rsid w:val="00536CC7"/>
    <w:rsid w:val="00537419"/>
    <w:rsid w:val="0054027C"/>
    <w:rsid w:val="00541326"/>
    <w:rsid w:val="00541B4F"/>
    <w:rsid w:val="00541BF8"/>
    <w:rsid w:val="00541C09"/>
    <w:rsid w:val="00543050"/>
    <w:rsid w:val="0054385C"/>
    <w:rsid w:val="00547DB3"/>
    <w:rsid w:val="00550415"/>
    <w:rsid w:val="00551D00"/>
    <w:rsid w:val="00553928"/>
    <w:rsid w:val="00553D0C"/>
    <w:rsid w:val="005541DE"/>
    <w:rsid w:val="00554257"/>
    <w:rsid w:val="00554271"/>
    <w:rsid w:val="00554B1C"/>
    <w:rsid w:val="00555958"/>
    <w:rsid w:val="005562B4"/>
    <w:rsid w:val="00556CE8"/>
    <w:rsid w:val="00556E35"/>
    <w:rsid w:val="00556FF0"/>
    <w:rsid w:val="0055727C"/>
    <w:rsid w:val="00557670"/>
    <w:rsid w:val="0055788D"/>
    <w:rsid w:val="00557D78"/>
    <w:rsid w:val="00557EC0"/>
    <w:rsid w:val="005611CE"/>
    <w:rsid w:val="005616B9"/>
    <w:rsid w:val="00562515"/>
    <w:rsid w:val="0056368B"/>
    <w:rsid w:val="00564322"/>
    <w:rsid w:val="00564BB5"/>
    <w:rsid w:val="00566200"/>
    <w:rsid w:val="0056637D"/>
    <w:rsid w:val="00570161"/>
    <w:rsid w:val="005705EA"/>
    <w:rsid w:val="00571F67"/>
    <w:rsid w:val="005725BA"/>
    <w:rsid w:val="00572AF4"/>
    <w:rsid w:val="00573E12"/>
    <w:rsid w:val="00574ADF"/>
    <w:rsid w:val="00574E6F"/>
    <w:rsid w:val="00580D0F"/>
    <w:rsid w:val="0058181A"/>
    <w:rsid w:val="005822CA"/>
    <w:rsid w:val="005831C7"/>
    <w:rsid w:val="00583752"/>
    <w:rsid w:val="005843CA"/>
    <w:rsid w:val="00584F67"/>
    <w:rsid w:val="005864D6"/>
    <w:rsid w:val="00586B05"/>
    <w:rsid w:val="00586E5B"/>
    <w:rsid w:val="005870A7"/>
    <w:rsid w:val="00587B4A"/>
    <w:rsid w:val="00587C12"/>
    <w:rsid w:val="00587E8A"/>
    <w:rsid w:val="00587F86"/>
    <w:rsid w:val="005901A5"/>
    <w:rsid w:val="0059160D"/>
    <w:rsid w:val="005927D7"/>
    <w:rsid w:val="00593603"/>
    <w:rsid w:val="00593795"/>
    <w:rsid w:val="00593B32"/>
    <w:rsid w:val="00593BC5"/>
    <w:rsid w:val="00593F32"/>
    <w:rsid w:val="00594365"/>
    <w:rsid w:val="00594F95"/>
    <w:rsid w:val="0059607F"/>
    <w:rsid w:val="00596D4E"/>
    <w:rsid w:val="00596DD4"/>
    <w:rsid w:val="005972E8"/>
    <w:rsid w:val="005A023A"/>
    <w:rsid w:val="005A1EE2"/>
    <w:rsid w:val="005A5148"/>
    <w:rsid w:val="005A55B3"/>
    <w:rsid w:val="005A5C39"/>
    <w:rsid w:val="005A641B"/>
    <w:rsid w:val="005A6428"/>
    <w:rsid w:val="005A66DB"/>
    <w:rsid w:val="005A6B5C"/>
    <w:rsid w:val="005B1D59"/>
    <w:rsid w:val="005B1E37"/>
    <w:rsid w:val="005B2DEE"/>
    <w:rsid w:val="005B305B"/>
    <w:rsid w:val="005B3467"/>
    <w:rsid w:val="005B42FB"/>
    <w:rsid w:val="005B55F6"/>
    <w:rsid w:val="005B5634"/>
    <w:rsid w:val="005B5A74"/>
    <w:rsid w:val="005B6A32"/>
    <w:rsid w:val="005B7C13"/>
    <w:rsid w:val="005C02B7"/>
    <w:rsid w:val="005C0869"/>
    <w:rsid w:val="005C0EEC"/>
    <w:rsid w:val="005C15FC"/>
    <w:rsid w:val="005C1A6A"/>
    <w:rsid w:val="005C2C85"/>
    <w:rsid w:val="005C2FA9"/>
    <w:rsid w:val="005C52F9"/>
    <w:rsid w:val="005C5A81"/>
    <w:rsid w:val="005D0ED4"/>
    <w:rsid w:val="005D23D4"/>
    <w:rsid w:val="005D2B55"/>
    <w:rsid w:val="005D2D01"/>
    <w:rsid w:val="005D32B3"/>
    <w:rsid w:val="005D3C36"/>
    <w:rsid w:val="005D3CB3"/>
    <w:rsid w:val="005D4503"/>
    <w:rsid w:val="005D66CB"/>
    <w:rsid w:val="005D6E29"/>
    <w:rsid w:val="005E0703"/>
    <w:rsid w:val="005E1876"/>
    <w:rsid w:val="005E261B"/>
    <w:rsid w:val="005E2E0C"/>
    <w:rsid w:val="005E31C4"/>
    <w:rsid w:val="005E3730"/>
    <w:rsid w:val="005E3D97"/>
    <w:rsid w:val="005E4DAE"/>
    <w:rsid w:val="005E5EC5"/>
    <w:rsid w:val="005E674D"/>
    <w:rsid w:val="005E7108"/>
    <w:rsid w:val="005E7AEE"/>
    <w:rsid w:val="005F097B"/>
    <w:rsid w:val="005F0D82"/>
    <w:rsid w:val="005F1783"/>
    <w:rsid w:val="005F1C8E"/>
    <w:rsid w:val="005F1F10"/>
    <w:rsid w:val="005F27A4"/>
    <w:rsid w:val="005F3B1E"/>
    <w:rsid w:val="005F3F4E"/>
    <w:rsid w:val="005F5B7E"/>
    <w:rsid w:val="005F7AFB"/>
    <w:rsid w:val="00600403"/>
    <w:rsid w:val="006015FE"/>
    <w:rsid w:val="00601668"/>
    <w:rsid w:val="00601C12"/>
    <w:rsid w:val="00601EC6"/>
    <w:rsid w:val="00602264"/>
    <w:rsid w:val="00602902"/>
    <w:rsid w:val="006032E4"/>
    <w:rsid w:val="00603DE1"/>
    <w:rsid w:val="00604A4A"/>
    <w:rsid w:val="00604CB8"/>
    <w:rsid w:val="00606955"/>
    <w:rsid w:val="006069D6"/>
    <w:rsid w:val="00607433"/>
    <w:rsid w:val="006100CD"/>
    <w:rsid w:val="00610CEE"/>
    <w:rsid w:val="00610E90"/>
    <w:rsid w:val="00612380"/>
    <w:rsid w:val="00612A18"/>
    <w:rsid w:val="00612D30"/>
    <w:rsid w:val="00613AC8"/>
    <w:rsid w:val="00613F7F"/>
    <w:rsid w:val="0061470E"/>
    <w:rsid w:val="00615AC2"/>
    <w:rsid w:val="00615DCB"/>
    <w:rsid w:val="0061628D"/>
    <w:rsid w:val="00616819"/>
    <w:rsid w:val="006168D7"/>
    <w:rsid w:val="00617126"/>
    <w:rsid w:val="00620046"/>
    <w:rsid w:val="00620258"/>
    <w:rsid w:val="006209CB"/>
    <w:rsid w:val="00620F44"/>
    <w:rsid w:val="00621661"/>
    <w:rsid w:val="00621698"/>
    <w:rsid w:val="00621830"/>
    <w:rsid w:val="00622097"/>
    <w:rsid w:val="00622217"/>
    <w:rsid w:val="00622C10"/>
    <w:rsid w:val="00622E17"/>
    <w:rsid w:val="00624272"/>
    <w:rsid w:val="00625727"/>
    <w:rsid w:val="00626F38"/>
    <w:rsid w:val="00627A51"/>
    <w:rsid w:val="0063034B"/>
    <w:rsid w:val="006311B2"/>
    <w:rsid w:val="00631400"/>
    <w:rsid w:val="00631EB7"/>
    <w:rsid w:val="0063331A"/>
    <w:rsid w:val="00635564"/>
    <w:rsid w:val="0063561A"/>
    <w:rsid w:val="00635C16"/>
    <w:rsid w:val="00635D7F"/>
    <w:rsid w:val="006367DD"/>
    <w:rsid w:val="00636A77"/>
    <w:rsid w:val="0063749B"/>
    <w:rsid w:val="0063759A"/>
    <w:rsid w:val="00640302"/>
    <w:rsid w:val="00640C5F"/>
    <w:rsid w:val="00641F44"/>
    <w:rsid w:val="0064325A"/>
    <w:rsid w:val="00643851"/>
    <w:rsid w:val="006439F5"/>
    <w:rsid w:val="00644581"/>
    <w:rsid w:val="00644696"/>
    <w:rsid w:val="00645350"/>
    <w:rsid w:val="006458FB"/>
    <w:rsid w:val="00646085"/>
    <w:rsid w:val="0064757A"/>
    <w:rsid w:val="00647940"/>
    <w:rsid w:val="00647DE7"/>
    <w:rsid w:val="0065119F"/>
    <w:rsid w:val="00651448"/>
    <w:rsid w:val="006543AD"/>
    <w:rsid w:val="006557D5"/>
    <w:rsid w:val="00656600"/>
    <w:rsid w:val="00656ECC"/>
    <w:rsid w:val="00660970"/>
    <w:rsid w:val="006609BB"/>
    <w:rsid w:val="00662A7B"/>
    <w:rsid w:val="00662BDA"/>
    <w:rsid w:val="00662DC2"/>
    <w:rsid w:val="00664039"/>
    <w:rsid w:val="00664071"/>
    <w:rsid w:val="00664EA5"/>
    <w:rsid w:val="00664EC8"/>
    <w:rsid w:val="006650E6"/>
    <w:rsid w:val="00665259"/>
    <w:rsid w:val="00667841"/>
    <w:rsid w:val="00667CCF"/>
    <w:rsid w:val="00670E25"/>
    <w:rsid w:val="00670E78"/>
    <w:rsid w:val="00671983"/>
    <w:rsid w:val="00671A3C"/>
    <w:rsid w:val="00672CDE"/>
    <w:rsid w:val="00672DE7"/>
    <w:rsid w:val="00674399"/>
    <w:rsid w:val="006749FC"/>
    <w:rsid w:val="00675252"/>
    <w:rsid w:val="0067533A"/>
    <w:rsid w:val="006779F4"/>
    <w:rsid w:val="00680366"/>
    <w:rsid w:val="0068054B"/>
    <w:rsid w:val="00681BFE"/>
    <w:rsid w:val="0068292A"/>
    <w:rsid w:val="00682D13"/>
    <w:rsid w:val="006836C4"/>
    <w:rsid w:val="00684DF0"/>
    <w:rsid w:val="00685C71"/>
    <w:rsid w:val="00686BA2"/>
    <w:rsid w:val="00686D21"/>
    <w:rsid w:val="00687157"/>
    <w:rsid w:val="00687A4C"/>
    <w:rsid w:val="006902FD"/>
    <w:rsid w:val="00690F8F"/>
    <w:rsid w:val="00690FD6"/>
    <w:rsid w:val="00691394"/>
    <w:rsid w:val="006927A0"/>
    <w:rsid w:val="00692BC1"/>
    <w:rsid w:val="00692C5B"/>
    <w:rsid w:val="00692CAD"/>
    <w:rsid w:val="0069314A"/>
    <w:rsid w:val="0069431D"/>
    <w:rsid w:val="006958BB"/>
    <w:rsid w:val="00695CC9"/>
    <w:rsid w:val="0069667F"/>
    <w:rsid w:val="00696E64"/>
    <w:rsid w:val="00697592"/>
    <w:rsid w:val="00697CB4"/>
    <w:rsid w:val="006A0DA8"/>
    <w:rsid w:val="006A2160"/>
    <w:rsid w:val="006A23B5"/>
    <w:rsid w:val="006A2AEE"/>
    <w:rsid w:val="006A3555"/>
    <w:rsid w:val="006A3882"/>
    <w:rsid w:val="006A43C3"/>
    <w:rsid w:val="006A4FE7"/>
    <w:rsid w:val="006A5368"/>
    <w:rsid w:val="006A57D8"/>
    <w:rsid w:val="006A71B2"/>
    <w:rsid w:val="006A75FA"/>
    <w:rsid w:val="006A7898"/>
    <w:rsid w:val="006B1611"/>
    <w:rsid w:val="006B2FA5"/>
    <w:rsid w:val="006B408A"/>
    <w:rsid w:val="006B4882"/>
    <w:rsid w:val="006B4BF0"/>
    <w:rsid w:val="006B610B"/>
    <w:rsid w:val="006B6835"/>
    <w:rsid w:val="006B686B"/>
    <w:rsid w:val="006C0336"/>
    <w:rsid w:val="006C0722"/>
    <w:rsid w:val="006C0D1F"/>
    <w:rsid w:val="006C0D5C"/>
    <w:rsid w:val="006C10B6"/>
    <w:rsid w:val="006C3387"/>
    <w:rsid w:val="006C3A36"/>
    <w:rsid w:val="006C3AFC"/>
    <w:rsid w:val="006C5468"/>
    <w:rsid w:val="006C6706"/>
    <w:rsid w:val="006D0830"/>
    <w:rsid w:val="006D08BB"/>
    <w:rsid w:val="006D0E62"/>
    <w:rsid w:val="006D3DA0"/>
    <w:rsid w:val="006D3DEB"/>
    <w:rsid w:val="006D56D3"/>
    <w:rsid w:val="006D5B1E"/>
    <w:rsid w:val="006D5C35"/>
    <w:rsid w:val="006D64A7"/>
    <w:rsid w:val="006D656C"/>
    <w:rsid w:val="006D6E69"/>
    <w:rsid w:val="006E0869"/>
    <w:rsid w:val="006E0D24"/>
    <w:rsid w:val="006E1FC9"/>
    <w:rsid w:val="006E2951"/>
    <w:rsid w:val="006E46CA"/>
    <w:rsid w:val="006E4DF5"/>
    <w:rsid w:val="006E582E"/>
    <w:rsid w:val="006E6CED"/>
    <w:rsid w:val="006E7CEF"/>
    <w:rsid w:val="006E7E14"/>
    <w:rsid w:val="006F0161"/>
    <w:rsid w:val="006F0D03"/>
    <w:rsid w:val="006F0F74"/>
    <w:rsid w:val="006F1227"/>
    <w:rsid w:val="006F1459"/>
    <w:rsid w:val="006F2D77"/>
    <w:rsid w:val="006F5DD9"/>
    <w:rsid w:val="006F68EC"/>
    <w:rsid w:val="007008B7"/>
    <w:rsid w:val="00701BE1"/>
    <w:rsid w:val="0070312E"/>
    <w:rsid w:val="00704804"/>
    <w:rsid w:val="00705098"/>
    <w:rsid w:val="0070578F"/>
    <w:rsid w:val="00706E72"/>
    <w:rsid w:val="00707199"/>
    <w:rsid w:val="007071E0"/>
    <w:rsid w:val="00707578"/>
    <w:rsid w:val="007075E3"/>
    <w:rsid w:val="007103EA"/>
    <w:rsid w:val="00710758"/>
    <w:rsid w:val="00711653"/>
    <w:rsid w:val="00711CE9"/>
    <w:rsid w:val="00712608"/>
    <w:rsid w:val="0071285A"/>
    <w:rsid w:val="00713C5F"/>
    <w:rsid w:val="00715302"/>
    <w:rsid w:val="00715BE3"/>
    <w:rsid w:val="007160BA"/>
    <w:rsid w:val="007166DA"/>
    <w:rsid w:val="00717289"/>
    <w:rsid w:val="007174C3"/>
    <w:rsid w:val="007176CC"/>
    <w:rsid w:val="00717A2D"/>
    <w:rsid w:val="00717B75"/>
    <w:rsid w:val="00717D8D"/>
    <w:rsid w:val="00720B12"/>
    <w:rsid w:val="00721E58"/>
    <w:rsid w:val="00721FEA"/>
    <w:rsid w:val="007238BA"/>
    <w:rsid w:val="00724DF6"/>
    <w:rsid w:val="00725233"/>
    <w:rsid w:val="00725A3D"/>
    <w:rsid w:val="00726407"/>
    <w:rsid w:val="00726C23"/>
    <w:rsid w:val="00727A4B"/>
    <w:rsid w:val="00727EB8"/>
    <w:rsid w:val="00730885"/>
    <w:rsid w:val="007310B9"/>
    <w:rsid w:val="00731E52"/>
    <w:rsid w:val="00731ECB"/>
    <w:rsid w:val="00732092"/>
    <w:rsid w:val="007322FF"/>
    <w:rsid w:val="0073269F"/>
    <w:rsid w:val="00732862"/>
    <w:rsid w:val="0073289B"/>
    <w:rsid w:val="00733A8A"/>
    <w:rsid w:val="007340B7"/>
    <w:rsid w:val="00734748"/>
    <w:rsid w:val="00734AA0"/>
    <w:rsid w:val="00735481"/>
    <w:rsid w:val="00737BBF"/>
    <w:rsid w:val="007406A3"/>
    <w:rsid w:val="00740F46"/>
    <w:rsid w:val="00741686"/>
    <w:rsid w:val="00742262"/>
    <w:rsid w:val="00743CE5"/>
    <w:rsid w:val="00744313"/>
    <w:rsid w:val="0074456B"/>
    <w:rsid w:val="0074684E"/>
    <w:rsid w:val="00746F4C"/>
    <w:rsid w:val="0074737D"/>
    <w:rsid w:val="0074742E"/>
    <w:rsid w:val="0074799F"/>
    <w:rsid w:val="007504D3"/>
    <w:rsid w:val="00750B33"/>
    <w:rsid w:val="00750D11"/>
    <w:rsid w:val="00750D35"/>
    <w:rsid w:val="007522E0"/>
    <w:rsid w:val="007533EB"/>
    <w:rsid w:val="0075399F"/>
    <w:rsid w:val="00753FFC"/>
    <w:rsid w:val="0075409F"/>
    <w:rsid w:val="007556C7"/>
    <w:rsid w:val="00755FC8"/>
    <w:rsid w:val="007609FA"/>
    <w:rsid w:val="007613B6"/>
    <w:rsid w:val="00761866"/>
    <w:rsid w:val="007624D9"/>
    <w:rsid w:val="0077110F"/>
    <w:rsid w:val="007727BC"/>
    <w:rsid w:val="00772C72"/>
    <w:rsid w:val="00773F7E"/>
    <w:rsid w:val="0077422E"/>
    <w:rsid w:val="00775005"/>
    <w:rsid w:val="00776FCC"/>
    <w:rsid w:val="00777130"/>
    <w:rsid w:val="00777156"/>
    <w:rsid w:val="00777952"/>
    <w:rsid w:val="00781234"/>
    <w:rsid w:val="00781909"/>
    <w:rsid w:val="00782109"/>
    <w:rsid w:val="007821CB"/>
    <w:rsid w:val="007822CB"/>
    <w:rsid w:val="007824AB"/>
    <w:rsid w:val="00783C4E"/>
    <w:rsid w:val="00784ABC"/>
    <w:rsid w:val="0078508E"/>
    <w:rsid w:val="00785728"/>
    <w:rsid w:val="0078663E"/>
    <w:rsid w:val="00786B3F"/>
    <w:rsid w:val="00787EA9"/>
    <w:rsid w:val="00787F2C"/>
    <w:rsid w:val="00787F69"/>
    <w:rsid w:val="0079033E"/>
    <w:rsid w:val="00790980"/>
    <w:rsid w:val="00791825"/>
    <w:rsid w:val="00792C16"/>
    <w:rsid w:val="00793DD7"/>
    <w:rsid w:val="007A0895"/>
    <w:rsid w:val="007A08E0"/>
    <w:rsid w:val="007A0D52"/>
    <w:rsid w:val="007A169C"/>
    <w:rsid w:val="007A1BDB"/>
    <w:rsid w:val="007A449F"/>
    <w:rsid w:val="007A4511"/>
    <w:rsid w:val="007A5885"/>
    <w:rsid w:val="007A6022"/>
    <w:rsid w:val="007A73F9"/>
    <w:rsid w:val="007B1DBF"/>
    <w:rsid w:val="007B399D"/>
    <w:rsid w:val="007B4091"/>
    <w:rsid w:val="007B40AA"/>
    <w:rsid w:val="007B4D73"/>
    <w:rsid w:val="007B536F"/>
    <w:rsid w:val="007B546C"/>
    <w:rsid w:val="007B5C25"/>
    <w:rsid w:val="007B5F72"/>
    <w:rsid w:val="007B6337"/>
    <w:rsid w:val="007B6DFF"/>
    <w:rsid w:val="007B6E63"/>
    <w:rsid w:val="007C1871"/>
    <w:rsid w:val="007C2287"/>
    <w:rsid w:val="007C2BF1"/>
    <w:rsid w:val="007C3877"/>
    <w:rsid w:val="007C3926"/>
    <w:rsid w:val="007C6183"/>
    <w:rsid w:val="007C6A2F"/>
    <w:rsid w:val="007C6AB8"/>
    <w:rsid w:val="007C7A9B"/>
    <w:rsid w:val="007D14A6"/>
    <w:rsid w:val="007D24B4"/>
    <w:rsid w:val="007D3CF9"/>
    <w:rsid w:val="007D4733"/>
    <w:rsid w:val="007D54B4"/>
    <w:rsid w:val="007D6ABA"/>
    <w:rsid w:val="007D7918"/>
    <w:rsid w:val="007E04B3"/>
    <w:rsid w:val="007E0DDF"/>
    <w:rsid w:val="007E15CE"/>
    <w:rsid w:val="007E2F97"/>
    <w:rsid w:val="007E4267"/>
    <w:rsid w:val="007E7640"/>
    <w:rsid w:val="007E7A21"/>
    <w:rsid w:val="007F043B"/>
    <w:rsid w:val="007F150B"/>
    <w:rsid w:val="007F1BE2"/>
    <w:rsid w:val="007F25FE"/>
    <w:rsid w:val="007F270B"/>
    <w:rsid w:val="007F4A74"/>
    <w:rsid w:val="007F585A"/>
    <w:rsid w:val="007F5CF4"/>
    <w:rsid w:val="007F6C0B"/>
    <w:rsid w:val="008013FB"/>
    <w:rsid w:val="00801692"/>
    <w:rsid w:val="00801E17"/>
    <w:rsid w:val="00801EF2"/>
    <w:rsid w:val="008023E0"/>
    <w:rsid w:val="008035DF"/>
    <w:rsid w:val="00803CFC"/>
    <w:rsid w:val="00804A79"/>
    <w:rsid w:val="008051D8"/>
    <w:rsid w:val="00805A9B"/>
    <w:rsid w:val="00805CB3"/>
    <w:rsid w:val="00805D5E"/>
    <w:rsid w:val="0080630C"/>
    <w:rsid w:val="008065FD"/>
    <w:rsid w:val="00806E9D"/>
    <w:rsid w:val="008077F7"/>
    <w:rsid w:val="0081013D"/>
    <w:rsid w:val="00810681"/>
    <w:rsid w:val="00810AA0"/>
    <w:rsid w:val="00810BEA"/>
    <w:rsid w:val="008124FF"/>
    <w:rsid w:val="00812AFE"/>
    <w:rsid w:val="0081321B"/>
    <w:rsid w:val="0081382A"/>
    <w:rsid w:val="008139F7"/>
    <w:rsid w:val="00813C05"/>
    <w:rsid w:val="00813EA9"/>
    <w:rsid w:val="0081468C"/>
    <w:rsid w:val="00814911"/>
    <w:rsid w:val="00814B99"/>
    <w:rsid w:val="00814D4F"/>
    <w:rsid w:val="00815805"/>
    <w:rsid w:val="00816BFF"/>
    <w:rsid w:val="00816DEC"/>
    <w:rsid w:val="00820370"/>
    <w:rsid w:val="00820B74"/>
    <w:rsid w:val="00822C75"/>
    <w:rsid w:val="0082724D"/>
    <w:rsid w:val="00831656"/>
    <w:rsid w:val="00832CD0"/>
    <w:rsid w:val="008335E4"/>
    <w:rsid w:val="00833EA0"/>
    <w:rsid w:val="00834E71"/>
    <w:rsid w:val="0083506D"/>
    <w:rsid w:val="00835382"/>
    <w:rsid w:val="0083619D"/>
    <w:rsid w:val="0083798A"/>
    <w:rsid w:val="0084061E"/>
    <w:rsid w:val="00840891"/>
    <w:rsid w:val="00841DBC"/>
    <w:rsid w:val="0084228F"/>
    <w:rsid w:val="00842437"/>
    <w:rsid w:val="00844EA4"/>
    <w:rsid w:val="00845028"/>
    <w:rsid w:val="008459E9"/>
    <w:rsid w:val="00847862"/>
    <w:rsid w:val="00847EEB"/>
    <w:rsid w:val="008508A5"/>
    <w:rsid w:val="00852D28"/>
    <w:rsid w:val="008532FA"/>
    <w:rsid w:val="00854017"/>
    <w:rsid w:val="008541C7"/>
    <w:rsid w:val="00855225"/>
    <w:rsid w:val="00855775"/>
    <w:rsid w:val="00855B02"/>
    <w:rsid w:val="00855BA4"/>
    <w:rsid w:val="00856599"/>
    <w:rsid w:val="00857D54"/>
    <w:rsid w:val="008607F0"/>
    <w:rsid w:val="00860FC0"/>
    <w:rsid w:val="0086341A"/>
    <w:rsid w:val="0086410D"/>
    <w:rsid w:val="00864759"/>
    <w:rsid w:val="0086569B"/>
    <w:rsid w:val="00866C9C"/>
    <w:rsid w:val="00870C68"/>
    <w:rsid w:val="00871AB1"/>
    <w:rsid w:val="008731B8"/>
    <w:rsid w:val="00873D31"/>
    <w:rsid w:val="00874AAA"/>
    <w:rsid w:val="00876FEE"/>
    <w:rsid w:val="0088012E"/>
    <w:rsid w:val="00880934"/>
    <w:rsid w:val="008809A0"/>
    <w:rsid w:val="00880A78"/>
    <w:rsid w:val="00881D17"/>
    <w:rsid w:val="00883B06"/>
    <w:rsid w:val="0088454E"/>
    <w:rsid w:val="008853D8"/>
    <w:rsid w:val="008861E8"/>
    <w:rsid w:val="00886B3B"/>
    <w:rsid w:val="008873D1"/>
    <w:rsid w:val="00887697"/>
    <w:rsid w:val="008908B0"/>
    <w:rsid w:val="00890A10"/>
    <w:rsid w:val="008911E9"/>
    <w:rsid w:val="00893669"/>
    <w:rsid w:val="00894C19"/>
    <w:rsid w:val="00895DD9"/>
    <w:rsid w:val="00895F8C"/>
    <w:rsid w:val="00896341"/>
    <w:rsid w:val="0089700C"/>
    <w:rsid w:val="00897453"/>
    <w:rsid w:val="00897E55"/>
    <w:rsid w:val="008A0A6C"/>
    <w:rsid w:val="008A1264"/>
    <w:rsid w:val="008A15C7"/>
    <w:rsid w:val="008A2469"/>
    <w:rsid w:val="008A2F63"/>
    <w:rsid w:val="008A49E7"/>
    <w:rsid w:val="008A512D"/>
    <w:rsid w:val="008A5675"/>
    <w:rsid w:val="008A6078"/>
    <w:rsid w:val="008A6327"/>
    <w:rsid w:val="008A6EB7"/>
    <w:rsid w:val="008A7193"/>
    <w:rsid w:val="008A7EFA"/>
    <w:rsid w:val="008B10D9"/>
    <w:rsid w:val="008B1CBB"/>
    <w:rsid w:val="008B2B3E"/>
    <w:rsid w:val="008B5E70"/>
    <w:rsid w:val="008B6514"/>
    <w:rsid w:val="008B6FAF"/>
    <w:rsid w:val="008B7164"/>
    <w:rsid w:val="008B774D"/>
    <w:rsid w:val="008C055F"/>
    <w:rsid w:val="008C339B"/>
    <w:rsid w:val="008C44F9"/>
    <w:rsid w:val="008C6529"/>
    <w:rsid w:val="008C7A47"/>
    <w:rsid w:val="008C7B53"/>
    <w:rsid w:val="008D0691"/>
    <w:rsid w:val="008D0C96"/>
    <w:rsid w:val="008D18AC"/>
    <w:rsid w:val="008D1DC1"/>
    <w:rsid w:val="008D2561"/>
    <w:rsid w:val="008D2DE5"/>
    <w:rsid w:val="008D3251"/>
    <w:rsid w:val="008D3D08"/>
    <w:rsid w:val="008D5F09"/>
    <w:rsid w:val="008D6D12"/>
    <w:rsid w:val="008E129A"/>
    <w:rsid w:val="008E1A20"/>
    <w:rsid w:val="008E20F0"/>
    <w:rsid w:val="008E3C25"/>
    <w:rsid w:val="008E3D52"/>
    <w:rsid w:val="008E437D"/>
    <w:rsid w:val="008E6492"/>
    <w:rsid w:val="008E6501"/>
    <w:rsid w:val="008E6F86"/>
    <w:rsid w:val="008E7C17"/>
    <w:rsid w:val="008E7DEE"/>
    <w:rsid w:val="008F100D"/>
    <w:rsid w:val="008F1742"/>
    <w:rsid w:val="008F293C"/>
    <w:rsid w:val="008F2D9F"/>
    <w:rsid w:val="008F2F91"/>
    <w:rsid w:val="008F318D"/>
    <w:rsid w:val="008F321B"/>
    <w:rsid w:val="008F4601"/>
    <w:rsid w:val="008F5E17"/>
    <w:rsid w:val="008F6295"/>
    <w:rsid w:val="008F6A1B"/>
    <w:rsid w:val="008F740D"/>
    <w:rsid w:val="008F7D1D"/>
    <w:rsid w:val="00900D22"/>
    <w:rsid w:val="00901082"/>
    <w:rsid w:val="009020E9"/>
    <w:rsid w:val="009039AC"/>
    <w:rsid w:val="00907850"/>
    <w:rsid w:val="00907D2E"/>
    <w:rsid w:val="00907F85"/>
    <w:rsid w:val="00910644"/>
    <w:rsid w:val="00910B9F"/>
    <w:rsid w:val="00911EB9"/>
    <w:rsid w:val="0091217B"/>
    <w:rsid w:val="00912504"/>
    <w:rsid w:val="009126E4"/>
    <w:rsid w:val="009143CD"/>
    <w:rsid w:val="00914F0F"/>
    <w:rsid w:val="00915219"/>
    <w:rsid w:val="00915AB3"/>
    <w:rsid w:val="00916066"/>
    <w:rsid w:val="00916238"/>
    <w:rsid w:val="00917EF8"/>
    <w:rsid w:val="0092005D"/>
    <w:rsid w:val="00920110"/>
    <w:rsid w:val="00920491"/>
    <w:rsid w:val="00920DCA"/>
    <w:rsid w:val="00921587"/>
    <w:rsid w:val="0092200F"/>
    <w:rsid w:val="0092425C"/>
    <w:rsid w:val="0092449D"/>
    <w:rsid w:val="00924811"/>
    <w:rsid w:val="009268DD"/>
    <w:rsid w:val="00927255"/>
    <w:rsid w:val="009311E2"/>
    <w:rsid w:val="00934094"/>
    <w:rsid w:val="00934FE1"/>
    <w:rsid w:val="00935457"/>
    <w:rsid w:val="0093594E"/>
    <w:rsid w:val="00936C7D"/>
    <w:rsid w:val="009370C2"/>
    <w:rsid w:val="00937776"/>
    <w:rsid w:val="009401D6"/>
    <w:rsid w:val="00942120"/>
    <w:rsid w:val="009422F7"/>
    <w:rsid w:val="009437E3"/>
    <w:rsid w:val="00944979"/>
    <w:rsid w:val="00945B81"/>
    <w:rsid w:val="00946530"/>
    <w:rsid w:val="009466DE"/>
    <w:rsid w:val="00946BB5"/>
    <w:rsid w:val="00947263"/>
    <w:rsid w:val="009476DF"/>
    <w:rsid w:val="009503CA"/>
    <w:rsid w:val="00950B91"/>
    <w:rsid w:val="009513AC"/>
    <w:rsid w:val="00951F67"/>
    <w:rsid w:val="0095421C"/>
    <w:rsid w:val="0095464F"/>
    <w:rsid w:val="009554AD"/>
    <w:rsid w:val="009554E4"/>
    <w:rsid w:val="00955856"/>
    <w:rsid w:val="0095687F"/>
    <w:rsid w:val="0095741D"/>
    <w:rsid w:val="009600F7"/>
    <w:rsid w:val="00960F51"/>
    <w:rsid w:val="00963E70"/>
    <w:rsid w:val="00964234"/>
    <w:rsid w:val="0096449E"/>
    <w:rsid w:val="00964BA3"/>
    <w:rsid w:val="009653A4"/>
    <w:rsid w:val="00966333"/>
    <w:rsid w:val="00967481"/>
    <w:rsid w:val="00967CFD"/>
    <w:rsid w:val="00967D71"/>
    <w:rsid w:val="00970A92"/>
    <w:rsid w:val="00970EA6"/>
    <w:rsid w:val="0097198A"/>
    <w:rsid w:val="00971EAB"/>
    <w:rsid w:val="00973DC4"/>
    <w:rsid w:val="009754E6"/>
    <w:rsid w:val="00975C5D"/>
    <w:rsid w:val="00976219"/>
    <w:rsid w:val="009766FD"/>
    <w:rsid w:val="0097672F"/>
    <w:rsid w:val="00976A68"/>
    <w:rsid w:val="00976EC0"/>
    <w:rsid w:val="00977E1F"/>
    <w:rsid w:val="00980BB0"/>
    <w:rsid w:val="0098126C"/>
    <w:rsid w:val="00982CDA"/>
    <w:rsid w:val="009840BC"/>
    <w:rsid w:val="009845D5"/>
    <w:rsid w:val="0098558A"/>
    <w:rsid w:val="00986692"/>
    <w:rsid w:val="0098721E"/>
    <w:rsid w:val="00987405"/>
    <w:rsid w:val="00987971"/>
    <w:rsid w:val="00987F49"/>
    <w:rsid w:val="009901CE"/>
    <w:rsid w:val="009909AC"/>
    <w:rsid w:val="00991BAC"/>
    <w:rsid w:val="00991C3B"/>
    <w:rsid w:val="0099270A"/>
    <w:rsid w:val="00993A94"/>
    <w:rsid w:val="00993C21"/>
    <w:rsid w:val="00994B7E"/>
    <w:rsid w:val="00994F99"/>
    <w:rsid w:val="00995BA5"/>
    <w:rsid w:val="00996A96"/>
    <w:rsid w:val="009A0196"/>
    <w:rsid w:val="009A04CE"/>
    <w:rsid w:val="009A04EA"/>
    <w:rsid w:val="009A0E0E"/>
    <w:rsid w:val="009A33C9"/>
    <w:rsid w:val="009A4608"/>
    <w:rsid w:val="009A464E"/>
    <w:rsid w:val="009A5C49"/>
    <w:rsid w:val="009A6F03"/>
    <w:rsid w:val="009B069E"/>
    <w:rsid w:val="009B1944"/>
    <w:rsid w:val="009B2207"/>
    <w:rsid w:val="009B2C2B"/>
    <w:rsid w:val="009B4452"/>
    <w:rsid w:val="009B4FB8"/>
    <w:rsid w:val="009B5111"/>
    <w:rsid w:val="009B51C2"/>
    <w:rsid w:val="009B57F9"/>
    <w:rsid w:val="009B6675"/>
    <w:rsid w:val="009B6BFB"/>
    <w:rsid w:val="009B6C89"/>
    <w:rsid w:val="009B70BA"/>
    <w:rsid w:val="009C0DDE"/>
    <w:rsid w:val="009C1799"/>
    <w:rsid w:val="009C1DCA"/>
    <w:rsid w:val="009C3057"/>
    <w:rsid w:val="009C334F"/>
    <w:rsid w:val="009C4050"/>
    <w:rsid w:val="009C467E"/>
    <w:rsid w:val="009C48D6"/>
    <w:rsid w:val="009C4C59"/>
    <w:rsid w:val="009C5417"/>
    <w:rsid w:val="009C5D5D"/>
    <w:rsid w:val="009D08B1"/>
    <w:rsid w:val="009D1372"/>
    <w:rsid w:val="009D1F0D"/>
    <w:rsid w:val="009D2022"/>
    <w:rsid w:val="009D267A"/>
    <w:rsid w:val="009D27B1"/>
    <w:rsid w:val="009D2FBA"/>
    <w:rsid w:val="009D32F6"/>
    <w:rsid w:val="009D3300"/>
    <w:rsid w:val="009D3B14"/>
    <w:rsid w:val="009D47F7"/>
    <w:rsid w:val="009D4D69"/>
    <w:rsid w:val="009D5CA5"/>
    <w:rsid w:val="009D7149"/>
    <w:rsid w:val="009D7A52"/>
    <w:rsid w:val="009E0534"/>
    <w:rsid w:val="009E06A6"/>
    <w:rsid w:val="009E10FB"/>
    <w:rsid w:val="009E3E4C"/>
    <w:rsid w:val="009E46D0"/>
    <w:rsid w:val="009E64A4"/>
    <w:rsid w:val="009E6D9D"/>
    <w:rsid w:val="009E7803"/>
    <w:rsid w:val="009E7AD1"/>
    <w:rsid w:val="009E7DDD"/>
    <w:rsid w:val="009F01C9"/>
    <w:rsid w:val="009F0460"/>
    <w:rsid w:val="009F1985"/>
    <w:rsid w:val="009F217E"/>
    <w:rsid w:val="009F2388"/>
    <w:rsid w:val="009F2859"/>
    <w:rsid w:val="009F514E"/>
    <w:rsid w:val="009F5732"/>
    <w:rsid w:val="009F69D6"/>
    <w:rsid w:val="009F7386"/>
    <w:rsid w:val="009F79F9"/>
    <w:rsid w:val="00A017F2"/>
    <w:rsid w:val="00A01DC9"/>
    <w:rsid w:val="00A020D2"/>
    <w:rsid w:val="00A02328"/>
    <w:rsid w:val="00A0270F"/>
    <w:rsid w:val="00A02FF2"/>
    <w:rsid w:val="00A03438"/>
    <w:rsid w:val="00A03B77"/>
    <w:rsid w:val="00A04C13"/>
    <w:rsid w:val="00A04F95"/>
    <w:rsid w:val="00A05177"/>
    <w:rsid w:val="00A05634"/>
    <w:rsid w:val="00A06B75"/>
    <w:rsid w:val="00A10FD0"/>
    <w:rsid w:val="00A11620"/>
    <w:rsid w:val="00A12B8E"/>
    <w:rsid w:val="00A13AF0"/>
    <w:rsid w:val="00A1439C"/>
    <w:rsid w:val="00A14951"/>
    <w:rsid w:val="00A14D2F"/>
    <w:rsid w:val="00A14ECD"/>
    <w:rsid w:val="00A16959"/>
    <w:rsid w:val="00A16BA1"/>
    <w:rsid w:val="00A2061A"/>
    <w:rsid w:val="00A2077A"/>
    <w:rsid w:val="00A208A9"/>
    <w:rsid w:val="00A20C2E"/>
    <w:rsid w:val="00A21260"/>
    <w:rsid w:val="00A222F6"/>
    <w:rsid w:val="00A2406E"/>
    <w:rsid w:val="00A24451"/>
    <w:rsid w:val="00A2494E"/>
    <w:rsid w:val="00A24E21"/>
    <w:rsid w:val="00A254F5"/>
    <w:rsid w:val="00A260B9"/>
    <w:rsid w:val="00A26233"/>
    <w:rsid w:val="00A26956"/>
    <w:rsid w:val="00A26A8B"/>
    <w:rsid w:val="00A30D5D"/>
    <w:rsid w:val="00A31E2B"/>
    <w:rsid w:val="00A3429B"/>
    <w:rsid w:val="00A34A30"/>
    <w:rsid w:val="00A34ECD"/>
    <w:rsid w:val="00A35911"/>
    <w:rsid w:val="00A370AA"/>
    <w:rsid w:val="00A37519"/>
    <w:rsid w:val="00A3764B"/>
    <w:rsid w:val="00A37739"/>
    <w:rsid w:val="00A40C9A"/>
    <w:rsid w:val="00A41D3D"/>
    <w:rsid w:val="00A4222A"/>
    <w:rsid w:val="00A42AC5"/>
    <w:rsid w:val="00A42C34"/>
    <w:rsid w:val="00A43227"/>
    <w:rsid w:val="00A43632"/>
    <w:rsid w:val="00A43640"/>
    <w:rsid w:val="00A43B30"/>
    <w:rsid w:val="00A44713"/>
    <w:rsid w:val="00A44F5E"/>
    <w:rsid w:val="00A46E9D"/>
    <w:rsid w:val="00A47361"/>
    <w:rsid w:val="00A50289"/>
    <w:rsid w:val="00A50D76"/>
    <w:rsid w:val="00A51B92"/>
    <w:rsid w:val="00A51E3E"/>
    <w:rsid w:val="00A52100"/>
    <w:rsid w:val="00A52880"/>
    <w:rsid w:val="00A52EED"/>
    <w:rsid w:val="00A54E1D"/>
    <w:rsid w:val="00A55832"/>
    <w:rsid w:val="00A558B4"/>
    <w:rsid w:val="00A55C0D"/>
    <w:rsid w:val="00A55D9D"/>
    <w:rsid w:val="00A5733B"/>
    <w:rsid w:val="00A60497"/>
    <w:rsid w:val="00A61DD3"/>
    <w:rsid w:val="00A61DEF"/>
    <w:rsid w:val="00A638F3"/>
    <w:rsid w:val="00A640A2"/>
    <w:rsid w:val="00A6501E"/>
    <w:rsid w:val="00A6577B"/>
    <w:rsid w:val="00A66C00"/>
    <w:rsid w:val="00A67F27"/>
    <w:rsid w:val="00A70506"/>
    <w:rsid w:val="00A70E54"/>
    <w:rsid w:val="00A73166"/>
    <w:rsid w:val="00A76363"/>
    <w:rsid w:val="00A76E2A"/>
    <w:rsid w:val="00A801C8"/>
    <w:rsid w:val="00A80D32"/>
    <w:rsid w:val="00A81BF9"/>
    <w:rsid w:val="00A81F54"/>
    <w:rsid w:val="00A82A00"/>
    <w:rsid w:val="00A83E79"/>
    <w:rsid w:val="00A86C3B"/>
    <w:rsid w:val="00A872AB"/>
    <w:rsid w:val="00A875D7"/>
    <w:rsid w:val="00A87CE2"/>
    <w:rsid w:val="00A9169D"/>
    <w:rsid w:val="00A92333"/>
    <w:rsid w:val="00A92475"/>
    <w:rsid w:val="00A925AC"/>
    <w:rsid w:val="00A940D2"/>
    <w:rsid w:val="00A94519"/>
    <w:rsid w:val="00A95028"/>
    <w:rsid w:val="00A95802"/>
    <w:rsid w:val="00A96516"/>
    <w:rsid w:val="00A96C9C"/>
    <w:rsid w:val="00A9709D"/>
    <w:rsid w:val="00AA106F"/>
    <w:rsid w:val="00AA1B83"/>
    <w:rsid w:val="00AA23AE"/>
    <w:rsid w:val="00AA2ABC"/>
    <w:rsid w:val="00AA3430"/>
    <w:rsid w:val="00AA4508"/>
    <w:rsid w:val="00AA52FA"/>
    <w:rsid w:val="00AA5A01"/>
    <w:rsid w:val="00AA63FE"/>
    <w:rsid w:val="00AA698A"/>
    <w:rsid w:val="00AA69A9"/>
    <w:rsid w:val="00AA6A40"/>
    <w:rsid w:val="00AA7DFA"/>
    <w:rsid w:val="00AB30CC"/>
    <w:rsid w:val="00AB3134"/>
    <w:rsid w:val="00AB3270"/>
    <w:rsid w:val="00AB488F"/>
    <w:rsid w:val="00AB4BC6"/>
    <w:rsid w:val="00AB524E"/>
    <w:rsid w:val="00AB6CAD"/>
    <w:rsid w:val="00AB6F91"/>
    <w:rsid w:val="00AB70D5"/>
    <w:rsid w:val="00AC07A0"/>
    <w:rsid w:val="00AC17B1"/>
    <w:rsid w:val="00AC1CE6"/>
    <w:rsid w:val="00AC24A5"/>
    <w:rsid w:val="00AC2543"/>
    <w:rsid w:val="00AC2B64"/>
    <w:rsid w:val="00AC2C03"/>
    <w:rsid w:val="00AC2E65"/>
    <w:rsid w:val="00AC40D3"/>
    <w:rsid w:val="00AC411B"/>
    <w:rsid w:val="00AC48E4"/>
    <w:rsid w:val="00AC5017"/>
    <w:rsid w:val="00AC517A"/>
    <w:rsid w:val="00AC5D97"/>
    <w:rsid w:val="00AC6A12"/>
    <w:rsid w:val="00AC6BB8"/>
    <w:rsid w:val="00AD0A75"/>
    <w:rsid w:val="00AD2EC7"/>
    <w:rsid w:val="00AD3122"/>
    <w:rsid w:val="00AD3883"/>
    <w:rsid w:val="00AD5657"/>
    <w:rsid w:val="00AD6422"/>
    <w:rsid w:val="00AD69C7"/>
    <w:rsid w:val="00AD79E7"/>
    <w:rsid w:val="00AD7F85"/>
    <w:rsid w:val="00AE1EA7"/>
    <w:rsid w:val="00AE2394"/>
    <w:rsid w:val="00AE2561"/>
    <w:rsid w:val="00AE3F80"/>
    <w:rsid w:val="00AE5D10"/>
    <w:rsid w:val="00AE6F4B"/>
    <w:rsid w:val="00AE7B5A"/>
    <w:rsid w:val="00AE7C85"/>
    <w:rsid w:val="00AF0F7D"/>
    <w:rsid w:val="00AF2FAF"/>
    <w:rsid w:val="00AF2FE6"/>
    <w:rsid w:val="00AF4E30"/>
    <w:rsid w:val="00AF5DF4"/>
    <w:rsid w:val="00AF6646"/>
    <w:rsid w:val="00AF714F"/>
    <w:rsid w:val="00AF7385"/>
    <w:rsid w:val="00B001DA"/>
    <w:rsid w:val="00B00547"/>
    <w:rsid w:val="00B00F42"/>
    <w:rsid w:val="00B016EC"/>
    <w:rsid w:val="00B01E60"/>
    <w:rsid w:val="00B0332D"/>
    <w:rsid w:val="00B0405B"/>
    <w:rsid w:val="00B04E41"/>
    <w:rsid w:val="00B05695"/>
    <w:rsid w:val="00B06709"/>
    <w:rsid w:val="00B06E4A"/>
    <w:rsid w:val="00B06FCD"/>
    <w:rsid w:val="00B07539"/>
    <w:rsid w:val="00B10643"/>
    <w:rsid w:val="00B1085F"/>
    <w:rsid w:val="00B121F4"/>
    <w:rsid w:val="00B132DE"/>
    <w:rsid w:val="00B16255"/>
    <w:rsid w:val="00B165CC"/>
    <w:rsid w:val="00B16A62"/>
    <w:rsid w:val="00B20335"/>
    <w:rsid w:val="00B20DF2"/>
    <w:rsid w:val="00B21420"/>
    <w:rsid w:val="00B21FEE"/>
    <w:rsid w:val="00B22492"/>
    <w:rsid w:val="00B2289C"/>
    <w:rsid w:val="00B22947"/>
    <w:rsid w:val="00B2400F"/>
    <w:rsid w:val="00B24524"/>
    <w:rsid w:val="00B24C35"/>
    <w:rsid w:val="00B26F84"/>
    <w:rsid w:val="00B27972"/>
    <w:rsid w:val="00B27B19"/>
    <w:rsid w:val="00B30522"/>
    <w:rsid w:val="00B30841"/>
    <w:rsid w:val="00B31BD1"/>
    <w:rsid w:val="00B31FE5"/>
    <w:rsid w:val="00B32721"/>
    <w:rsid w:val="00B33AA7"/>
    <w:rsid w:val="00B3460F"/>
    <w:rsid w:val="00B3529E"/>
    <w:rsid w:val="00B35AF6"/>
    <w:rsid w:val="00B3674F"/>
    <w:rsid w:val="00B36F58"/>
    <w:rsid w:val="00B376FA"/>
    <w:rsid w:val="00B40010"/>
    <w:rsid w:val="00B4044A"/>
    <w:rsid w:val="00B40BA1"/>
    <w:rsid w:val="00B40D56"/>
    <w:rsid w:val="00B41AE8"/>
    <w:rsid w:val="00B425F9"/>
    <w:rsid w:val="00B429E5"/>
    <w:rsid w:val="00B44943"/>
    <w:rsid w:val="00B4652A"/>
    <w:rsid w:val="00B46C87"/>
    <w:rsid w:val="00B50679"/>
    <w:rsid w:val="00B5074B"/>
    <w:rsid w:val="00B5132B"/>
    <w:rsid w:val="00B513F3"/>
    <w:rsid w:val="00B5251E"/>
    <w:rsid w:val="00B52EB3"/>
    <w:rsid w:val="00B53DBD"/>
    <w:rsid w:val="00B541A7"/>
    <w:rsid w:val="00B541DC"/>
    <w:rsid w:val="00B550A5"/>
    <w:rsid w:val="00B5621E"/>
    <w:rsid w:val="00B564D9"/>
    <w:rsid w:val="00B57175"/>
    <w:rsid w:val="00B57425"/>
    <w:rsid w:val="00B57B99"/>
    <w:rsid w:val="00B602EE"/>
    <w:rsid w:val="00B60E78"/>
    <w:rsid w:val="00B617D0"/>
    <w:rsid w:val="00B61A23"/>
    <w:rsid w:val="00B61D72"/>
    <w:rsid w:val="00B61D86"/>
    <w:rsid w:val="00B644B5"/>
    <w:rsid w:val="00B64EF7"/>
    <w:rsid w:val="00B66080"/>
    <w:rsid w:val="00B67242"/>
    <w:rsid w:val="00B67C0D"/>
    <w:rsid w:val="00B702EB"/>
    <w:rsid w:val="00B7048C"/>
    <w:rsid w:val="00B70DC4"/>
    <w:rsid w:val="00B7108E"/>
    <w:rsid w:val="00B718C1"/>
    <w:rsid w:val="00B7191B"/>
    <w:rsid w:val="00B72253"/>
    <w:rsid w:val="00B72C20"/>
    <w:rsid w:val="00B72D07"/>
    <w:rsid w:val="00B74AFD"/>
    <w:rsid w:val="00B77233"/>
    <w:rsid w:val="00B8063B"/>
    <w:rsid w:val="00B81F0C"/>
    <w:rsid w:val="00B84787"/>
    <w:rsid w:val="00B855A4"/>
    <w:rsid w:val="00B85B84"/>
    <w:rsid w:val="00B8624A"/>
    <w:rsid w:val="00B8719B"/>
    <w:rsid w:val="00B8748C"/>
    <w:rsid w:val="00B879B9"/>
    <w:rsid w:val="00B87AA0"/>
    <w:rsid w:val="00B90E75"/>
    <w:rsid w:val="00B90FC5"/>
    <w:rsid w:val="00B914E7"/>
    <w:rsid w:val="00B91C3E"/>
    <w:rsid w:val="00B92939"/>
    <w:rsid w:val="00B93425"/>
    <w:rsid w:val="00B934CD"/>
    <w:rsid w:val="00B93D4B"/>
    <w:rsid w:val="00B94281"/>
    <w:rsid w:val="00B944C9"/>
    <w:rsid w:val="00B94605"/>
    <w:rsid w:val="00B968F3"/>
    <w:rsid w:val="00B9799C"/>
    <w:rsid w:val="00BA046F"/>
    <w:rsid w:val="00BA2253"/>
    <w:rsid w:val="00BA23AB"/>
    <w:rsid w:val="00BA283A"/>
    <w:rsid w:val="00BA2A52"/>
    <w:rsid w:val="00BA2DB0"/>
    <w:rsid w:val="00BA2DDB"/>
    <w:rsid w:val="00BA3F94"/>
    <w:rsid w:val="00BA40DA"/>
    <w:rsid w:val="00BA4317"/>
    <w:rsid w:val="00BA456D"/>
    <w:rsid w:val="00BA4A52"/>
    <w:rsid w:val="00BA4D75"/>
    <w:rsid w:val="00BA595A"/>
    <w:rsid w:val="00BA5CA3"/>
    <w:rsid w:val="00BA5D8C"/>
    <w:rsid w:val="00BA692E"/>
    <w:rsid w:val="00BA6D24"/>
    <w:rsid w:val="00BB289A"/>
    <w:rsid w:val="00BB29E9"/>
    <w:rsid w:val="00BB38AC"/>
    <w:rsid w:val="00BB4166"/>
    <w:rsid w:val="00BB478D"/>
    <w:rsid w:val="00BB5B40"/>
    <w:rsid w:val="00BB6197"/>
    <w:rsid w:val="00BB6D27"/>
    <w:rsid w:val="00BB6EC5"/>
    <w:rsid w:val="00BB7394"/>
    <w:rsid w:val="00BB7423"/>
    <w:rsid w:val="00BB7CC5"/>
    <w:rsid w:val="00BB7F1A"/>
    <w:rsid w:val="00BB7F79"/>
    <w:rsid w:val="00BC03D2"/>
    <w:rsid w:val="00BC0572"/>
    <w:rsid w:val="00BC0A61"/>
    <w:rsid w:val="00BC0F4E"/>
    <w:rsid w:val="00BC1BD2"/>
    <w:rsid w:val="00BC2204"/>
    <w:rsid w:val="00BC2B42"/>
    <w:rsid w:val="00BC2FEE"/>
    <w:rsid w:val="00BC3E0C"/>
    <w:rsid w:val="00BC40AB"/>
    <w:rsid w:val="00BC61C6"/>
    <w:rsid w:val="00BC7D9B"/>
    <w:rsid w:val="00BD117B"/>
    <w:rsid w:val="00BD15AE"/>
    <w:rsid w:val="00BD1E9E"/>
    <w:rsid w:val="00BD3153"/>
    <w:rsid w:val="00BD5924"/>
    <w:rsid w:val="00BD5DCE"/>
    <w:rsid w:val="00BD6628"/>
    <w:rsid w:val="00BD73F0"/>
    <w:rsid w:val="00BE0A38"/>
    <w:rsid w:val="00BE0AD8"/>
    <w:rsid w:val="00BE18E2"/>
    <w:rsid w:val="00BE3C2B"/>
    <w:rsid w:val="00BE5BE7"/>
    <w:rsid w:val="00BE5D44"/>
    <w:rsid w:val="00BE5E82"/>
    <w:rsid w:val="00BE6D22"/>
    <w:rsid w:val="00BE76D3"/>
    <w:rsid w:val="00BE7BD0"/>
    <w:rsid w:val="00BE7F99"/>
    <w:rsid w:val="00BF0547"/>
    <w:rsid w:val="00BF077D"/>
    <w:rsid w:val="00BF0A5A"/>
    <w:rsid w:val="00BF11F9"/>
    <w:rsid w:val="00BF138D"/>
    <w:rsid w:val="00BF27C3"/>
    <w:rsid w:val="00BF3018"/>
    <w:rsid w:val="00BF3291"/>
    <w:rsid w:val="00BF335E"/>
    <w:rsid w:val="00BF3771"/>
    <w:rsid w:val="00BF50F2"/>
    <w:rsid w:val="00BF5D11"/>
    <w:rsid w:val="00BF6215"/>
    <w:rsid w:val="00BF68B5"/>
    <w:rsid w:val="00BF6E73"/>
    <w:rsid w:val="00BF7CD8"/>
    <w:rsid w:val="00C02A3E"/>
    <w:rsid w:val="00C02E30"/>
    <w:rsid w:val="00C03797"/>
    <w:rsid w:val="00C04D9D"/>
    <w:rsid w:val="00C05B60"/>
    <w:rsid w:val="00C05B72"/>
    <w:rsid w:val="00C05D90"/>
    <w:rsid w:val="00C05E3E"/>
    <w:rsid w:val="00C0620A"/>
    <w:rsid w:val="00C074BC"/>
    <w:rsid w:val="00C07983"/>
    <w:rsid w:val="00C106FC"/>
    <w:rsid w:val="00C111D2"/>
    <w:rsid w:val="00C11716"/>
    <w:rsid w:val="00C13FD7"/>
    <w:rsid w:val="00C14780"/>
    <w:rsid w:val="00C15CAA"/>
    <w:rsid w:val="00C16F5B"/>
    <w:rsid w:val="00C17766"/>
    <w:rsid w:val="00C17CCC"/>
    <w:rsid w:val="00C17E56"/>
    <w:rsid w:val="00C20303"/>
    <w:rsid w:val="00C21EA8"/>
    <w:rsid w:val="00C248C9"/>
    <w:rsid w:val="00C2501E"/>
    <w:rsid w:val="00C26113"/>
    <w:rsid w:val="00C26705"/>
    <w:rsid w:val="00C26F41"/>
    <w:rsid w:val="00C270E8"/>
    <w:rsid w:val="00C27226"/>
    <w:rsid w:val="00C27881"/>
    <w:rsid w:val="00C30754"/>
    <w:rsid w:val="00C30E53"/>
    <w:rsid w:val="00C3164A"/>
    <w:rsid w:val="00C32699"/>
    <w:rsid w:val="00C32F9D"/>
    <w:rsid w:val="00C333F6"/>
    <w:rsid w:val="00C337D0"/>
    <w:rsid w:val="00C34714"/>
    <w:rsid w:val="00C34B72"/>
    <w:rsid w:val="00C35322"/>
    <w:rsid w:val="00C356F5"/>
    <w:rsid w:val="00C35F92"/>
    <w:rsid w:val="00C3606C"/>
    <w:rsid w:val="00C367D0"/>
    <w:rsid w:val="00C37090"/>
    <w:rsid w:val="00C40517"/>
    <w:rsid w:val="00C40967"/>
    <w:rsid w:val="00C41EDB"/>
    <w:rsid w:val="00C41FB7"/>
    <w:rsid w:val="00C4495C"/>
    <w:rsid w:val="00C44E73"/>
    <w:rsid w:val="00C45A9F"/>
    <w:rsid w:val="00C46E45"/>
    <w:rsid w:val="00C51185"/>
    <w:rsid w:val="00C52C6F"/>
    <w:rsid w:val="00C5321E"/>
    <w:rsid w:val="00C53CBE"/>
    <w:rsid w:val="00C53DEA"/>
    <w:rsid w:val="00C53E81"/>
    <w:rsid w:val="00C55A39"/>
    <w:rsid w:val="00C55F1A"/>
    <w:rsid w:val="00C56DA3"/>
    <w:rsid w:val="00C56EC2"/>
    <w:rsid w:val="00C57C2E"/>
    <w:rsid w:val="00C6061F"/>
    <w:rsid w:val="00C60E0E"/>
    <w:rsid w:val="00C60E1E"/>
    <w:rsid w:val="00C61CB6"/>
    <w:rsid w:val="00C62D27"/>
    <w:rsid w:val="00C66314"/>
    <w:rsid w:val="00C66BAE"/>
    <w:rsid w:val="00C673D4"/>
    <w:rsid w:val="00C6773C"/>
    <w:rsid w:val="00C74A33"/>
    <w:rsid w:val="00C751DC"/>
    <w:rsid w:val="00C76E4A"/>
    <w:rsid w:val="00C76FE5"/>
    <w:rsid w:val="00C7783E"/>
    <w:rsid w:val="00C778FE"/>
    <w:rsid w:val="00C77AB5"/>
    <w:rsid w:val="00C77C8E"/>
    <w:rsid w:val="00C805EB"/>
    <w:rsid w:val="00C80700"/>
    <w:rsid w:val="00C80757"/>
    <w:rsid w:val="00C809B8"/>
    <w:rsid w:val="00C80CBF"/>
    <w:rsid w:val="00C82E3D"/>
    <w:rsid w:val="00C8383A"/>
    <w:rsid w:val="00C851D7"/>
    <w:rsid w:val="00C854D1"/>
    <w:rsid w:val="00C85DA5"/>
    <w:rsid w:val="00C85FC6"/>
    <w:rsid w:val="00C8609D"/>
    <w:rsid w:val="00C8625D"/>
    <w:rsid w:val="00C90CAB"/>
    <w:rsid w:val="00C90D76"/>
    <w:rsid w:val="00C9109D"/>
    <w:rsid w:val="00C91210"/>
    <w:rsid w:val="00C924E0"/>
    <w:rsid w:val="00C9317D"/>
    <w:rsid w:val="00C93267"/>
    <w:rsid w:val="00C93468"/>
    <w:rsid w:val="00C93E4D"/>
    <w:rsid w:val="00C94FE3"/>
    <w:rsid w:val="00C9603B"/>
    <w:rsid w:val="00C9709C"/>
    <w:rsid w:val="00C976CE"/>
    <w:rsid w:val="00C977F0"/>
    <w:rsid w:val="00C97D90"/>
    <w:rsid w:val="00CA0BB1"/>
    <w:rsid w:val="00CA0E22"/>
    <w:rsid w:val="00CA30B8"/>
    <w:rsid w:val="00CA3BA7"/>
    <w:rsid w:val="00CA3F49"/>
    <w:rsid w:val="00CA4F92"/>
    <w:rsid w:val="00CA5F36"/>
    <w:rsid w:val="00CA7074"/>
    <w:rsid w:val="00CA712E"/>
    <w:rsid w:val="00CA751D"/>
    <w:rsid w:val="00CB020D"/>
    <w:rsid w:val="00CB0716"/>
    <w:rsid w:val="00CB0728"/>
    <w:rsid w:val="00CB0E85"/>
    <w:rsid w:val="00CB0FA7"/>
    <w:rsid w:val="00CB17A7"/>
    <w:rsid w:val="00CB1A09"/>
    <w:rsid w:val="00CB1B12"/>
    <w:rsid w:val="00CB304B"/>
    <w:rsid w:val="00CB309B"/>
    <w:rsid w:val="00CB3508"/>
    <w:rsid w:val="00CB415E"/>
    <w:rsid w:val="00CB42B6"/>
    <w:rsid w:val="00CB49D1"/>
    <w:rsid w:val="00CB4D75"/>
    <w:rsid w:val="00CB5730"/>
    <w:rsid w:val="00CB645C"/>
    <w:rsid w:val="00CB769B"/>
    <w:rsid w:val="00CB7876"/>
    <w:rsid w:val="00CC006C"/>
    <w:rsid w:val="00CC024B"/>
    <w:rsid w:val="00CC14E4"/>
    <w:rsid w:val="00CC175F"/>
    <w:rsid w:val="00CC1E67"/>
    <w:rsid w:val="00CC2386"/>
    <w:rsid w:val="00CC250A"/>
    <w:rsid w:val="00CC26CE"/>
    <w:rsid w:val="00CC29B5"/>
    <w:rsid w:val="00CC4EE2"/>
    <w:rsid w:val="00CC4F38"/>
    <w:rsid w:val="00CC53D0"/>
    <w:rsid w:val="00CC5932"/>
    <w:rsid w:val="00CC6212"/>
    <w:rsid w:val="00CC6DCE"/>
    <w:rsid w:val="00CC739E"/>
    <w:rsid w:val="00CD067C"/>
    <w:rsid w:val="00CD1333"/>
    <w:rsid w:val="00CD182D"/>
    <w:rsid w:val="00CD1ABE"/>
    <w:rsid w:val="00CD23BB"/>
    <w:rsid w:val="00CD24BD"/>
    <w:rsid w:val="00CD3112"/>
    <w:rsid w:val="00CD33DE"/>
    <w:rsid w:val="00CD3BD4"/>
    <w:rsid w:val="00CD4708"/>
    <w:rsid w:val="00CD629C"/>
    <w:rsid w:val="00CD634D"/>
    <w:rsid w:val="00CD6891"/>
    <w:rsid w:val="00CD6DBE"/>
    <w:rsid w:val="00CD79DC"/>
    <w:rsid w:val="00CE10A8"/>
    <w:rsid w:val="00CE11E4"/>
    <w:rsid w:val="00CE2046"/>
    <w:rsid w:val="00CE2634"/>
    <w:rsid w:val="00CE2E3E"/>
    <w:rsid w:val="00CE3DFA"/>
    <w:rsid w:val="00CE3F98"/>
    <w:rsid w:val="00CE4001"/>
    <w:rsid w:val="00CE4383"/>
    <w:rsid w:val="00CE464E"/>
    <w:rsid w:val="00CE4B19"/>
    <w:rsid w:val="00CE52C5"/>
    <w:rsid w:val="00CE78E6"/>
    <w:rsid w:val="00CF01D7"/>
    <w:rsid w:val="00CF0B4D"/>
    <w:rsid w:val="00CF0BDB"/>
    <w:rsid w:val="00CF0BE9"/>
    <w:rsid w:val="00CF269F"/>
    <w:rsid w:val="00CF388F"/>
    <w:rsid w:val="00CF444E"/>
    <w:rsid w:val="00CF4996"/>
    <w:rsid w:val="00CF51C7"/>
    <w:rsid w:val="00CF5C8D"/>
    <w:rsid w:val="00CF6008"/>
    <w:rsid w:val="00CF71C5"/>
    <w:rsid w:val="00CF7E42"/>
    <w:rsid w:val="00D0084D"/>
    <w:rsid w:val="00D01AC8"/>
    <w:rsid w:val="00D01B4E"/>
    <w:rsid w:val="00D01ED2"/>
    <w:rsid w:val="00D01FC6"/>
    <w:rsid w:val="00D02603"/>
    <w:rsid w:val="00D02DA5"/>
    <w:rsid w:val="00D03660"/>
    <w:rsid w:val="00D0379C"/>
    <w:rsid w:val="00D037B3"/>
    <w:rsid w:val="00D040C3"/>
    <w:rsid w:val="00D0556D"/>
    <w:rsid w:val="00D05708"/>
    <w:rsid w:val="00D0599D"/>
    <w:rsid w:val="00D059A4"/>
    <w:rsid w:val="00D0628E"/>
    <w:rsid w:val="00D077A5"/>
    <w:rsid w:val="00D10174"/>
    <w:rsid w:val="00D10A1E"/>
    <w:rsid w:val="00D10A52"/>
    <w:rsid w:val="00D110B7"/>
    <w:rsid w:val="00D1166B"/>
    <w:rsid w:val="00D11CAD"/>
    <w:rsid w:val="00D12CAE"/>
    <w:rsid w:val="00D13062"/>
    <w:rsid w:val="00D13943"/>
    <w:rsid w:val="00D155B9"/>
    <w:rsid w:val="00D1585E"/>
    <w:rsid w:val="00D15C5F"/>
    <w:rsid w:val="00D16785"/>
    <w:rsid w:val="00D16EF6"/>
    <w:rsid w:val="00D17181"/>
    <w:rsid w:val="00D23141"/>
    <w:rsid w:val="00D2354D"/>
    <w:rsid w:val="00D25645"/>
    <w:rsid w:val="00D3099C"/>
    <w:rsid w:val="00D30BA5"/>
    <w:rsid w:val="00D31CFC"/>
    <w:rsid w:val="00D32442"/>
    <w:rsid w:val="00D3279E"/>
    <w:rsid w:val="00D34EC4"/>
    <w:rsid w:val="00D350A2"/>
    <w:rsid w:val="00D3546D"/>
    <w:rsid w:val="00D35EA4"/>
    <w:rsid w:val="00D367D3"/>
    <w:rsid w:val="00D368E8"/>
    <w:rsid w:val="00D3735D"/>
    <w:rsid w:val="00D37360"/>
    <w:rsid w:val="00D405FB"/>
    <w:rsid w:val="00D41452"/>
    <w:rsid w:val="00D4225C"/>
    <w:rsid w:val="00D42D15"/>
    <w:rsid w:val="00D43614"/>
    <w:rsid w:val="00D474AF"/>
    <w:rsid w:val="00D50659"/>
    <w:rsid w:val="00D50CDC"/>
    <w:rsid w:val="00D50DBF"/>
    <w:rsid w:val="00D513F9"/>
    <w:rsid w:val="00D51955"/>
    <w:rsid w:val="00D51A4C"/>
    <w:rsid w:val="00D51E7D"/>
    <w:rsid w:val="00D54177"/>
    <w:rsid w:val="00D55184"/>
    <w:rsid w:val="00D5551C"/>
    <w:rsid w:val="00D57886"/>
    <w:rsid w:val="00D57C5B"/>
    <w:rsid w:val="00D629A2"/>
    <w:rsid w:val="00D62BB5"/>
    <w:rsid w:val="00D63096"/>
    <w:rsid w:val="00D63F68"/>
    <w:rsid w:val="00D643AF"/>
    <w:rsid w:val="00D64602"/>
    <w:rsid w:val="00D65334"/>
    <w:rsid w:val="00D654F4"/>
    <w:rsid w:val="00D659C0"/>
    <w:rsid w:val="00D65AD7"/>
    <w:rsid w:val="00D66EAB"/>
    <w:rsid w:val="00D70532"/>
    <w:rsid w:val="00D705D5"/>
    <w:rsid w:val="00D70F4A"/>
    <w:rsid w:val="00D71A07"/>
    <w:rsid w:val="00D72A1E"/>
    <w:rsid w:val="00D72A98"/>
    <w:rsid w:val="00D73F12"/>
    <w:rsid w:val="00D74FED"/>
    <w:rsid w:val="00D759DA"/>
    <w:rsid w:val="00D762B9"/>
    <w:rsid w:val="00D765FA"/>
    <w:rsid w:val="00D77208"/>
    <w:rsid w:val="00D815D3"/>
    <w:rsid w:val="00D81A72"/>
    <w:rsid w:val="00D81F59"/>
    <w:rsid w:val="00D832AA"/>
    <w:rsid w:val="00D836AE"/>
    <w:rsid w:val="00D8381A"/>
    <w:rsid w:val="00D849A7"/>
    <w:rsid w:val="00D84E66"/>
    <w:rsid w:val="00D8574F"/>
    <w:rsid w:val="00D85EAE"/>
    <w:rsid w:val="00D8682D"/>
    <w:rsid w:val="00D86C37"/>
    <w:rsid w:val="00D8739E"/>
    <w:rsid w:val="00D874AB"/>
    <w:rsid w:val="00D9006D"/>
    <w:rsid w:val="00D90323"/>
    <w:rsid w:val="00D9081D"/>
    <w:rsid w:val="00D91DB2"/>
    <w:rsid w:val="00D92AFA"/>
    <w:rsid w:val="00D93512"/>
    <w:rsid w:val="00D947A4"/>
    <w:rsid w:val="00D949BD"/>
    <w:rsid w:val="00D94FD6"/>
    <w:rsid w:val="00D95AC8"/>
    <w:rsid w:val="00D967B8"/>
    <w:rsid w:val="00D97363"/>
    <w:rsid w:val="00DA1551"/>
    <w:rsid w:val="00DA3CC4"/>
    <w:rsid w:val="00DA4510"/>
    <w:rsid w:val="00DA5838"/>
    <w:rsid w:val="00DA62EE"/>
    <w:rsid w:val="00DA66EB"/>
    <w:rsid w:val="00DA77A3"/>
    <w:rsid w:val="00DA79CD"/>
    <w:rsid w:val="00DB0BB7"/>
    <w:rsid w:val="00DB2536"/>
    <w:rsid w:val="00DB2966"/>
    <w:rsid w:val="00DB3E78"/>
    <w:rsid w:val="00DB433E"/>
    <w:rsid w:val="00DB53AA"/>
    <w:rsid w:val="00DB7C48"/>
    <w:rsid w:val="00DC05C9"/>
    <w:rsid w:val="00DC0B54"/>
    <w:rsid w:val="00DC0CA5"/>
    <w:rsid w:val="00DC157B"/>
    <w:rsid w:val="00DC1631"/>
    <w:rsid w:val="00DC222C"/>
    <w:rsid w:val="00DC2A41"/>
    <w:rsid w:val="00DC30C4"/>
    <w:rsid w:val="00DC316B"/>
    <w:rsid w:val="00DC3BF7"/>
    <w:rsid w:val="00DC79F8"/>
    <w:rsid w:val="00DD0F45"/>
    <w:rsid w:val="00DD1996"/>
    <w:rsid w:val="00DD24CD"/>
    <w:rsid w:val="00DD280C"/>
    <w:rsid w:val="00DD3116"/>
    <w:rsid w:val="00DD34E3"/>
    <w:rsid w:val="00DD4DAE"/>
    <w:rsid w:val="00DD5F14"/>
    <w:rsid w:val="00DD693B"/>
    <w:rsid w:val="00DD6963"/>
    <w:rsid w:val="00DE00F5"/>
    <w:rsid w:val="00DE015B"/>
    <w:rsid w:val="00DE05C6"/>
    <w:rsid w:val="00DE0859"/>
    <w:rsid w:val="00DE128D"/>
    <w:rsid w:val="00DE1ED8"/>
    <w:rsid w:val="00DE21DE"/>
    <w:rsid w:val="00DE2651"/>
    <w:rsid w:val="00DE2E70"/>
    <w:rsid w:val="00DE3665"/>
    <w:rsid w:val="00DE3806"/>
    <w:rsid w:val="00DE3B38"/>
    <w:rsid w:val="00DE3B82"/>
    <w:rsid w:val="00DE489C"/>
    <w:rsid w:val="00DE5CF4"/>
    <w:rsid w:val="00DE5F07"/>
    <w:rsid w:val="00DE6354"/>
    <w:rsid w:val="00DE7B9D"/>
    <w:rsid w:val="00DF30E6"/>
    <w:rsid w:val="00DF3ED7"/>
    <w:rsid w:val="00DF4729"/>
    <w:rsid w:val="00DF491B"/>
    <w:rsid w:val="00DF4E7F"/>
    <w:rsid w:val="00DF5450"/>
    <w:rsid w:val="00DF5ED5"/>
    <w:rsid w:val="00DF5FED"/>
    <w:rsid w:val="00DF661E"/>
    <w:rsid w:val="00DF73B0"/>
    <w:rsid w:val="00DF74A0"/>
    <w:rsid w:val="00DF7D65"/>
    <w:rsid w:val="00E0000C"/>
    <w:rsid w:val="00E00888"/>
    <w:rsid w:val="00E00D8E"/>
    <w:rsid w:val="00E011BE"/>
    <w:rsid w:val="00E02446"/>
    <w:rsid w:val="00E02D87"/>
    <w:rsid w:val="00E0500C"/>
    <w:rsid w:val="00E065E8"/>
    <w:rsid w:val="00E078ED"/>
    <w:rsid w:val="00E11D14"/>
    <w:rsid w:val="00E1295D"/>
    <w:rsid w:val="00E12ED0"/>
    <w:rsid w:val="00E1300E"/>
    <w:rsid w:val="00E132B6"/>
    <w:rsid w:val="00E132D0"/>
    <w:rsid w:val="00E13406"/>
    <w:rsid w:val="00E13B57"/>
    <w:rsid w:val="00E14052"/>
    <w:rsid w:val="00E144CC"/>
    <w:rsid w:val="00E14FBB"/>
    <w:rsid w:val="00E15263"/>
    <w:rsid w:val="00E16C59"/>
    <w:rsid w:val="00E172A3"/>
    <w:rsid w:val="00E1764C"/>
    <w:rsid w:val="00E17DEE"/>
    <w:rsid w:val="00E17F30"/>
    <w:rsid w:val="00E203F4"/>
    <w:rsid w:val="00E2056A"/>
    <w:rsid w:val="00E233BD"/>
    <w:rsid w:val="00E2431B"/>
    <w:rsid w:val="00E24D21"/>
    <w:rsid w:val="00E24DCF"/>
    <w:rsid w:val="00E2545E"/>
    <w:rsid w:val="00E26489"/>
    <w:rsid w:val="00E30087"/>
    <w:rsid w:val="00E30B75"/>
    <w:rsid w:val="00E320E3"/>
    <w:rsid w:val="00E32720"/>
    <w:rsid w:val="00E33047"/>
    <w:rsid w:val="00E332EE"/>
    <w:rsid w:val="00E34407"/>
    <w:rsid w:val="00E34CC9"/>
    <w:rsid w:val="00E35D8D"/>
    <w:rsid w:val="00E35FCC"/>
    <w:rsid w:val="00E3726A"/>
    <w:rsid w:val="00E400E4"/>
    <w:rsid w:val="00E40C6B"/>
    <w:rsid w:val="00E417F3"/>
    <w:rsid w:val="00E41F2B"/>
    <w:rsid w:val="00E4278E"/>
    <w:rsid w:val="00E43296"/>
    <w:rsid w:val="00E43B1D"/>
    <w:rsid w:val="00E44FBA"/>
    <w:rsid w:val="00E45446"/>
    <w:rsid w:val="00E46B94"/>
    <w:rsid w:val="00E46F6C"/>
    <w:rsid w:val="00E47712"/>
    <w:rsid w:val="00E47FC4"/>
    <w:rsid w:val="00E505C4"/>
    <w:rsid w:val="00E50A35"/>
    <w:rsid w:val="00E50D93"/>
    <w:rsid w:val="00E50ECA"/>
    <w:rsid w:val="00E51E6F"/>
    <w:rsid w:val="00E54087"/>
    <w:rsid w:val="00E5449E"/>
    <w:rsid w:val="00E54A46"/>
    <w:rsid w:val="00E54F84"/>
    <w:rsid w:val="00E56B9D"/>
    <w:rsid w:val="00E603CB"/>
    <w:rsid w:val="00E60924"/>
    <w:rsid w:val="00E62854"/>
    <w:rsid w:val="00E63CD2"/>
    <w:rsid w:val="00E665ED"/>
    <w:rsid w:val="00E67733"/>
    <w:rsid w:val="00E67FBB"/>
    <w:rsid w:val="00E70D34"/>
    <w:rsid w:val="00E71DD7"/>
    <w:rsid w:val="00E7235E"/>
    <w:rsid w:val="00E73839"/>
    <w:rsid w:val="00E738E4"/>
    <w:rsid w:val="00E7427B"/>
    <w:rsid w:val="00E74DFC"/>
    <w:rsid w:val="00E75F91"/>
    <w:rsid w:val="00E76A3D"/>
    <w:rsid w:val="00E773F8"/>
    <w:rsid w:val="00E776DB"/>
    <w:rsid w:val="00E77D5D"/>
    <w:rsid w:val="00E817EB"/>
    <w:rsid w:val="00E826F3"/>
    <w:rsid w:val="00E8385F"/>
    <w:rsid w:val="00E85010"/>
    <w:rsid w:val="00E86758"/>
    <w:rsid w:val="00E86763"/>
    <w:rsid w:val="00E86A44"/>
    <w:rsid w:val="00E87C8C"/>
    <w:rsid w:val="00E901B9"/>
    <w:rsid w:val="00E91251"/>
    <w:rsid w:val="00E93674"/>
    <w:rsid w:val="00E95A52"/>
    <w:rsid w:val="00E9677D"/>
    <w:rsid w:val="00E97CA2"/>
    <w:rsid w:val="00EA2254"/>
    <w:rsid w:val="00EA3A73"/>
    <w:rsid w:val="00EA4D6A"/>
    <w:rsid w:val="00EA4EFE"/>
    <w:rsid w:val="00EA5EAC"/>
    <w:rsid w:val="00EA6C45"/>
    <w:rsid w:val="00EB0664"/>
    <w:rsid w:val="00EB0E9C"/>
    <w:rsid w:val="00EB108E"/>
    <w:rsid w:val="00EB1DD3"/>
    <w:rsid w:val="00EB20E0"/>
    <w:rsid w:val="00EB30BC"/>
    <w:rsid w:val="00EB4107"/>
    <w:rsid w:val="00EB42A5"/>
    <w:rsid w:val="00EB44FD"/>
    <w:rsid w:val="00EB4967"/>
    <w:rsid w:val="00EB62B9"/>
    <w:rsid w:val="00EB643F"/>
    <w:rsid w:val="00EC09CC"/>
    <w:rsid w:val="00EC0C4E"/>
    <w:rsid w:val="00EC15FF"/>
    <w:rsid w:val="00EC4679"/>
    <w:rsid w:val="00EC677F"/>
    <w:rsid w:val="00EC6E2B"/>
    <w:rsid w:val="00ED0297"/>
    <w:rsid w:val="00ED03B4"/>
    <w:rsid w:val="00ED233A"/>
    <w:rsid w:val="00ED27BF"/>
    <w:rsid w:val="00ED292E"/>
    <w:rsid w:val="00ED4FC0"/>
    <w:rsid w:val="00ED6202"/>
    <w:rsid w:val="00ED67D0"/>
    <w:rsid w:val="00ED731F"/>
    <w:rsid w:val="00ED78E6"/>
    <w:rsid w:val="00ED7AD7"/>
    <w:rsid w:val="00ED7E5C"/>
    <w:rsid w:val="00EE1084"/>
    <w:rsid w:val="00EE2E78"/>
    <w:rsid w:val="00EE2F5C"/>
    <w:rsid w:val="00EE4AAB"/>
    <w:rsid w:val="00EE4F11"/>
    <w:rsid w:val="00EE5092"/>
    <w:rsid w:val="00EE512B"/>
    <w:rsid w:val="00EE69C5"/>
    <w:rsid w:val="00EE7459"/>
    <w:rsid w:val="00EF0470"/>
    <w:rsid w:val="00EF0EFB"/>
    <w:rsid w:val="00EF14A0"/>
    <w:rsid w:val="00EF1936"/>
    <w:rsid w:val="00EF232C"/>
    <w:rsid w:val="00EF25CE"/>
    <w:rsid w:val="00EF2938"/>
    <w:rsid w:val="00EF2C1D"/>
    <w:rsid w:val="00EF2D52"/>
    <w:rsid w:val="00EF5BC7"/>
    <w:rsid w:val="00EF6EC7"/>
    <w:rsid w:val="00F00065"/>
    <w:rsid w:val="00F007A2"/>
    <w:rsid w:val="00F008CF"/>
    <w:rsid w:val="00F0096C"/>
    <w:rsid w:val="00F01FF3"/>
    <w:rsid w:val="00F020B9"/>
    <w:rsid w:val="00F04DD4"/>
    <w:rsid w:val="00F04F73"/>
    <w:rsid w:val="00F0532C"/>
    <w:rsid w:val="00F068F6"/>
    <w:rsid w:val="00F074C6"/>
    <w:rsid w:val="00F077BD"/>
    <w:rsid w:val="00F10085"/>
    <w:rsid w:val="00F10A57"/>
    <w:rsid w:val="00F11B03"/>
    <w:rsid w:val="00F11DFE"/>
    <w:rsid w:val="00F120A8"/>
    <w:rsid w:val="00F1262C"/>
    <w:rsid w:val="00F12A5F"/>
    <w:rsid w:val="00F13259"/>
    <w:rsid w:val="00F13CE0"/>
    <w:rsid w:val="00F13E40"/>
    <w:rsid w:val="00F145C9"/>
    <w:rsid w:val="00F14C8A"/>
    <w:rsid w:val="00F156DB"/>
    <w:rsid w:val="00F163AA"/>
    <w:rsid w:val="00F16654"/>
    <w:rsid w:val="00F16CCA"/>
    <w:rsid w:val="00F20E0B"/>
    <w:rsid w:val="00F22477"/>
    <w:rsid w:val="00F22D22"/>
    <w:rsid w:val="00F230DB"/>
    <w:rsid w:val="00F23103"/>
    <w:rsid w:val="00F2331D"/>
    <w:rsid w:val="00F24224"/>
    <w:rsid w:val="00F2470A"/>
    <w:rsid w:val="00F25111"/>
    <w:rsid w:val="00F25619"/>
    <w:rsid w:val="00F271FC"/>
    <w:rsid w:val="00F27217"/>
    <w:rsid w:val="00F30566"/>
    <w:rsid w:val="00F32691"/>
    <w:rsid w:val="00F32852"/>
    <w:rsid w:val="00F32DD7"/>
    <w:rsid w:val="00F33BCC"/>
    <w:rsid w:val="00F33E24"/>
    <w:rsid w:val="00F350DB"/>
    <w:rsid w:val="00F356E3"/>
    <w:rsid w:val="00F3595A"/>
    <w:rsid w:val="00F361AB"/>
    <w:rsid w:val="00F36DD2"/>
    <w:rsid w:val="00F37240"/>
    <w:rsid w:val="00F3754B"/>
    <w:rsid w:val="00F37935"/>
    <w:rsid w:val="00F3796C"/>
    <w:rsid w:val="00F37D69"/>
    <w:rsid w:val="00F400D3"/>
    <w:rsid w:val="00F40128"/>
    <w:rsid w:val="00F40637"/>
    <w:rsid w:val="00F40C84"/>
    <w:rsid w:val="00F452B5"/>
    <w:rsid w:val="00F464F6"/>
    <w:rsid w:val="00F47755"/>
    <w:rsid w:val="00F504AC"/>
    <w:rsid w:val="00F506FA"/>
    <w:rsid w:val="00F509F9"/>
    <w:rsid w:val="00F5138A"/>
    <w:rsid w:val="00F51DA6"/>
    <w:rsid w:val="00F530B1"/>
    <w:rsid w:val="00F532CE"/>
    <w:rsid w:val="00F5428E"/>
    <w:rsid w:val="00F54366"/>
    <w:rsid w:val="00F551BF"/>
    <w:rsid w:val="00F5584E"/>
    <w:rsid w:val="00F55C98"/>
    <w:rsid w:val="00F56232"/>
    <w:rsid w:val="00F56FC8"/>
    <w:rsid w:val="00F572C8"/>
    <w:rsid w:val="00F57753"/>
    <w:rsid w:val="00F5777C"/>
    <w:rsid w:val="00F60102"/>
    <w:rsid w:val="00F60167"/>
    <w:rsid w:val="00F60A29"/>
    <w:rsid w:val="00F622F0"/>
    <w:rsid w:val="00F62335"/>
    <w:rsid w:val="00F62C77"/>
    <w:rsid w:val="00F63AAD"/>
    <w:rsid w:val="00F63AD9"/>
    <w:rsid w:val="00F643A6"/>
    <w:rsid w:val="00F645F2"/>
    <w:rsid w:val="00F648C2"/>
    <w:rsid w:val="00F64CC3"/>
    <w:rsid w:val="00F659F4"/>
    <w:rsid w:val="00F678C0"/>
    <w:rsid w:val="00F67B93"/>
    <w:rsid w:val="00F67BC5"/>
    <w:rsid w:val="00F707FE"/>
    <w:rsid w:val="00F73CF1"/>
    <w:rsid w:val="00F74655"/>
    <w:rsid w:val="00F75FB5"/>
    <w:rsid w:val="00F80FF1"/>
    <w:rsid w:val="00F81567"/>
    <w:rsid w:val="00F8171F"/>
    <w:rsid w:val="00F825F2"/>
    <w:rsid w:val="00F82C81"/>
    <w:rsid w:val="00F83165"/>
    <w:rsid w:val="00F834E8"/>
    <w:rsid w:val="00F83856"/>
    <w:rsid w:val="00F83FAD"/>
    <w:rsid w:val="00F84C08"/>
    <w:rsid w:val="00F84F4B"/>
    <w:rsid w:val="00F85C5E"/>
    <w:rsid w:val="00F90051"/>
    <w:rsid w:val="00F905A9"/>
    <w:rsid w:val="00F92107"/>
    <w:rsid w:val="00F949C2"/>
    <w:rsid w:val="00F94C4F"/>
    <w:rsid w:val="00F97655"/>
    <w:rsid w:val="00FA0318"/>
    <w:rsid w:val="00FA0E04"/>
    <w:rsid w:val="00FA1EE2"/>
    <w:rsid w:val="00FA21B8"/>
    <w:rsid w:val="00FA2224"/>
    <w:rsid w:val="00FA2449"/>
    <w:rsid w:val="00FA2BCB"/>
    <w:rsid w:val="00FA363F"/>
    <w:rsid w:val="00FA4156"/>
    <w:rsid w:val="00FA4598"/>
    <w:rsid w:val="00FA46A8"/>
    <w:rsid w:val="00FA4F50"/>
    <w:rsid w:val="00FA51E2"/>
    <w:rsid w:val="00FA5257"/>
    <w:rsid w:val="00FA5944"/>
    <w:rsid w:val="00FA78F7"/>
    <w:rsid w:val="00FB2630"/>
    <w:rsid w:val="00FB2708"/>
    <w:rsid w:val="00FB305C"/>
    <w:rsid w:val="00FB403A"/>
    <w:rsid w:val="00FB6775"/>
    <w:rsid w:val="00FB78AB"/>
    <w:rsid w:val="00FC0AE1"/>
    <w:rsid w:val="00FC1CDA"/>
    <w:rsid w:val="00FC275A"/>
    <w:rsid w:val="00FC41DA"/>
    <w:rsid w:val="00FC6431"/>
    <w:rsid w:val="00FC6433"/>
    <w:rsid w:val="00FC7555"/>
    <w:rsid w:val="00FC75ED"/>
    <w:rsid w:val="00FC788E"/>
    <w:rsid w:val="00FC7C23"/>
    <w:rsid w:val="00FD0600"/>
    <w:rsid w:val="00FD0745"/>
    <w:rsid w:val="00FD1EA5"/>
    <w:rsid w:val="00FD2F81"/>
    <w:rsid w:val="00FD3AF4"/>
    <w:rsid w:val="00FD3ECA"/>
    <w:rsid w:val="00FD4E90"/>
    <w:rsid w:val="00FD5367"/>
    <w:rsid w:val="00FD55C0"/>
    <w:rsid w:val="00FD5FD2"/>
    <w:rsid w:val="00FD7FEF"/>
    <w:rsid w:val="00FE0BFD"/>
    <w:rsid w:val="00FE0DB4"/>
    <w:rsid w:val="00FE229B"/>
    <w:rsid w:val="00FE2A0F"/>
    <w:rsid w:val="00FE3A3B"/>
    <w:rsid w:val="00FE4F7F"/>
    <w:rsid w:val="00FE4F97"/>
    <w:rsid w:val="00FE51F8"/>
    <w:rsid w:val="00FF0015"/>
    <w:rsid w:val="00FF01B5"/>
    <w:rsid w:val="00FF0B5F"/>
    <w:rsid w:val="00FF1F59"/>
    <w:rsid w:val="00FF2745"/>
    <w:rsid w:val="00FF30C6"/>
    <w:rsid w:val="00FF41DF"/>
    <w:rsid w:val="00FF4676"/>
    <w:rsid w:val="00FF4943"/>
    <w:rsid w:val="00FF4E5A"/>
    <w:rsid w:val="00FF57AB"/>
    <w:rsid w:val="00FF671D"/>
    <w:rsid w:val="00FF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4657"/>
    <o:shapelayout v:ext="edit">
      <o:idmap v:ext="edit" data="1"/>
    </o:shapelayout>
  </w:shapeDefaults>
  <w:decimalSymbol w:val="."/>
  <w:listSeparator w:val=","/>
  <w14:docId w14:val="60517271"/>
  <w14:discardImageEditingData/>
  <w15:chartTrackingRefBased/>
  <w15:docId w15:val="{78C0D603-B6A7-4531-98C8-B65C4666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59"/>
    <w:pPr>
      <w:spacing w:line="288" w:lineRule="auto"/>
    </w:pPr>
    <w:rPr>
      <w:sz w:val="18"/>
    </w:rPr>
  </w:style>
  <w:style w:type="paragraph" w:styleId="Heading1">
    <w:name w:val="heading 1"/>
    <w:basedOn w:val="MCHeading1"/>
    <w:next w:val="Normal"/>
    <w:link w:val="Heading1Char"/>
    <w:uiPriority w:val="9"/>
    <w:qFormat/>
    <w:rsid w:val="00210B59"/>
    <w:pPr>
      <w:outlineLvl w:val="0"/>
    </w:pPr>
  </w:style>
  <w:style w:type="paragraph" w:styleId="Heading2">
    <w:name w:val="heading 2"/>
    <w:basedOn w:val="RRSubhead1"/>
    <w:next w:val="Normal"/>
    <w:link w:val="Heading2Char"/>
    <w:uiPriority w:val="9"/>
    <w:unhideWhenUsed/>
    <w:qFormat/>
    <w:rsid w:val="00210B59"/>
    <w:pPr>
      <w:numPr>
        <w:numId w:val="13"/>
      </w:numPr>
      <w:outlineLvl w:val="1"/>
    </w:pPr>
  </w:style>
  <w:style w:type="paragraph" w:styleId="Heading3">
    <w:name w:val="heading 3"/>
    <w:basedOn w:val="RRSubhead2"/>
    <w:next w:val="Normal"/>
    <w:link w:val="Heading3Char"/>
    <w:uiPriority w:val="9"/>
    <w:unhideWhenUsed/>
    <w:qFormat/>
    <w:rsid w:val="00210B59"/>
    <w:pPr>
      <w:numPr>
        <w:ilvl w:val="1"/>
        <w:numId w:val="9"/>
      </w:numPr>
      <w:spacing w:after="120" w:line="288" w:lineRule="auto"/>
      <w:outlineLvl w:val="2"/>
    </w:pPr>
    <w:rPr>
      <w:sz w:val="24"/>
      <w:szCs w:val="24"/>
    </w:rPr>
  </w:style>
  <w:style w:type="paragraph" w:styleId="Heading4">
    <w:name w:val="heading 4"/>
    <w:basedOn w:val="RRSubhead3"/>
    <w:next w:val="Normal"/>
    <w:link w:val="Heading4Char"/>
    <w:uiPriority w:val="9"/>
    <w:unhideWhenUsed/>
    <w:qFormat/>
    <w:rsid w:val="00210B59"/>
    <w:pPr>
      <w:numPr>
        <w:ilvl w:val="2"/>
        <w:numId w:val="9"/>
      </w:numPr>
      <w:spacing w:after="120" w:line="288" w:lineRule="auto"/>
      <w:jc w:val="both"/>
      <w:outlineLvl w:val="3"/>
    </w:pPr>
    <w:rPr>
      <w:sz w:val="22"/>
    </w:rPr>
  </w:style>
  <w:style w:type="paragraph" w:styleId="Heading5">
    <w:name w:val="heading 5"/>
    <w:basedOn w:val="Normal"/>
    <w:next w:val="Normal"/>
    <w:link w:val="Heading5Char"/>
    <w:uiPriority w:val="9"/>
    <w:unhideWhenUsed/>
    <w:qFormat/>
    <w:rsid w:val="00210B59"/>
    <w:pPr>
      <w:numPr>
        <w:ilvl w:val="3"/>
        <w:numId w:val="9"/>
      </w:numPr>
      <w:outlineLvl w:val="4"/>
    </w:pPr>
    <w:rPr>
      <w:rFonts w:cstheme="minorHAnsi"/>
      <w:b/>
      <w:color w:val="555B5D" w:themeColor="accent3" w:themeShade="BF"/>
      <w:sz w:val="20"/>
      <w:szCs w:val="20"/>
    </w:rPr>
  </w:style>
  <w:style w:type="paragraph" w:styleId="Heading6">
    <w:name w:val="heading 6"/>
    <w:basedOn w:val="Normal"/>
    <w:next w:val="Normal"/>
    <w:link w:val="Heading6Char"/>
    <w:uiPriority w:val="9"/>
    <w:unhideWhenUsed/>
    <w:qFormat/>
    <w:rsid w:val="001B409F"/>
    <w:pPr>
      <w:numPr>
        <w:numId w:val="65"/>
      </w:numPr>
      <w:outlineLvl w:val="5"/>
    </w:pPr>
    <w:rPr>
      <w:rFonts w:cstheme="minorHAnsi"/>
      <w:b/>
      <w:color w:val="073658" w:themeColor="text2" w:themeShade="BF"/>
      <w:szCs w:val="18"/>
    </w:rPr>
  </w:style>
  <w:style w:type="paragraph" w:styleId="Heading7">
    <w:name w:val="heading 7"/>
    <w:basedOn w:val="Normal"/>
    <w:next w:val="Normal"/>
    <w:link w:val="Heading7Char"/>
    <w:uiPriority w:val="9"/>
    <w:semiHidden/>
    <w:unhideWhenUsed/>
    <w:qFormat/>
    <w:rsid w:val="00B01E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1E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1E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Heading1">
    <w:name w:val="MC Heading 1"/>
    <w:basedOn w:val="RRSubhead1"/>
    <w:link w:val="MCHeading1Char"/>
    <w:rsid w:val="00210B59"/>
    <w:rPr>
      <w:rFonts w:asciiTheme="majorHAnsi" w:hAnsiTheme="majorHAnsi" w:cstheme="majorHAnsi"/>
    </w:rPr>
  </w:style>
  <w:style w:type="paragraph" w:customStyle="1" w:styleId="RRSubhead1">
    <w:name w:val="RR Subhead 1"/>
    <w:basedOn w:val="RRBody"/>
    <w:next w:val="RRBody"/>
    <w:link w:val="RRSubhead1Char"/>
    <w:rsid w:val="007504D3"/>
    <w:pPr>
      <w:keepNext/>
      <w:spacing w:before="120" w:after="60" w:line="276" w:lineRule="auto"/>
    </w:pPr>
    <w:rPr>
      <w:color w:val="0081E3" w:themeColor="accent4"/>
      <w:sz w:val="30"/>
    </w:rPr>
  </w:style>
  <w:style w:type="paragraph" w:customStyle="1" w:styleId="RRBody">
    <w:name w:val="RR Body"/>
    <w:basedOn w:val="Normal"/>
    <w:link w:val="RRBodyChar"/>
    <w:qFormat/>
    <w:rsid w:val="007504D3"/>
  </w:style>
  <w:style w:type="character" w:customStyle="1" w:styleId="RRBodyChar">
    <w:name w:val="RR Body Char"/>
    <w:basedOn w:val="DefaultParagraphFont"/>
    <w:link w:val="RRBody"/>
    <w:rsid w:val="00210B59"/>
    <w:rPr>
      <w:sz w:val="18"/>
    </w:rPr>
  </w:style>
  <w:style w:type="character" w:customStyle="1" w:styleId="RRSubhead1Char">
    <w:name w:val="RR Subhead 1 Char"/>
    <w:basedOn w:val="RRBodyChar"/>
    <w:link w:val="RRSubhead1"/>
    <w:rsid w:val="00210B59"/>
    <w:rPr>
      <w:color w:val="0081E3" w:themeColor="accent4"/>
      <w:sz w:val="30"/>
    </w:rPr>
  </w:style>
  <w:style w:type="character" w:customStyle="1" w:styleId="MCHeading1Char">
    <w:name w:val="MC Heading 1 Char"/>
    <w:basedOn w:val="RRSubhead1Char"/>
    <w:link w:val="MCHeading1"/>
    <w:rsid w:val="00210B59"/>
    <w:rPr>
      <w:rFonts w:asciiTheme="majorHAnsi" w:hAnsiTheme="majorHAnsi" w:cstheme="majorHAnsi"/>
      <w:color w:val="0081E3" w:themeColor="accent4"/>
      <w:sz w:val="30"/>
    </w:rPr>
  </w:style>
  <w:style w:type="character" w:customStyle="1" w:styleId="Heading1Char">
    <w:name w:val="Heading 1 Char"/>
    <w:basedOn w:val="DefaultParagraphFont"/>
    <w:link w:val="Heading1"/>
    <w:uiPriority w:val="9"/>
    <w:rsid w:val="00210B59"/>
    <w:rPr>
      <w:rFonts w:asciiTheme="majorHAnsi" w:hAnsiTheme="majorHAnsi" w:cstheme="majorHAnsi"/>
      <w:color w:val="0081E3" w:themeColor="accent4"/>
      <w:sz w:val="30"/>
    </w:rPr>
  </w:style>
  <w:style w:type="character" w:customStyle="1" w:styleId="Heading2Char">
    <w:name w:val="Heading 2 Char"/>
    <w:basedOn w:val="DefaultParagraphFont"/>
    <w:link w:val="Heading2"/>
    <w:uiPriority w:val="9"/>
    <w:rsid w:val="00210B59"/>
    <w:rPr>
      <w:color w:val="0081E3" w:themeColor="accent4"/>
      <w:sz w:val="30"/>
    </w:rPr>
  </w:style>
  <w:style w:type="paragraph" w:customStyle="1" w:styleId="RRSubhead2">
    <w:name w:val="RR Subhead 2"/>
    <w:basedOn w:val="Normal"/>
    <w:next w:val="RRBody"/>
    <w:qFormat/>
    <w:rsid w:val="007504D3"/>
    <w:pPr>
      <w:keepNext/>
      <w:spacing w:after="0" w:line="276" w:lineRule="auto"/>
    </w:pPr>
    <w:rPr>
      <w:b/>
      <w:caps/>
      <w:color w:val="727A7D" w:themeColor="accent3"/>
    </w:rPr>
  </w:style>
  <w:style w:type="character" w:customStyle="1" w:styleId="Heading3Char">
    <w:name w:val="Heading 3 Char"/>
    <w:basedOn w:val="DefaultParagraphFont"/>
    <w:link w:val="Heading3"/>
    <w:uiPriority w:val="9"/>
    <w:rsid w:val="00210B59"/>
    <w:rPr>
      <w:b/>
      <w:caps/>
      <w:color w:val="727A7D" w:themeColor="accent3"/>
      <w:sz w:val="24"/>
      <w:szCs w:val="24"/>
    </w:rPr>
  </w:style>
  <w:style w:type="paragraph" w:customStyle="1" w:styleId="RRSubhead3">
    <w:name w:val="RR Subhead 3"/>
    <w:basedOn w:val="Normal"/>
    <w:next w:val="RRBody"/>
    <w:rsid w:val="007504D3"/>
    <w:pPr>
      <w:keepNext/>
      <w:spacing w:after="0" w:line="276" w:lineRule="auto"/>
    </w:pPr>
    <w:rPr>
      <w:color w:val="0A4977" w:themeColor="text2"/>
    </w:rPr>
  </w:style>
  <w:style w:type="character" w:customStyle="1" w:styleId="Heading4Char">
    <w:name w:val="Heading 4 Char"/>
    <w:basedOn w:val="DefaultParagraphFont"/>
    <w:link w:val="Heading4"/>
    <w:uiPriority w:val="9"/>
    <w:rsid w:val="00210B59"/>
    <w:rPr>
      <w:color w:val="0A4977" w:themeColor="text2"/>
      <w:sz w:val="22"/>
    </w:rPr>
  </w:style>
  <w:style w:type="character" w:customStyle="1" w:styleId="Heading5Char">
    <w:name w:val="Heading 5 Char"/>
    <w:basedOn w:val="DefaultParagraphFont"/>
    <w:link w:val="Heading5"/>
    <w:uiPriority w:val="9"/>
    <w:rsid w:val="00210B59"/>
    <w:rPr>
      <w:rFonts w:cstheme="minorHAnsi"/>
      <w:b/>
      <w:color w:val="555B5D" w:themeColor="accent3" w:themeShade="BF"/>
      <w:sz w:val="20"/>
      <w:szCs w:val="20"/>
    </w:rPr>
  </w:style>
  <w:style w:type="character" w:customStyle="1" w:styleId="Heading6Char">
    <w:name w:val="Heading 6 Char"/>
    <w:basedOn w:val="DefaultParagraphFont"/>
    <w:link w:val="Heading6"/>
    <w:uiPriority w:val="9"/>
    <w:rsid w:val="001B409F"/>
    <w:rPr>
      <w:rFonts w:cstheme="minorHAnsi"/>
      <w:b/>
      <w:color w:val="073658" w:themeColor="text2" w:themeShade="BF"/>
      <w:sz w:val="18"/>
      <w:szCs w:val="18"/>
    </w:rPr>
  </w:style>
  <w:style w:type="character" w:customStyle="1" w:styleId="Heading7Char">
    <w:name w:val="Heading 7 Char"/>
    <w:basedOn w:val="DefaultParagraphFont"/>
    <w:link w:val="Heading7"/>
    <w:uiPriority w:val="9"/>
    <w:semiHidden/>
    <w:rsid w:val="00B01E6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1E6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1E60"/>
    <w:rPr>
      <w:rFonts w:asciiTheme="majorHAnsi" w:eastAsiaTheme="majorEastAsia" w:hAnsiTheme="majorHAnsi" w:cstheme="majorBidi"/>
      <w:i/>
      <w:iCs/>
      <w:smallCaps/>
      <w:color w:val="595959" w:themeColor="text1" w:themeTint="A6"/>
    </w:rPr>
  </w:style>
  <w:style w:type="paragraph" w:customStyle="1" w:styleId="RRCoverResearchReport">
    <w:name w:val="RR Cover Research Report"/>
    <w:basedOn w:val="Normal"/>
    <w:qFormat/>
    <w:rsid w:val="003C07FB"/>
    <w:pPr>
      <w:spacing w:after="0" w:line="276" w:lineRule="auto"/>
    </w:pPr>
    <w:rPr>
      <w:rFonts w:asciiTheme="majorHAnsi" w:hAnsiTheme="majorHAnsi"/>
      <w:caps/>
      <w:color w:val="727A7D" w:themeColor="accent3"/>
    </w:rPr>
  </w:style>
  <w:style w:type="paragraph" w:customStyle="1" w:styleId="RRCoverTitle">
    <w:name w:val="RR Cover Title"/>
    <w:basedOn w:val="Normal"/>
    <w:rsid w:val="007504D3"/>
    <w:pPr>
      <w:spacing w:line="276" w:lineRule="auto"/>
      <w:ind w:right="2520"/>
    </w:pPr>
    <w:rPr>
      <w:rFonts w:asciiTheme="majorHAnsi" w:hAnsiTheme="majorHAnsi"/>
      <w:color w:val="0081E3" w:themeColor="accent4"/>
      <w:sz w:val="60"/>
    </w:rPr>
  </w:style>
  <w:style w:type="paragraph" w:customStyle="1" w:styleId="RRCoverSubtitle">
    <w:name w:val="RR Cover Subtitle"/>
    <w:basedOn w:val="Normal"/>
    <w:qFormat/>
    <w:rsid w:val="007504D3"/>
    <w:pPr>
      <w:spacing w:before="120" w:line="276" w:lineRule="auto"/>
    </w:pPr>
    <w:rPr>
      <w:rFonts w:asciiTheme="majorHAnsi" w:hAnsiTheme="majorHAnsi"/>
      <w:color w:val="727A7D" w:themeColor="accent3"/>
      <w:sz w:val="32"/>
    </w:rPr>
  </w:style>
  <w:style w:type="paragraph" w:customStyle="1" w:styleId="RRCoverDate">
    <w:name w:val="RR Cover Date"/>
    <w:basedOn w:val="Normal"/>
    <w:rsid w:val="007504D3"/>
    <w:pPr>
      <w:spacing w:before="240" w:after="360" w:line="276" w:lineRule="auto"/>
    </w:pPr>
    <w:rPr>
      <w:color w:val="727A7D" w:themeColor="accent3"/>
    </w:rPr>
  </w:style>
  <w:style w:type="paragraph" w:customStyle="1" w:styleId="RRCoverAuthor">
    <w:name w:val="RR Cover Author"/>
    <w:basedOn w:val="Normal"/>
    <w:qFormat/>
    <w:rsid w:val="003C07FB"/>
    <w:pPr>
      <w:tabs>
        <w:tab w:val="left" w:pos="5040"/>
      </w:tabs>
      <w:spacing w:after="0" w:line="276" w:lineRule="auto"/>
    </w:pPr>
    <w:rPr>
      <w:color w:val="727A7D" w:themeColor="accent3"/>
    </w:rPr>
  </w:style>
  <w:style w:type="paragraph" w:customStyle="1" w:styleId="RRObject">
    <w:name w:val="RR Object"/>
    <w:basedOn w:val="Normal"/>
    <w:rsid w:val="00C7783E"/>
    <w:pPr>
      <w:spacing w:before="240" w:line="240" w:lineRule="auto"/>
    </w:pPr>
  </w:style>
  <w:style w:type="paragraph" w:styleId="Header">
    <w:name w:val="header"/>
    <w:basedOn w:val="Normal"/>
    <w:link w:val="HeaderChar"/>
    <w:uiPriority w:val="99"/>
    <w:unhideWhenUsed/>
    <w:rsid w:val="0061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E90"/>
  </w:style>
  <w:style w:type="paragraph" w:styleId="Footer">
    <w:name w:val="footer"/>
    <w:basedOn w:val="Normal"/>
    <w:link w:val="FooterChar"/>
    <w:uiPriority w:val="99"/>
    <w:unhideWhenUsed/>
    <w:rsid w:val="0061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E90"/>
  </w:style>
  <w:style w:type="paragraph" w:customStyle="1" w:styleId="RRHeader">
    <w:name w:val="RR Header"/>
    <w:basedOn w:val="Header"/>
    <w:qFormat/>
    <w:rsid w:val="00A925AC"/>
    <w:pPr>
      <w:spacing w:line="252" w:lineRule="auto"/>
    </w:pPr>
    <w:rPr>
      <w:caps/>
      <w:color w:val="C6C9CA" w:themeColor="accent2"/>
      <w:sz w:val="14"/>
    </w:rPr>
  </w:style>
  <w:style w:type="paragraph" w:customStyle="1" w:styleId="RRTOCHeader">
    <w:name w:val="RR TOC Header"/>
    <w:basedOn w:val="Normal"/>
    <w:rsid w:val="006C3AFC"/>
    <w:pPr>
      <w:spacing w:before="220" w:after="115" w:line="240" w:lineRule="auto"/>
    </w:pPr>
    <w:rPr>
      <w:color w:val="0A4977" w:themeColor="text2"/>
      <w:sz w:val="28"/>
    </w:rPr>
  </w:style>
  <w:style w:type="paragraph" w:customStyle="1" w:styleId="RRHeader2">
    <w:name w:val="RR Header 2"/>
    <w:basedOn w:val="RRHeader"/>
    <w:qFormat/>
    <w:rsid w:val="004E09DD"/>
    <w:pPr>
      <w:tabs>
        <w:tab w:val="clear" w:pos="4680"/>
        <w:tab w:val="clear" w:pos="9360"/>
      </w:tabs>
      <w:ind w:left="-720" w:right="-513"/>
    </w:pPr>
  </w:style>
  <w:style w:type="paragraph" w:customStyle="1" w:styleId="RRFooter">
    <w:name w:val="RR Footer"/>
    <w:basedOn w:val="Footer"/>
    <w:qFormat/>
    <w:rsid w:val="002B1DAB"/>
    <w:pPr>
      <w:pBdr>
        <w:top w:val="single" w:sz="4" w:space="6" w:color="E8E9E9" w:themeColor="accent2" w:themeTint="66"/>
      </w:pBdr>
      <w:spacing w:line="276" w:lineRule="auto"/>
      <w:ind w:left="-720" w:right="-720"/>
    </w:pPr>
    <w:rPr>
      <w:color w:val="727A7D" w:themeColor="accent3"/>
      <w:sz w:val="14"/>
    </w:rPr>
  </w:style>
  <w:style w:type="paragraph" w:customStyle="1" w:styleId="RRIndent1">
    <w:name w:val="RR Indent 1"/>
    <w:basedOn w:val="RRBody"/>
    <w:qFormat/>
    <w:rsid w:val="007504D3"/>
    <w:pPr>
      <w:ind w:left="245"/>
    </w:pPr>
  </w:style>
  <w:style w:type="paragraph" w:customStyle="1" w:styleId="RRIndent2">
    <w:name w:val="RR Indent 2"/>
    <w:basedOn w:val="RRBody"/>
    <w:rsid w:val="007504D3"/>
    <w:pPr>
      <w:ind w:left="360"/>
    </w:pPr>
  </w:style>
  <w:style w:type="paragraph" w:customStyle="1" w:styleId="RRBullet1">
    <w:name w:val="RR Bullet 1"/>
    <w:basedOn w:val="RRBody"/>
    <w:rsid w:val="007504D3"/>
    <w:pPr>
      <w:numPr>
        <w:numId w:val="1"/>
      </w:numPr>
      <w:spacing w:after="60"/>
    </w:pPr>
  </w:style>
  <w:style w:type="paragraph" w:customStyle="1" w:styleId="RRBullet2">
    <w:name w:val="RR Bullet 2"/>
    <w:basedOn w:val="RRBullet1"/>
    <w:rsid w:val="007504D3"/>
    <w:pPr>
      <w:numPr>
        <w:numId w:val="2"/>
      </w:numPr>
      <w:ind w:left="432" w:hanging="216"/>
    </w:pPr>
  </w:style>
  <w:style w:type="paragraph" w:customStyle="1" w:styleId="RRNumber">
    <w:name w:val="RR Number"/>
    <w:basedOn w:val="RRBody"/>
    <w:qFormat/>
    <w:rsid w:val="007504D3"/>
    <w:pPr>
      <w:numPr>
        <w:numId w:val="3"/>
      </w:numPr>
      <w:ind w:left="360"/>
    </w:pPr>
  </w:style>
  <w:style w:type="paragraph" w:customStyle="1" w:styleId="RRNumber2">
    <w:name w:val="RR Number 2"/>
    <w:basedOn w:val="RRNumber"/>
    <w:rsid w:val="007504D3"/>
    <w:pPr>
      <w:numPr>
        <w:numId w:val="7"/>
      </w:numPr>
      <w:ind w:left="720" w:hanging="288"/>
    </w:pPr>
  </w:style>
  <w:style w:type="paragraph" w:customStyle="1" w:styleId="RRNumberedSubhead1">
    <w:name w:val="RR Numbered Subhead 1"/>
    <w:basedOn w:val="RRSubhead1"/>
    <w:next w:val="RRNumberedBody"/>
    <w:rsid w:val="007504D3"/>
    <w:pPr>
      <w:numPr>
        <w:numId w:val="4"/>
      </w:numPr>
    </w:pPr>
  </w:style>
  <w:style w:type="paragraph" w:customStyle="1" w:styleId="RRNumberedBody">
    <w:name w:val="RR Numbered Body"/>
    <w:basedOn w:val="RRBody"/>
    <w:rsid w:val="007504D3"/>
    <w:pPr>
      <w:ind w:left="360"/>
    </w:pPr>
  </w:style>
  <w:style w:type="paragraph" w:customStyle="1" w:styleId="RRNumberedBullet1">
    <w:name w:val="RR Numbered Bullet 1"/>
    <w:basedOn w:val="RRBullet1"/>
    <w:qFormat/>
    <w:rsid w:val="009422F7"/>
  </w:style>
  <w:style w:type="paragraph" w:customStyle="1" w:styleId="RRNumberedSubhead2">
    <w:name w:val="RR Numbered Subhead 2"/>
    <w:basedOn w:val="RRSubhead2"/>
    <w:next w:val="RRNumberedBody"/>
    <w:qFormat/>
    <w:rsid w:val="007504D3"/>
    <w:pPr>
      <w:numPr>
        <w:ilvl w:val="1"/>
        <w:numId w:val="8"/>
      </w:numPr>
    </w:pPr>
  </w:style>
  <w:style w:type="paragraph" w:customStyle="1" w:styleId="RRNumberedRoman1">
    <w:name w:val="RR Numbered Roman 1"/>
    <w:basedOn w:val="RRNumberedBody"/>
    <w:rsid w:val="007504D3"/>
    <w:pPr>
      <w:numPr>
        <w:numId w:val="5"/>
      </w:numPr>
      <w:ind w:left="720"/>
    </w:pPr>
  </w:style>
  <w:style w:type="paragraph" w:customStyle="1" w:styleId="RRNumberedIndent2">
    <w:name w:val="RR Numbered Indent 2"/>
    <w:basedOn w:val="RRIndent2"/>
    <w:rsid w:val="007504D3"/>
    <w:pPr>
      <w:ind w:left="1008"/>
    </w:pPr>
  </w:style>
  <w:style w:type="paragraph" w:customStyle="1" w:styleId="RRNumberedSubhead3">
    <w:name w:val="RR Numbered Subhead 3"/>
    <w:basedOn w:val="RRSubhead3"/>
    <w:next w:val="RRNumberedIndent2"/>
    <w:qFormat/>
    <w:rsid w:val="007504D3"/>
    <w:pPr>
      <w:numPr>
        <w:ilvl w:val="2"/>
        <w:numId w:val="8"/>
      </w:numPr>
    </w:pPr>
  </w:style>
  <w:style w:type="paragraph" w:styleId="FootnoteText">
    <w:name w:val="footnote text"/>
    <w:basedOn w:val="RRFootnote"/>
    <w:link w:val="FootnoteTextChar"/>
    <w:unhideWhenUsed/>
    <w:rsid w:val="006B610B"/>
    <w:pPr>
      <w:spacing w:after="0" w:line="240" w:lineRule="auto"/>
    </w:pPr>
    <w:rPr>
      <w:sz w:val="20"/>
      <w:szCs w:val="20"/>
    </w:rPr>
  </w:style>
  <w:style w:type="paragraph" w:customStyle="1" w:styleId="RRFootnote">
    <w:name w:val="RR Footnote"/>
    <w:basedOn w:val="RRBody"/>
    <w:rsid w:val="00EB1DD3"/>
    <w:pPr>
      <w:spacing w:after="20" w:line="276" w:lineRule="auto"/>
      <w:ind w:left="475" w:hanging="475"/>
    </w:pPr>
    <w:rPr>
      <w:color w:val="727A7D" w:themeColor="accent3"/>
      <w:sz w:val="14"/>
    </w:rPr>
  </w:style>
  <w:style w:type="character" w:customStyle="1" w:styleId="FootnoteTextChar">
    <w:name w:val="Footnote Text Char"/>
    <w:basedOn w:val="DefaultParagraphFont"/>
    <w:link w:val="FootnoteText"/>
    <w:rsid w:val="00935457"/>
    <w:rPr>
      <w:color w:val="C6C9CA" w:themeColor="accent2"/>
      <w:sz w:val="20"/>
      <w:szCs w:val="20"/>
    </w:rPr>
  </w:style>
  <w:style w:type="character" w:styleId="FootnoteReference">
    <w:name w:val="footnote reference"/>
    <w:basedOn w:val="DefaultParagraphFont"/>
    <w:semiHidden/>
    <w:unhideWhenUsed/>
    <w:rsid w:val="006B610B"/>
    <w:rPr>
      <w:vertAlign w:val="superscript"/>
    </w:rPr>
  </w:style>
  <w:style w:type="paragraph" w:customStyle="1" w:styleId="RRTableHeading">
    <w:name w:val="RR Table Heading"/>
    <w:rsid w:val="007504D3"/>
    <w:pPr>
      <w:spacing w:after="0" w:line="288" w:lineRule="auto"/>
    </w:pPr>
    <w:rPr>
      <w:rFonts w:asciiTheme="majorHAnsi" w:hAnsiTheme="majorHAnsi"/>
      <w:b/>
      <w:caps/>
      <w:color w:val="39414D" w:themeColor="background2"/>
      <w:sz w:val="14"/>
    </w:rPr>
  </w:style>
  <w:style w:type="table" w:styleId="TableGrid">
    <w:name w:val="Table Grid"/>
    <w:basedOn w:val="TableNormal"/>
    <w:uiPriority w:val="39"/>
    <w:rsid w:val="00A6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RTableBody">
    <w:name w:val="RR Table Body"/>
    <w:basedOn w:val="RRTableHeading"/>
    <w:rsid w:val="00967481"/>
    <w:pPr>
      <w:spacing w:before="60" w:after="60" w:line="264" w:lineRule="auto"/>
    </w:pPr>
    <w:rPr>
      <w:b w:val="0"/>
    </w:rPr>
  </w:style>
  <w:style w:type="paragraph" w:customStyle="1" w:styleId="RRExhibitHeading">
    <w:name w:val="RR Exhibit Heading"/>
    <w:next w:val="RRBody"/>
    <w:rsid w:val="007504D3"/>
    <w:pPr>
      <w:keepNext/>
      <w:pBdr>
        <w:top w:val="single" w:sz="4" w:space="9" w:color="E8E9E9" w:themeColor="accent2" w:themeTint="66"/>
      </w:pBdr>
      <w:tabs>
        <w:tab w:val="left" w:pos="900"/>
      </w:tabs>
      <w:spacing w:before="240" w:after="60" w:line="276" w:lineRule="auto"/>
    </w:pPr>
    <w:rPr>
      <w:rFonts w:asciiTheme="majorHAnsi" w:hAnsiTheme="majorHAnsi"/>
      <w:b/>
      <w:caps/>
      <w:color w:val="0081E3" w:themeColor="accent4"/>
      <w:sz w:val="14"/>
    </w:rPr>
  </w:style>
  <w:style w:type="paragraph" w:customStyle="1" w:styleId="RRExhibitFootnote">
    <w:name w:val="RR Exhibit Footnote"/>
    <w:rsid w:val="006749FC"/>
    <w:pPr>
      <w:spacing w:before="120" w:line="276" w:lineRule="auto"/>
    </w:pPr>
    <w:rPr>
      <w:color w:val="727A7D"/>
      <w:sz w:val="13"/>
    </w:rPr>
  </w:style>
  <w:style w:type="paragraph" w:customStyle="1" w:styleId="RRExhibitHeadingTopLine">
    <w:name w:val="RR Exhibit Heading Top Line"/>
    <w:basedOn w:val="Normal"/>
    <w:rsid w:val="00BC0572"/>
    <w:pPr>
      <w:keepNext/>
      <w:pBdr>
        <w:top w:val="single" w:sz="4" w:space="9" w:color="E8E9E9" w:themeColor="accent2" w:themeTint="66"/>
      </w:pBdr>
      <w:tabs>
        <w:tab w:val="left" w:pos="900"/>
      </w:tabs>
      <w:spacing w:after="60" w:line="252" w:lineRule="auto"/>
    </w:pPr>
    <w:rPr>
      <w:rFonts w:asciiTheme="majorHAnsi" w:hAnsiTheme="majorHAnsi"/>
      <w:b/>
      <w:caps/>
      <w:color w:val="0081E3" w:themeColor="accent4"/>
      <w:sz w:val="14"/>
    </w:rPr>
  </w:style>
  <w:style w:type="paragraph" w:customStyle="1" w:styleId="RRNumberTable">
    <w:name w:val="RR Number Table"/>
    <w:basedOn w:val="Normal"/>
    <w:rsid w:val="00BD15AE"/>
    <w:pPr>
      <w:numPr>
        <w:numId w:val="6"/>
      </w:numPr>
      <w:ind w:hanging="720"/>
    </w:pPr>
    <w:rPr>
      <w:color w:val="727A7D" w:themeColor="accent3"/>
    </w:rPr>
  </w:style>
  <w:style w:type="paragraph" w:customStyle="1" w:styleId="RRCalloutBox">
    <w:name w:val="RR Callout Box"/>
    <w:basedOn w:val="Normal"/>
    <w:rsid w:val="006749FC"/>
    <w:pPr>
      <w:spacing w:before="60" w:after="180" w:line="276" w:lineRule="auto"/>
      <w:ind w:left="360" w:right="720"/>
    </w:pPr>
    <w:rPr>
      <w:color w:val="FFFFFF" w:themeColor="background1"/>
      <w:sz w:val="28"/>
    </w:rPr>
  </w:style>
  <w:style w:type="paragraph" w:customStyle="1" w:styleId="RRCalloutBlue">
    <w:name w:val="RR Callout Blue"/>
    <w:rsid w:val="006749FC"/>
    <w:pPr>
      <w:spacing w:before="60" w:after="180" w:line="276" w:lineRule="auto"/>
    </w:pPr>
    <w:rPr>
      <w:color w:val="0081E3" w:themeColor="accent4"/>
      <w:sz w:val="28"/>
    </w:rPr>
  </w:style>
  <w:style w:type="paragraph" w:customStyle="1" w:styleId="RRCalloutSlate">
    <w:name w:val="RR Callout Slate"/>
    <w:basedOn w:val="RRCalloutBlue"/>
    <w:rsid w:val="006749FC"/>
    <w:rPr>
      <w:color w:val="727A7D" w:themeColor="accent3"/>
    </w:rPr>
  </w:style>
  <w:style w:type="paragraph" w:customStyle="1" w:styleId="RRCalloutSmall">
    <w:name w:val="RR Callout Small"/>
    <w:basedOn w:val="RRCalloutBlue"/>
    <w:rsid w:val="00BD15AE"/>
    <w:pPr>
      <w:spacing w:after="120"/>
    </w:pPr>
    <w:rPr>
      <w:color w:val="727A7D" w:themeColor="accent3"/>
      <w:sz w:val="20"/>
    </w:rPr>
  </w:style>
  <w:style w:type="paragraph" w:customStyle="1" w:styleId="RRCalloutSmallMBlue">
    <w:name w:val="RR Callout Small MBlue"/>
    <w:basedOn w:val="RRCalloutSmall"/>
    <w:qFormat/>
    <w:rsid w:val="006749FC"/>
    <w:rPr>
      <w:color w:val="0A4977" w:themeColor="text2"/>
    </w:rPr>
  </w:style>
  <w:style w:type="paragraph" w:customStyle="1" w:styleId="RRCalloutSmallVibrantBlue">
    <w:name w:val="RR Callout Small Vibrant Blue"/>
    <w:basedOn w:val="RRCalloutSmall"/>
    <w:rsid w:val="006749FC"/>
    <w:rPr>
      <w:color w:val="0081E3" w:themeColor="accent4"/>
    </w:rPr>
  </w:style>
  <w:style w:type="paragraph" w:customStyle="1" w:styleId="RRSidebar">
    <w:name w:val="RR Sidebar"/>
    <w:rsid w:val="006749FC"/>
    <w:pPr>
      <w:pBdr>
        <w:top w:val="single" w:sz="4" w:space="6" w:color="E8E9E9" w:themeColor="accent2" w:themeTint="66"/>
      </w:pBdr>
      <w:spacing w:before="200" w:line="276" w:lineRule="auto"/>
    </w:pPr>
    <w:rPr>
      <w:color w:val="0A4977" w:themeColor="text2"/>
    </w:rPr>
  </w:style>
  <w:style w:type="paragraph" w:customStyle="1" w:styleId="RRLeftandRightSidebar">
    <w:name w:val="RR Left and Right Sidebar"/>
    <w:basedOn w:val="Normal"/>
    <w:rsid w:val="00BD15AE"/>
    <w:pPr>
      <w:pBdr>
        <w:top w:val="single" w:sz="4" w:space="6" w:color="E8E9E9" w:themeColor="accent2" w:themeTint="66"/>
      </w:pBdr>
      <w:spacing w:before="60" w:line="276" w:lineRule="auto"/>
    </w:pPr>
    <w:rPr>
      <w:color w:val="0A4977" w:themeColor="text2"/>
    </w:rPr>
  </w:style>
  <w:style w:type="character" w:styleId="Hyperlink">
    <w:name w:val="Hyperlink"/>
    <w:basedOn w:val="DefaultParagraphFont"/>
    <w:uiPriority w:val="99"/>
    <w:unhideWhenUsed/>
    <w:rsid w:val="00755FC8"/>
    <w:rPr>
      <w:color w:val="0081E3" w:themeColor="hyperlink"/>
      <w:u w:val="none"/>
    </w:rPr>
  </w:style>
  <w:style w:type="paragraph" w:customStyle="1" w:styleId="RRTOCDescription">
    <w:name w:val="RR TOC Description"/>
    <w:basedOn w:val="RRBody"/>
    <w:rsid w:val="001F1784"/>
    <w:pPr>
      <w:spacing w:before="60" w:after="0"/>
      <w:ind w:left="240" w:right="720"/>
    </w:pPr>
    <w:rPr>
      <w:color w:val="727A7D" w:themeColor="accent3"/>
    </w:rPr>
  </w:style>
  <w:style w:type="paragraph" w:styleId="TOC1">
    <w:name w:val="toc 1"/>
    <w:basedOn w:val="Normal"/>
    <w:next w:val="Normal"/>
    <w:autoRedefine/>
    <w:uiPriority w:val="39"/>
    <w:unhideWhenUsed/>
    <w:rsid w:val="0063759A"/>
    <w:pPr>
      <w:tabs>
        <w:tab w:val="right" w:leader="dot" w:pos="9360"/>
      </w:tabs>
      <w:spacing w:before="115" w:after="0" w:line="254" w:lineRule="auto"/>
    </w:pPr>
    <w:rPr>
      <w:b/>
      <w:caps/>
    </w:rPr>
  </w:style>
  <w:style w:type="paragraph" w:styleId="TOC2">
    <w:name w:val="toc 2"/>
    <w:basedOn w:val="TOC1"/>
    <w:next w:val="Normal"/>
    <w:autoRedefine/>
    <w:uiPriority w:val="39"/>
    <w:unhideWhenUsed/>
    <w:rsid w:val="00557670"/>
    <w:pPr>
      <w:tabs>
        <w:tab w:val="left" w:pos="720"/>
      </w:tabs>
      <w:spacing w:before="120" w:line="276" w:lineRule="auto"/>
      <w:ind w:left="245" w:right="43"/>
    </w:pPr>
    <w:rPr>
      <w:b w:val="0"/>
      <w:color w:val="727A7D" w:themeColor="accent3"/>
    </w:rPr>
  </w:style>
  <w:style w:type="paragraph" w:styleId="TOC3">
    <w:name w:val="toc 3"/>
    <w:basedOn w:val="TOC2"/>
    <w:next w:val="Normal"/>
    <w:autoRedefine/>
    <w:uiPriority w:val="39"/>
    <w:unhideWhenUsed/>
    <w:rsid w:val="00375E5B"/>
    <w:pPr>
      <w:tabs>
        <w:tab w:val="left" w:pos="1080"/>
      </w:tabs>
      <w:ind w:left="720" w:right="0"/>
    </w:pPr>
    <w:rPr>
      <w:caps w:val="0"/>
    </w:rPr>
  </w:style>
  <w:style w:type="paragraph" w:customStyle="1" w:styleId="RRLastPageBottomText">
    <w:name w:val="RR Last Page Bottom Text"/>
    <w:basedOn w:val="Normal"/>
    <w:rsid w:val="002B1DAB"/>
    <w:rPr>
      <w:color w:val="727A7D" w:themeColor="accent3"/>
      <w:sz w:val="16"/>
    </w:rPr>
  </w:style>
  <w:style w:type="paragraph" w:customStyle="1" w:styleId="RRCalloutSmallSlate">
    <w:name w:val="RR Callout Small Slate"/>
    <w:basedOn w:val="RRCalloutSmall"/>
    <w:rsid w:val="00530642"/>
  </w:style>
  <w:style w:type="paragraph" w:styleId="BalloonText">
    <w:name w:val="Balloon Text"/>
    <w:basedOn w:val="Normal"/>
    <w:link w:val="BalloonTextChar"/>
    <w:uiPriority w:val="99"/>
    <w:semiHidden/>
    <w:unhideWhenUsed/>
    <w:rsid w:val="00F530B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530B1"/>
    <w:rPr>
      <w:rFonts w:ascii="Segoe UI" w:hAnsi="Segoe UI" w:cs="Segoe UI"/>
      <w:sz w:val="18"/>
      <w:szCs w:val="18"/>
    </w:rPr>
  </w:style>
  <w:style w:type="paragraph" w:customStyle="1" w:styleId="RRCopyrightText">
    <w:name w:val="RR Copyright Text"/>
    <w:basedOn w:val="Normal"/>
    <w:rsid w:val="005E674D"/>
    <w:pPr>
      <w:spacing w:after="0"/>
    </w:pPr>
    <w:rPr>
      <w:color w:val="727A7D" w:themeColor="accent3"/>
      <w:sz w:val="12"/>
      <w:szCs w:val="12"/>
    </w:rPr>
  </w:style>
  <w:style w:type="paragraph" w:customStyle="1" w:styleId="RRContactHeading">
    <w:name w:val="RR Contact Heading"/>
    <w:basedOn w:val="Normal"/>
    <w:rsid w:val="005E674D"/>
    <w:pPr>
      <w:spacing w:before="115" w:after="0" w:line="250" w:lineRule="auto"/>
    </w:pPr>
    <w:rPr>
      <w:b/>
      <w:color w:val="727A7D" w:themeColor="accent3"/>
      <w:sz w:val="16"/>
      <w:szCs w:val="16"/>
    </w:rPr>
  </w:style>
  <w:style w:type="paragraph" w:customStyle="1" w:styleId="RRContactName">
    <w:name w:val="RR Contact Name"/>
    <w:basedOn w:val="Normal"/>
    <w:rsid w:val="005E674D"/>
    <w:pPr>
      <w:spacing w:before="115" w:after="0" w:line="250" w:lineRule="auto"/>
    </w:pPr>
    <w:rPr>
      <w:b/>
      <w:color w:val="727A7D" w:themeColor="accent3"/>
      <w:sz w:val="16"/>
      <w:szCs w:val="16"/>
    </w:rPr>
  </w:style>
  <w:style w:type="paragraph" w:customStyle="1" w:styleId="CalloutSlate-Backpage">
    <w:name w:val="Callout Slate - Backpage"/>
    <w:basedOn w:val="RRCalloutSlate"/>
    <w:rsid w:val="00547DB3"/>
    <w:pPr>
      <w:ind w:right="4230"/>
    </w:pPr>
  </w:style>
  <w:style w:type="paragraph" w:styleId="ListParagraph">
    <w:name w:val="List Paragraph"/>
    <w:basedOn w:val="Normal"/>
    <w:uiPriority w:val="34"/>
    <w:qFormat/>
    <w:rsid w:val="006A4FE7"/>
    <w:pPr>
      <w:ind w:left="720"/>
      <w:contextualSpacing/>
    </w:pPr>
  </w:style>
  <w:style w:type="paragraph" w:customStyle="1" w:styleId="ReportCoverPrepare">
    <w:name w:val="Report Cover Prepare"/>
    <w:basedOn w:val="Normal"/>
    <w:next w:val="Normal"/>
    <w:rsid w:val="00A254F5"/>
    <w:pPr>
      <w:spacing w:after="0" w:line="252" w:lineRule="auto"/>
    </w:pPr>
    <w:rPr>
      <w:rFonts w:ascii="Arial" w:eastAsia="Times New Roman" w:hAnsi="Arial" w:cs="Times New Roman"/>
      <w:color w:val="0E68AB" w:themeColor="text2" w:themeTint="D9"/>
      <w:szCs w:val="18"/>
    </w:rPr>
  </w:style>
  <w:style w:type="paragraph" w:styleId="TOC5">
    <w:name w:val="toc 5"/>
    <w:basedOn w:val="Normal"/>
    <w:next w:val="Normal"/>
    <w:autoRedefine/>
    <w:uiPriority w:val="39"/>
    <w:unhideWhenUsed/>
    <w:rsid w:val="00CE2634"/>
    <w:pPr>
      <w:spacing w:after="100"/>
      <w:ind w:left="880"/>
    </w:pPr>
  </w:style>
  <w:style w:type="character" w:styleId="CommentReference">
    <w:name w:val="annotation reference"/>
    <w:basedOn w:val="DefaultParagraphFont"/>
    <w:uiPriority w:val="99"/>
    <w:semiHidden/>
    <w:unhideWhenUsed/>
    <w:rsid w:val="00CE2634"/>
    <w:rPr>
      <w:sz w:val="16"/>
      <w:szCs w:val="16"/>
    </w:rPr>
  </w:style>
  <w:style w:type="paragraph" w:styleId="CommentText">
    <w:name w:val="annotation text"/>
    <w:basedOn w:val="Normal"/>
    <w:link w:val="CommentTextChar"/>
    <w:uiPriority w:val="99"/>
    <w:semiHidden/>
    <w:unhideWhenUsed/>
    <w:rsid w:val="00CE2634"/>
    <w:pPr>
      <w:spacing w:after="180" w:line="240" w:lineRule="auto"/>
    </w:pPr>
    <w:rPr>
      <w:rFonts w:ascii="Arial" w:eastAsia="Times New Roman" w:hAnsi="Arial" w:cs="Times New Roman"/>
      <w:color w:val="0E68AB" w:themeColor="text2" w:themeTint="D9"/>
      <w:sz w:val="20"/>
      <w:szCs w:val="20"/>
    </w:rPr>
  </w:style>
  <w:style w:type="character" w:customStyle="1" w:styleId="CommentTextChar">
    <w:name w:val="Comment Text Char"/>
    <w:basedOn w:val="DefaultParagraphFont"/>
    <w:link w:val="CommentText"/>
    <w:uiPriority w:val="99"/>
    <w:semiHidden/>
    <w:rsid w:val="00CE2634"/>
    <w:rPr>
      <w:rFonts w:ascii="Arial" w:eastAsia="Times New Roman" w:hAnsi="Arial" w:cs="Times New Roman"/>
      <w:color w:val="0E68AB" w:themeColor="text2" w:themeTint="D9"/>
      <w:sz w:val="20"/>
      <w:szCs w:val="20"/>
    </w:rPr>
  </w:style>
  <w:style w:type="paragraph" w:styleId="ListBullet2">
    <w:name w:val="List Bullet 2"/>
    <w:basedOn w:val="ListBullet"/>
    <w:rsid w:val="005A641B"/>
    <w:pPr>
      <w:numPr>
        <w:numId w:val="12"/>
      </w:numPr>
      <w:tabs>
        <w:tab w:val="clear" w:pos="547"/>
        <w:tab w:val="left" w:pos="432"/>
      </w:tabs>
      <w:spacing w:after="240" w:line="252" w:lineRule="auto"/>
      <w:ind w:left="540"/>
    </w:pPr>
    <w:rPr>
      <w:rFonts w:ascii="Arial" w:eastAsia="Times New Roman" w:hAnsi="Arial" w:cs="Times New Roman"/>
      <w:color w:val="0E68AB" w:themeColor="text2" w:themeTint="D9"/>
      <w:szCs w:val="18"/>
    </w:rPr>
  </w:style>
  <w:style w:type="paragraph" w:styleId="ListBullet">
    <w:name w:val="List Bullet"/>
    <w:basedOn w:val="Normal"/>
    <w:uiPriority w:val="99"/>
    <w:semiHidden/>
    <w:unhideWhenUsed/>
    <w:rsid w:val="005A641B"/>
    <w:pPr>
      <w:numPr>
        <w:numId w:val="15"/>
      </w:numPr>
      <w:ind w:left="0" w:firstLine="0"/>
      <w:contextualSpacing/>
    </w:pPr>
  </w:style>
  <w:style w:type="paragraph" w:customStyle="1" w:styleId="TableTitleText">
    <w:name w:val="Table Title Text"/>
    <w:basedOn w:val="Normal"/>
    <w:rsid w:val="005A641B"/>
    <w:pPr>
      <w:spacing w:before="60" w:after="180" w:line="252" w:lineRule="auto"/>
    </w:pPr>
    <w:rPr>
      <w:rFonts w:ascii="Arial" w:eastAsia="Arial Unicode MS" w:hAnsi="Arial" w:cs="Times New Roman"/>
      <w:color w:val="FFFFFF" w:themeColor="background1"/>
      <w:szCs w:val="24"/>
    </w:rPr>
  </w:style>
  <w:style w:type="paragraph" w:customStyle="1" w:styleId="TableText">
    <w:name w:val="Table Text"/>
    <w:basedOn w:val="Normal"/>
    <w:rsid w:val="005A641B"/>
    <w:pPr>
      <w:spacing w:before="60" w:line="252" w:lineRule="auto"/>
    </w:pPr>
    <w:rPr>
      <w:rFonts w:ascii="Arial" w:eastAsia="Times New Roman" w:hAnsi="Arial" w:cs="Times New Roman"/>
      <w:color w:val="0E68AB" w:themeColor="text2" w:themeTint="D9"/>
      <w:szCs w:val="18"/>
      <w:lang w:val="pt-BR"/>
    </w:rPr>
  </w:style>
  <w:style w:type="paragraph" w:customStyle="1" w:styleId="SectionHeadTopofPage">
    <w:name w:val="Section Head Top of Page"/>
    <w:basedOn w:val="Normal"/>
    <w:next w:val="Normal"/>
    <w:rsid w:val="002E1FD8"/>
    <w:pPr>
      <w:keepNext/>
      <w:spacing w:before="480" w:after="240" w:line="276" w:lineRule="auto"/>
      <w:outlineLvl w:val="0"/>
    </w:pPr>
    <w:rPr>
      <w:rFonts w:ascii="Arial" w:eastAsia="Calibri" w:hAnsi="Arial" w:cs="Times New Roman"/>
      <w:b/>
      <w:caps/>
      <w:color w:val="000000" w:themeColor="text1"/>
      <w:sz w:val="28"/>
      <w:szCs w:val="32"/>
    </w:rPr>
  </w:style>
  <w:style w:type="paragraph" w:styleId="CommentSubject">
    <w:name w:val="annotation subject"/>
    <w:basedOn w:val="CommentText"/>
    <w:next w:val="CommentText"/>
    <w:link w:val="CommentSubjectChar"/>
    <w:uiPriority w:val="99"/>
    <w:semiHidden/>
    <w:unhideWhenUsed/>
    <w:rsid w:val="000514E6"/>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0514E6"/>
    <w:rPr>
      <w:rFonts w:ascii="Arial" w:eastAsia="Times New Roman" w:hAnsi="Arial" w:cs="Times New Roman"/>
      <w:b/>
      <w:bCs/>
      <w:color w:val="0E68AB" w:themeColor="text2" w:themeTint="D9"/>
      <w:sz w:val="20"/>
      <w:szCs w:val="20"/>
    </w:rPr>
  </w:style>
  <w:style w:type="paragraph" w:styleId="TOC4">
    <w:name w:val="toc 4"/>
    <w:basedOn w:val="Normal"/>
    <w:next w:val="Normal"/>
    <w:autoRedefine/>
    <w:uiPriority w:val="39"/>
    <w:unhideWhenUsed/>
    <w:rsid w:val="00B165CC"/>
    <w:pPr>
      <w:tabs>
        <w:tab w:val="left" w:pos="1787"/>
        <w:tab w:val="right" w:leader="dot" w:pos="9350"/>
      </w:tabs>
      <w:spacing w:after="100"/>
      <w:ind w:left="1440"/>
    </w:pPr>
  </w:style>
  <w:style w:type="paragraph" w:styleId="TOC6">
    <w:name w:val="toc 6"/>
    <w:basedOn w:val="Normal"/>
    <w:next w:val="Normal"/>
    <w:autoRedefine/>
    <w:uiPriority w:val="39"/>
    <w:unhideWhenUsed/>
    <w:rsid w:val="008139F7"/>
    <w:pPr>
      <w:spacing w:after="100"/>
      <w:ind w:left="1100"/>
    </w:pPr>
  </w:style>
  <w:style w:type="paragraph" w:styleId="TOC7">
    <w:name w:val="toc 7"/>
    <w:basedOn w:val="Normal"/>
    <w:next w:val="Normal"/>
    <w:autoRedefine/>
    <w:uiPriority w:val="39"/>
    <w:unhideWhenUsed/>
    <w:rsid w:val="008139F7"/>
    <w:pPr>
      <w:spacing w:after="100"/>
      <w:ind w:left="1320"/>
    </w:pPr>
  </w:style>
  <w:style w:type="paragraph" w:styleId="TOC8">
    <w:name w:val="toc 8"/>
    <w:basedOn w:val="Normal"/>
    <w:next w:val="Normal"/>
    <w:autoRedefine/>
    <w:uiPriority w:val="39"/>
    <w:unhideWhenUsed/>
    <w:rsid w:val="008139F7"/>
    <w:pPr>
      <w:spacing w:after="100"/>
      <w:ind w:left="1540"/>
    </w:pPr>
  </w:style>
  <w:style w:type="paragraph" w:styleId="TOC9">
    <w:name w:val="toc 9"/>
    <w:basedOn w:val="Normal"/>
    <w:next w:val="Normal"/>
    <w:autoRedefine/>
    <w:uiPriority w:val="39"/>
    <w:unhideWhenUsed/>
    <w:rsid w:val="008139F7"/>
    <w:pPr>
      <w:spacing w:after="100"/>
      <w:ind w:left="1760"/>
    </w:pPr>
  </w:style>
  <w:style w:type="paragraph" w:styleId="NormalWeb">
    <w:name w:val="Normal (Web)"/>
    <w:basedOn w:val="Normal"/>
    <w:uiPriority w:val="99"/>
    <w:semiHidden/>
    <w:unhideWhenUsed/>
    <w:rsid w:val="00A55832"/>
    <w:pPr>
      <w:spacing w:before="100" w:beforeAutospacing="1" w:after="100" w:afterAutospacing="1" w:line="240" w:lineRule="auto"/>
    </w:pPr>
    <w:rPr>
      <w:rFonts w:ascii="Times New Roman" w:hAnsi="Times New Roman" w:cs="Times New Roman"/>
      <w:sz w:val="24"/>
      <w:szCs w:val="24"/>
    </w:rPr>
  </w:style>
  <w:style w:type="paragraph" w:customStyle="1" w:styleId="NormalHangingIndent">
    <w:name w:val="Normal Hanging Indent"/>
    <w:basedOn w:val="Normal"/>
    <w:rsid w:val="00B22947"/>
    <w:pPr>
      <w:spacing w:after="240" w:line="252" w:lineRule="auto"/>
      <w:ind w:left="2880" w:hanging="2880"/>
      <w:contextualSpacing/>
    </w:pPr>
    <w:rPr>
      <w:rFonts w:ascii="Arial" w:eastAsia="Times New Roman" w:hAnsi="Arial" w:cs="Times New Roman"/>
      <w:color w:val="0E68AB" w:themeColor="text2" w:themeTint="D9"/>
      <w:szCs w:val="18"/>
    </w:rPr>
  </w:style>
  <w:style w:type="character" w:styleId="FollowedHyperlink">
    <w:name w:val="FollowedHyperlink"/>
    <w:basedOn w:val="DefaultParagraphFont"/>
    <w:uiPriority w:val="99"/>
    <w:semiHidden/>
    <w:unhideWhenUsed/>
    <w:rsid w:val="007B6E63"/>
    <w:rPr>
      <w:color w:val="0081E3" w:themeColor="followedHyperlink"/>
      <w:u w:val="single"/>
    </w:rPr>
  </w:style>
  <w:style w:type="paragraph" w:styleId="Caption">
    <w:name w:val="caption"/>
    <w:basedOn w:val="Normal"/>
    <w:next w:val="Normal"/>
    <w:uiPriority w:val="35"/>
    <w:semiHidden/>
    <w:unhideWhenUsed/>
    <w:qFormat/>
    <w:rsid w:val="00B01E6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1E60"/>
    <w:pPr>
      <w:spacing w:after="0" w:line="240" w:lineRule="auto"/>
      <w:contextualSpacing/>
    </w:pPr>
    <w:rPr>
      <w:rFonts w:asciiTheme="majorHAnsi" w:eastAsiaTheme="majorEastAsia" w:hAnsiTheme="majorHAnsi" w:cstheme="majorBidi"/>
      <w:color w:val="68825A" w:themeColor="accent1" w:themeShade="BF"/>
      <w:spacing w:val="-7"/>
      <w:sz w:val="80"/>
      <w:szCs w:val="80"/>
    </w:rPr>
  </w:style>
  <w:style w:type="character" w:customStyle="1" w:styleId="TitleChar">
    <w:name w:val="Title Char"/>
    <w:basedOn w:val="DefaultParagraphFont"/>
    <w:link w:val="Title"/>
    <w:uiPriority w:val="10"/>
    <w:rsid w:val="00B01E60"/>
    <w:rPr>
      <w:rFonts w:asciiTheme="majorHAnsi" w:eastAsiaTheme="majorEastAsia" w:hAnsiTheme="majorHAnsi" w:cstheme="majorBidi"/>
      <w:color w:val="68825A" w:themeColor="accent1" w:themeShade="BF"/>
      <w:spacing w:val="-7"/>
      <w:sz w:val="80"/>
      <w:szCs w:val="80"/>
    </w:rPr>
  </w:style>
  <w:style w:type="paragraph" w:styleId="Subtitle">
    <w:name w:val="Subtitle"/>
    <w:basedOn w:val="Normal"/>
    <w:next w:val="Normal"/>
    <w:link w:val="SubtitleChar"/>
    <w:uiPriority w:val="11"/>
    <w:qFormat/>
    <w:rsid w:val="00B01E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1E6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1E60"/>
    <w:rPr>
      <w:b/>
      <w:bCs/>
    </w:rPr>
  </w:style>
  <w:style w:type="character" w:styleId="Emphasis">
    <w:name w:val="Emphasis"/>
    <w:basedOn w:val="DefaultParagraphFont"/>
    <w:uiPriority w:val="20"/>
    <w:qFormat/>
    <w:rsid w:val="00B01E60"/>
    <w:rPr>
      <w:i/>
      <w:iCs/>
    </w:rPr>
  </w:style>
  <w:style w:type="paragraph" w:styleId="NoSpacing">
    <w:name w:val="No Spacing"/>
    <w:uiPriority w:val="1"/>
    <w:qFormat/>
    <w:rsid w:val="00B01E60"/>
    <w:pPr>
      <w:spacing w:after="0" w:line="240" w:lineRule="auto"/>
    </w:pPr>
  </w:style>
  <w:style w:type="paragraph" w:styleId="Quote">
    <w:name w:val="Quote"/>
    <w:basedOn w:val="Normal"/>
    <w:next w:val="Normal"/>
    <w:link w:val="QuoteChar"/>
    <w:uiPriority w:val="29"/>
    <w:qFormat/>
    <w:rsid w:val="00B01E6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1E60"/>
    <w:rPr>
      <w:i/>
      <w:iCs/>
    </w:rPr>
  </w:style>
  <w:style w:type="paragraph" w:styleId="IntenseQuote">
    <w:name w:val="Intense Quote"/>
    <w:basedOn w:val="Normal"/>
    <w:next w:val="Normal"/>
    <w:link w:val="IntenseQuoteChar"/>
    <w:uiPriority w:val="30"/>
    <w:qFormat/>
    <w:rsid w:val="00B01E60"/>
    <w:pPr>
      <w:spacing w:before="100" w:beforeAutospacing="1" w:after="240"/>
      <w:ind w:left="864" w:right="864"/>
      <w:jc w:val="center"/>
    </w:pPr>
    <w:rPr>
      <w:rFonts w:asciiTheme="majorHAnsi" w:eastAsiaTheme="majorEastAsia" w:hAnsiTheme="majorHAnsi" w:cstheme="majorBidi"/>
      <w:color w:val="8EA780" w:themeColor="accent1"/>
      <w:sz w:val="28"/>
      <w:szCs w:val="28"/>
    </w:rPr>
  </w:style>
  <w:style w:type="character" w:customStyle="1" w:styleId="IntenseQuoteChar">
    <w:name w:val="Intense Quote Char"/>
    <w:basedOn w:val="DefaultParagraphFont"/>
    <w:link w:val="IntenseQuote"/>
    <w:uiPriority w:val="30"/>
    <w:rsid w:val="00B01E60"/>
    <w:rPr>
      <w:rFonts w:asciiTheme="majorHAnsi" w:eastAsiaTheme="majorEastAsia" w:hAnsiTheme="majorHAnsi" w:cstheme="majorBidi"/>
      <w:color w:val="8EA780" w:themeColor="accent1"/>
      <w:sz w:val="28"/>
      <w:szCs w:val="28"/>
    </w:rPr>
  </w:style>
  <w:style w:type="character" w:styleId="SubtleEmphasis">
    <w:name w:val="Subtle Emphasis"/>
    <w:basedOn w:val="DefaultParagraphFont"/>
    <w:uiPriority w:val="19"/>
    <w:qFormat/>
    <w:rsid w:val="00B01E60"/>
    <w:rPr>
      <w:i/>
      <w:iCs/>
      <w:color w:val="595959" w:themeColor="text1" w:themeTint="A6"/>
    </w:rPr>
  </w:style>
  <w:style w:type="character" w:styleId="IntenseEmphasis">
    <w:name w:val="Intense Emphasis"/>
    <w:basedOn w:val="DefaultParagraphFont"/>
    <w:uiPriority w:val="21"/>
    <w:qFormat/>
    <w:rsid w:val="00B01E60"/>
    <w:rPr>
      <w:b/>
      <w:bCs/>
      <w:i/>
      <w:iCs/>
    </w:rPr>
  </w:style>
  <w:style w:type="character" w:styleId="SubtleReference">
    <w:name w:val="Subtle Reference"/>
    <w:basedOn w:val="DefaultParagraphFont"/>
    <w:uiPriority w:val="31"/>
    <w:qFormat/>
    <w:rsid w:val="00B01E60"/>
    <w:rPr>
      <w:smallCaps/>
      <w:color w:val="404040" w:themeColor="text1" w:themeTint="BF"/>
    </w:rPr>
  </w:style>
  <w:style w:type="character" w:styleId="IntenseReference">
    <w:name w:val="Intense Reference"/>
    <w:basedOn w:val="DefaultParagraphFont"/>
    <w:uiPriority w:val="32"/>
    <w:qFormat/>
    <w:rsid w:val="00B01E60"/>
    <w:rPr>
      <w:b/>
      <w:bCs/>
      <w:smallCaps/>
      <w:u w:val="single"/>
    </w:rPr>
  </w:style>
  <w:style w:type="character" w:styleId="BookTitle">
    <w:name w:val="Book Title"/>
    <w:basedOn w:val="DefaultParagraphFont"/>
    <w:uiPriority w:val="33"/>
    <w:qFormat/>
    <w:rsid w:val="00B01E60"/>
    <w:rPr>
      <w:b/>
      <w:bCs/>
      <w:smallCaps/>
    </w:rPr>
  </w:style>
  <w:style w:type="paragraph" w:styleId="TOCHeading">
    <w:name w:val="TOC Heading"/>
    <w:basedOn w:val="Heading1"/>
    <w:next w:val="Normal"/>
    <w:uiPriority w:val="39"/>
    <w:unhideWhenUsed/>
    <w:qFormat/>
    <w:rsid w:val="00B01E60"/>
    <w:pPr>
      <w:outlineLvl w:val="9"/>
    </w:pPr>
  </w:style>
  <w:style w:type="character" w:customStyle="1" w:styleId="UnresolvedMention1">
    <w:name w:val="Unresolved Mention1"/>
    <w:basedOn w:val="DefaultParagraphFont"/>
    <w:uiPriority w:val="99"/>
    <w:semiHidden/>
    <w:unhideWhenUsed/>
    <w:rsid w:val="00375E5B"/>
    <w:rPr>
      <w:color w:val="605E5C"/>
      <w:shd w:val="clear" w:color="auto" w:fill="E1DFDD"/>
    </w:rPr>
  </w:style>
  <w:style w:type="paragraph" w:styleId="Revision">
    <w:name w:val="Revision"/>
    <w:hidden/>
    <w:uiPriority w:val="99"/>
    <w:semiHidden/>
    <w:rsid w:val="00312CD1"/>
    <w:pPr>
      <w:spacing w:after="0" w:line="240" w:lineRule="auto"/>
    </w:pPr>
    <w:rPr>
      <w:sz w:val="18"/>
    </w:rPr>
  </w:style>
  <w:style w:type="character" w:customStyle="1" w:styleId="UnresolvedMention2">
    <w:name w:val="Unresolved Mention2"/>
    <w:basedOn w:val="DefaultParagraphFont"/>
    <w:uiPriority w:val="99"/>
    <w:semiHidden/>
    <w:unhideWhenUsed/>
    <w:rsid w:val="001A12E8"/>
    <w:rPr>
      <w:color w:val="605E5C"/>
      <w:shd w:val="clear" w:color="auto" w:fill="E1DFDD"/>
    </w:rPr>
  </w:style>
  <w:style w:type="character" w:customStyle="1" w:styleId="UnresolvedMention3">
    <w:name w:val="Unresolved Mention3"/>
    <w:basedOn w:val="DefaultParagraphFont"/>
    <w:uiPriority w:val="99"/>
    <w:semiHidden/>
    <w:unhideWhenUsed/>
    <w:rsid w:val="0019166E"/>
    <w:rPr>
      <w:color w:val="605E5C"/>
      <w:shd w:val="clear" w:color="auto" w:fill="E1DFDD"/>
    </w:rPr>
  </w:style>
  <w:style w:type="character" w:customStyle="1" w:styleId="UnresolvedMention4">
    <w:name w:val="Unresolved Mention4"/>
    <w:basedOn w:val="DefaultParagraphFont"/>
    <w:uiPriority w:val="99"/>
    <w:semiHidden/>
    <w:unhideWhenUsed/>
    <w:rsid w:val="001C6A05"/>
    <w:rPr>
      <w:color w:val="605E5C"/>
      <w:shd w:val="clear" w:color="auto" w:fill="E1DFDD"/>
    </w:rPr>
  </w:style>
  <w:style w:type="character" w:customStyle="1" w:styleId="UnresolvedMention5">
    <w:name w:val="Unresolved Mention5"/>
    <w:basedOn w:val="DefaultParagraphFont"/>
    <w:uiPriority w:val="99"/>
    <w:semiHidden/>
    <w:unhideWhenUsed/>
    <w:rsid w:val="007D54B4"/>
    <w:rPr>
      <w:color w:val="605E5C"/>
      <w:shd w:val="clear" w:color="auto" w:fill="E1DFDD"/>
    </w:rPr>
  </w:style>
  <w:style w:type="character" w:customStyle="1" w:styleId="UnresolvedMention6">
    <w:name w:val="Unresolved Mention6"/>
    <w:basedOn w:val="DefaultParagraphFont"/>
    <w:uiPriority w:val="99"/>
    <w:semiHidden/>
    <w:unhideWhenUsed/>
    <w:rsid w:val="00890A10"/>
    <w:rPr>
      <w:color w:val="605E5C"/>
      <w:shd w:val="clear" w:color="auto" w:fill="E1DFDD"/>
    </w:rPr>
  </w:style>
  <w:style w:type="character" w:customStyle="1" w:styleId="UnresolvedMention7">
    <w:name w:val="Unresolved Mention7"/>
    <w:basedOn w:val="DefaultParagraphFont"/>
    <w:uiPriority w:val="99"/>
    <w:semiHidden/>
    <w:unhideWhenUsed/>
    <w:rsid w:val="005E3D97"/>
    <w:rPr>
      <w:color w:val="605E5C"/>
      <w:shd w:val="clear" w:color="auto" w:fill="E1DFDD"/>
    </w:rPr>
  </w:style>
  <w:style w:type="character" w:styleId="UnresolvedMention">
    <w:name w:val="Unresolved Mention"/>
    <w:basedOn w:val="DefaultParagraphFont"/>
    <w:uiPriority w:val="99"/>
    <w:semiHidden/>
    <w:unhideWhenUsed/>
    <w:rsid w:val="00813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825">
      <w:bodyDiv w:val="1"/>
      <w:marLeft w:val="0"/>
      <w:marRight w:val="0"/>
      <w:marTop w:val="0"/>
      <w:marBottom w:val="0"/>
      <w:divBdr>
        <w:top w:val="none" w:sz="0" w:space="0" w:color="auto"/>
        <w:left w:val="none" w:sz="0" w:space="0" w:color="auto"/>
        <w:bottom w:val="none" w:sz="0" w:space="0" w:color="auto"/>
        <w:right w:val="none" w:sz="0" w:space="0" w:color="auto"/>
      </w:divBdr>
    </w:div>
    <w:div w:id="43413672">
      <w:bodyDiv w:val="1"/>
      <w:marLeft w:val="0"/>
      <w:marRight w:val="0"/>
      <w:marTop w:val="0"/>
      <w:marBottom w:val="0"/>
      <w:divBdr>
        <w:top w:val="none" w:sz="0" w:space="0" w:color="auto"/>
        <w:left w:val="none" w:sz="0" w:space="0" w:color="auto"/>
        <w:bottom w:val="none" w:sz="0" w:space="0" w:color="auto"/>
        <w:right w:val="none" w:sz="0" w:space="0" w:color="auto"/>
      </w:divBdr>
    </w:div>
    <w:div w:id="49622996">
      <w:bodyDiv w:val="1"/>
      <w:marLeft w:val="0"/>
      <w:marRight w:val="0"/>
      <w:marTop w:val="0"/>
      <w:marBottom w:val="0"/>
      <w:divBdr>
        <w:top w:val="none" w:sz="0" w:space="0" w:color="auto"/>
        <w:left w:val="none" w:sz="0" w:space="0" w:color="auto"/>
        <w:bottom w:val="none" w:sz="0" w:space="0" w:color="auto"/>
        <w:right w:val="none" w:sz="0" w:space="0" w:color="auto"/>
      </w:divBdr>
      <w:divsChild>
        <w:div w:id="118112344">
          <w:marLeft w:val="0"/>
          <w:marRight w:val="0"/>
          <w:marTop w:val="0"/>
          <w:marBottom w:val="0"/>
          <w:divBdr>
            <w:top w:val="none" w:sz="0" w:space="0" w:color="auto"/>
            <w:left w:val="none" w:sz="0" w:space="0" w:color="auto"/>
            <w:bottom w:val="none" w:sz="0" w:space="0" w:color="auto"/>
            <w:right w:val="none" w:sz="0" w:space="0" w:color="auto"/>
          </w:divBdr>
        </w:div>
      </w:divsChild>
    </w:div>
    <w:div w:id="53241069">
      <w:bodyDiv w:val="1"/>
      <w:marLeft w:val="0"/>
      <w:marRight w:val="0"/>
      <w:marTop w:val="0"/>
      <w:marBottom w:val="0"/>
      <w:divBdr>
        <w:top w:val="none" w:sz="0" w:space="0" w:color="auto"/>
        <w:left w:val="none" w:sz="0" w:space="0" w:color="auto"/>
        <w:bottom w:val="none" w:sz="0" w:space="0" w:color="auto"/>
        <w:right w:val="none" w:sz="0" w:space="0" w:color="auto"/>
      </w:divBdr>
    </w:div>
    <w:div w:id="55470333">
      <w:bodyDiv w:val="1"/>
      <w:marLeft w:val="0"/>
      <w:marRight w:val="0"/>
      <w:marTop w:val="0"/>
      <w:marBottom w:val="0"/>
      <w:divBdr>
        <w:top w:val="none" w:sz="0" w:space="0" w:color="auto"/>
        <w:left w:val="none" w:sz="0" w:space="0" w:color="auto"/>
        <w:bottom w:val="none" w:sz="0" w:space="0" w:color="auto"/>
        <w:right w:val="none" w:sz="0" w:space="0" w:color="auto"/>
      </w:divBdr>
    </w:div>
    <w:div w:id="125701159">
      <w:bodyDiv w:val="1"/>
      <w:marLeft w:val="0"/>
      <w:marRight w:val="0"/>
      <w:marTop w:val="0"/>
      <w:marBottom w:val="0"/>
      <w:divBdr>
        <w:top w:val="none" w:sz="0" w:space="0" w:color="auto"/>
        <w:left w:val="none" w:sz="0" w:space="0" w:color="auto"/>
        <w:bottom w:val="none" w:sz="0" w:space="0" w:color="auto"/>
        <w:right w:val="none" w:sz="0" w:space="0" w:color="auto"/>
      </w:divBdr>
    </w:div>
    <w:div w:id="132604948">
      <w:bodyDiv w:val="1"/>
      <w:marLeft w:val="0"/>
      <w:marRight w:val="0"/>
      <w:marTop w:val="0"/>
      <w:marBottom w:val="0"/>
      <w:divBdr>
        <w:top w:val="none" w:sz="0" w:space="0" w:color="auto"/>
        <w:left w:val="none" w:sz="0" w:space="0" w:color="auto"/>
        <w:bottom w:val="none" w:sz="0" w:space="0" w:color="auto"/>
        <w:right w:val="none" w:sz="0" w:space="0" w:color="auto"/>
      </w:divBdr>
    </w:div>
    <w:div w:id="139739331">
      <w:bodyDiv w:val="1"/>
      <w:marLeft w:val="0"/>
      <w:marRight w:val="0"/>
      <w:marTop w:val="0"/>
      <w:marBottom w:val="0"/>
      <w:divBdr>
        <w:top w:val="none" w:sz="0" w:space="0" w:color="auto"/>
        <w:left w:val="none" w:sz="0" w:space="0" w:color="auto"/>
        <w:bottom w:val="none" w:sz="0" w:space="0" w:color="auto"/>
        <w:right w:val="none" w:sz="0" w:space="0" w:color="auto"/>
      </w:divBdr>
      <w:divsChild>
        <w:div w:id="1733773491">
          <w:marLeft w:val="0"/>
          <w:marRight w:val="0"/>
          <w:marTop w:val="0"/>
          <w:marBottom w:val="0"/>
          <w:divBdr>
            <w:top w:val="none" w:sz="0" w:space="0" w:color="auto"/>
            <w:left w:val="none" w:sz="0" w:space="0" w:color="auto"/>
            <w:bottom w:val="none" w:sz="0" w:space="0" w:color="auto"/>
            <w:right w:val="none" w:sz="0" w:space="0" w:color="auto"/>
          </w:divBdr>
        </w:div>
      </w:divsChild>
    </w:div>
    <w:div w:id="182522714">
      <w:bodyDiv w:val="1"/>
      <w:marLeft w:val="0"/>
      <w:marRight w:val="0"/>
      <w:marTop w:val="0"/>
      <w:marBottom w:val="0"/>
      <w:divBdr>
        <w:top w:val="none" w:sz="0" w:space="0" w:color="auto"/>
        <w:left w:val="none" w:sz="0" w:space="0" w:color="auto"/>
        <w:bottom w:val="none" w:sz="0" w:space="0" w:color="auto"/>
        <w:right w:val="none" w:sz="0" w:space="0" w:color="auto"/>
      </w:divBdr>
    </w:div>
    <w:div w:id="245238049">
      <w:bodyDiv w:val="1"/>
      <w:marLeft w:val="0"/>
      <w:marRight w:val="0"/>
      <w:marTop w:val="0"/>
      <w:marBottom w:val="0"/>
      <w:divBdr>
        <w:top w:val="none" w:sz="0" w:space="0" w:color="auto"/>
        <w:left w:val="none" w:sz="0" w:space="0" w:color="auto"/>
        <w:bottom w:val="none" w:sz="0" w:space="0" w:color="auto"/>
        <w:right w:val="none" w:sz="0" w:space="0" w:color="auto"/>
      </w:divBdr>
    </w:div>
    <w:div w:id="245772993">
      <w:bodyDiv w:val="1"/>
      <w:marLeft w:val="0"/>
      <w:marRight w:val="0"/>
      <w:marTop w:val="0"/>
      <w:marBottom w:val="0"/>
      <w:divBdr>
        <w:top w:val="none" w:sz="0" w:space="0" w:color="auto"/>
        <w:left w:val="none" w:sz="0" w:space="0" w:color="auto"/>
        <w:bottom w:val="none" w:sz="0" w:space="0" w:color="auto"/>
        <w:right w:val="none" w:sz="0" w:space="0" w:color="auto"/>
      </w:divBdr>
    </w:div>
    <w:div w:id="247736021">
      <w:bodyDiv w:val="1"/>
      <w:marLeft w:val="0"/>
      <w:marRight w:val="0"/>
      <w:marTop w:val="0"/>
      <w:marBottom w:val="0"/>
      <w:divBdr>
        <w:top w:val="none" w:sz="0" w:space="0" w:color="auto"/>
        <w:left w:val="none" w:sz="0" w:space="0" w:color="auto"/>
        <w:bottom w:val="none" w:sz="0" w:space="0" w:color="auto"/>
        <w:right w:val="none" w:sz="0" w:space="0" w:color="auto"/>
      </w:divBdr>
    </w:div>
    <w:div w:id="255788943">
      <w:bodyDiv w:val="1"/>
      <w:marLeft w:val="0"/>
      <w:marRight w:val="0"/>
      <w:marTop w:val="0"/>
      <w:marBottom w:val="0"/>
      <w:divBdr>
        <w:top w:val="none" w:sz="0" w:space="0" w:color="auto"/>
        <w:left w:val="none" w:sz="0" w:space="0" w:color="auto"/>
        <w:bottom w:val="none" w:sz="0" w:space="0" w:color="auto"/>
        <w:right w:val="none" w:sz="0" w:space="0" w:color="auto"/>
      </w:divBdr>
    </w:div>
    <w:div w:id="261452391">
      <w:bodyDiv w:val="1"/>
      <w:marLeft w:val="0"/>
      <w:marRight w:val="0"/>
      <w:marTop w:val="0"/>
      <w:marBottom w:val="0"/>
      <w:divBdr>
        <w:top w:val="none" w:sz="0" w:space="0" w:color="auto"/>
        <w:left w:val="none" w:sz="0" w:space="0" w:color="auto"/>
        <w:bottom w:val="none" w:sz="0" w:space="0" w:color="auto"/>
        <w:right w:val="none" w:sz="0" w:space="0" w:color="auto"/>
      </w:divBdr>
    </w:div>
    <w:div w:id="291064225">
      <w:bodyDiv w:val="1"/>
      <w:marLeft w:val="0"/>
      <w:marRight w:val="0"/>
      <w:marTop w:val="0"/>
      <w:marBottom w:val="0"/>
      <w:divBdr>
        <w:top w:val="none" w:sz="0" w:space="0" w:color="auto"/>
        <w:left w:val="none" w:sz="0" w:space="0" w:color="auto"/>
        <w:bottom w:val="none" w:sz="0" w:space="0" w:color="auto"/>
        <w:right w:val="none" w:sz="0" w:space="0" w:color="auto"/>
      </w:divBdr>
    </w:div>
    <w:div w:id="321855652">
      <w:bodyDiv w:val="1"/>
      <w:marLeft w:val="0"/>
      <w:marRight w:val="0"/>
      <w:marTop w:val="0"/>
      <w:marBottom w:val="0"/>
      <w:divBdr>
        <w:top w:val="none" w:sz="0" w:space="0" w:color="auto"/>
        <w:left w:val="none" w:sz="0" w:space="0" w:color="auto"/>
        <w:bottom w:val="none" w:sz="0" w:space="0" w:color="auto"/>
        <w:right w:val="none" w:sz="0" w:space="0" w:color="auto"/>
      </w:divBdr>
    </w:div>
    <w:div w:id="330059597">
      <w:bodyDiv w:val="1"/>
      <w:marLeft w:val="0"/>
      <w:marRight w:val="0"/>
      <w:marTop w:val="0"/>
      <w:marBottom w:val="0"/>
      <w:divBdr>
        <w:top w:val="none" w:sz="0" w:space="0" w:color="auto"/>
        <w:left w:val="none" w:sz="0" w:space="0" w:color="auto"/>
        <w:bottom w:val="none" w:sz="0" w:space="0" w:color="auto"/>
        <w:right w:val="none" w:sz="0" w:space="0" w:color="auto"/>
      </w:divBdr>
    </w:div>
    <w:div w:id="332073279">
      <w:bodyDiv w:val="1"/>
      <w:marLeft w:val="0"/>
      <w:marRight w:val="0"/>
      <w:marTop w:val="0"/>
      <w:marBottom w:val="0"/>
      <w:divBdr>
        <w:top w:val="none" w:sz="0" w:space="0" w:color="auto"/>
        <w:left w:val="none" w:sz="0" w:space="0" w:color="auto"/>
        <w:bottom w:val="none" w:sz="0" w:space="0" w:color="auto"/>
        <w:right w:val="none" w:sz="0" w:space="0" w:color="auto"/>
      </w:divBdr>
    </w:div>
    <w:div w:id="335960946">
      <w:bodyDiv w:val="1"/>
      <w:marLeft w:val="0"/>
      <w:marRight w:val="0"/>
      <w:marTop w:val="0"/>
      <w:marBottom w:val="0"/>
      <w:divBdr>
        <w:top w:val="none" w:sz="0" w:space="0" w:color="auto"/>
        <w:left w:val="none" w:sz="0" w:space="0" w:color="auto"/>
        <w:bottom w:val="none" w:sz="0" w:space="0" w:color="auto"/>
        <w:right w:val="none" w:sz="0" w:space="0" w:color="auto"/>
      </w:divBdr>
    </w:div>
    <w:div w:id="346444783">
      <w:bodyDiv w:val="1"/>
      <w:marLeft w:val="0"/>
      <w:marRight w:val="0"/>
      <w:marTop w:val="0"/>
      <w:marBottom w:val="0"/>
      <w:divBdr>
        <w:top w:val="none" w:sz="0" w:space="0" w:color="auto"/>
        <w:left w:val="none" w:sz="0" w:space="0" w:color="auto"/>
        <w:bottom w:val="none" w:sz="0" w:space="0" w:color="auto"/>
        <w:right w:val="none" w:sz="0" w:space="0" w:color="auto"/>
      </w:divBdr>
    </w:div>
    <w:div w:id="397243840">
      <w:bodyDiv w:val="1"/>
      <w:marLeft w:val="0"/>
      <w:marRight w:val="0"/>
      <w:marTop w:val="0"/>
      <w:marBottom w:val="0"/>
      <w:divBdr>
        <w:top w:val="none" w:sz="0" w:space="0" w:color="auto"/>
        <w:left w:val="none" w:sz="0" w:space="0" w:color="auto"/>
        <w:bottom w:val="none" w:sz="0" w:space="0" w:color="auto"/>
        <w:right w:val="none" w:sz="0" w:space="0" w:color="auto"/>
      </w:divBdr>
    </w:div>
    <w:div w:id="432359748">
      <w:bodyDiv w:val="1"/>
      <w:marLeft w:val="0"/>
      <w:marRight w:val="0"/>
      <w:marTop w:val="0"/>
      <w:marBottom w:val="0"/>
      <w:divBdr>
        <w:top w:val="none" w:sz="0" w:space="0" w:color="auto"/>
        <w:left w:val="none" w:sz="0" w:space="0" w:color="auto"/>
        <w:bottom w:val="none" w:sz="0" w:space="0" w:color="auto"/>
        <w:right w:val="none" w:sz="0" w:space="0" w:color="auto"/>
      </w:divBdr>
    </w:div>
    <w:div w:id="445855012">
      <w:bodyDiv w:val="1"/>
      <w:marLeft w:val="0"/>
      <w:marRight w:val="0"/>
      <w:marTop w:val="0"/>
      <w:marBottom w:val="0"/>
      <w:divBdr>
        <w:top w:val="none" w:sz="0" w:space="0" w:color="auto"/>
        <w:left w:val="none" w:sz="0" w:space="0" w:color="auto"/>
        <w:bottom w:val="none" w:sz="0" w:space="0" w:color="auto"/>
        <w:right w:val="none" w:sz="0" w:space="0" w:color="auto"/>
      </w:divBdr>
    </w:div>
    <w:div w:id="452405500">
      <w:bodyDiv w:val="1"/>
      <w:marLeft w:val="0"/>
      <w:marRight w:val="0"/>
      <w:marTop w:val="0"/>
      <w:marBottom w:val="0"/>
      <w:divBdr>
        <w:top w:val="none" w:sz="0" w:space="0" w:color="auto"/>
        <w:left w:val="none" w:sz="0" w:space="0" w:color="auto"/>
        <w:bottom w:val="none" w:sz="0" w:space="0" w:color="auto"/>
        <w:right w:val="none" w:sz="0" w:space="0" w:color="auto"/>
      </w:divBdr>
    </w:div>
    <w:div w:id="455953986">
      <w:bodyDiv w:val="1"/>
      <w:marLeft w:val="0"/>
      <w:marRight w:val="0"/>
      <w:marTop w:val="0"/>
      <w:marBottom w:val="0"/>
      <w:divBdr>
        <w:top w:val="none" w:sz="0" w:space="0" w:color="auto"/>
        <w:left w:val="none" w:sz="0" w:space="0" w:color="auto"/>
        <w:bottom w:val="none" w:sz="0" w:space="0" w:color="auto"/>
        <w:right w:val="none" w:sz="0" w:space="0" w:color="auto"/>
      </w:divBdr>
    </w:div>
    <w:div w:id="496459333">
      <w:bodyDiv w:val="1"/>
      <w:marLeft w:val="0"/>
      <w:marRight w:val="0"/>
      <w:marTop w:val="0"/>
      <w:marBottom w:val="0"/>
      <w:divBdr>
        <w:top w:val="none" w:sz="0" w:space="0" w:color="auto"/>
        <w:left w:val="none" w:sz="0" w:space="0" w:color="auto"/>
        <w:bottom w:val="none" w:sz="0" w:space="0" w:color="auto"/>
        <w:right w:val="none" w:sz="0" w:space="0" w:color="auto"/>
      </w:divBdr>
      <w:divsChild>
        <w:div w:id="1415665918">
          <w:marLeft w:val="0"/>
          <w:marRight w:val="0"/>
          <w:marTop w:val="0"/>
          <w:marBottom w:val="0"/>
          <w:divBdr>
            <w:top w:val="none" w:sz="0" w:space="0" w:color="auto"/>
            <w:left w:val="none" w:sz="0" w:space="0" w:color="auto"/>
            <w:bottom w:val="none" w:sz="0" w:space="0" w:color="auto"/>
            <w:right w:val="none" w:sz="0" w:space="0" w:color="auto"/>
          </w:divBdr>
        </w:div>
      </w:divsChild>
    </w:div>
    <w:div w:id="524565643">
      <w:bodyDiv w:val="1"/>
      <w:marLeft w:val="0"/>
      <w:marRight w:val="0"/>
      <w:marTop w:val="0"/>
      <w:marBottom w:val="0"/>
      <w:divBdr>
        <w:top w:val="none" w:sz="0" w:space="0" w:color="auto"/>
        <w:left w:val="none" w:sz="0" w:space="0" w:color="auto"/>
        <w:bottom w:val="none" w:sz="0" w:space="0" w:color="auto"/>
        <w:right w:val="none" w:sz="0" w:space="0" w:color="auto"/>
      </w:divBdr>
    </w:div>
    <w:div w:id="552733214">
      <w:bodyDiv w:val="1"/>
      <w:marLeft w:val="0"/>
      <w:marRight w:val="0"/>
      <w:marTop w:val="0"/>
      <w:marBottom w:val="0"/>
      <w:divBdr>
        <w:top w:val="none" w:sz="0" w:space="0" w:color="auto"/>
        <w:left w:val="none" w:sz="0" w:space="0" w:color="auto"/>
        <w:bottom w:val="none" w:sz="0" w:space="0" w:color="auto"/>
        <w:right w:val="none" w:sz="0" w:space="0" w:color="auto"/>
      </w:divBdr>
    </w:div>
    <w:div w:id="565336143">
      <w:bodyDiv w:val="1"/>
      <w:marLeft w:val="0"/>
      <w:marRight w:val="0"/>
      <w:marTop w:val="0"/>
      <w:marBottom w:val="0"/>
      <w:divBdr>
        <w:top w:val="none" w:sz="0" w:space="0" w:color="auto"/>
        <w:left w:val="none" w:sz="0" w:space="0" w:color="auto"/>
        <w:bottom w:val="none" w:sz="0" w:space="0" w:color="auto"/>
        <w:right w:val="none" w:sz="0" w:space="0" w:color="auto"/>
      </w:divBdr>
    </w:div>
    <w:div w:id="585844600">
      <w:bodyDiv w:val="1"/>
      <w:marLeft w:val="0"/>
      <w:marRight w:val="0"/>
      <w:marTop w:val="0"/>
      <w:marBottom w:val="0"/>
      <w:divBdr>
        <w:top w:val="none" w:sz="0" w:space="0" w:color="auto"/>
        <w:left w:val="none" w:sz="0" w:space="0" w:color="auto"/>
        <w:bottom w:val="none" w:sz="0" w:space="0" w:color="auto"/>
        <w:right w:val="none" w:sz="0" w:space="0" w:color="auto"/>
      </w:divBdr>
    </w:div>
    <w:div w:id="591159064">
      <w:bodyDiv w:val="1"/>
      <w:marLeft w:val="0"/>
      <w:marRight w:val="0"/>
      <w:marTop w:val="0"/>
      <w:marBottom w:val="0"/>
      <w:divBdr>
        <w:top w:val="none" w:sz="0" w:space="0" w:color="auto"/>
        <w:left w:val="none" w:sz="0" w:space="0" w:color="auto"/>
        <w:bottom w:val="none" w:sz="0" w:space="0" w:color="auto"/>
        <w:right w:val="none" w:sz="0" w:space="0" w:color="auto"/>
      </w:divBdr>
    </w:div>
    <w:div w:id="613828285">
      <w:bodyDiv w:val="1"/>
      <w:marLeft w:val="0"/>
      <w:marRight w:val="0"/>
      <w:marTop w:val="0"/>
      <w:marBottom w:val="0"/>
      <w:divBdr>
        <w:top w:val="none" w:sz="0" w:space="0" w:color="auto"/>
        <w:left w:val="none" w:sz="0" w:space="0" w:color="auto"/>
        <w:bottom w:val="none" w:sz="0" w:space="0" w:color="auto"/>
        <w:right w:val="none" w:sz="0" w:space="0" w:color="auto"/>
      </w:divBdr>
    </w:div>
    <w:div w:id="617487905">
      <w:bodyDiv w:val="1"/>
      <w:marLeft w:val="0"/>
      <w:marRight w:val="0"/>
      <w:marTop w:val="0"/>
      <w:marBottom w:val="0"/>
      <w:divBdr>
        <w:top w:val="none" w:sz="0" w:space="0" w:color="auto"/>
        <w:left w:val="none" w:sz="0" w:space="0" w:color="auto"/>
        <w:bottom w:val="none" w:sz="0" w:space="0" w:color="auto"/>
        <w:right w:val="none" w:sz="0" w:space="0" w:color="auto"/>
      </w:divBdr>
    </w:div>
    <w:div w:id="642009032">
      <w:bodyDiv w:val="1"/>
      <w:marLeft w:val="0"/>
      <w:marRight w:val="0"/>
      <w:marTop w:val="0"/>
      <w:marBottom w:val="0"/>
      <w:divBdr>
        <w:top w:val="none" w:sz="0" w:space="0" w:color="auto"/>
        <w:left w:val="none" w:sz="0" w:space="0" w:color="auto"/>
        <w:bottom w:val="none" w:sz="0" w:space="0" w:color="auto"/>
        <w:right w:val="none" w:sz="0" w:space="0" w:color="auto"/>
      </w:divBdr>
    </w:div>
    <w:div w:id="651908467">
      <w:bodyDiv w:val="1"/>
      <w:marLeft w:val="0"/>
      <w:marRight w:val="0"/>
      <w:marTop w:val="0"/>
      <w:marBottom w:val="0"/>
      <w:divBdr>
        <w:top w:val="none" w:sz="0" w:space="0" w:color="auto"/>
        <w:left w:val="none" w:sz="0" w:space="0" w:color="auto"/>
        <w:bottom w:val="none" w:sz="0" w:space="0" w:color="auto"/>
        <w:right w:val="none" w:sz="0" w:space="0" w:color="auto"/>
      </w:divBdr>
    </w:div>
    <w:div w:id="674527890">
      <w:bodyDiv w:val="1"/>
      <w:marLeft w:val="0"/>
      <w:marRight w:val="0"/>
      <w:marTop w:val="0"/>
      <w:marBottom w:val="0"/>
      <w:divBdr>
        <w:top w:val="none" w:sz="0" w:space="0" w:color="auto"/>
        <w:left w:val="none" w:sz="0" w:space="0" w:color="auto"/>
        <w:bottom w:val="none" w:sz="0" w:space="0" w:color="auto"/>
        <w:right w:val="none" w:sz="0" w:space="0" w:color="auto"/>
      </w:divBdr>
    </w:div>
    <w:div w:id="674844441">
      <w:bodyDiv w:val="1"/>
      <w:marLeft w:val="0"/>
      <w:marRight w:val="0"/>
      <w:marTop w:val="0"/>
      <w:marBottom w:val="0"/>
      <w:divBdr>
        <w:top w:val="none" w:sz="0" w:space="0" w:color="auto"/>
        <w:left w:val="none" w:sz="0" w:space="0" w:color="auto"/>
        <w:bottom w:val="none" w:sz="0" w:space="0" w:color="auto"/>
        <w:right w:val="none" w:sz="0" w:space="0" w:color="auto"/>
      </w:divBdr>
    </w:div>
    <w:div w:id="723715939">
      <w:bodyDiv w:val="1"/>
      <w:marLeft w:val="0"/>
      <w:marRight w:val="0"/>
      <w:marTop w:val="0"/>
      <w:marBottom w:val="0"/>
      <w:divBdr>
        <w:top w:val="none" w:sz="0" w:space="0" w:color="auto"/>
        <w:left w:val="none" w:sz="0" w:space="0" w:color="auto"/>
        <w:bottom w:val="none" w:sz="0" w:space="0" w:color="auto"/>
        <w:right w:val="none" w:sz="0" w:space="0" w:color="auto"/>
      </w:divBdr>
    </w:div>
    <w:div w:id="729961594">
      <w:bodyDiv w:val="1"/>
      <w:marLeft w:val="0"/>
      <w:marRight w:val="0"/>
      <w:marTop w:val="0"/>
      <w:marBottom w:val="0"/>
      <w:divBdr>
        <w:top w:val="none" w:sz="0" w:space="0" w:color="auto"/>
        <w:left w:val="none" w:sz="0" w:space="0" w:color="auto"/>
        <w:bottom w:val="none" w:sz="0" w:space="0" w:color="auto"/>
        <w:right w:val="none" w:sz="0" w:space="0" w:color="auto"/>
      </w:divBdr>
    </w:div>
    <w:div w:id="781339564">
      <w:bodyDiv w:val="1"/>
      <w:marLeft w:val="0"/>
      <w:marRight w:val="0"/>
      <w:marTop w:val="0"/>
      <w:marBottom w:val="0"/>
      <w:divBdr>
        <w:top w:val="none" w:sz="0" w:space="0" w:color="auto"/>
        <w:left w:val="none" w:sz="0" w:space="0" w:color="auto"/>
        <w:bottom w:val="none" w:sz="0" w:space="0" w:color="auto"/>
        <w:right w:val="none" w:sz="0" w:space="0" w:color="auto"/>
      </w:divBdr>
    </w:div>
    <w:div w:id="783963523">
      <w:bodyDiv w:val="1"/>
      <w:marLeft w:val="0"/>
      <w:marRight w:val="0"/>
      <w:marTop w:val="0"/>
      <w:marBottom w:val="0"/>
      <w:divBdr>
        <w:top w:val="none" w:sz="0" w:space="0" w:color="auto"/>
        <w:left w:val="none" w:sz="0" w:space="0" w:color="auto"/>
        <w:bottom w:val="none" w:sz="0" w:space="0" w:color="auto"/>
        <w:right w:val="none" w:sz="0" w:space="0" w:color="auto"/>
      </w:divBdr>
    </w:div>
    <w:div w:id="812603109">
      <w:bodyDiv w:val="1"/>
      <w:marLeft w:val="0"/>
      <w:marRight w:val="0"/>
      <w:marTop w:val="0"/>
      <w:marBottom w:val="0"/>
      <w:divBdr>
        <w:top w:val="none" w:sz="0" w:space="0" w:color="auto"/>
        <w:left w:val="none" w:sz="0" w:space="0" w:color="auto"/>
        <w:bottom w:val="none" w:sz="0" w:space="0" w:color="auto"/>
        <w:right w:val="none" w:sz="0" w:space="0" w:color="auto"/>
      </w:divBdr>
    </w:div>
    <w:div w:id="812989755">
      <w:bodyDiv w:val="1"/>
      <w:marLeft w:val="0"/>
      <w:marRight w:val="0"/>
      <w:marTop w:val="0"/>
      <w:marBottom w:val="0"/>
      <w:divBdr>
        <w:top w:val="none" w:sz="0" w:space="0" w:color="auto"/>
        <w:left w:val="none" w:sz="0" w:space="0" w:color="auto"/>
        <w:bottom w:val="none" w:sz="0" w:space="0" w:color="auto"/>
        <w:right w:val="none" w:sz="0" w:space="0" w:color="auto"/>
      </w:divBdr>
    </w:div>
    <w:div w:id="831873567">
      <w:bodyDiv w:val="1"/>
      <w:marLeft w:val="0"/>
      <w:marRight w:val="0"/>
      <w:marTop w:val="0"/>
      <w:marBottom w:val="0"/>
      <w:divBdr>
        <w:top w:val="none" w:sz="0" w:space="0" w:color="auto"/>
        <w:left w:val="none" w:sz="0" w:space="0" w:color="auto"/>
        <w:bottom w:val="none" w:sz="0" w:space="0" w:color="auto"/>
        <w:right w:val="none" w:sz="0" w:space="0" w:color="auto"/>
      </w:divBdr>
    </w:div>
    <w:div w:id="848645620">
      <w:bodyDiv w:val="1"/>
      <w:marLeft w:val="0"/>
      <w:marRight w:val="0"/>
      <w:marTop w:val="0"/>
      <w:marBottom w:val="0"/>
      <w:divBdr>
        <w:top w:val="none" w:sz="0" w:space="0" w:color="auto"/>
        <w:left w:val="none" w:sz="0" w:space="0" w:color="auto"/>
        <w:bottom w:val="none" w:sz="0" w:space="0" w:color="auto"/>
        <w:right w:val="none" w:sz="0" w:space="0" w:color="auto"/>
      </w:divBdr>
    </w:div>
    <w:div w:id="856432264">
      <w:bodyDiv w:val="1"/>
      <w:marLeft w:val="0"/>
      <w:marRight w:val="0"/>
      <w:marTop w:val="0"/>
      <w:marBottom w:val="0"/>
      <w:divBdr>
        <w:top w:val="none" w:sz="0" w:space="0" w:color="auto"/>
        <w:left w:val="none" w:sz="0" w:space="0" w:color="auto"/>
        <w:bottom w:val="none" w:sz="0" w:space="0" w:color="auto"/>
        <w:right w:val="none" w:sz="0" w:space="0" w:color="auto"/>
      </w:divBdr>
      <w:divsChild>
        <w:div w:id="132021488">
          <w:marLeft w:val="0"/>
          <w:marRight w:val="0"/>
          <w:marTop w:val="0"/>
          <w:marBottom w:val="0"/>
          <w:divBdr>
            <w:top w:val="none" w:sz="0" w:space="0" w:color="auto"/>
            <w:left w:val="none" w:sz="0" w:space="0" w:color="auto"/>
            <w:bottom w:val="none" w:sz="0" w:space="0" w:color="auto"/>
            <w:right w:val="none" w:sz="0" w:space="0" w:color="auto"/>
          </w:divBdr>
        </w:div>
      </w:divsChild>
    </w:div>
    <w:div w:id="941256950">
      <w:bodyDiv w:val="1"/>
      <w:marLeft w:val="0"/>
      <w:marRight w:val="0"/>
      <w:marTop w:val="0"/>
      <w:marBottom w:val="0"/>
      <w:divBdr>
        <w:top w:val="none" w:sz="0" w:space="0" w:color="auto"/>
        <w:left w:val="none" w:sz="0" w:space="0" w:color="auto"/>
        <w:bottom w:val="none" w:sz="0" w:space="0" w:color="auto"/>
        <w:right w:val="none" w:sz="0" w:space="0" w:color="auto"/>
      </w:divBdr>
    </w:div>
    <w:div w:id="996231309">
      <w:bodyDiv w:val="1"/>
      <w:marLeft w:val="0"/>
      <w:marRight w:val="0"/>
      <w:marTop w:val="0"/>
      <w:marBottom w:val="0"/>
      <w:divBdr>
        <w:top w:val="none" w:sz="0" w:space="0" w:color="auto"/>
        <w:left w:val="none" w:sz="0" w:space="0" w:color="auto"/>
        <w:bottom w:val="none" w:sz="0" w:space="0" w:color="auto"/>
        <w:right w:val="none" w:sz="0" w:space="0" w:color="auto"/>
      </w:divBdr>
    </w:div>
    <w:div w:id="1033503075">
      <w:bodyDiv w:val="1"/>
      <w:marLeft w:val="0"/>
      <w:marRight w:val="0"/>
      <w:marTop w:val="0"/>
      <w:marBottom w:val="0"/>
      <w:divBdr>
        <w:top w:val="none" w:sz="0" w:space="0" w:color="auto"/>
        <w:left w:val="none" w:sz="0" w:space="0" w:color="auto"/>
        <w:bottom w:val="none" w:sz="0" w:space="0" w:color="auto"/>
        <w:right w:val="none" w:sz="0" w:space="0" w:color="auto"/>
      </w:divBdr>
    </w:div>
    <w:div w:id="1091240440">
      <w:bodyDiv w:val="1"/>
      <w:marLeft w:val="0"/>
      <w:marRight w:val="0"/>
      <w:marTop w:val="0"/>
      <w:marBottom w:val="0"/>
      <w:divBdr>
        <w:top w:val="none" w:sz="0" w:space="0" w:color="auto"/>
        <w:left w:val="none" w:sz="0" w:space="0" w:color="auto"/>
        <w:bottom w:val="none" w:sz="0" w:space="0" w:color="auto"/>
        <w:right w:val="none" w:sz="0" w:space="0" w:color="auto"/>
      </w:divBdr>
    </w:div>
    <w:div w:id="1110510420">
      <w:bodyDiv w:val="1"/>
      <w:marLeft w:val="0"/>
      <w:marRight w:val="0"/>
      <w:marTop w:val="0"/>
      <w:marBottom w:val="0"/>
      <w:divBdr>
        <w:top w:val="none" w:sz="0" w:space="0" w:color="auto"/>
        <w:left w:val="none" w:sz="0" w:space="0" w:color="auto"/>
        <w:bottom w:val="none" w:sz="0" w:space="0" w:color="auto"/>
        <w:right w:val="none" w:sz="0" w:space="0" w:color="auto"/>
      </w:divBdr>
    </w:div>
    <w:div w:id="1123184686">
      <w:bodyDiv w:val="1"/>
      <w:marLeft w:val="0"/>
      <w:marRight w:val="0"/>
      <w:marTop w:val="0"/>
      <w:marBottom w:val="0"/>
      <w:divBdr>
        <w:top w:val="none" w:sz="0" w:space="0" w:color="auto"/>
        <w:left w:val="none" w:sz="0" w:space="0" w:color="auto"/>
        <w:bottom w:val="none" w:sz="0" w:space="0" w:color="auto"/>
        <w:right w:val="none" w:sz="0" w:space="0" w:color="auto"/>
      </w:divBdr>
    </w:div>
    <w:div w:id="1133719600">
      <w:bodyDiv w:val="1"/>
      <w:marLeft w:val="0"/>
      <w:marRight w:val="0"/>
      <w:marTop w:val="0"/>
      <w:marBottom w:val="0"/>
      <w:divBdr>
        <w:top w:val="none" w:sz="0" w:space="0" w:color="auto"/>
        <w:left w:val="none" w:sz="0" w:space="0" w:color="auto"/>
        <w:bottom w:val="none" w:sz="0" w:space="0" w:color="auto"/>
        <w:right w:val="none" w:sz="0" w:space="0" w:color="auto"/>
      </w:divBdr>
    </w:div>
    <w:div w:id="1147629811">
      <w:bodyDiv w:val="1"/>
      <w:marLeft w:val="0"/>
      <w:marRight w:val="0"/>
      <w:marTop w:val="0"/>
      <w:marBottom w:val="0"/>
      <w:divBdr>
        <w:top w:val="none" w:sz="0" w:space="0" w:color="auto"/>
        <w:left w:val="none" w:sz="0" w:space="0" w:color="auto"/>
        <w:bottom w:val="none" w:sz="0" w:space="0" w:color="auto"/>
        <w:right w:val="none" w:sz="0" w:space="0" w:color="auto"/>
      </w:divBdr>
    </w:div>
    <w:div w:id="1149439937">
      <w:bodyDiv w:val="1"/>
      <w:marLeft w:val="0"/>
      <w:marRight w:val="0"/>
      <w:marTop w:val="0"/>
      <w:marBottom w:val="0"/>
      <w:divBdr>
        <w:top w:val="none" w:sz="0" w:space="0" w:color="auto"/>
        <w:left w:val="none" w:sz="0" w:space="0" w:color="auto"/>
        <w:bottom w:val="none" w:sz="0" w:space="0" w:color="auto"/>
        <w:right w:val="none" w:sz="0" w:space="0" w:color="auto"/>
      </w:divBdr>
    </w:div>
    <w:div w:id="1160001296">
      <w:bodyDiv w:val="1"/>
      <w:marLeft w:val="0"/>
      <w:marRight w:val="0"/>
      <w:marTop w:val="0"/>
      <w:marBottom w:val="0"/>
      <w:divBdr>
        <w:top w:val="none" w:sz="0" w:space="0" w:color="auto"/>
        <w:left w:val="none" w:sz="0" w:space="0" w:color="auto"/>
        <w:bottom w:val="none" w:sz="0" w:space="0" w:color="auto"/>
        <w:right w:val="none" w:sz="0" w:space="0" w:color="auto"/>
      </w:divBdr>
    </w:div>
    <w:div w:id="1176849449">
      <w:bodyDiv w:val="1"/>
      <w:marLeft w:val="0"/>
      <w:marRight w:val="0"/>
      <w:marTop w:val="0"/>
      <w:marBottom w:val="0"/>
      <w:divBdr>
        <w:top w:val="none" w:sz="0" w:space="0" w:color="auto"/>
        <w:left w:val="none" w:sz="0" w:space="0" w:color="auto"/>
        <w:bottom w:val="none" w:sz="0" w:space="0" w:color="auto"/>
        <w:right w:val="none" w:sz="0" w:space="0" w:color="auto"/>
      </w:divBdr>
    </w:div>
    <w:div w:id="1230578228">
      <w:bodyDiv w:val="1"/>
      <w:marLeft w:val="0"/>
      <w:marRight w:val="0"/>
      <w:marTop w:val="0"/>
      <w:marBottom w:val="0"/>
      <w:divBdr>
        <w:top w:val="none" w:sz="0" w:space="0" w:color="auto"/>
        <w:left w:val="none" w:sz="0" w:space="0" w:color="auto"/>
        <w:bottom w:val="none" w:sz="0" w:space="0" w:color="auto"/>
        <w:right w:val="none" w:sz="0" w:space="0" w:color="auto"/>
      </w:divBdr>
    </w:div>
    <w:div w:id="1243636531">
      <w:bodyDiv w:val="1"/>
      <w:marLeft w:val="0"/>
      <w:marRight w:val="0"/>
      <w:marTop w:val="0"/>
      <w:marBottom w:val="0"/>
      <w:divBdr>
        <w:top w:val="none" w:sz="0" w:space="0" w:color="auto"/>
        <w:left w:val="none" w:sz="0" w:space="0" w:color="auto"/>
        <w:bottom w:val="none" w:sz="0" w:space="0" w:color="auto"/>
        <w:right w:val="none" w:sz="0" w:space="0" w:color="auto"/>
      </w:divBdr>
    </w:div>
    <w:div w:id="124407396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265072674">
      <w:bodyDiv w:val="1"/>
      <w:marLeft w:val="0"/>
      <w:marRight w:val="0"/>
      <w:marTop w:val="0"/>
      <w:marBottom w:val="0"/>
      <w:divBdr>
        <w:top w:val="none" w:sz="0" w:space="0" w:color="auto"/>
        <w:left w:val="none" w:sz="0" w:space="0" w:color="auto"/>
        <w:bottom w:val="none" w:sz="0" w:space="0" w:color="auto"/>
        <w:right w:val="none" w:sz="0" w:space="0" w:color="auto"/>
      </w:divBdr>
    </w:div>
    <w:div w:id="1306856130">
      <w:bodyDiv w:val="1"/>
      <w:marLeft w:val="0"/>
      <w:marRight w:val="0"/>
      <w:marTop w:val="0"/>
      <w:marBottom w:val="0"/>
      <w:divBdr>
        <w:top w:val="none" w:sz="0" w:space="0" w:color="auto"/>
        <w:left w:val="none" w:sz="0" w:space="0" w:color="auto"/>
        <w:bottom w:val="none" w:sz="0" w:space="0" w:color="auto"/>
        <w:right w:val="none" w:sz="0" w:space="0" w:color="auto"/>
      </w:divBdr>
    </w:div>
    <w:div w:id="1332561727">
      <w:bodyDiv w:val="1"/>
      <w:marLeft w:val="0"/>
      <w:marRight w:val="0"/>
      <w:marTop w:val="0"/>
      <w:marBottom w:val="0"/>
      <w:divBdr>
        <w:top w:val="none" w:sz="0" w:space="0" w:color="auto"/>
        <w:left w:val="none" w:sz="0" w:space="0" w:color="auto"/>
        <w:bottom w:val="none" w:sz="0" w:space="0" w:color="auto"/>
        <w:right w:val="none" w:sz="0" w:space="0" w:color="auto"/>
      </w:divBdr>
    </w:div>
    <w:div w:id="1346438096">
      <w:bodyDiv w:val="1"/>
      <w:marLeft w:val="0"/>
      <w:marRight w:val="0"/>
      <w:marTop w:val="0"/>
      <w:marBottom w:val="0"/>
      <w:divBdr>
        <w:top w:val="none" w:sz="0" w:space="0" w:color="auto"/>
        <w:left w:val="none" w:sz="0" w:space="0" w:color="auto"/>
        <w:bottom w:val="none" w:sz="0" w:space="0" w:color="auto"/>
        <w:right w:val="none" w:sz="0" w:space="0" w:color="auto"/>
      </w:divBdr>
    </w:div>
    <w:div w:id="1364555912">
      <w:bodyDiv w:val="1"/>
      <w:marLeft w:val="0"/>
      <w:marRight w:val="0"/>
      <w:marTop w:val="0"/>
      <w:marBottom w:val="0"/>
      <w:divBdr>
        <w:top w:val="none" w:sz="0" w:space="0" w:color="auto"/>
        <w:left w:val="none" w:sz="0" w:space="0" w:color="auto"/>
        <w:bottom w:val="none" w:sz="0" w:space="0" w:color="auto"/>
        <w:right w:val="none" w:sz="0" w:space="0" w:color="auto"/>
      </w:divBdr>
    </w:div>
    <w:div w:id="1377973890">
      <w:bodyDiv w:val="1"/>
      <w:marLeft w:val="0"/>
      <w:marRight w:val="0"/>
      <w:marTop w:val="0"/>
      <w:marBottom w:val="0"/>
      <w:divBdr>
        <w:top w:val="none" w:sz="0" w:space="0" w:color="auto"/>
        <w:left w:val="none" w:sz="0" w:space="0" w:color="auto"/>
        <w:bottom w:val="none" w:sz="0" w:space="0" w:color="auto"/>
        <w:right w:val="none" w:sz="0" w:space="0" w:color="auto"/>
      </w:divBdr>
    </w:div>
    <w:div w:id="1390110973">
      <w:bodyDiv w:val="1"/>
      <w:marLeft w:val="0"/>
      <w:marRight w:val="0"/>
      <w:marTop w:val="0"/>
      <w:marBottom w:val="0"/>
      <w:divBdr>
        <w:top w:val="none" w:sz="0" w:space="0" w:color="auto"/>
        <w:left w:val="none" w:sz="0" w:space="0" w:color="auto"/>
        <w:bottom w:val="none" w:sz="0" w:space="0" w:color="auto"/>
        <w:right w:val="none" w:sz="0" w:space="0" w:color="auto"/>
      </w:divBdr>
    </w:div>
    <w:div w:id="1434397172">
      <w:bodyDiv w:val="1"/>
      <w:marLeft w:val="0"/>
      <w:marRight w:val="0"/>
      <w:marTop w:val="0"/>
      <w:marBottom w:val="0"/>
      <w:divBdr>
        <w:top w:val="none" w:sz="0" w:space="0" w:color="auto"/>
        <w:left w:val="none" w:sz="0" w:space="0" w:color="auto"/>
        <w:bottom w:val="none" w:sz="0" w:space="0" w:color="auto"/>
        <w:right w:val="none" w:sz="0" w:space="0" w:color="auto"/>
      </w:divBdr>
    </w:div>
    <w:div w:id="1473987942">
      <w:bodyDiv w:val="1"/>
      <w:marLeft w:val="0"/>
      <w:marRight w:val="0"/>
      <w:marTop w:val="0"/>
      <w:marBottom w:val="0"/>
      <w:divBdr>
        <w:top w:val="none" w:sz="0" w:space="0" w:color="auto"/>
        <w:left w:val="none" w:sz="0" w:space="0" w:color="auto"/>
        <w:bottom w:val="none" w:sz="0" w:space="0" w:color="auto"/>
        <w:right w:val="none" w:sz="0" w:space="0" w:color="auto"/>
      </w:divBdr>
    </w:div>
    <w:div w:id="1475485188">
      <w:bodyDiv w:val="1"/>
      <w:marLeft w:val="0"/>
      <w:marRight w:val="0"/>
      <w:marTop w:val="0"/>
      <w:marBottom w:val="0"/>
      <w:divBdr>
        <w:top w:val="none" w:sz="0" w:space="0" w:color="auto"/>
        <w:left w:val="none" w:sz="0" w:space="0" w:color="auto"/>
        <w:bottom w:val="none" w:sz="0" w:space="0" w:color="auto"/>
        <w:right w:val="none" w:sz="0" w:space="0" w:color="auto"/>
      </w:divBdr>
    </w:div>
    <w:div w:id="1481341417">
      <w:bodyDiv w:val="1"/>
      <w:marLeft w:val="0"/>
      <w:marRight w:val="0"/>
      <w:marTop w:val="0"/>
      <w:marBottom w:val="0"/>
      <w:divBdr>
        <w:top w:val="none" w:sz="0" w:space="0" w:color="auto"/>
        <w:left w:val="none" w:sz="0" w:space="0" w:color="auto"/>
        <w:bottom w:val="none" w:sz="0" w:space="0" w:color="auto"/>
        <w:right w:val="none" w:sz="0" w:space="0" w:color="auto"/>
      </w:divBdr>
    </w:div>
    <w:div w:id="1529873680">
      <w:bodyDiv w:val="1"/>
      <w:marLeft w:val="0"/>
      <w:marRight w:val="0"/>
      <w:marTop w:val="0"/>
      <w:marBottom w:val="0"/>
      <w:divBdr>
        <w:top w:val="none" w:sz="0" w:space="0" w:color="auto"/>
        <w:left w:val="none" w:sz="0" w:space="0" w:color="auto"/>
        <w:bottom w:val="none" w:sz="0" w:space="0" w:color="auto"/>
        <w:right w:val="none" w:sz="0" w:space="0" w:color="auto"/>
      </w:divBdr>
    </w:div>
    <w:div w:id="1566717280">
      <w:bodyDiv w:val="1"/>
      <w:marLeft w:val="0"/>
      <w:marRight w:val="0"/>
      <w:marTop w:val="0"/>
      <w:marBottom w:val="0"/>
      <w:divBdr>
        <w:top w:val="none" w:sz="0" w:space="0" w:color="auto"/>
        <w:left w:val="none" w:sz="0" w:space="0" w:color="auto"/>
        <w:bottom w:val="none" w:sz="0" w:space="0" w:color="auto"/>
        <w:right w:val="none" w:sz="0" w:space="0" w:color="auto"/>
      </w:divBdr>
    </w:div>
    <w:div w:id="1570112722">
      <w:bodyDiv w:val="1"/>
      <w:marLeft w:val="0"/>
      <w:marRight w:val="0"/>
      <w:marTop w:val="0"/>
      <w:marBottom w:val="0"/>
      <w:divBdr>
        <w:top w:val="none" w:sz="0" w:space="0" w:color="auto"/>
        <w:left w:val="none" w:sz="0" w:space="0" w:color="auto"/>
        <w:bottom w:val="none" w:sz="0" w:space="0" w:color="auto"/>
        <w:right w:val="none" w:sz="0" w:space="0" w:color="auto"/>
      </w:divBdr>
    </w:div>
    <w:div w:id="1581599179">
      <w:bodyDiv w:val="1"/>
      <w:marLeft w:val="0"/>
      <w:marRight w:val="0"/>
      <w:marTop w:val="0"/>
      <w:marBottom w:val="0"/>
      <w:divBdr>
        <w:top w:val="none" w:sz="0" w:space="0" w:color="auto"/>
        <w:left w:val="none" w:sz="0" w:space="0" w:color="auto"/>
        <w:bottom w:val="none" w:sz="0" w:space="0" w:color="auto"/>
        <w:right w:val="none" w:sz="0" w:space="0" w:color="auto"/>
      </w:divBdr>
    </w:div>
    <w:div w:id="1627542754">
      <w:bodyDiv w:val="1"/>
      <w:marLeft w:val="0"/>
      <w:marRight w:val="0"/>
      <w:marTop w:val="0"/>
      <w:marBottom w:val="0"/>
      <w:divBdr>
        <w:top w:val="none" w:sz="0" w:space="0" w:color="auto"/>
        <w:left w:val="none" w:sz="0" w:space="0" w:color="auto"/>
        <w:bottom w:val="none" w:sz="0" w:space="0" w:color="auto"/>
        <w:right w:val="none" w:sz="0" w:space="0" w:color="auto"/>
      </w:divBdr>
    </w:div>
    <w:div w:id="1637644027">
      <w:bodyDiv w:val="1"/>
      <w:marLeft w:val="0"/>
      <w:marRight w:val="0"/>
      <w:marTop w:val="0"/>
      <w:marBottom w:val="0"/>
      <w:divBdr>
        <w:top w:val="none" w:sz="0" w:space="0" w:color="auto"/>
        <w:left w:val="none" w:sz="0" w:space="0" w:color="auto"/>
        <w:bottom w:val="none" w:sz="0" w:space="0" w:color="auto"/>
        <w:right w:val="none" w:sz="0" w:space="0" w:color="auto"/>
      </w:divBdr>
      <w:divsChild>
        <w:div w:id="1213032715">
          <w:marLeft w:val="0"/>
          <w:marRight w:val="0"/>
          <w:marTop w:val="0"/>
          <w:marBottom w:val="0"/>
          <w:divBdr>
            <w:top w:val="none" w:sz="0" w:space="0" w:color="auto"/>
            <w:left w:val="none" w:sz="0" w:space="0" w:color="auto"/>
            <w:bottom w:val="none" w:sz="0" w:space="0" w:color="auto"/>
            <w:right w:val="none" w:sz="0" w:space="0" w:color="auto"/>
          </w:divBdr>
        </w:div>
      </w:divsChild>
    </w:div>
    <w:div w:id="1651902084">
      <w:bodyDiv w:val="1"/>
      <w:marLeft w:val="0"/>
      <w:marRight w:val="0"/>
      <w:marTop w:val="0"/>
      <w:marBottom w:val="0"/>
      <w:divBdr>
        <w:top w:val="none" w:sz="0" w:space="0" w:color="auto"/>
        <w:left w:val="none" w:sz="0" w:space="0" w:color="auto"/>
        <w:bottom w:val="none" w:sz="0" w:space="0" w:color="auto"/>
        <w:right w:val="none" w:sz="0" w:space="0" w:color="auto"/>
      </w:divBdr>
    </w:div>
    <w:div w:id="1686858033">
      <w:bodyDiv w:val="1"/>
      <w:marLeft w:val="0"/>
      <w:marRight w:val="0"/>
      <w:marTop w:val="0"/>
      <w:marBottom w:val="0"/>
      <w:divBdr>
        <w:top w:val="none" w:sz="0" w:space="0" w:color="auto"/>
        <w:left w:val="none" w:sz="0" w:space="0" w:color="auto"/>
        <w:bottom w:val="none" w:sz="0" w:space="0" w:color="auto"/>
        <w:right w:val="none" w:sz="0" w:space="0" w:color="auto"/>
      </w:divBdr>
    </w:div>
    <w:div w:id="1738016620">
      <w:bodyDiv w:val="1"/>
      <w:marLeft w:val="0"/>
      <w:marRight w:val="0"/>
      <w:marTop w:val="0"/>
      <w:marBottom w:val="0"/>
      <w:divBdr>
        <w:top w:val="none" w:sz="0" w:space="0" w:color="auto"/>
        <w:left w:val="none" w:sz="0" w:space="0" w:color="auto"/>
        <w:bottom w:val="none" w:sz="0" w:space="0" w:color="auto"/>
        <w:right w:val="none" w:sz="0" w:space="0" w:color="auto"/>
      </w:divBdr>
    </w:div>
    <w:div w:id="1780373668">
      <w:bodyDiv w:val="1"/>
      <w:marLeft w:val="0"/>
      <w:marRight w:val="0"/>
      <w:marTop w:val="0"/>
      <w:marBottom w:val="0"/>
      <w:divBdr>
        <w:top w:val="none" w:sz="0" w:space="0" w:color="auto"/>
        <w:left w:val="none" w:sz="0" w:space="0" w:color="auto"/>
        <w:bottom w:val="none" w:sz="0" w:space="0" w:color="auto"/>
        <w:right w:val="none" w:sz="0" w:space="0" w:color="auto"/>
      </w:divBdr>
    </w:div>
    <w:div w:id="1783185298">
      <w:bodyDiv w:val="1"/>
      <w:marLeft w:val="0"/>
      <w:marRight w:val="0"/>
      <w:marTop w:val="0"/>
      <w:marBottom w:val="0"/>
      <w:divBdr>
        <w:top w:val="none" w:sz="0" w:space="0" w:color="auto"/>
        <w:left w:val="none" w:sz="0" w:space="0" w:color="auto"/>
        <w:bottom w:val="none" w:sz="0" w:space="0" w:color="auto"/>
        <w:right w:val="none" w:sz="0" w:space="0" w:color="auto"/>
      </w:divBdr>
    </w:div>
    <w:div w:id="1792743051">
      <w:bodyDiv w:val="1"/>
      <w:marLeft w:val="0"/>
      <w:marRight w:val="0"/>
      <w:marTop w:val="0"/>
      <w:marBottom w:val="0"/>
      <w:divBdr>
        <w:top w:val="none" w:sz="0" w:space="0" w:color="auto"/>
        <w:left w:val="none" w:sz="0" w:space="0" w:color="auto"/>
        <w:bottom w:val="none" w:sz="0" w:space="0" w:color="auto"/>
        <w:right w:val="none" w:sz="0" w:space="0" w:color="auto"/>
      </w:divBdr>
      <w:divsChild>
        <w:div w:id="1899171850">
          <w:marLeft w:val="0"/>
          <w:marRight w:val="0"/>
          <w:marTop w:val="0"/>
          <w:marBottom w:val="0"/>
          <w:divBdr>
            <w:top w:val="none" w:sz="0" w:space="0" w:color="auto"/>
            <w:left w:val="none" w:sz="0" w:space="0" w:color="auto"/>
            <w:bottom w:val="none" w:sz="0" w:space="0" w:color="auto"/>
            <w:right w:val="none" w:sz="0" w:space="0" w:color="auto"/>
          </w:divBdr>
        </w:div>
      </w:divsChild>
    </w:div>
    <w:div w:id="1831016541">
      <w:bodyDiv w:val="1"/>
      <w:marLeft w:val="0"/>
      <w:marRight w:val="0"/>
      <w:marTop w:val="0"/>
      <w:marBottom w:val="0"/>
      <w:divBdr>
        <w:top w:val="none" w:sz="0" w:space="0" w:color="auto"/>
        <w:left w:val="none" w:sz="0" w:space="0" w:color="auto"/>
        <w:bottom w:val="none" w:sz="0" w:space="0" w:color="auto"/>
        <w:right w:val="none" w:sz="0" w:space="0" w:color="auto"/>
      </w:divBdr>
    </w:div>
    <w:div w:id="1833832348">
      <w:bodyDiv w:val="1"/>
      <w:marLeft w:val="0"/>
      <w:marRight w:val="0"/>
      <w:marTop w:val="0"/>
      <w:marBottom w:val="0"/>
      <w:divBdr>
        <w:top w:val="none" w:sz="0" w:space="0" w:color="auto"/>
        <w:left w:val="none" w:sz="0" w:space="0" w:color="auto"/>
        <w:bottom w:val="none" w:sz="0" w:space="0" w:color="auto"/>
        <w:right w:val="none" w:sz="0" w:space="0" w:color="auto"/>
      </w:divBdr>
    </w:div>
    <w:div w:id="1844779745">
      <w:bodyDiv w:val="1"/>
      <w:marLeft w:val="0"/>
      <w:marRight w:val="0"/>
      <w:marTop w:val="0"/>
      <w:marBottom w:val="0"/>
      <w:divBdr>
        <w:top w:val="none" w:sz="0" w:space="0" w:color="auto"/>
        <w:left w:val="none" w:sz="0" w:space="0" w:color="auto"/>
        <w:bottom w:val="none" w:sz="0" w:space="0" w:color="auto"/>
        <w:right w:val="none" w:sz="0" w:space="0" w:color="auto"/>
      </w:divBdr>
      <w:divsChild>
        <w:div w:id="1759012664">
          <w:marLeft w:val="0"/>
          <w:marRight w:val="0"/>
          <w:marTop w:val="0"/>
          <w:marBottom w:val="0"/>
          <w:divBdr>
            <w:top w:val="none" w:sz="0" w:space="0" w:color="auto"/>
            <w:left w:val="none" w:sz="0" w:space="0" w:color="auto"/>
            <w:bottom w:val="none" w:sz="0" w:space="0" w:color="auto"/>
            <w:right w:val="none" w:sz="0" w:space="0" w:color="auto"/>
          </w:divBdr>
        </w:div>
      </w:divsChild>
    </w:div>
    <w:div w:id="1850214903">
      <w:bodyDiv w:val="1"/>
      <w:marLeft w:val="0"/>
      <w:marRight w:val="0"/>
      <w:marTop w:val="0"/>
      <w:marBottom w:val="0"/>
      <w:divBdr>
        <w:top w:val="none" w:sz="0" w:space="0" w:color="auto"/>
        <w:left w:val="none" w:sz="0" w:space="0" w:color="auto"/>
        <w:bottom w:val="none" w:sz="0" w:space="0" w:color="auto"/>
        <w:right w:val="none" w:sz="0" w:space="0" w:color="auto"/>
      </w:divBdr>
    </w:div>
    <w:div w:id="1859074008">
      <w:bodyDiv w:val="1"/>
      <w:marLeft w:val="0"/>
      <w:marRight w:val="0"/>
      <w:marTop w:val="0"/>
      <w:marBottom w:val="0"/>
      <w:divBdr>
        <w:top w:val="none" w:sz="0" w:space="0" w:color="auto"/>
        <w:left w:val="none" w:sz="0" w:space="0" w:color="auto"/>
        <w:bottom w:val="none" w:sz="0" w:space="0" w:color="auto"/>
        <w:right w:val="none" w:sz="0" w:space="0" w:color="auto"/>
      </w:divBdr>
    </w:div>
    <w:div w:id="1873299229">
      <w:bodyDiv w:val="1"/>
      <w:marLeft w:val="0"/>
      <w:marRight w:val="0"/>
      <w:marTop w:val="0"/>
      <w:marBottom w:val="0"/>
      <w:divBdr>
        <w:top w:val="none" w:sz="0" w:space="0" w:color="auto"/>
        <w:left w:val="none" w:sz="0" w:space="0" w:color="auto"/>
        <w:bottom w:val="none" w:sz="0" w:space="0" w:color="auto"/>
        <w:right w:val="none" w:sz="0" w:space="0" w:color="auto"/>
      </w:divBdr>
    </w:div>
    <w:div w:id="1880435955">
      <w:bodyDiv w:val="1"/>
      <w:marLeft w:val="0"/>
      <w:marRight w:val="0"/>
      <w:marTop w:val="0"/>
      <w:marBottom w:val="0"/>
      <w:divBdr>
        <w:top w:val="none" w:sz="0" w:space="0" w:color="auto"/>
        <w:left w:val="none" w:sz="0" w:space="0" w:color="auto"/>
        <w:bottom w:val="none" w:sz="0" w:space="0" w:color="auto"/>
        <w:right w:val="none" w:sz="0" w:space="0" w:color="auto"/>
      </w:divBdr>
    </w:div>
    <w:div w:id="1887109219">
      <w:bodyDiv w:val="1"/>
      <w:marLeft w:val="0"/>
      <w:marRight w:val="0"/>
      <w:marTop w:val="0"/>
      <w:marBottom w:val="0"/>
      <w:divBdr>
        <w:top w:val="none" w:sz="0" w:space="0" w:color="auto"/>
        <w:left w:val="none" w:sz="0" w:space="0" w:color="auto"/>
        <w:bottom w:val="none" w:sz="0" w:space="0" w:color="auto"/>
        <w:right w:val="none" w:sz="0" w:space="0" w:color="auto"/>
      </w:divBdr>
      <w:divsChild>
        <w:div w:id="1567447216">
          <w:marLeft w:val="0"/>
          <w:marRight w:val="0"/>
          <w:marTop w:val="0"/>
          <w:marBottom w:val="0"/>
          <w:divBdr>
            <w:top w:val="none" w:sz="0" w:space="0" w:color="auto"/>
            <w:left w:val="none" w:sz="0" w:space="0" w:color="auto"/>
            <w:bottom w:val="none" w:sz="0" w:space="0" w:color="auto"/>
            <w:right w:val="none" w:sz="0" w:space="0" w:color="auto"/>
          </w:divBdr>
        </w:div>
      </w:divsChild>
    </w:div>
    <w:div w:id="1914122548">
      <w:bodyDiv w:val="1"/>
      <w:marLeft w:val="0"/>
      <w:marRight w:val="0"/>
      <w:marTop w:val="0"/>
      <w:marBottom w:val="0"/>
      <w:divBdr>
        <w:top w:val="none" w:sz="0" w:space="0" w:color="auto"/>
        <w:left w:val="none" w:sz="0" w:space="0" w:color="auto"/>
        <w:bottom w:val="none" w:sz="0" w:space="0" w:color="auto"/>
        <w:right w:val="none" w:sz="0" w:space="0" w:color="auto"/>
      </w:divBdr>
    </w:div>
    <w:div w:id="1919828189">
      <w:bodyDiv w:val="1"/>
      <w:marLeft w:val="0"/>
      <w:marRight w:val="0"/>
      <w:marTop w:val="0"/>
      <w:marBottom w:val="0"/>
      <w:divBdr>
        <w:top w:val="none" w:sz="0" w:space="0" w:color="auto"/>
        <w:left w:val="none" w:sz="0" w:space="0" w:color="auto"/>
        <w:bottom w:val="none" w:sz="0" w:space="0" w:color="auto"/>
        <w:right w:val="none" w:sz="0" w:space="0" w:color="auto"/>
      </w:divBdr>
    </w:div>
    <w:div w:id="1931232026">
      <w:bodyDiv w:val="1"/>
      <w:marLeft w:val="0"/>
      <w:marRight w:val="0"/>
      <w:marTop w:val="0"/>
      <w:marBottom w:val="0"/>
      <w:divBdr>
        <w:top w:val="none" w:sz="0" w:space="0" w:color="auto"/>
        <w:left w:val="none" w:sz="0" w:space="0" w:color="auto"/>
        <w:bottom w:val="none" w:sz="0" w:space="0" w:color="auto"/>
        <w:right w:val="none" w:sz="0" w:space="0" w:color="auto"/>
      </w:divBdr>
    </w:div>
    <w:div w:id="1952980035">
      <w:bodyDiv w:val="1"/>
      <w:marLeft w:val="0"/>
      <w:marRight w:val="0"/>
      <w:marTop w:val="0"/>
      <w:marBottom w:val="0"/>
      <w:divBdr>
        <w:top w:val="none" w:sz="0" w:space="0" w:color="auto"/>
        <w:left w:val="none" w:sz="0" w:space="0" w:color="auto"/>
        <w:bottom w:val="none" w:sz="0" w:space="0" w:color="auto"/>
        <w:right w:val="none" w:sz="0" w:space="0" w:color="auto"/>
      </w:divBdr>
    </w:div>
    <w:div w:id="1956208192">
      <w:bodyDiv w:val="1"/>
      <w:marLeft w:val="0"/>
      <w:marRight w:val="0"/>
      <w:marTop w:val="0"/>
      <w:marBottom w:val="0"/>
      <w:divBdr>
        <w:top w:val="none" w:sz="0" w:space="0" w:color="auto"/>
        <w:left w:val="none" w:sz="0" w:space="0" w:color="auto"/>
        <w:bottom w:val="none" w:sz="0" w:space="0" w:color="auto"/>
        <w:right w:val="none" w:sz="0" w:space="0" w:color="auto"/>
      </w:divBdr>
    </w:div>
    <w:div w:id="1957447603">
      <w:bodyDiv w:val="1"/>
      <w:marLeft w:val="0"/>
      <w:marRight w:val="0"/>
      <w:marTop w:val="0"/>
      <w:marBottom w:val="0"/>
      <w:divBdr>
        <w:top w:val="none" w:sz="0" w:space="0" w:color="auto"/>
        <w:left w:val="none" w:sz="0" w:space="0" w:color="auto"/>
        <w:bottom w:val="none" w:sz="0" w:space="0" w:color="auto"/>
        <w:right w:val="none" w:sz="0" w:space="0" w:color="auto"/>
      </w:divBdr>
    </w:div>
    <w:div w:id="1959138414">
      <w:bodyDiv w:val="1"/>
      <w:marLeft w:val="0"/>
      <w:marRight w:val="0"/>
      <w:marTop w:val="0"/>
      <w:marBottom w:val="0"/>
      <w:divBdr>
        <w:top w:val="none" w:sz="0" w:space="0" w:color="auto"/>
        <w:left w:val="none" w:sz="0" w:space="0" w:color="auto"/>
        <w:bottom w:val="none" w:sz="0" w:space="0" w:color="auto"/>
        <w:right w:val="none" w:sz="0" w:space="0" w:color="auto"/>
      </w:divBdr>
    </w:div>
    <w:div w:id="1967081849">
      <w:bodyDiv w:val="1"/>
      <w:marLeft w:val="0"/>
      <w:marRight w:val="0"/>
      <w:marTop w:val="0"/>
      <w:marBottom w:val="0"/>
      <w:divBdr>
        <w:top w:val="none" w:sz="0" w:space="0" w:color="auto"/>
        <w:left w:val="none" w:sz="0" w:space="0" w:color="auto"/>
        <w:bottom w:val="none" w:sz="0" w:space="0" w:color="auto"/>
        <w:right w:val="none" w:sz="0" w:space="0" w:color="auto"/>
      </w:divBdr>
    </w:div>
    <w:div w:id="1969165018">
      <w:bodyDiv w:val="1"/>
      <w:marLeft w:val="0"/>
      <w:marRight w:val="0"/>
      <w:marTop w:val="0"/>
      <w:marBottom w:val="0"/>
      <w:divBdr>
        <w:top w:val="none" w:sz="0" w:space="0" w:color="auto"/>
        <w:left w:val="none" w:sz="0" w:space="0" w:color="auto"/>
        <w:bottom w:val="none" w:sz="0" w:space="0" w:color="auto"/>
        <w:right w:val="none" w:sz="0" w:space="0" w:color="auto"/>
      </w:divBdr>
    </w:div>
    <w:div w:id="1970041389">
      <w:bodyDiv w:val="1"/>
      <w:marLeft w:val="0"/>
      <w:marRight w:val="0"/>
      <w:marTop w:val="0"/>
      <w:marBottom w:val="0"/>
      <w:divBdr>
        <w:top w:val="none" w:sz="0" w:space="0" w:color="auto"/>
        <w:left w:val="none" w:sz="0" w:space="0" w:color="auto"/>
        <w:bottom w:val="none" w:sz="0" w:space="0" w:color="auto"/>
        <w:right w:val="none" w:sz="0" w:space="0" w:color="auto"/>
      </w:divBdr>
    </w:div>
    <w:div w:id="1974016361">
      <w:bodyDiv w:val="1"/>
      <w:marLeft w:val="0"/>
      <w:marRight w:val="0"/>
      <w:marTop w:val="0"/>
      <w:marBottom w:val="0"/>
      <w:divBdr>
        <w:top w:val="none" w:sz="0" w:space="0" w:color="auto"/>
        <w:left w:val="none" w:sz="0" w:space="0" w:color="auto"/>
        <w:bottom w:val="none" w:sz="0" w:space="0" w:color="auto"/>
        <w:right w:val="none" w:sz="0" w:space="0" w:color="auto"/>
      </w:divBdr>
    </w:div>
    <w:div w:id="1984460930">
      <w:bodyDiv w:val="1"/>
      <w:marLeft w:val="0"/>
      <w:marRight w:val="0"/>
      <w:marTop w:val="0"/>
      <w:marBottom w:val="0"/>
      <w:divBdr>
        <w:top w:val="none" w:sz="0" w:space="0" w:color="auto"/>
        <w:left w:val="none" w:sz="0" w:space="0" w:color="auto"/>
        <w:bottom w:val="none" w:sz="0" w:space="0" w:color="auto"/>
        <w:right w:val="none" w:sz="0" w:space="0" w:color="auto"/>
      </w:divBdr>
    </w:div>
    <w:div w:id="1998875629">
      <w:bodyDiv w:val="1"/>
      <w:marLeft w:val="0"/>
      <w:marRight w:val="0"/>
      <w:marTop w:val="0"/>
      <w:marBottom w:val="0"/>
      <w:divBdr>
        <w:top w:val="none" w:sz="0" w:space="0" w:color="auto"/>
        <w:left w:val="none" w:sz="0" w:space="0" w:color="auto"/>
        <w:bottom w:val="none" w:sz="0" w:space="0" w:color="auto"/>
        <w:right w:val="none" w:sz="0" w:space="0" w:color="auto"/>
      </w:divBdr>
    </w:div>
    <w:div w:id="2000497166">
      <w:bodyDiv w:val="1"/>
      <w:marLeft w:val="0"/>
      <w:marRight w:val="0"/>
      <w:marTop w:val="0"/>
      <w:marBottom w:val="0"/>
      <w:divBdr>
        <w:top w:val="none" w:sz="0" w:space="0" w:color="auto"/>
        <w:left w:val="none" w:sz="0" w:space="0" w:color="auto"/>
        <w:bottom w:val="none" w:sz="0" w:space="0" w:color="auto"/>
        <w:right w:val="none" w:sz="0" w:space="0" w:color="auto"/>
      </w:divBdr>
    </w:div>
    <w:div w:id="2009482295">
      <w:bodyDiv w:val="1"/>
      <w:marLeft w:val="0"/>
      <w:marRight w:val="0"/>
      <w:marTop w:val="0"/>
      <w:marBottom w:val="0"/>
      <w:divBdr>
        <w:top w:val="none" w:sz="0" w:space="0" w:color="auto"/>
        <w:left w:val="none" w:sz="0" w:space="0" w:color="auto"/>
        <w:bottom w:val="none" w:sz="0" w:space="0" w:color="auto"/>
        <w:right w:val="none" w:sz="0" w:space="0" w:color="auto"/>
      </w:divBdr>
    </w:div>
    <w:div w:id="2066178879">
      <w:bodyDiv w:val="1"/>
      <w:marLeft w:val="0"/>
      <w:marRight w:val="0"/>
      <w:marTop w:val="0"/>
      <w:marBottom w:val="0"/>
      <w:divBdr>
        <w:top w:val="none" w:sz="0" w:space="0" w:color="auto"/>
        <w:left w:val="none" w:sz="0" w:space="0" w:color="auto"/>
        <w:bottom w:val="none" w:sz="0" w:space="0" w:color="auto"/>
        <w:right w:val="none" w:sz="0" w:space="0" w:color="auto"/>
      </w:divBdr>
    </w:div>
    <w:div w:id="2072849153">
      <w:bodyDiv w:val="1"/>
      <w:marLeft w:val="0"/>
      <w:marRight w:val="0"/>
      <w:marTop w:val="0"/>
      <w:marBottom w:val="0"/>
      <w:divBdr>
        <w:top w:val="none" w:sz="0" w:space="0" w:color="auto"/>
        <w:left w:val="none" w:sz="0" w:space="0" w:color="auto"/>
        <w:bottom w:val="none" w:sz="0" w:space="0" w:color="auto"/>
        <w:right w:val="none" w:sz="0" w:space="0" w:color="auto"/>
      </w:divBdr>
    </w:div>
    <w:div w:id="2081518644">
      <w:bodyDiv w:val="1"/>
      <w:marLeft w:val="0"/>
      <w:marRight w:val="0"/>
      <w:marTop w:val="0"/>
      <w:marBottom w:val="0"/>
      <w:divBdr>
        <w:top w:val="none" w:sz="0" w:space="0" w:color="auto"/>
        <w:left w:val="none" w:sz="0" w:space="0" w:color="auto"/>
        <w:bottom w:val="none" w:sz="0" w:space="0" w:color="auto"/>
        <w:right w:val="none" w:sz="0" w:space="0" w:color="auto"/>
      </w:divBdr>
    </w:div>
    <w:div w:id="2118597030">
      <w:bodyDiv w:val="1"/>
      <w:marLeft w:val="0"/>
      <w:marRight w:val="0"/>
      <w:marTop w:val="0"/>
      <w:marBottom w:val="0"/>
      <w:divBdr>
        <w:top w:val="none" w:sz="0" w:space="0" w:color="auto"/>
        <w:left w:val="none" w:sz="0" w:space="0" w:color="auto"/>
        <w:bottom w:val="none" w:sz="0" w:space="0" w:color="auto"/>
        <w:right w:val="none" w:sz="0" w:space="0" w:color="auto"/>
      </w:divBdr>
    </w:div>
    <w:div w:id="2119133274">
      <w:bodyDiv w:val="1"/>
      <w:marLeft w:val="0"/>
      <w:marRight w:val="0"/>
      <w:marTop w:val="0"/>
      <w:marBottom w:val="0"/>
      <w:divBdr>
        <w:top w:val="none" w:sz="0" w:space="0" w:color="auto"/>
        <w:left w:val="none" w:sz="0" w:space="0" w:color="auto"/>
        <w:bottom w:val="none" w:sz="0" w:space="0" w:color="auto"/>
        <w:right w:val="none" w:sz="0" w:space="0" w:color="auto"/>
      </w:divBdr>
      <w:divsChild>
        <w:div w:id="1973946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9.xml"/><Relationship Id="rId39" Type="http://schemas.openxmlformats.org/officeDocument/2006/relationships/header" Target="header16.xml"/><Relationship Id="rId21" Type="http://schemas.openxmlformats.org/officeDocument/2006/relationships/header" Target="header6.xml"/><Relationship Id="rId34" Type="http://schemas.openxmlformats.org/officeDocument/2006/relationships/header" Target="header14.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footer" Target="footer5.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3.xml"/><Relationship Id="rId37" Type="http://schemas.openxmlformats.org/officeDocument/2006/relationships/hyperlink" Target="http://www.milliman.com" TargetMode="External"/><Relationship Id="rId40"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header" Target="header11.xml"/><Relationship Id="rId36" Type="http://schemas.openxmlformats.org/officeDocument/2006/relationships/hyperlink" Target="http://www.milliman.com" TargetMode="Externa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iff"/><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image" Target="media/image5.png"/><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4.xml"/><Relationship Id="rId33" Type="http://schemas.openxmlformats.org/officeDocument/2006/relationships/footer" Target="footer6.xml"/><Relationship Id="rId38" Type="http://schemas.openxmlformats.org/officeDocument/2006/relationships/header" Target="header15.xml"/></Relationships>
</file>

<file path=word/_rels/footnotes.xml.rels><?xml version="1.0" encoding="UTF-8" standalone="yes"?>
<Relationships xmlns="http://schemas.openxmlformats.org/package/2006/relationships"><Relationship Id="rId3" Type="http://schemas.openxmlformats.org/officeDocument/2006/relationships/hyperlink" Target="https://www1.magellanrx.com/read-watch-listen/read/our-publications/medicaid-pharmacy-trend-report/" TargetMode="External"/><Relationship Id="rId2" Type="http://schemas.openxmlformats.org/officeDocument/2006/relationships/hyperlink" Target="https://www.cms.gov/research-statistics-data-and-systems/statistics-trends-and-reports/nationalhealthexpenddata/nationalhealthaccountsprojected.html" TargetMode="External"/><Relationship Id="rId1" Type="http://schemas.openxmlformats.org/officeDocument/2006/relationships/hyperlink" Target="http://www.actuarialstandardsboard.org/asops/medicaid-managed-care-capitation-rate-development-and-cert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Milliman CURRENT 2016">
      <a:dk1>
        <a:sysClr val="windowText" lastClr="000000"/>
      </a:dk1>
      <a:lt1>
        <a:sysClr val="window" lastClr="FFFFFF"/>
      </a:lt1>
      <a:dk2>
        <a:srgbClr val="0A4977"/>
      </a:dk2>
      <a:lt2>
        <a:srgbClr val="39414D"/>
      </a:lt2>
      <a:accent1>
        <a:srgbClr val="8EA780"/>
      </a:accent1>
      <a:accent2>
        <a:srgbClr val="C6C9CA"/>
      </a:accent2>
      <a:accent3>
        <a:srgbClr val="727A7D"/>
      </a:accent3>
      <a:accent4>
        <a:srgbClr val="0081E3"/>
      </a:accent4>
      <a:accent5>
        <a:srgbClr val="FFA200"/>
      </a:accent5>
      <a:accent6>
        <a:srgbClr val="64A623"/>
      </a:accent6>
      <a:hlink>
        <a:srgbClr val="0081E3"/>
      </a:hlink>
      <a:folHlink>
        <a:srgbClr val="0081E3"/>
      </a:folHlink>
    </a:clrScheme>
    <a:fontScheme name="Millima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D3EC299757F384480B694E1598C47A8" ma:contentTypeVersion="0" ma:contentTypeDescription="Create a new document." ma:contentTypeScope="" ma:versionID="d51c6adafe459a4b2b61f0c5caec7ce6">
  <xsd:schema xmlns:xsd="http://www.w3.org/2001/XMLSchema" xmlns:xs="http://www.w3.org/2001/XMLSchema" xmlns:p="http://schemas.microsoft.com/office/2006/metadata/properties" targetNamespace="http://schemas.microsoft.com/office/2006/metadata/properties" ma:root="true" ma:fieldsID="1018941ab4f2dfd244f3902ec1f651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1DFF70-DB0A-41BF-A5A6-544EB1EF7AC6}">
  <ds:schemaRefs>
    <ds:schemaRef ds:uri="http://schemas.microsoft.com/sharepoint/v3/contenttype/forms"/>
  </ds:schemaRefs>
</ds:datastoreItem>
</file>

<file path=customXml/itemProps2.xml><?xml version="1.0" encoding="utf-8"?>
<ds:datastoreItem xmlns:ds="http://schemas.openxmlformats.org/officeDocument/2006/customXml" ds:itemID="{34226A80-163D-4FFB-BD5D-3A0176790EEE}">
  <ds:schemaRefs>
    <ds:schemaRef ds:uri="http://schemas.openxmlformats.org/officeDocument/2006/bibliography"/>
  </ds:schemaRefs>
</ds:datastoreItem>
</file>

<file path=customXml/itemProps3.xml><?xml version="1.0" encoding="utf-8"?>
<ds:datastoreItem xmlns:ds="http://schemas.openxmlformats.org/officeDocument/2006/customXml" ds:itemID="{5A97911A-6C5A-484C-921E-E8B0347A6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5D17A7-DFB8-46AF-9E64-F98FA3798ECD}">
  <ds:schemaRefs>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purl.org/dc/dcmitype/"/>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53</Pages>
  <Words>21580</Words>
  <Characters>117617</Characters>
  <Application>Microsoft Office Word</Application>
  <DocSecurity>0</DocSecurity>
  <Lines>2673</Lines>
  <Paragraphs>1435</Paragraphs>
  <ScaleCrop>false</ScaleCrop>
  <HeadingPairs>
    <vt:vector size="2" baseType="variant">
      <vt:variant>
        <vt:lpstr>Title</vt:lpstr>
      </vt:variant>
      <vt:variant>
        <vt:i4>1</vt:i4>
      </vt:variant>
    </vt:vector>
  </HeadingPairs>
  <TitlesOfParts>
    <vt:vector size="1" baseType="lpstr">
      <vt:lpstr>Report template with corporate brand colors, styles, and formatting - US letter</vt:lpstr>
    </vt:vector>
  </TitlesOfParts>
  <Company/>
  <LinksUpToDate>false</LinksUpToDate>
  <CharactersWithSpaces>137762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with corporate brand colors, styles, and formatting - US letter</dc:title>
  <dc:subject/>
  <dc:creator>Justin Chow</dc:creator>
  <cp:keywords/>
  <dc:description/>
  <cp:lastModifiedBy>Valerie Miller</cp:lastModifiedBy>
  <cp:revision>125</cp:revision>
  <cp:lastPrinted>2022-04-15T19:14:00Z</cp:lastPrinted>
  <dcterms:created xsi:type="dcterms:W3CDTF">2022-04-08T18:29:00Z</dcterms:created>
  <dcterms:modified xsi:type="dcterms:W3CDTF">2022-06-22T19:52:00Z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0x010100ED3EC299757F384480B694E1598C47A8</vt:lpwstr>
  </property>
  <property fmtid="{D5CDD505-2E9C-101B-9397-08002B2CF9AE}" pid="3" name="Thumbnail">
    <vt:lpwstr>, </vt:lpwstr>
  </property>
</Properties>
</file>