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7.xml" ContentType="application/vnd.openxmlformats-officedocument.wordprocessingml.foot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6F01" w14:textId="53B9C933" w:rsidR="00A10BFC" w:rsidRDefault="00705903" w:rsidP="00210B59">
      <w:pPr>
        <w:pStyle w:val="RRCoverSubtitle"/>
        <w:rPr>
          <w:b/>
          <w:color w:val="0081E3" w:themeColor="accent4"/>
          <w:sz w:val="48"/>
          <w:szCs w:val="48"/>
        </w:rPr>
      </w:pPr>
      <w:r>
        <w:rPr>
          <w:b/>
          <w:color w:val="0081E3" w:themeColor="accent4"/>
          <w:sz w:val="48"/>
          <w:szCs w:val="48"/>
        </w:rPr>
        <w:t xml:space="preserve">SFY </w:t>
      </w:r>
      <w:r w:rsidR="004945D6">
        <w:rPr>
          <w:b/>
          <w:color w:val="0081E3" w:themeColor="accent4"/>
          <w:sz w:val="48"/>
          <w:szCs w:val="48"/>
        </w:rPr>
        <w:t>2023</w:t>
      </w:r>
      <w:r w:rsidR="004945D6" w:rsidRPr="00111694">
        <w:rPr>
          <w:b/>
          <w:color w:val="0081E3" w:themeColor="accent4"/>
          <w:sz w:val="48"/>
          <w:szCs w:val="48"/>
        </w:rPr>
        <w:t xml:space="preserve"> </w:t>
      </w:r>
      <w:r w:rsidR="007D779E">
        <w:rPr>
          <w:b/>
          <w:color w:val="0081E3" w:themeColor="accent4"/>
          <w:sz w:val="48"/>
          <w:szCs w:val="48"/>
        </w:rPr>
        <w:t xml:space="preserve">Medicare-Medicaid Plan </w:t>
      </w:r>
      <w:r w:rsidR="0081321B" w:rsidRPr="00111694">
        <w:rPr>
          <w:b/>
          <w:color w:val="0081E3" w:themeColor="accent4"/>
          <w:sz w:val="48"/>
          <w:szCs w:val="48"/>
        </w:rPr>
        <w:t xml:space="preserve">Capitation Rate </w:t>
      </w:r>
      <w:r w:rsidR="0081321B">
        <w:rPr>
          <w:b/>
          <w:color w:val="0081E3" w:themeColor="accent4"/>
          <w:sz w:val="48"/>
          <w:szCs w:val="48"/>
        </w:rPr>
        <w:t>Certification</w:t>
      </w:r>
      <w:r w:rsidR="00115557">
        <w:rPr>
          <w:b/>
          <w:color w:val="0081E3" w:themeColor="accent4"/>
          <w:sz w:val="48"/>
          <w:szCs w:val="48"/>
        </w:rPr>
        <w:t xml:space="preserve"> </w:t>
      </w:r>
      <w:r w:rsidR="00BD03D9">
        <w:rPr>
          <w:b/>
          <w:color w:val="0081E3" w:themeColor="accent4"/>
          <w:sz w:val="48"/>
          <w:szCs w:val="48"/>
        </w:rPr>
        <w:t>– DRAFT</w:t>
      </w:r>
    </w:p>
    <w:p w14:paraId="4A19E1CD" w14:textId="20DB1F4A" w:rsidR="001B2A88" w:rsidRDefault="0081321B" w:rsidP="0081321B">
      <w:pPr>
        <w:pStyle w:val="RRCoverDate"/>
        <w:spacing w:before="0" w:after="0" w:line="300" w:lineRule="auto"/>
        <w:rPr>
          <w:rFonts w:asciiTheme="majorHAnsi" w:hAnsiTheme="majorHAnsi"/>
          <w:b/>
          <w:sz w:val="20"/>
          <w:szCs w:val="20"/>
        </w:rPr>
      </w:pPr>
      <w:r>
        <w:rPr>
          <w:rFonts w:asciiTheme="majorHAnsi" w:hAnsiTheme="majorHAnsi"/>
          <w:b/>
          <w:sz w:val="20"/>
          <w:szCs w:val="20"/>
        </w:rPr>
        <w:t>July</w:t>
      </w:r>
      <w:r w:rsidRPr="007556C7">
        <w:rPr>
          <w:rFonts w:asciiTheme="majorHAnsi" w:hAnsiTheme="majorHAnsi"/>
          <w:b/>
          <w:sz w:val="20"/>
          <w:szCs w:val="20"/>
        </w:rPr>
        <w:t xml:space="preserve"> 1, </w:t>
      </w:r>
      <w:r w:rsidR="004945D6" w:rsidRPr="007556C7">
        <w:rPr>
          <w:rFonts w:asciiTheme="majorHAnsi" w:hAnsiTheme="majorHAnsi"/>
          <w:b/>
          <w:sz w:val="20"/>
          <w:szCs w:val="20"/>
        </w:rPr>
        <w:t>20</w:t>
      </w:r>
      <w:r w:rsidR="004945D6">
        <w:rPr>
          <w:rFonts w:asciiTheme="majorHAnsi" w:hAnsiTheme="majorHAnsi"/>
          <w:b/>
          <w:sz w:val="20"/>
          <w:szCs w:val="20"/>
        </w:rPr>
        <w:t>22</w:t>
      </w:r>
      <w:r w:rsidR="004945D6" w:rsidRPr="007556C7">
        <w:rPr>
          <w:rFonts w:asciiTheme="majorHAnsi" w:hAnsiTheme="majorHAnsi"/>
          <w:b/>
          <w:sz w:val="20"/>
          <w:szCs w:val="20"/>
        </w:rPr>
        <w:t xml:space="preserve"> </w:t>
      </w:r>
      <w:r w:rsidRPr="007556C7">
        <w:rPr>
          <w:rFonts w:asciiTheme="majorHAnsi" w:hAnsiTheme="majorHAnsi"/>
          <w:b/>
          <w:sz w:val="20"/>
          <w:szCs w:val="20"/>
        </w:rPr>
        <w:t xml:space="preserve">through </w:t>
      </w:r>
      <w:r w:rsidR="00705903">
        <w:rPr>
          <w:rFonts w:asciiTheme="majorHAnsi" w:hAnsiTheme="majorHAnsi"/>
          <w:b/>
          <w:sz w:val="20"/>
          <w:szCs w:val="20"/>
        </w:rPr>
        <w:t xml:space="preserve">June </w:t>
      </w:r>
      <w:r w:rsidR="00C21390">
        <w:rPr>
          <w:rFonts w:asciiTheme="majorHAnsi" w:hAnsiTheme="majorHAnsi"/>
          <w:b/>
          <w:sz w:val="20"/>
          <w:szCs w:val="20"/>
        </w:rPr>
        <w:t>3</w:t>
      </w:r>
      <w:r w:rsidR="00705903">
        <w:rPr>
          <w:rFonts w:asciiTheme="majorHAnsi" w:hAnsiTheme="majorHAnsi"/>
          <w:b/>
          <w:sz w:val="20"/>
          <w:szCs w:val="20"/>
        </w:rPr>
        <w:t>0</w:t>
      </w:r>
      <w:r w:rsidRPr="007556C7">
        <w:rPr>
          <w:rFonts w:asciiTheme="majorHAnsi" w:hAnsiTheme="majorHAnsi"/>
          <w:b/>
          <w:sz w:val="20"/>
          <w:szCs w:val="20"/>
        </w:rPr>
        <w:t xml:space="preserve">, </w:t>
      </w:r>
      <w:r w:rsidR="004945D6" w:rsidRPr="007556C7">
        <w:rPr>
          <w:rFonts w:asciiTheme="majorHAnsi" w:hAnsiTheme="majorHAnsi"/>
          <w:b/>
          <w:sz w:val="20"/>
          <w:szCs w:val="20"/>
        </w:rPr>
        <w:t>20</w:t>
      </w:r>
      <w:r w:rsidR="004945D6">
        <w:rPr>
          <w:rFonts w:asciiTheme="majorHAnsi" w:hAnsiTheme="majorHAnsi"/>
          <w:b/>
          <w:sz w:val="20"/>
          <w:szCs w:val="20"/>
        </w:rPr>
        <w:t>23</w:t>
      </w:r>
    </w:p>
    <w:p w14:paraId="52D3BD5E" w14:textId="77777777" w:rsidR="00792E65" w:rsidRPr="00CF3E5F" w:rsidRDefault="00792E65" w:rsidP="00210B59">
      <w:pPr>
        <w:pStyle w:val="RRCoverSubtitle"/>
        <w:rPr>
          <w:b/>
          <w:i/>
          <w:iCs/>
          <w:color w:val="0081E3" w:themeColor="accent4"/>
          <w:szCs w:val="32"/>
        </w:rPr>
      </w:pPr>
    </w:p>
    <w:p w14:paraId="7B81157E" w14:textId="254E95C0" w:rsidR="003E3BCD" w:rsidRPr="007A0748" w:rsidRDefault="0081321B" w:rsidP="00210B59">
      <w:pPr>
        <w:pStyle w:val="RRCoverSubtitle"/>
        <w:rPr>
          <w:sz w:val="28"/>
        </w:rPr>
      </w:pPr>
      <w:r w:rsidRPr="00F363ED">
        <w:rPr>
          <w:b/>
          <w:bCs/>
        </w:rPr>
        <w:t>Rhode Island</w:t>
      </w:r>
      <w:r>
        <w:rPr>
          <w:b/>
          <w:bCs/>
        </w:rPr>
        <w:t xml:space="preserve">, </w:t>
      </w:r>
      <w:r w:rsidRPr="00F363ED">
        <w:rPr>
          <w:b/>
          <w:bCs/>
        </w:rPr>
        <w:t xml:space="preserve">Executive Office of Health </w:t>
      </w:r>
      <w:r>
        <w:rPr>
          <w:b/>
          <w:bCs/>
        </w:rPr>
        <w:t>and</w:t>
      </w:r>
      <w:r w:rsidRPr="00F363ED">
        <w:rPr>
          <w:b/>
          <w:bCs/>
        </w:rPr>
        <w:t xml:space="preserve"> Human Services</w:t>
      </w:r>
    </w:p>
    <w:p w14:paraId="2591E490" w14:textId="6874703A" w:rsidR="00603DE1" w:rsidRDefault="00CD42BC" w:rsidP="00210B59">
      <w:pPr>
        <w:pStyle w:val="RRCoverAuthor"/>
      </w:pPr>
      <w:r>
        <w:fldChar w:fldCharType="begin"/>
      </w:r>
      <w:r>
        <w:instrText xml:space="preserve"> DATE \@ "MMMM d, yyyy" </w:instrText>
      </w:r>
      <w:r>
        <w:fldChar w:fldCharType="separate"/>
      </w:r>
      <w:r w:rsidR="00DC1BCB">
        <w:rPr>
          <w:noProof/>
        </w:rPr>
        <w:t>July 22, 2022</w:t>
      </w:r>
      <w:r>
        <w:fldChar w:fldCharType="end"/>
      </w:r>
    </w:p>
    <w:p w14:paraId="5A402FC1" w14:textId="77777777" w:rsidR="00CD42BC" w:rsidRDefault="00CD42BC" w:rsidP="0081321B">
      <w:pPr>
        <w:pStyle w:val="RRCoverAuthor"/>
        <w:rPr>
          <w:color w:val="0081E3" w:themeColor="accent4"/>
        </w:rPr>
      </w:pPr>
    </w:p>
    <w:p w14:paraId="78CA1B3A" w14:textId="6DF4F6C3" w:rsidR="0081321B" w:rsidRDefault="0081321B" w:rsidP="0081321B">
      <w:pPr>
        <w:pStyle w:val="RRCoverAuthor"/>
      </w:pPr>
      <w:r>
        <w:rPr>
          <w:color w:val="0081E3" w:themeColor="accent4"/>
        </w:rPr>
        <w:t>Jason Clarkson</w:t>
      </w:r>
      <w:r>
        <w:t>, FSA, MAAA</w:t>
      </w:r>
    </w:p>
    <w:p w14:paraId="7C838584" w14:textId="574922D1" w:rsidR="0081321B" w:rsidRDefault="0081321B" w:rsidP="0081321B">
      <w:pPr>
        <w:pStyle w:val="RRCoverAuthor"/>
      </w:pPr>
      <w:r>
        <w:t>Principal and Consulting Actuary</w:t>
      </w:r>
    </w:p>
    <w:p w14:paraId="2BC99846" w14:textId="77777777" w:rsidR="00AF54FA" w:rsidRDefault="00AF54FA" w:rsidP="0081321B">
      <w:pPr>
        <w:pStyle w:val="RRCoverAuthor"/>
      </w:pPr>
    </w:p>
    <w:p w14:paraId="5CA6061F" w14:textId="77777777" w:rsidR="0081321B" w:rsidRPr="007A0748" w:rsidRDefault="0081321B" w:rsidP="0081321B">
      <w:pPr>
        <w:pStyle w:val="RRCoverAuthor"/>
        <w:rPr>
          <w:sz w:val="8"/>
        </w:rPr>
      </w:pPr>
    </w:p>
    <w:p w14:paraId="6845C620" w14:textId="69AB795E" w:rsidR="0081321B" w:rsidRDefault="0081321B" w:rsidP="0081321B">
      <w:pPr>
        <w:pStyle w:val="RRCoverAuthor"/>
      </w:pPr>
      <w:r>
        <w:rPr>
          <w:color w:val="0081E3" w:themeColor="accent4"/>
        </w:rPr>
        <w:t>Ian McCulla</w:t>
      </w:r>
      <w:r>
        <w:t>, FSA, MAAA</w:t>
      </w:r>
    </w:p>
    <w:p w14:paraId="0B520052" w14:textId="4BC6B033" w:rsidR="001B2A88" w:rsidRDefault="00705903" w:rsidP="00210B59">
      <w:pPr>
        <w:pStyle w:val="RRCoverAuthor"/>
      </w:pPr>
      <w:r>
        <w:t xml:space="preserve">Principal and </w:t>
      </w:r>
      <w:r w:rsidR="0081321B">
        <w:t>C</w:t>
      </w:r>
      <w:r w:rsidR="005019A5">
        <w:t>onsulting Actuary</w:t>
      </w:r>
      <w:r w:rsidR="001B2A88" w:rsidRPr="003C07FB">
        <w:rPr>
          <w:color w:val="0081E3" w:themeColor="accent4"/>
        </w:rPr>
        <w:t xml:space="preserve"> </w:t>
      </w:r>
    </w:p>
    <w:p w14:paraId="63E30069" w14:textId="78E2904B" w:rsidR="00B00F42" w:rsidRDefault="001124F1" w:rsidP="00210B59">
      <w:pPr>
        <w:pStyle w:val="RRObject"/>
        <w:sectPr w:rsidR="00B00F42" w:rsidSect="001B2A88">
          <w:headerReference w:type="default" r:id="rId11"/>
          <w:headerReference w:type="first" r:id="rId12"/>
          <w:footerReference w:type="first" r:id="rId13"/>
          <w:pgSz w:w="12240" w:h="15840" w:code="1"/>
          <w:pgMar w:top="1440" w:right="720" w:bottom="1037" w:left="720" w:header="432" w:footer="144" w:gutter="0"/>
          <w:cols w:space="720"/>
          <w:titlePg/>
          <w:docGrid w:linePitch="360"/>
        </w:sectPr>
      </w:pPr>
      <w:r>
        <w:rPr>
          <w:noProof/>
        </w:rPr>
        <mc:AlternateContent>
          <mc:Choice Requires="wps">
            <w:drawing>
              <wp:anchor distT="0" distB="0" distL="114300" distR="114300" simplePos="0" relativeHeight="251659269" behindDoc="0" locked="0" layoutInCell="1" allowOverlap="1" wp14:anchorId="26C68668" wp14:editId="0122DEE6">
                <wp:simplePos x="0" y="0"/>
                <wp:positionH relativeFrom="column">
                  <wp:posOffset>-431321</wp:posOffset>
                </wp:positionH>
                <wp:positionV relativeFrom="paragraph">
                  <wp:posOffset>5517731</wp:posOffset>
                </wp:positionV>
                <wp:extent cx="7720642" cy="69011"/>
                <wp:effectExtent l="0" t="0" r="0" b="7620"/>
                <wp:wrapNone/>
                <wp:docPr id="5" name="Rectangle 5"/>
                <wp:cNvGraphicFramePr/>
                <a:graphic xmlns:a="http://schemas.openxmlformats.org/drawingml/2006/main">
                  <a:graphicData uri="http://schemas.microsoft.com/office/word/2010/wordprocessingShape">
                    <wps:wsp>
                      <wps:cNvSpPr/>
                      <wps:spPr>
                        <a:xfrm>
                          <a:off x="0" y="0"/>
                          <a:ext cx="7720642" cy="690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E3C41" id="Rectangle 5" o:spid="_x0000_s1026" style="position:absolute;margin-left:-33.95pt;margin-top:434.45pt;width:607.9pt;height:5.45pt;z-index:2516592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" fillcolor="white [3212]" stroked="f" strokeweight="1pt"/>
            </w:pict>
          </mc:Fallback>
        </mc:AlternateContent>
      </w:r>
      <w:r w:rsidR="00610E90">
        <w:rPr>
          <w:noProof/>
        </w:rPr>
        <w:drawing>
          <wp:anchor distT="0" distB="0" distL="114300" distR="114300" simplePos="0" relativeHeight="251658240" behindDoc="0" locked="1" layoutInCell="1" allowOverlap="1" wp14:anchorId="6F700621" wp14:editId="37A807C4">
            <wp:simplePos x="0" y="0"/>
            <wp:positionH relativeFrom="margin">
              <wp:posOffset>5195570</wp:posOffset>
            </wp:positionH>
            <wp:positionV relativeFrom="margin">
              <wp:posOffset>8154035</wp:posOffset>
            </wp:positionV>
            <wp:extent cx="1663700" cy="35623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liman Logo.jp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663700" cy="356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2A88">
        <w:rPr>
          <w:noProof/>
        </w:rPr>
        <w:drawing>
          <wp:anchor distT="0" distB="0" distL="114300" distR="114300" simplePos="0" relativeHeight="251658243" behindDoc="0" locked="1" layoutInCell="1" allowOverlap="1" wp14:anchorId="443EB3B5" wp14:editId="348107DD">
            <wp:simplePos x="0" y="0"/>
            <wp:positionH relativeFrom="page">
              <wp:posOffset>16510</wp:posOffset>
            </wp:positionH>
            <wp:positionV relativeFrom="page">
              <wp:posOffset>4379595</wp:posOffset>
            </wp:positionV>
            <wp:extent cx="7778115" cy="44157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 Image.jp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7778115" cy="4415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93A5F2" w14:textId="77777777" w:rsidR="001B2A88" w:rsidRDefault="001B2A88" w:rsidP="00210B59">
      <w:pPr>
        <w:rPr>
          <w:color w:val="0A4977" w:themeColor="text2"/>
          <w:sz w:val="28"/>
        </w:rPr>
      </w:pPr>
      <w:r>
        <w:lastRenderedPageBreak/>
        <w:br w:type="page"/>
      </w:r>
      <w:r>
        <w:rPr>
          <w:noProof/>
        </w:rPr>
        <w:drawing>
          <wp:anchor distT="0" distB="0" distL="114300" distR="114300" simplePos="0" relativeHeight="251658245" behindDoc="0" locked="0" layoutInCell="1" allowOverlap="1" wp14:anchorId="55176C58" wp14:editId="7EA45B9C">
            <wp:simplePos x="0" y="0"/>
            <wp:positionH relativeFrom="column">
              <wp:posOffset>-900853</wp:posOffset>
            </wp:positionH>
            <wp:positionV relativeFrom="paragraph">
              <wp:posOffset>-900853</wp:posOffset>
            </wp:positionV>
            <wp:extent cx="7764817" cy="1004858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ash page logo-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64817" cy="1004858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1" locked="1" layoutInCell="1" allowOverlap="1" wp14:anchorId="025B623E" wp14:editId="06D48DAA">
                <wp:simplePos x="0" y="0"/>
                <wp:positionH relativeFrom="page">
                  <wp:posOffset>13335</wp:posOffset>
                </wp:positionH>
                <wp:positionV relativeFrom="page">
                  <wp:posOffset>13335</wp:posOffset>
                </wp:positionV>
                <wp:extent cx="7764780" cy="10789920"/>
                <wp:effectExtent l="0" t="0" r="7620" b="0"/>
                <wp:wrapNone/>
                <wp:docPr id="4" name="Rectangle 4"/>
                <wp:cNvGraphicFramePr/>
                <a:graphic xmlns:a="http://schemas.openxmlformats.org/drawingml/2006/main">
                  <a:graphicData uri="http://schemas.microsoft.com/office/word/2010/wordprocessingShape">
                    <wps:wsp>
                      <wps:cNvSpPr/>
                      <wps:spPr>
                        <a:xfrm>
                          <a:off x="0" y="0"/>
                          <a:ext cx="7764780" cy="107899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17DFA38">
              <v:rect w14:anchorId="52DF05E1" id="Rectangle 4" o:spid="_x0000_s1026" style="position:absolute;margin-left:1.05pt;margin-top:1.05pt;width:611.4pt;height:849.6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" fillcolor="#727a7d [3206]" stroked="f" strokeweight="1pt">
                <w10:wrap anchorx="page" anchory="page"/>
                <w10:anchorlock/>
              </v:rect>
            </w:pict>
          </mc:Fallback>
        </mc:AlternateContent>
      </w:r>
    </w:p>
    <w:sdt>
      <w:sdtPr>
        <w:rPr>
          <w:rFonts w:asciiTheme="minorHAnsi" w:hAnsiTheme="minorHAnsi" w:cstheme="minorBidi"/>
          <w:b/>
          <w:caps/>
          <w:color w:val="auto"/>
          <w:sz w:val="18"/>
          <w:szCs w:val="30"/>
        </w:rPr>
        <w:id w:val="1920750743"/>
        <w:docPartObj>
          <w:docPartGallery w:val="Table of Contents"/>
          <w:docPartUnique/>
        </w:docPartObj>
      </w:sdtPr>
      <w:sdtEndPr>
        <w:rPr>
          <w:b w:val="0"/>
          <w:caps w:val="0"/>
          <w:noProof/>
          <w:szCs w:val="21"/>
        </w:rPr>
      </w:sdtEndPr>
      <w:sdtContent>
        <w:p w14:paraId="77447C54" w14:textId="4E235527" w:rsidR="00593603" w:rsidRPr="00227E68" w:rsidRDefault="00593603" w:rsidP="00D91F1E">
          <w:pPr>
            <w:pStyle w:val="TOCHeading"/>
            <w:spacing w:before="0" w:after="0"/>
            <w:rPr>
              <w:szCs w:val="30"/>
            </w:rPr>
          </w:pPr>
          <w:r w:rsidRPr="00227E68">
            <w:rPr>
              <w:szCs w:val="30"/>
            </w:rPr>
            <w:t>Table of Contents</w:t>
          </w:r>
        </w:p>
        <w:p w14:paraId="6A951B55" w14:textId="4D02818C" w:rsidR="00BD03D9" w:rsidRDefault="00375E5B">
          <w:pPr>
            <w:pStyle w:val="TOC1"/>
            <w:rPr>
              <w:b w:val="0"/>
              <w:caps w:val="0"/>
              <w:noProof/>
              <w:sz w:val="22"/>
              <w:szCs w:val="22"/>
            </w:rPr>
          </w:pPr>
          <w:r>
            <w:rPr>
              <w:bCs/>
              <w:noProof/>
            </w:rPr>
            <w:fldChar w:fldCharType="begin"/>
          </w:r>
          <w:r>
            <w:rPr>
              <w:bCs/>
              <w:noProof/>
            </w:rPr>
            <w:instrText xml:space="preserve"> TOC \o "1-4" \h \z \u </w:instrText>
          </w:r>
          <w:r>
            <w:rPr>
              <w:bCs/>
              <w:noProof/>
            </w:rPr>
            <w:fldChar w:fldCharType="separate"/>
          </w:r>
          <w:hyperlink w:anchor="_Toc109295468" w:history="1">
            <w:r w:rsidR="00BD03D9" w:rsidRPr="00591BFB">
              <w:rPr>
                <w:rStyle w:val="Hyperlink"/>
                <w:noProof/>
              </w:rPr>
              <w:t>Introduction &amp; Executive Summary</w:t>
            </w:r>
            <w:r w:rsidR="00BD03D9">
              <w:rPr>
                <w:noProof/>
                <w:webHidden/>
              </w:rPr>
              <w:tab/>
            </w:r>
            <w:r w:rsidR="00BD03D9">
              <w:rPr>
                <w:noProof/>
                <w:webHidden/>
              </w:rPr>
              <w:fldChar w:fldCharType="begin"/>
            </w:r>
            <w:r w:rsidR="00BD03D9">
              <w:rPr>
                <w:noProof/>
                <w:webHidden/>
              </w:rPr>
              <w:instrText xml:space="preserve"> PAGEREF _Toc109295468 \h </w:instrText>
            </w:r>
            <w:r w:rsidR="00BD03D9">
              <w:rPr>
                <w:noProof/>
                <w:webHidden/>
              </w:rPr>
            </w:r>
            <w:r w:rsidR="00BD03D9">
              <w:rPr>
                <w:noProof/>
                <w:webHidden/>
              </w:rPr>
              <w:fldChar w:fldCharType="separate"/>
            </w:r>
            <w:r w:rsidR="00DC1BCB">
              <w:rPr>
                <w:noProof/>
                <w:webHidden/>
              </w:rPr>
              <w:t>1</w:t>
            </w:r>
            <w:r w:rsidR="00BD03D9">
              <w:rPr>
                <w:noProof/>
                <w:webHidden/>
              </w:rPr>
              <w:fldChar w:fldCharType="end"/>
            </w:r>
          </w:hyperlink>
        </w:p>
        <w:p w14:paraId="75467740" w14:textId="0E9EC95A" w:rsidR="00BD03D9" w:rsidRDefault="00DC1BCB">
          <w:pPr>
            <w:pStyle w:val="TOC1"/>
            <w:rPr>
              <w:b w:val="0"/>
              <w:caps w:val="0"/>
              <w:noProof/>
              <w:sz w:val="22"/>
              <w:szCs w:val="22"/>
            </w:rPr>
          </w:pPr>
          <w:hyperlink w:anchor="_Toc109295469" w:history="1">
            <w:r w:rsidR="00BD03D9" w:rsidRPr="00591BFB">
              <w:rPr>
                <w:rStyle w:val="Hyperlink"/>
                <w:noProof/>
              </w:rPr>
              <w:t>Section I. Medicaid managed care rates</w:t>
            </w:r>
            <w:r w:rsidR="00BD03D9">
              <w:rPr>
                <w:noProof/>
                <w:webHidden/>
              </w:rPr>
              <w:tab/>
            </w:r>
            <w:r w:rsidR="00BD03D9">
              <w:rPr>
                <w:noProof/>
                <w:webHidden/>
              </w:rPr>
              <w:fldChar w:fldCharType="begin"/>
            </w:r>
            <w:r w:rsidR="00BD03D9">
              <w:rPr>
                <w:noProof/>
                <w:webHidden/>
              </w:rPr>
              <w:instrText xml:space="preserve"> PAGEREF _Toc109295469 \h </w:instrText>
            </w:r>
            <w:r w:rsidR="00BD03D9">
              <w:rPr>
                <w:noProof/>
                <w:webHidden/>
              </w:rPr>
            </w:r>
            <w:r w:rsidR="00BD03D9">
              <w:rPr>
                <w:noProof/>
                <w:webHidden/>
              </w:rPr>
              <w:fldChar w:fldCharType="separate"/>
            </w:r>
            <w:r>
              <w:rPr>
                <w:noProof/>
                <w:webHidden/>
              </w:rPr>
              <w:t>3</w:t>
            </w:r>
            <w:r w:rsidR="00BD03D9">
              <w:rPr>
                <w:noProof/>
                <w:webHidden/>
              </w:rPr>
              <w:fldChar w:fldCharType="end"/>
            </w:r>
          </w:hyperlink>
        </w:p>
        <w:p w14:paraId="2B59B741" w14:textId="05850B1B" w:rsidR="00BD03D9" w:rsidRDefault="00DC1BCB">
          <w:pPr>
            <w:pStyle w:val="TOC2"/>
            <w:rPr>
              <w:caps w:val="0"/>
              <w:noProof/>
              <w:color w:val="auto"/>
              <w:sz w:val="22"/>
              <w:szCs w:val="22"/>
            </w:rPr>
          </w:pPr>
          <w:hyperlink w:anchor="_Toc109295470" w:history="1">
            <w:r w:rsidR="00BD03D9" w:rsidRPr="00591BFB">
              <w:rPr>
                <w:rStyle w:val="Hyperlink"/>
                <w:noProof/>
              </w:rPr>
              <w:t>1.</w:t>
            </w:r>
            <w:r w:rsidR="00BD03D9">
              <w:rPr>
                <w:caps w:val="0"/>
                <w:noProof/>
                <w:color w:val="auto"/>
                <w:sz w:val="22"/>
                <w:szCs w:val="22"/>
              </w:rPr>
              <w:tab/>
            </w:r>
            <w:r w:rsidR="00BD03D9" w:rsidRPr="00591BFB">
              <w:rPr>
                <w:rStyle w:val="Hyperlink"/>
                <w:noProof/>
              </w:rPr>
              <w:t>General information</w:t>
            </w:r>
            <w:r w:rsidR="00BD03D9">
              <w:rPr>
                <w:noProof/>
                <w:webHidden/>
              </w:rPr>
              <w:tab/>
            </w:r>
            <w:r w:rsidR="00BD03D9">
              <w:rPr>
                <w:noProof/>
                <w:webHidden/>
              </w:rPr>
              <w:fldChar w:fldCharType="begin"/>
            </w:r>
            <w:r w:rsidR="00BD03D9">
              <w:rPr>
                <w:noProof/>
                <w:webHidden/>
              </w:rPr>
              <w:instrText xml:space="preserve"> PAGEREF _Toc109295470 \h </w:instrText>
            </w:r>
            <w:r w:rsidR="00BD03D9">
              <w:rPr>
                <w:noProof/>
                <w:webHidden/>
              </w:rPr>
            </w:r>
            <w:r w:rsidR="00BD03D9">
              <w:rPr>
                <w:noProof/>
                <w:webHidden/>
              </w:rPr>
              <w:fldChar w:fldCharType="separate"/>
            </w:r>
            <w:r>
              <w:rPr>
                <w:noProof/>
                <w:webHidden/>
              </w:rPr>
              <w:t>3</w:t>
            </w:r>
            <w:r w:rsidR="00BD03D9">
              <w:rPr>
                <w:noProof/>
                <w:webHidden/>
              </w:rPr>
              <w:fldChar w:fldCharType="end"/>
            </w:r>
          </w:hyperlink>
        </w:p>
        <w:p w14:paraId="2BD80CC2" w14:textId="2ED9D6AD" w:rsidR="00BD03D9" w:rsidRDefault="00DC1BCB">
          <w:pPr>
            <w:pStyle w:val="TOC3"/>
            <w:rPr>
              <w:noProof/>
              <w:color w:val="auto"/>
              <w:sz w:val="22"/>
              <w:szCs w:val="22"/>
            </w:rPr>
          </w:pPr>
          <w:hyperlink w:anchor="_Toc109295471" w:history="1">
            <w:r w:rsidR="00BD03D9" w:rsidRPr="00591BFB">
              <w:rPr>
                <w:rStyle w:val="Hyperlink"/>
                <w:noProof/>
              </w:rPr>
              <w:t>A.</w:t>
            </w:r>
            <w:r w:rsidR="00BD03D9">
              <w:rPr>
                <w:noProof/>
                <w:color w:val="auto"/>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_Toc109295471 \h </w:instrText>
            </w:r>
            <w:r w:rsidR="00BD03D9">
              <w:rPr>
                <w:noProof/>
                <w:webHidden/>
              </w:rPr>
            </w:r>
            <w:r w:rsidR="00BD03D9">
              <w:rPr>
                <w:noProof/>
                <w:webHidden/>
              </w:rPr>
              <w:fldChar w:fldCharType="separate"/>
            </w:r>
            <w:r>
              <w:rPr>
                <w:noProof/>
                <w:webHidden/>
              </w:rPr>
              <w:t>4</w:t>
            </w:r>
            <w:r w:rsidR="00BD03D9">
              <w:rPr>
                <w:noProof/>
                <w:webHidden/>
              </w:rPr>
              <w:fldChar w:fldCharType="end"/>
            </w:r>
          </w:hyperlink>
        </w:p>
        <w:p w14:paraId="1A6E47A5" w14:textId="7FC4E450" w:rsidR="00BD03D9" w:rsidRDefault="00DC1BCB">
          <w:pPr>
            <w:pStyle w:val="TOC4"/>
            <w:rPr>
              <w:noProof/>
              <w:sz w:val="22"/>
              <w:szCs w:val="22"/>
            </w:rPr>
          </w:pPr>
          <w:hyperlink w:anchor="_Toc109295472" w:history="1">
            <w:r w:rsidR="00BD03D9" w:rsidRPr="00591BFB">
              <w:rPr>
                <w:rStyle w:val="Hyperlink"/>
                <w:noProof/>
              </w:rPr>
              <w:t>i.</w:t>
            </w:r>
            <w:r w:rsidR="00BD03D9">
              <w:rPr>
                <w:noProof/>
                <w:sz w:val="22"/>
                <w:szCs w:val="22"/>
              </w:rPr>
              <w:tab/>
            </w:r>
            <w:r w:rsidR="00BD03D9" w:rsidRPr="00591BFB">
              <w:rPr>
                <w:rStyle w:val="Hyperlink"/>
                <w:noProof/>
              </w:rPr>
              <w:t>Rate ranges</w:t>
            </w:r>
            <w:r w:rsidR="00BD03D9">
              <w:rPr>
                <w:noProof/>
                <w:webHidden/>
              </w:rPr>
              <w:tab/>
            </w:r>
            <w:r w:rsidR="00BD03D9">
              <w:rPr>
                <w:noProof/>
                <w:webHidden/>
              </w:rPr>
              <w:fldChar w:fldCharType="begin"/>
            </w:r>
            <w:r w:rsidR="00BD03D9">
              <w:rPr>
                <w:noProof/>
                <w:webHidden/>
              </w:rPr>
              <w:instrText xml:space="preserve"> PAGEREF _Toc109295472 \h </w:instrText>
            </w:r>
            <w:r w:rsidR="00BD03D9">
              <w:rPr>
                <w:noProof/>
                <w:webHidden/>
              </w:rPr>
            </w:r>
            <w:r w:rsidR="00BD03D9">
              <w:rPr>
                <w:noProof/>
                <w:webHidden/>
              </w:rPr>
              <w:fldChar w:fldCharType="separate"/>
            </w:r>
            <w:r>
              <w:rPr>
                <w:noProof/>
                <w:webHidden/>
              </w:rPr>
              <w:t>4</w:t>
            </w:r>
            <w:r w:rsidR="00BD03D9">
              <w:rPr>
                <w:noProof/>
                <w:webHidden/>
              </w:rPr>
              <w:fldChar w:fldCharType="end"/>
            </w:r>
          </w:hyperlink>
        </w:p>
        <w:p w14:paraId="13BF3E44" w14:textId="72257523" w:rsidR="00BD03D9" w:rsidRDefault="00DC1BCB">
          <w:pPr>
            <w:pStyle w:val="TOC4"/>
            <w:rPr>
              <w:noProof/>
              <w:sz w:val="22"/>
              <w:szCs w:val="22"/>
            </w:rPr>
          </w:pPr>
          <w:hyperlink w:anchor="_Toc109295473" w:history="1">
            <w:r w:rsidR="00BD03D9" w:rsidRPr="00591BFB">
              <w:rPr>
                <w:rStyle w:val="Hyperlink"/>
                <w:noProof/>
              </w:rPr>
              <w:t>ii.</w:t>
            </w:r>
            <w:r w:rsidR="00BD03D9">
              <w:rPr>
                <w:noProof/>
                <w:sz w:val="22"/>
                <w:szCs w:val="22"/>
              </w:rPr>
              <w:tab/>
            </w:r>
            <w:r w:rsidR="00BD03D9" w:rsidRPr="00591BFB">
              <w:rPr>
                <w:rStyle w:val="Hyperlink"/>
                <w:noProof/>
              </w:rPr>
              <w:t>Annual basis</w:t>
            </w:r>
            <w:r w:rsidR="00BD03D9">
              <w:rPr>
                <w:noProof/>
                <w:webHidden/>
              </w:rPr>
              <w:tab/>
            </w:r>
            <w:r w:rsidR="00BD03D9">
              <w:rPr>
                <w:noProof/>
                <w:webHidden/>
              </w:rPr>
              <w:fldChar w:fldCharType="begin"/>
            </w:r>
            <w:r w:rsidR="00BD03D9">
              <w:rPr>
                <w:noProof/>
                <w:webHidden/>
              </w:rPr>
              <w:instrText xml:space="preserve"> PAGEREF _Toc109295473 \h </w:instrText>
            </w:r>
            <w:r w:rsidR="00BD03D9">
              <w:rPr>
                <w:noProof/>
                <w:webHidden/>
              </w:rPr>
            </w:r>
            <w:r w:rsidR="00BD03D9">
              <w:rPr>
                <w:noProof/>
                <w:webHidden/>
              </w:rPr>
              <w:fldChar w:fldCharType="separate"/>
            </w:r>
            <w:r>
              <w:rPr>
                <w:noProof/>
                <w:webHidden/>
              </w:rPr>
              <w:t>4</w:t>
            </w:r>
            <w:r w:rsidR="00BD03D9">
              <w:rPr>
                <w:noProof/>
                <w:webHidden/>
              </w:rPr>
              <w:fldChar w:fldCharType="end"/>
            </w:r>
          </w:hyperlink>
        </w:p>
        <w:p w14:paraId="2AC46875" w14:textId="3736130C" w:rsidR="00BD03D9" w:rsidRDefault="00DC1BCB">
          <w:pPr>
            <w:pStyle w:val="TOC4"/>
            <w:rPr>
              <w:noProof/>
              <w:sz w:val="22"/>
              <w:szCs w:val="22"/>
            </w:rPr>
          </w:pPr>
          <w:hyperlink w:anchor="_Toc109295474" w:history="1">
            <w:r w:rsidR="00BD03D9" w:rsidRPr="00591BFB">
              <w:rPr>
                <w:rStyle w:val="Hyperlink"/>
                <w:noProof/>
              </w:rPr>
              <w:t>iii.</w:t>
            </w:r>
            <w:r w:rsidR="00BD03D9">
              <w:rPr>
                <w:noProof/>
                <w:sz w:val="22"/>
                <w:szCs w:val="22"/>
              </w:rPr>
              <w:tab/>
            </w:r>
            <w:r w:rsidR="00BD03D9" w:rsidRPr="00591BFB">
              <w:rPr>
                <w:rStyle w:val="Hyperlink"/>
                <w:noProof/>
              </w:rPr>
              <w:t>Required elements</w:t>
            </w:r>
            <w:r w:rsidR="00BD03D9">
              <w:rPr>
                <w:noProof/>
                <w:webHidden/>
              </w:rPr>
              <w:tab/>
            </w:r>
            <w:r w:rsidR="00BD03D9">
              <w:rPr>
                <w:noProof/>
                <w:webHidden/>
              </w:rPr>
              <w:fldChar w:fldCharType="begin"/>
            </w:r>
            <w:r w:rsidR="00BD03D9">
              <w:rPr>
                <w:noProof/>
                <w:webHidden/>
              </w:rPr>
              <w:instrText xml:space="preserve"> PAGEREF _Toc109295474 \h </w:instrText>
            </w:r>
            <w:r w:rsidR="00BD03D9">
              <w:rPr>
                <w:noProof/>
                <w:webHidden/>
              </w:rPr>
            </w:r>
            <w:r w:rsidR="00BD03D9">
              <w:rPr>
                <w:noProof/>
                <w:webHidden/>
              </w:rPr>
              <w:fldChar w:fldCharType="separate"/>
            </w:r>
            <w:r>
              <w:rPr>
                <w:noProof/>
                <w:webHidden/>
              </w:rPr>
              <w:t>4</w:t>
            </w:r>
            <w:r w:rsidR="00BD03D9">
              <w:rPr>
                <w:noProof/>
                <w:webHidden/>
              </w:rPr>
              <w:fldChar w:fldCharType="end"/>
            </w:r>
          </w:hyperlink>
        </w:p>
        <w:p w14:paraId="4BE81B5B" w14:textId="0EC8CC3A" w:rsidR="00BD03D9" w:rsidRDefault="00DC1BCB">
          <w:pPr>
            <w:pStyle w:val="TOC4"/>
            <w:rPr>
              <w:noProof/>
              <w:sz w:val="22"/>
              <w:szCs w:val="22"/>
            </w:rPr>
          </w:pPr>
          <w:hyperlink w:anchor="_Toc109295475" w:history="1">
            <w:r w:rsidR="00BD03D9" w:rsidRPr="00591BFB">
              <w:rPr>
                <w:rStyle w:val="Hyperlink"/>
                <w:noProof/>
              </w:rPr>
              <w:t>iv.</w:t>
            </w:r>
            <w:r w:rsidR="00BD03D9">
              <w:rPr>
                <w:noProof/>
                <w:sz w:val="22"/>
                <w:szCs w:val="22"/>
              </w:rPr>
              <w:tab/>
            </w:r>
            <w:r w:rsidR="00BD03D9" w:rsidRPr="00591BFB">
              <w:rPr>
                <w:rStyle w:val="Hyperlink"/>
                <w:noProof/>
              </w:rPr>
              <w:t>Differences among capitation rates</w:t>
            </w:r>
            <w:r w:rsidR="00BD03D9">
              <w:rPr>
                <w:noProof/>
                <w:webHidden/>
              </w:rPr>
              <w:tab/>
            </w:r>
            <w:r w:rsidR="00BD03D9">
              <w:rPr>
                <w:noProof/>
                <w:webHidden/>
              </w:rPr>
              <w:fldChar w:fldCharType="begin"/>
            </w:r>
            <w:r w:rsidR="00BD03D9">
              <w:rPr>
                <w:noProof/>
                <w:webHidden/>
              </w:rPr>
              <w:instrText xml:space="preserve"> PAGEREF _Toc109295475 \h </w:instrText>
            </w:r>
            <w:r w:rsidR="00BD03D9">
              <w:rPr>
                <w:noProof/>
                <w:webHidden/>
              </w:rPr>
            </w:r>
            <w:r w:rsidR="00BD03D9">
              <w:rPr>
                <w:noProof/>
                <w:webHidden/>
              </w:rPr>
              <w:fldChar w:fldCharType="separate"/>
            </w:r>
            <w:r>
              <w:rPr>
                <w:noProof/>
                <w:webHidden/>
              </w:rPr>
              <w:t>6</w:t>
            </w:r>
            <w:r w:rsidR="00BD03D9">
              <w:rPr>
                <w:noProof/>
                <w:webHidden/>
              </w:rPr>
              <w:fldChar w:fldCharType="end"/>
            </w:r>
          </w:hyperlink>
        </w:p>
        <w:p w14:paraId="226E5D82" w14:textId="2FFD0A43" w:rsidR="00BD03D9" w:rsidRDefault="00DC1BCB">
          <w:pPr>
            <w:pStyle w:val="TOC4"/>
            <w:rPr>
              <w:noProof/>
              <w:sz w:val="22"/>
              <w:szCs w:val="22"/>
            </w:rPr>
          </w:pPr>
          <w:hyperlink w:anchor="_Toc109295476" w:history="1">
            <w:r w:rsidR="00BD03D9" w:rsidRPr="00591BFB">
              <w:rPr>
                <w:rStyle w:val="Hyperlink"/>
                <w:noProof/>
              </w:rPr>
              <w:t>v.</w:t>
            </w:r>
            <w:r w:rsidR="00BD03D9">
              <w:rPr>
                <w:noProof/>
                <w:sz w:val="22"/>
                <w:szCs w:val="22"/>
              </w:rPr>
              <w:tab/>
            </w:r>
            <w:r w:rsidR="00BD03D9" w:rsidRPr="00591BFB">
              <w:rPr>
                <w:rStyle w:val="Hyperlink"/>
                <w:noProof/>
              </w:rPr>
              <w:t>Cross-subsidization of rate cell payment</w:t>
            </w:r>
            <w:r w:rsidR="00BD03D9">
              <w:rPr>
                <w:noProof/>
                <w:webHidden/>
              </w:rPr>
              <w:tab/>
            </w:r>
            <w:r w:rsidR="00BD03D9">
              <w:rPr>
                <w:noProof/>
                <w:webHidden/>
              </w:rPr>
              <w:fldChar w:fldCharType="begin"/>
            </w:r>
            <w:r w:rsidR="00BD03D9">
              <w:rPr>
                <w:noProof/>
                <w:webHidden/>
              </w:rPr>
              <w:instrText xml:space="preserve"> PAGEREF _Toc109295476 \h </w:instrText>
            </w:r>
            <w:r w:rsidR="00BD03D9">
              <w:rPr>
                <w:noProof/>
                <w:webHidden/>
              </w:rPr>
            </w:r>
            <w:r w:rsidR="00BD03D9">
              <w:rPr>
                <w:noProof/>
                <w:webHidden/>
              </w:rPr>
              <w:fldChar w:fldCharType="separate"/>
            </w:r>
            <w:r>
              <w:rPr>
                <w:noProof/>
                <w:webHidden/>
              </w:rPr>
              <w:t>6</w:t>
            </w:r>
            <w:r w:rsidR="00BD03D9">
              <w:rPr>
                <w:noProof/>
                <w:webHidden/>
              </w:rPr>
              <w:fldChar w:fldCharType="end"/>
            </w:r>
          </w:hyperlink>
        </w:p>
        <w:p w14:paraId="7F0609D5" w14:textId="498B2411" w:rsidR="00BD03D9" w:rsidRDefault="00DC1BCB">
          <w:pPr>
            <w:pStyle w:val="TOC4"/>
            <w:rPr>
              <w:noProof/>
              <w:sz w:val="22"/>
              <w:szCs w:val="22"/>
            </w:rPr>
          </w:pPr>
          <w:hyperlink w:anchor="_Toc109295477" w:history="1">
            <w:r w:rsidR="00BD03D9" w:rsidRPr="00591BFB">
              <w:rPr>
                <w:rStyle w:val="Hyperlink"/>
                <w:noProof/>
              </w:rPr>
              <w:t>vi.</w:t>
            </w:r>
            <w:r w:rsidR="00BD03D9">
              <w:rPr>
                <w:noProof/>
                <w:sz w:val="22"/>
                <w:szCs w:val="22"/>
              </w:rPr>
              <w:tab/>
            </w:r>
            <w:r w:rsidR="00BD03D9" w:rsidRPr="00591BFB">
              <w:rPr>
                <w:rStyle w:val="Hyperlink"/>
                <w:noProof/>
              </w:rPr>
              <w:t>Effective dates</w:t>
            </w:r>
            <w:r w:rsidR="00BD03D9">
              <w:rPr>
                <w:noProof/>
                <w:webHidden/>
              </w:rPr>
              <w:tab/>
            </w:r>
            <w:r w:rsidR="00BD03D9">
              <w:rPr>
                <w:noProof/>
                <w:webHidden/>
              </w:rPr>
              <w:fldChar w:fldCharType="begin"/>
            </w:r>
            <w:r w:rsidR="00BD03D9">
              <w:rPr>
                <w:noProof/>
                <w:webHidden/>
              </w:rPr>
              <w:instrText xml:space="preserve"> PAGEREF _Toc109295477 \h </w:instrText>
            </w:r>
            <w:r w:rsidR="00BD03D9">
              <w:rPr>
                <w:noProof/>
                <w:webHidden/>
              </w:rPr>
            </w:r>
            <w:r w:rsidR="00BD03D9">
              <w:rPr>
                <w:noProof/>
                <w:webHidden/>
              </w:rPr>
              <w:fldChar w:fldCharType="separate"/>
            </w:r>
            <w:r>
              <w:rPr>
                <w:noProof/>
                <w:webHidden/>
              </w:rPr>
              <w:t>6</w:t>
            </w:r>
            <w:r w:rsidR="00BD03D9">
              <w:rPr>
                <w:noProof/>
                <w:webHidden/>
              </w:rPr>
              <w:fldChar w:fldCharType="end"/>
            </w:r>
          </w:hyperlink>
        </w:p>
        <w:p w14:paraId="25B426C4" w14:textId="0E6008D3" w:rsidR="00BD03D9" w:rsidRDefault="00DC1BCB">
          <w:pPr>
            <w:pStyle w:val="TOC4"/>
            <w:rPr>
              <w:noProof/>
              <w:sz w:val="22"/>
              <w:szCs w:val="22"/>
            </w:rPr>
          </w:pPr>
          <w:hyperlink w:anchor="_Toc109295478" w:history="1">
            <w:r w:rsidR="00BD03D9" w:rsidRPr="00591BFB">
              <w:rPr>
                <w:rStyle w:val="Hyperlink"/>
                <w:noProof/>
              </w:rPr>
              <w:t>vii.</w:t>
            </w:r>
            <w:r w:rsidR="00BD03D9">
              <w:rPr>
                <w:noProof/>
                <w:sz w:val="22"/>
                <w:szCs w:val="22"/>
              </w:rPr>
              <w:tab/>
            </w:r>
            <w:r w:rsidR="00BD03D9" w:rsidRPr="00591BFB">
              <w:rPr>
                <w:rStyle w:val="Hyperlink"/>
                <w:noProof/>
              </w:rPr>
              <w:t>Medical loss ratio</w:t>
            </w:r>
            <w:r w:rsidR="00BD03D9">
              <w:rPr>
                <w:noProof/>
                <w:webHidden/>
              </w:rPr>
              <w:tab/>
            </w:r>
            <w:r w:rsidR="00BD03D9">
              <w:rPr>
                <w:noProof/>
                <w:webHidden/>
              </w:rPr>
              <w:fldChar w:fldCharType="begin"/>
            </w:r>
            <w:r w:rsidR="00BD03D9">
              <w:rPr>
                <w:noProof/>
                <w:webHidden/>
              </w:rPr>
              <w:instrText xml:space="preserve"> PAGEREF _Toc109295478 \h </w:instrText>
            </w:r>
            <w:r w:rsidR="00BD03D9">
              <w:rPr>
                <w:noProof/>
                <w:webHidden/>
              </w:rPr>
            </w:r>
            <w:r w:rsidR="00BD03D9">
              <w:rPr>
                <w:noProof/>
                <w:webHidden/>
              </w:rPr>
              <w:fldChar w:fldCharType="separate"/>
            </w:r>
            <w:r>
              <w:rPr>
                <w:noProof/>
                <w:webHidden/>
              </w:rPr>
              <w:t>6</w:t>
            </w:r>
            <w:r w:rsidR="00BD03D9">
              <w:rPr>
                <w:noProof/>
                <w:webHidden/>
              </w:rPr>
              <w:fldChar w:fldCharType="end"/>
            </w:r>
          </w:hyperlink>
        </w:p>
        <w:p w14:paraId="0B4006BF" w14:textId="365DCD62" w:rsidR="00BD03D9" w:rsidRDefault="00DC1BCB">
          <w:pPr>
            <w:pStyle w:val="TOC4"/>
            <w:rPr>
              <w:noProof/>
              <w:sz w:val="22"/>
              <w:szCs w:val="22"/>
            </w:rPr>
          </w:pPr>
          <w:hyperlink w:anchor="_Toc109295479" w:history="1">
            <w:r w:rsidR="00BD03D9" w:rsidRPr="00591BFB">
              <w:rPr>
                <w:rStyle w:val="Hyperlink"/>
                <w:noProof/>
              </w:rPr>
              <w:t>viii.</w:t>
            </w:r>
            <w:r w:rsidR="00BD03D9">
              <w:rPr>
                <w:noProof/>
                <w:sz w:val="22"/>
                <w:szCs w:val="22"/>
              </w:rPr>
              <w:tab/>
            </w:r>
            <w:r w:rsidR="00BD03D9" w:rsidRPr="00591BFB">
              <w:rPr>
                <w:rStyle w:val="Hyperlink"/>
                <w:noProof/>
              </w:rPr>
              <w:t>Rate ranges</w:t>
            </w:r>
            <w:r w:rsidR="00BD03D9">
              <w:rPr>
                <w:noProof/>
                <w:webHidden/>
              </w:rPr>
              <w:tab/>
            </w:r>
            <w:r w:rsidR="00BD03D9">
              <w:rPr>
                <w:noProof/>
                <w:webHidden/>
              </w:rPr>
              <w:fldChar w:fldCharType="begin"/>
            </w:r>
            <w:r w:rsidR="00BD03D9">
              <w:rPr>
                <w:noProof/>
                <w:webHidden/>
              </w:rPr>
              <w:instrText xml:space="preserve"> PAGEREF _Toc109295479 \h </w:instrText>
            </w:r>
            <w:r w:rsidR="00BD03D9">
              <w:rPr>
                <w:noProof/>
                <w:webHidden/>
              </w:rPr>
            </w:r>
            <w:r w:rsidR="00BD03D9">
              <w:rPr>
                <w:noProof/>
                <w:webHidden/>
              </w:rPr>
              <w:fldChar w:fldCharType="separate"/>
            </w:r>
            <w:r>
              <w:rPr>
                <w:noProof/>
                <w:webHidden/>
              </w:rPr>
              <w:t>6</w:t>
            </w:r>
            <w:r w:rsidR="00BD03D9">
              <w:rPr>
                <w:noProof/>
                <w:webHidden/>
              </w:rPr>
              <w:fldChar w:fldCharType="end"/>
            </w:r>
          </w:hyperlink>
        </w:p>
        <w:p w14:paraId="324F8330" w14:textId="6E1A3338" w:rsidR="00BD03D9" w:rsidRDefault="00DC1BCB">
          <w:pPr>
            <w:pStyle w:val="TOC4"/>
            <w:rPr>
              <w:noProof/>
              <w:sz w:val="22"/>
              <w:szCs w:val="22"/>
            </w:rPr>
          </w:pPr>
          <w:hyperlink w:anchor="_Toc109295480" w:history="1">
            <w:r w:rsidR="00BD03D9" w:rsidRPr="00591BFB">
              <w:rPr>
                <w:rStyle w:val="Hyperlink"/>
                <w:noProof/>
              </w:rPr>
              <w:t>ix.</w:t>
            </w:r>
            <w:r w:rsidR="00BD03D9">
              <w:rPr>
                <w:noProof/>
                <w:sz w:val="22"/>
                <w:szCs w:val="22"/>
              </w:rPr>
              <w:tab/>
            </w:r>
            <w:r w:rsidR="00BD03D9" w:rsidRPr="00591BFB">
              <w:rPr>
                <w:rStyle w:val="Hyperlink"/>
                <w:noProof/>
              </w:rPr>
              <w:t>Actuarial soundness of rate ranges</w:t>
            </w:r>
            <w:r w:rsidR="00BD03D9">
              <w:rPr>
                <w:noProof/>
                <w:webHidden/>
              </w:rPr>
              <w:tab/>
            </w:r>
            <w:r w:rsidR="00BD03D9">
              <w:rPr>
                <w:noProof/>
                <w:webHidden/>
              </w:rPr>
              <w:fldChar w:fldCharType="begin"/>
            </w:r>
            <w:r w:rsidR="00BD03D9">
              <w:rPr>
                <w:noProof/>
                <w:webHidden/>
              </w:rPr>
              <w:instrText xml:space="preserve"> PAGEREF _Toc109295480 \h </w:instrText>
            </w:r>
            <w:r w:rsidR="00BD03D9">
              <w:rPr>
                <w:noProof/>
                <w:webHidden/>
              </w:rPr>
            </w:r>
            <w:r w:rsidR="00BD03D9">
              <w:rPr>
                <w:noProof/>
                <w:webHidden/>
              </w:rPr>
              <w:fldChar w:fldCharType="separate"/>
            </w:r>
            <w:r>
              <w:rPr>
                <w:noProof/>
                <w:webHidden/>
              </w:rPr>
              <w:t>6</w:t>
            </w:r>
            <w:r w:rsidR="00BD03D9">
              <w:rPr>
                <w:noProof/>
                <w:webHidden/>
              </w:rPr>
              <w:fldChar w:fldCharType="end"/>
            </w:r>
          </w:hyperlink>
        </w:p>
        <w:p w14:paraId="2F688BF3" w14:textId="7493BBA4" w:rsidR="00BD03D9" w:rsidRDefault="00DC1BCB">
          <w:pPr>
            <w:pStyle w:val="TOC4"/>
            <w:rPr>
              <w:noProof/>
              <w:sz w:val="22"/>
              <w:szCs w:val="22"/>
            </w:rPr>
          </w:pPr>
          <w:hyperlink w:anchor="_Toc109295481" w:history="1">
            <w:r w:rsidR="00BD03D9" w:rsidRPr="00591BFB">
              <w:rPr>
                <w:rStyle w:val="Hyperlink"/>
                <w:noProof/>
              </w:rPr>
              <w:t>x.</w:t>
            </w:r>
            <w:r w:rsidR="00BD03D9">
              <w:rPr>
                <w:noProof/>
                <w:sz w:val="22"/>
                <w:szCs w:val="22"/>
              </w:rPr>
              <w:tab/>
            </w:r>
            <w:r w:rsidR="00BD03D9" w:rsidRPr="00591BFB">
              <w:rPr>
                <w:rStyle w:val="Hyperlink"/>
                <w:noProof/>
              </w:rPr>
              <w:t>Generally accepted actuarial practices and principles</w:t>
            </w:r>
            <w:r w:rsidR="00BD03D9">
              <w:rPr>
                <w:noProof/>
                <w:webHidden/>
              </w:rPr>
              <w:tab/>
            </w:r>
            <w:r w:rsidR="00BD03D9">
              <w:rPr>
                <w:noProof/>
                <w:webHidden/>
              </w:rPr>
              <w:fldChar w:fldCharType="begin"/>
            </w:r>
            <w:r w:rsidR="00BD03D9">
              <w:rPr>
                <w:noProof/>
                <w:webHidden/>
              </w:rPr>
              <w:instrText xml:space="preserve"> PAGEREF _Toc109295481 \h </w:instrText>
            </w:r>
            <w:r w:rsidR="00BD03D9">
              <w:rPr>
                <w:noProof/>
                <w:webHidden/>
              </w:rPr>
            </w:r>
            <w:r w:rsidR="00BD03D9">
              <w:rPr>
                <w:noProof/>
                <w:webHidden/>
              </w:rPr>
              <w:fldChar w:fldCharType="separate"/>
            </w:r>
            <w:r>
              <w:rPr>
                <w:noProof/>
                <w:webHidden/>
              </w:rPr>
              <w:t>6</w:t>
            </w:r>
            <w:r w:rsidR="00BD03D9">
              <w:rPr>
                <w:noProof/>
                <w:webHidden/>
              </w:rPr>
              <w:fldChar w:fldCharType="end"/>
            </w:r>
          </w:hyperlink>
        </w:p>
        <w:p w14:paraId="58CDB601" w14:textId="26C4A608" w:rsidR="00BD03D9" w:rsidRDefault="00DC1BCB">
          <w:pPr>
            <w:pStyle w:val="TOC4"/>
            <w:rPr>
              <w:noProof/>
              <w:sz w:val="22"/>
              <w:szCs w:val="22"/>
            </w:rPr>
          </w:pPr>
          <w:hyperlink w:anchor="_Toc109295482" w:history="1">
            <w:r w:rsidR="00BD03D9" w:rsidRPr="00591BFB">
              <w:rPr>
                <w:rStyle w:val="Hyperlink"/>
                <w:noProof/>
              </w:rPr>
              <w:t>xi.</w:t>
            </w:r>
            <w:r w:rsidR="00BD03D9">
              <w:rPr>
                <w:noProof/>
                <w:sz w:val="22"/>
                <w:szCs w:val="22"/>
              </w:rPr>
              <w:tab/>
            </w:r>
            <w:r w:rsidR="00BD03D9" w:rsidRPr="00591BFB">
              <w:rPr>
                <w:rStyle w:val="Hyperlink"/>
                <w:noProof/>
              </w:rPr>
              <w:t>Rate certification for effective time periods</w:t>
            </w:r>
            <w:r w:rsidR="00BD03D9">
              <w:rPr>
                <w:noProof/>
                <w:webHidden/>
              </w:rPr>
              <w:tab/>
            </w:r>
            <w:r w:rsidR="00BD03D9">
              <w:rPr>
                <w:noProof/>
                <w:webHidden/>
              </w:rPr>
              <w:fldChar w:fldCharType="begin"/>
            </w:r>
            <w:r w:rsidR="00BD03D9">
              <w:rPr>
                <w:noProof/>
                <w:webHidden/>
              </w:rPr>
              <w:instrText xml:space="preserve"> PAGEREF _Toc109295482 \h </w:instrText>
            </w:r>
            <w:r w:rsidR="00BD03D9">
              <w:rPr>
                <w:noProof/>
                <w:webHidden/>
              </w:rPr>
            </w:r>
            <w:r w:rsidR="00BD03D9">
              <w:rPr>
                <w:noProof/>
                <w:webHidden/>
              </w:rPr>
              <w:fldChar w:fldCharType="separate"/>
            </w:r>
            <w:r>
              <w:rPr>
                <w:noProof/>
                <w:webHidden/>
              </w:rPr>
              <w:t>6</w:t>
            </w:r>
            <w:r w:rsidR="00BD03D9">
              <w:rPr>
                <w:noProof/>
                <w:webHidden/>
              </w:rPr>
              <w:fldChar w:fldCharType="end"/>
            </w:r>
          </w:hyperlink>
        </w:p>
        <w:p w14:paraId="66CC1E33" w14:textId="78D2FEAD" w:rsidR="00BD03D9" w:rsidRDefault="00DC1BCB">
          <w:pPr>
            <w:pStyle w:val="TOC4"/>
            <w:rPr>
              <w:noProof/>
              <w:sz w:val="22"/>
              <w:szCs w:val="22"/>
            </w:rPr>
          </w:pPr>
          <w:hyperlink w:anchor="_Toc109295483" w:history="1">
            <w:r w:rsidR="00BD03D9" w:rsidRPr="00591BFB">
              <w:rPr>
                <w:rStyle w:val="Hyperlink"/>
                <w:noProof/>
              </w:rPr>
              <w:t>xii.</w:t>
            </w:r>
            <w:r w:rsidR="00BD03D9">
              <w:rPr>
                <w:noProof/>
                <w:sz w:val="22"/>
                <w:szCs w:val="22"/>
              </w:rPr>
              <w:tab/>
            </w:r>
            <w:r w:rsidR="00BD03D9" w:rsidRPr="00591BFB">
              <w:rPr>
                <w:rStyle w:val="Hyperlink"/>
                <w:noProof/>
              </w:rPr>
              <w:t>COVID-19 public health emergency</w:t>
            </w:r>
            <w:r w:rsidR="00BD03D9">
              <w:rPr>
                <w:noProof/>
                <w:webHidden/>
              </w:rPr>
              <w:tab/>
            </w:r>
            <w:r w:rsidR="00BD03D9">
              <w:rPr>
                <w:noProof/>
                <w:webHidden/>
              </w:rPr>
              <w:fldChar w:fldCharType="begin"/>
            </w:r>
            <w:r w:rsidR="00BD03D9">
              <w:rPr>
                <w:noProof/>
                <w:webHidden/>
              </w:rPr>
              <w:instrText xml:space="preserve"> PAGEREF _Toc109295483 \h </w:instrText>
            </w:r>
            <w:r w:rsidR="00BD03D9">
              <w:rPr>
                <w:noProof/>
                <w:webHidden/>
              </w:rPr>
            </w:r>
            <w:r w:rsidR="00BD03D9">
              <w:rPr>
                <w:noProof/>
                <w:webHidden/>
              </w:rPr>
              <w:fldChar w:fldCharType="separate"/>
            </w:r>
            <w:r>
              <w:rPr>
                <w:noProof/>
                <w:webHidden/>
              </w:rPr>
              <w:t>6</w:t>
            </w:r>
            <w:r w:rsidR="00BD03D9">
              <w:rPr>
                <w:noProof/>
                <w:webHidden/>
              </w:rPr>
              <w:fldChar w:fldCharType="end"/>
            </w:r>
          </w:hyperlink>
        </w:p>
        <w:p w14:paraId="3FAF8290" w14:textId="61BECBDB" w:rsidR="00BD03D9" w:rsidRDefault="00DC1BCB">
          <w:pPr>
            <w:pStyle w:val="TOC4"/>
            <w:rPr>
              <w:noProof/>
              <w:sz w:val="22"/>
              <w:szCs w:val="22"/>
            </w:rPr>
          </w:pPr>
          <w:hyperlink w:anchor="_Toc109295484" w:history="1">
            <w:r w:rsidR="00BD03D9" w:rsidRPr="00591BFB">
              <w:rPr>
                <w:rStyle w:val="Hyperlink"/>
                <w:noProof/>
              </w:rPr>
              <w:t>xiii.</w:t>
            </w:r>
            <w:r w:rsidR="00BD03D9">
              <w:rPr>
                <w:noProof/>
                <w:sz w:val="22"/>
                <w:szCs w:val="22"/>
              </w:rPr>
              <w:tab/>
            </w:r>
            <w:r w:rsidR="00BD03D9" w:rsidRPr="00591BFB">
              <w:rPr>
                <w:rStyle w:val="Hyperlink"/>
                <w:noProof/>
              </w:rPr>
              <w:t>Procedures for rate certification and amendment</w:t>
            </w:r>
            <w:r w:rsidR="00BD03D9">
              <w:rPr>
                <w:noProof/>
                <w:webHidden/>
              </w:rPr>
              <w:tab/>
            </w:r>
            <w:r w:rsidR="00BD03D9">
              <w:rPr>
                <w:noProof/>
                <w:webHidden/>
              </w:rPr>
              <w:fldChar w:fldCharType="begin"/>
            </w:r>
            <w:r w:rsidR="00BD03D9">
              <w:rPr>
                <w:noProof/>
                <w:webHidden/>
              </w:rPr>
              <w:instrText xml:space="preserve"> PAGEREF _Toc109295484 \h </w:instrText>
            </w:r>
            <w:r w:rsidR="00BD03D9">
              <w:rPr>
                <w:noProof/>
                <w:webHidden/>
              </w:rPr>
            </w:r>
            <w:r w:rsidR="00BD03D9">
              <w:rPr>
                <w:noProof/>
                <w:webHidden/>
              </w:rPr>
              <w:fldChar w:fldCharType="separate"/>
            </w:r>
            <w:r>
              <w:rPr>
                <w:noProof/>
                <w:webHidden/>
              </w:rPr>
              <w:t>7</w:t>
            </w:r>
            <w:r w:rsidR="00BD03D9">
              <w:rPr>
                <w:noProof/>
                <w:webHidden/>
              </w:rPr>
              <w:fldChar w:fldCharType="end"/>
            </w:r>
          </w:hyperlink>
        </w:p>
        <w:p w14:paraId="4B30A7B4" w14:textId="5179BFF5" w:rsidR="00BD03D9" w:rsidRDefault="00DC1BCB">
          <w:pPr>
            <w:pStyle w:val="TOC3"/>
            <w:rPr>
              <w:noProof/>
              <w:color w:val="auto"/>
              <w:sz w:val="22"/>
              <w:szCs w:val="22"/>
            </w:rPr>
          </w:pPr>
          <w:hyperlink w:anchor="_Toc109295485" w:history="1">
            <w:r w:rsidR="00BD03D9" w:rsidRPr="00591BFB">
              <w:rPr>
                <w:rStyle w:val="Hyperlink"/>
                <w:noProof/>
              </w:rPr>
              <w:t>B.</w:t>
            </w:r>
            <w:r w:rsidR="00BD03D9">
              <w:rPr>
                <w:noProof/>
                <w:color w:val="auto"/>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_Toc109295485 \h </w:instrText>
            </w:r>
            <w:r w:rsidR="00BD03D9">
              <w:rPr>
                <w:noProof/>
                <w:webHidden/>
              </w:rPr>
            </w:r>
            <w:r w:rsidR="00BD03D9">
              <w:rPr>
                <w:noProof/>
                <w:webHidden/>
              </w:rPr>
              <w:fldChar w:fldCharType="separate"/>
            </w:r>
            <w:r>
              <w:rPr>
                <w:noProof/>
                <w:webHidden/>
              </w:rPr>
              <w:t>7</w:t>
            </w:r>
            <w:r w:rsidR="00BD03D9">
              <w:rPr>
                <w:noProof/>
                <w:webHidden/>
              </w:rPr>
              <w:fldChar w:fldCharType="end"/>
            </w:r>
          </w:hyperlink>
        </w:p>
        <w:p w14:paraId="249E729E" w14:textId="370B0A65" w:rsidR="00BD03D9" w:rsidRDefault="00DC1BCB">
          <w:pPr>
            <w:pStyle w:val="TOC4"/>
            <w:rPr>
              <w:noProof/>
              <w:sz w:val="22"/>
              <w:szCs w:val="22"/>
            </w:rPr>
          </w:pPr>
          <w:hyperlink w:anchor="_Toc109295486" w:history="1">
            <w:r w:rsidR="00BD03D9" w:rsidRPr="00591BFB">
              <w:rPr>
                <w:rStyle w:val="Hyperlink"/>
                <w:noProof/>
              </w:rPr>
              <w:t>i.</w:t>
            </w:r>
            <w:r w:rsidR="00BD03D9">
              <w:rPr>
                <w:noProof/>
                <w:sz w:val="22"/>
                <w:szCs w:val="22"/>
              </w:rPr>
              <w:tab/>
            </w:r>
            <w:r w:rsidR="00BD03D9" w:rsidRPr="00591BFB">
              <w:rPr>
                <w:rStyle w:val="Hyperlink"/>
                <w:noProof/>
              </w:rPr>
              <w:t>Capitation rate certification</w:t>
            </w:r>
            <w:r w:rsidR="00BD03D9">
              <w:rPr>
                <w:noProof/>
                <w:webHidden/>
              </w:rPr>
              <w:tab/>
            </w:r>
            <w:r w:rsidR="00BD03D9">
              <w:rPr>
                <w:noProof/>
                <w:webHidden/>
              </w:rPr>
              <w:fldChar w:fldCharType="begin"/>
            </w:r>
            <w:r w:rsidR="00BD03D9">
              <w:rPr>
                <w:noProof/>
                <w:webHidden/>
              </w:rPr>
              <w:instrText xml:space="preserve"> PAGEREF _Toc109295486 \h </w:instrText>
            </w:r>
            <w:r w:rsidR="00BD03D9">
              <w:rPr>
                <w:noProof/>
                <w:webHidden/>
              </w:rPr>
            </w:r>
            <w:r w:rsidR="00BD03D9">
              <w:rPr>
                <w:noProof/>
                <w:webHidden/>
              </w:rPr>
              <w:fldChar w:fldCharType="separate"/>
            </w:r>
            <w:r>
              <w:rPr>
                <w:noProof/>
                <w:webHidden/>
              </w:rPr>
              <w:t>7</w:t>
            </w:r>
            <w:r w:rsidR="00BD03D9">
              <w:rPr>
                <w:noProof/>
                <w:webHidden/>
              </w:rPr>
              <w:fldChar w:fldCharType="end"/>
            </w:r>
          </w:hyperlink>
        </w:p>
        <w:p w14:paraId="6D9FE326" w14:textId="6EB824F9" w:rsidR="00BD03D9" w:rsidRDefault="00DC1BCB">
          <w:pPr>
            <w:pStyle w:val="TOC4"/>
            <w:rPr>
              <w:noProof/>
              <w:sz w:val="22"/>
              <w:szCs w:val="22"/>
            </w:rPr>
          </w:pPr>
          <w:hyperlink w:anchor="_Toc109295487" w:history="1">
            <w:r w:rsidR="00BD03D9" w:rsidRPr="00591BFB">
              <w:rPr>
                <w:rStyle w:val="Hyperlink"/>
                <w:noProof/>
              </w:rPr>
              <w:t>ii.</w:t>
            </w:r>
            <w:r w:rsidR="00BD03D9">
              <w:rPr>
                <w:noProof/>
                <w:sz w:val="22"/>
                <w:szCs w:val="22"/>
              </w:rPr>
              <w:tab/>
            </w:r>
            <w:r w:rsidR="00BD03D9" w:rsidRPr="00591BFB">
              <w:rPr>
                <w:rStyle w:val="Hyperlink"/>
                <w:noProof/>
              </w:rPr>
              <w:t>Documentation of required elements</w:t>
            </w:r>
            <w:r w:rsidR="00BD03D9">
              <w:rPr>
                <w:noProof/>
                <w:webHidden/>
              </w:rPr>
              <w:tab/>
            </w:r>
            <w:r w:rsidR="00BD03D9">
              <w:rPr>
                <w:noProof/>
                <w:webHidden/>
              </w:rPr>
              <w:fldChar w:fldCharType="begin"/>
            </w:r>
            <w:r w:rsidR="00BD03D9">
              <w:rPr>
                <w:noProof/>
                <w:webHidden/>
              </w:rPr>
              <w:instrText xml:space="preserve"> PAGEREF _Toc109295487 \h </w:instrText>
            </w:r>
            <w:r w:rsidR="00BD03D9">
              <w:rPr>
                <w:noProof/>
                <w:webHidden/>
              </w:rPr>
            </w:r>
            <w:r w:rsidR="00BD03D9">
              <w:rPr>
                <w:noProof/>
                <w:webHidden/>
              </w:rPr>
              <w:fldChar w:fldCharType="separate"/>
            </w:r>
            <w:r>
              <w:rPr>
                <w:noProof/>
                <w:webHidden/>
              </w:rPr>
              <w:t>7</w:t>
            </w:r>
            <w:r w:rsidR="00BD03D9">
              <w:rPr>
                <w:noProof/>
                <w:webHidden/>
              </w:rPr>
              <w:fldChar w:fldCharType="end"/>
            </w:r>
          </w:hyperlink>
        </w:p>
        <w:p w14:paraId="29DA1B26" w14:textId="30B7C1AE" w:rsidR="00BD03D9" w:rsidRDefault="00DC1BCB">
          <w:pPr>
            <w:pStyle w:val="TOC4"/>
            <w:rPr>
              <w:noProof/>
              <w:sz w:val="22"/>
              <w:szCs w:val="22"/>
            </w:rPr>
          </w:pPr>
          <w:hyperlink w:anchor="_Toc109295488" w:history="1">
            <w:r w:rsidR="00BD03D9" w:rsidRPr="00591BFB">
              <w:rPr>
                <w:rStyle w:val="Hyperlink"/>
                <w:noProof/>
              </w:rPr>
              <w:t>iii.</w:t>
            </w:r>
            <w:r w:rsidR="00BD03D9">
              <w:rPr>
                <w:noProof/>
                <w:sz w:val="22"/>
                <w:szCs w:val="22"/>
              </w:rPr>
              <w:tab/>
            </w:r>
            <w:r w:rsidR="00BD03D9" w:rsidRPr="00591BFB">
              <w:rPr>
                <w:rStyle w:val="Hyperlink"/>
                <w:noProof/>
              </w:rPr>
              <w:t>Use of rate ranges</w:t>
            </w:r>
            <w:r w:rsidR="00BD03D9">
              <w:rPr>
                <w:noProof/>
                <w:webHidden/>
              </w:rPr>
              <w:tab/>
            </w:r>
            <w:r w:rsidR="00BD03D9">
              <w:rPr>
                <w:noProof/>
                <w:webHidden/>
              </w:rPr>
              <w:fldChar w:fldCharType="begin"/>
            </w:r>
            <w:r w:rsidR="00BD03D9">
              <w:rPr>
                <w:noProof/>
                <w:webHidden/>
              </w:rPr>
              <w:instrText xml:space="preserve"> PAGEREF _Toc109295488 \h </w:instrText>
            </w:r>
            <w:r w:rsidR="00BD03D9">
              <w:rPr>
                <w:noProof/>
                <w:webHidden/>
              </w:rPr>
            </w:r>
            <w:r w:rsidR="00BD03D9">
              <w:rPr>
                <w:noProof/>
                <w:webHidden/>
              </w:rPr>
              <w:fldChar w:fldCharType="separate"/>
            </w:r>
            <w:r>
              <w:rPr>
                <w:noProof/>
                <w:webHidden/>
              </w:rPr>
              <w:t>7</w:t>
            </w:r>
            <w:r w:rsidR="00BD03D9">
              <w:rPr>
                <w:noProof/>
                <w:webHidden/>
              </w:rPr>
              <w:fldChar w:fldCharType="end"/>
            </w:r>
          </w:hyperlink>
        </w:p>
        <w:p w14:paraId="2F503B7A" w14:textId="23E2F769" w:rsidR="00BD03D9" w:rsidRDefault="00DC1BCB">
          <w:pPr>
            <w:pStyle w:val="TOC4"/>
            <w:rPr>
              <w:noProof/>
              <w:sz w:val="22"/>
              <w:szCs w:val="22"/>
            </w:rPr>
          </w:pPr>
          <w:hyperlink w:anchor="_Toc109295489" w:history="1">
            <w:r w:rsidR="00BD03D9" w:rsidRPr="00591BFB">
              <w:rPr>
                <w:rStyle w:val="Hyperlink"/>
                <w:noProof/>
              </w:rPr>
              <w:t>iv.</w:t>
            </w:r>
            <w:r w:rsidR="00BD03D9">
              <w:rPr>
                <w:noProof/>
                <w:sz w:val="22"/>
                <w:szCs w:val="22"/>
              </w:rPr>
              <w:tab/>
            </w:r>
            <w:r w:rsidR="00BD03D9" w:rsidRPr="00591BFB">
              <w:rPr>
                <w:rStyle w:val="Hyperlink"/>
                <w:noProof/>
              </w:rPr>
              <w:t>Rate range boundaries</w:t>
            </w:r>
            <w:r w:rsidR="00BD03D9">
              <w:rPr>
                <w:noProof/>
                <w:webHidden/>
              </w:rPr>
              <w:tab/>
            </w:r>
            <w:r w:rsidR="00BD03D9">
              <w:rPr>
                <w:noProof/>
                <w:webHidden/>
              </w:rPr>
              <w:fldChar w:fldCharType="begin"/>
            </w:r>
            <w:r w:rsidR="00BD03D9">
              <w:rPr>
                <w:noProof/>
                <w:webHidden/>
              </w:rPr>
              <w:instrText xml:space="preserve"> PAGEREF _Toc109295489 \h </w:instrText>
            </w:r>
            <w:r w:rsidR="00BD03D9">
              <w:rPr>
                <w:noProof/>
                <w:webHidden/>
              </w:rPr>
            </w:r>
            <w:r w:rsidR="00BD03D9">
              <w:rPr>
                <w:noProof/>
                <w:webHidden/>
              </w:rPr>
              <w:fldChar w:fldCharType="separate"/>
            </w:r>
            <w:r>
              <w:rPr>
                <w:noProof/>
                <w:webHidden/>
              </w:rPr>
              <w:t>7</w:t>
            </w:r>
            <w:r w:rsidR="00BD03D9">
              <w:rPr>
                <w:noProof/>
                <w:webHidden/>
              </w:rPr>
              <w:fldChar w:fldCharType="end"/>
            </w:r>
          </w:hyperlink>
        </w:p>
        <w:p w14:paraId="3406736A" w14:textId="3789D902" w:rsidR="00BD03D9" w:rsidRDefault="00DC1BCB">
          <w:pPr>
            <w:pStyle w:val="TOC4"/>
            <w:rPr>
              <w:noProof/>
              <w:sz w:val="22"/>
              <w:szCs w:val="22"/>
            </w:rPr>
          </w:pPr>
          <w:hyperlink w:anchor="_Toc109295490" w:history="1">
            <w:r w:rsidR="00BD03D9" w:rsidRPr="00591BFB">
              <w:rPr>
                <w:rStyle w:val="Hyperlink"/>
                <w:noProof/>
              </w:rPr>
              <w:t>v.</w:t>
            </w:r>
            <w:r w:rsidR="00BD03D9">
              <w:rPr>
                <w:noProof/>
                <w:sz w:val="22"/>
                <w:szCs w:val="22"/>
              </w:rPr>
              <w:tab/>
            </w:r>
            <w:r w:rsidR="00BD03D9" w:rsidRPr="00591BFB">
              <w:rPr>
                <w:rStyle w:val="Hyperlink"/>
                <w:noProof/>
              </w:rPr>
              <w:t>Index</w:t>
            </w:r>
            <w:r w:rsidR="00BD03D9">
              <w:rPr>
                <w:noProof/>
                <w:webHidden/>
              </w:rPr>
              <w:tab/>
            </w:r>
            <w:r w:rsidR="00BD03D9">
              <w:rPr>
                <w:noProof/>
                <w:webHidden/>
              </w:rPr>
              <w:fldChar w:fldCharType="begin"/>
            </w:r>
            <w:r w:rsidR="00BD03D9">
              <w:rPr>
                <w:noProof/>
                <w:webHidden/>
              </w:rPr>
              <w:instrText xml:space="preserve"> PAGEREF _Toc109295490 \h </w:instrText>
            </w:r>
            <w:r w:rsidR="00BD03D9">
              <w:rPr>
                <w:noProof/>
                <w:webHidden/>
              </w:rPr>
            </w:r>
            <w:r w:rsidR="00BD03D9">
              <w:rPr>
                <w:noProof/>
                <w:webHidden/>
              </w:rPr>
              <w:fldChar w:fldCharType="separate"/>
            </w:r>
            <w:r>
              <w:rPr>
                <w:noProof/>
                <w:webHidden/>
              </w:rPr>
              <w:t>7</w:t>
            </w:r>
            <w:r w:rsidR="00BD03D9">
              <w:rPr>
                <w:noProof/>
                <w:webHidden/>
              </w:rPr>
              <w:fldChar w:fldCharType="end"/>
            </w:r>
          </w:hyperlink>
        </w:p>
        <w:p w14:paraId="768676E8" w14:textId="26ADC180" w:rsidR="00BD03D9" w:rsidRDefault="00DC1BCB">
          <w:pPr>
            <w:pStyle w:val="TOC4"/>
            <w:rPr>
              <w:noProof/>
              <w:sz w:val="22"/>
              <w:szCs w:val="22"/>
            </w:rPr>
          </w:pPr>
          <w:hyperlink w:anchor="_Toc109295491" w:history="1">
            <w:r w:rsidR="00BD03D9" w:rsidRPr="00591BFB">
              <w:rPr>
                <w:rStyle w:val="Hyperlink"/>
                <w:noProof/>
              </w:rPr>
              <w:t>vi.</w:t>
            </w:r>
            <w:r w:rsidR="00BD03D9">
              <w:rPr>
                <w:noProof/>
                <w:sz w:val="22"/>
                <w:szCs w:val="22"/>
              </w:rPr>
              <w:tab/>
            </w:r>
            <w:r w:rsidR="00BD03D9" w:rsidRPr="00591BFB">
              <w:rPr>
                <w:rStyle w:val="Hyperlink"/>
                <w:noProof/>
              </w:rPr>
              <w:t>Compliance with 42 CFR §438.4(b)(1)</w:t>
            </w:r>
            <w:r w:rsidR="00BD03D9">
              <w:rPr>
                <w:noProof/>
                <w:webHidden/>
              </w:rPr>
              <w:tab/>
            </w:r>
            <w:r w:rsidR="00BD03D9">
              <w:rPr>
                <w:noProof/>
                <w:webHidden/>
              </w:rPr>
              <w:fldChar w:fldCharType="begin"/>
            </w:r>
            <w:r w:rsidR="00BD03D9">
              <w:rPr>
                <w:noProof/>
                <w:webHidden/>
              </w:rPr>
              <w:instrText xml:space="preserve"> PAGEREF _Toc109295491 \h </w:instrText>
            </w:r>
            <w:r w:rsidR="00BD03D9">
              <w:rPr>
                <w:noProof/>
                <w:webHidden/>
              </w:rPr>
            </w:r>
            <w:r w:rsidR="00BD03D9">
              <w:rPr>
                <w:noProof/>
                <w:webHidden/>
              </w:rPr>
              <w:fldChar w:fldCharType="separate"/>
            </w:r>
            <w:r>
              <w:rPr>
                <w:noProof/>
                <w:webHidden/>
              </w:rPr>
              <w:t>7</w:t>
            </w:r>
            <w:r w:rsidR="00BD03D9">
              <w:rPr>
                <w:noProof/>
                <w:webHidden/>
              </w:rPr>
              <w:fldChar w:fldCharType="end"/>
            </w:r>
          </w:hyperlink>
        </w:p>
        <w:p w14:paraId="1F8C9479" w14:textId="59FC019D" w:rsidR="00BD03D9" w:rsidRDefault="00DC1BCB">
          <w:pPr>
            <w:pStyle w:val="TOC4"/>
            <w:rPr>
              <w:noProof/>
              <w:sz w:val="22"/>
              <w:szCs w:val="22"/>
            </w:rPr>
          </w:pPr>
          <w:hyperlink w:anchor="_Toc109295492" w:history="1">
            <w:r w:rsidR="00BD03D9" w:rsidRPr="00591BFB">
              <w:rPr>
                <w:rStyle w:val="Hyperlink"/>
                <w:noProof/>
              </w:rPr>
              <w:t>vii.</w:t>
            </w:r>
            <w:r w:rsidR="00BD03D9">
              <w:rPr>
                <w:noProof/>
                <w:sz w:val="22"/>
                <w:szCs w:val="22"/>
              </w:rPr>
              <w:tab/>
            </w:r>
            <w:r w:rsidR="00BD03D9" w:rsidRPr="00591BFB">
              <w:rPr>
                <w:rStyle w:val="Hyperlink"/>
                <w:noProof/>
              </w:rPr>
              <w:t>Different FMAP</w:t>
            </w:r>
            <w:r w:rsidR="00BD03D9">
              <w:rPr>
                <w:noProof/>
                <w:webHidden/>
              </w:rPr>
              <w:tab/>
            </w:r>
            <w:r w:rsidR="00BD03D9">
              <w:rPr>
                <w:noProof/>
                <w:webHidden/>
              </w:rPr>
              <w:fldChar w:fldCharType="begin"/>
            </w:r>
            <w:r w:rsidR="00BD03D9">
              <w:rPr>
                <w:noProof/>
                <w:webHidden/>
              </w:rPr>
              <w:instrText xml:space="preserve"> PAGEREF _Toc109295492 \h </w:instrText>
            </w:r>
            <w:r w:rsidR="00BD03D9">
              <w:rPr>
                <w:noProof/>
                <w:webHidden/>
              </w:rPr>
            </w:r>
            <w:r w:rsidR="00BD03D9">
              <w:rPr>
                <w:noProof/>
                <w:webHidden/>
              </w:rPr>
              <w:fldChar w:fldCharType="separate"/>
            </w:r>
            <w:r>
              <w:rPr>
                <w:noProof/>
                <w:webHidden/>
              </w:rPr>
              <w:t>7</w:t>
            </w:r>
            <w:r w:rsidR="00BD03D9">
              <w:rPr>
                <w:noProof/>
                <w:webHidden/>
              </w:rPr>
              <w:fldChar w:fldCharType="end"/>
            </w:r>
          </w:hyperlink>
        </w:p>
        <w:p w14:paraId="6F28B8E6" w14:textId="545B1CB6" w:rsidR="00BD03D9" w:rsidRDefault="00DC1BCB">
          <w:pPr>
            <w:pStyle w:val="TOC4"/>
            <w:rPr>
              <w:noProof/>
              <w:sz w:val="22"/>
              <w:szCs w:val="22"/>
            </w:rPr>
          </w:pPr>
          <w:hyperlink w:anchor="_Toc109295493" w:history="1">
            <w:r w:rsidR="00BD03D9" w:rsidRPr="00591BFB">
              <w:rPr>
                <w:rStyle w:val="Hyperlink"/>
                <w:noProof/>
              </w:rPr>
              <w:t>viii.</w:t>
            </w:r>
            <w:r w:rsidR="00BD03D9">
              <w:rPr>
                <w:noProof/>
                <w:sz w:val="22"/>
                <w:szCs w:val="22"/>
              </w:rPr>
              <w:tab/>
            </w:r>
            <w:r w:rsidR="00BD03D9" w:rsidRPr="00591BFB">
              <w:rPr>
                <w:rStyle w:val="Hyperlink"/>
                <w:noProof/>
              </w:rPr>
              <w:t>Comparison to final certified rates in the previous rate certification.</w:t>
            </w:r>
            <w:r w:rsidR="00BD03D9">
              <w:rPr>
                <w:noProof/>
                <w:webHidden/>
              </w:rPr>
              <w:tab/>
            </w:r>
            <w:r w:rsidR="00BD03D9">
              <w:rPr>
                <w:noProof/>
                <w:webHidden/>
              </w:rPr>
              <w:fldChar w:fldCharType="begin"/>
            </w:r>
            <w:r w:rsidR="00BD03D9">
              <w:rPr>
                <w:noProof/>
                <w:webHidden/>
              </w:rPr>
              <w:instrText xml:space="preserve"> PAGEREF _Toc109295493 \h </w:instrText>
            </w:r>
            <w:r w:rsidR="00BD03D9">
              <w:rPr>
                <w:noProof/>
                <w:webHidden/>
              </w:rPr>
            </w:r>
            <w:r w:rsidR="00BD03D9">
              <w:rPr>
                <w:noProof/>
                <w:webHidden/>
              </w:rPr>
              <w:fldChar w:fldCharType="separate"/>
            </w:r>
            <w:r>
              <w:rPr>
                <w:noProof/>
                <w:webHidden/>
              </w:rPr>
              <w:t>7</w:t>
            </w:r>
            <w:r w:rsidR="00BD03D9">
              <w:rPr>
                <w:noProof/>
                <w:webHidden/>
              </w:rPr>
              <w:fldChar w:fldCharType="end"/>
            </w:r>
          </w:hyperlink>
        </w:p>
        <w:p w14:paraId="084A52AF" w14:textId="54709B30" w:rsidR="00BD03D9" w:rsidRDefault="00DC1BCB">
          <w:pPr>
            <w:pStyle w:val="TOC4"/>
            <w:rPr>
              <w:noProof/>
              <w:sz w:val="22"/>
              <w:szCs w:val="22"/>
            </w:rPr>
          </w:pPr>
          <w:hyperlink w:anchor="_Toc109295494" w:history="1">
            <w:r w:rsidR="00BD03D9" w:rsidRPr="00591BFB">
              <w:rPr>
                <w:rStyle w:val="Hyperlink"/>
                <w:noProof/>
              </w:rPr>
              <w:t>ix.</w:t>
            </w:r>
            <w:r w:rsidR="00BD03D9">
              <w:rPr>
                <w:noProof/>
                <w:sz w:val="22"/>
                <w:szCs w:val="22"/>
              </w:rPr>
              <w:tab/>
            </w:r>
            <w:r w:rsidR="00BD03D9" w:rsidRPr="00591BFB">
              <w:rPr>
                <w:rStyle w:val="Hyperlink"/>
                <w:noProof/>
              </w:rPr>
              <w:t>Future amendments</w:t>
            </w:r>
            <w:r w:rsidR="00BD03D9">
              <w:rPr>
                <w:noProof/>
                <w:webHidden/>
              </w:rPr>
              <w:tab/>
            </w:r>
            <w:r w:rsidR="00BD03D9">
              <w:rPr>
                <w:noProof/>
                <w:webHidden/>
              </w:rPr>
              <w:fldChar w:fldCharType="begin"/>
            </w:r>
            <w:r w:rsidR="00BD03D9">
              <w:rPr>
                <w:noProof/>
                <w:webHidden/>
              </w:rPr>
              <w:instrText xml:space="preserve"> PAGEREF _Toc109295494 \h </w:instrText>
            </w:r>
            <w:r w:rsidR="00BD03D9">
              <w:rPr>
                <w:noProof/>
                <w:webHidden/>
              </w:rPr>
            </w:r>
            <w:r w:rsidR="00BD03D9">
              <w:rPr>
                <w:noProof/>
                <w:webHidden/>
              </w:rPr>
              <w:fldChar w:fldCharType="separate"/>
            </w:r>
            <w:r>
              <w:rPr>
                <w:noProof/>
                <w:webHidden/>
              </w:rPr>
              <w:t>8</w:t>
            </w:r>
            <w:r w:rsidR="00BD03D9">
              <w:rPr>
                <w:noProof/>
                <w:webHidden/>
              </w:rPr>
              <w:fldChar w:fldCharType="end"/>
            </w:r>
          </w:hyperlink>
        </w:p>
        <w:p w14:paraId="2652B242" w14:textId="7F0DE522" w:rsidR="00BD03D9" w:rsidRDefault="00DC1BCB">
          <w:pPr>
            <w:pStyle w:val="TOC4"/>
            <w:rPr>
              <w:noProof/>
              <w:sz w:val="22"/>
              <w:szCs w:val="22"/>
            </w:rPr>
          </w:pPr>
          <w:hyperlink w:anchor="_Toc109295495" w:history="1">
            <w:r w:rsidR="00BD03D9" w:rsidRPr="00591BFB">
              <w:rPr>
                <w:rStyle w:val="Hyperlink"/>
                <w:noProof/>
              </w:rPr>
              <w:t>x.</w:t>
            </w:r>
            <w:r w:rsidR="00BD03D9">
              <w:rPr>
                <w:noProof/>
                <w:sz w:val="22"/>
                <w:szCs w:val="22"/>
              </w:rPr>
              <w:tab/>
            </w:r>
            <w:r w:rsidR="00BD03D9" w:rsidRPr="00591BFB">
              <w:rPr>
                <w:rStyle w:val="Hyperlink"/>
                <w:noProof/>
              </w:rPr>
              <w:t>COVID-19 public health emergency</w:t>
            </w:r>
            <w:r w:rsidR="00BD03D9">
              <w:rPr>
                <w:noProof/>
                <w:webHidden/>
              </w:rPr>
              <w:tab/>
            </w:r>
            <w:r w:rsidR="00BD03D9">
              <w:rPr>
                <w:noProof/>
                <w:webHidden/>
              </w:rPr>
              <w:fldChar w:fldCharType="begin"/>
            </w:r>
            <w:r w:rsidR="00BD03D9">
              <w:rPr>
                <w:noProof/>
                <w:webHidden/>
              </w:rPr>
              <w:instrText xml:space="preserve"> PAGEREF _Toc109295495 \h </w:instrText>
            </w:r>
            <w:r w:rsidR="00BD03D9">
              <w:rPr>
                <w:noProof/>
                <w:webHidden/>
              </w:rPr>
            </w:r>
            <w:r w:rsidR="00BD03D9">
              <w:rPr>
                <w:noProof/>
                <w:webHidden/>
              </w:rPr>
              <w:fldChar w:fldCharType="separate"/>
            </w:r>
            <w:r>
              <w:rPr>
                <w:noProof/>
                <w:webHidden/>
              </w:rPr>
              <w:t>8</w:t>
            </w:r>
            <w:r w:rsidR="00BD03D9">
              <w:rPr>
                <w:noProof/>
                <w:webHidden/>
              </w:rPr>
              <w:fldChar w:fldCharType="end"/>
            </w:r>
          </w:hyperlink>
        </w:p>
        <w:p w14:paraId="4D8D47AC" w14:textId="7F8F1AB5" w:rsidR="00BD03D9" w:rsidRDefault="00DC1BCB">
          <w:pPr>
            <w:pStyle w:val="TOC2"/>
            <w:rPr>
              <w:caps w:val="0"/>
              <w:noProof/>
              <w:color w:val="auto"/>
              <w:sz w:val="22"/>
              <w:szCs w:val="22"/>
            </w:rPr>
          </w:pPr>
          <w:hyperlink w:anchor="_Toc109295496" w:history="1">
            <w:r w:rsidR="00BD03D9" w:rsidRPr="00591BFB">
              <w:rPr>
                <w:rStyle w:val="Hyperlink"/>
                <w:noProof/>
              </w:rPr>
              <w:t>2.</w:t>
            </w:r>
            <w:r w:rsidR="00BD03D9">
              <w:rPr>
                <w:caps w:val="0"/>
                <w:noProof/>
                <w:color w:val="auto"/>
                <w:sz w:val="22"/>
                <w:szCs w:val="22"/>
              </w:rPr>
              <w:tab/>
            </w:r>
            <w:r w:rsidR="00BD03D9" w:rsidRPr="00591BFB">
              <w:rPr>
                <w:rStyle w:val="Hyperlink"/>
                <w:noProof/>
              </w:rPr>
              <w:t>Data</w:t>
            </w:r>
            <w:r w:rsidR="00BD03D9">
              <w:rPr>
                <w:noProof/>
                <w:webHidden/>
              </w:rPr>
              <w:tab/>
            </w:r>
            <w:r w:rsidR="00BD03D9">
              <w:rPr>
                <w:noProof/>
                <w:webHidden/>
              </w:rPr>
              <w:fldChar w:fldCharType="begin"/>
            </w:r>
            <w:r w:rsidR="00BD03D9">
              <w:rPr>
                <w:noProof/>
                <w:webHidden/>
              </w:rPr>
              <w:instrText xml:space="preserve"> PAGEREF _Toc109295496 \h </w:instrText>
            </w:r>
            <w:r w:rsidR="00BD03D9">
              <w:rPr>
                <w:noProof/>
                <w:webHidden/>
              </w:rPr>
            </w:r>
            <w:r w:rsidR="00BD03D9">
              <w:rPr>
                <w:noProof/>
                <w:webHidden/>
              </w:rPr>
              <w:fldChar w:fldCharType="separate"/>
            </w:r>
            <w:r>
              <w:rPr>
                <w:noProof/>
                <w:webHidden/>
              </w:rPr>
              <w:t>9</w:t>
            </w:r>
            <w:r w:rsidR="00BD03D9">
              <w:rPr>
                <w:noProof/>
                <w:webHidden/>
              </w:rPr>
              <w:fldChar w:fldCharType="end"/>
            </w:r>
          </w:hyperlink>
        </w:p>
        <w:p w14:paraId="40036614" w14:textId="21DACB18" w:rsidR="00BD03D9" w:rsidRDefault="00DC1BCB">
          <w:pPr>
            <w:pStyle w:val="TOC3"/>
            <w:rPr>
              <w:noProof/>
              <w:color w:val="auto"/>
              <w:sz w:val="22"/>
              <w:szCs w:val="22"/>
            </w:rPr>
          </w:pPr>
          <w:hyperlink w:anchor="_Toc109295497" w:history="1">
            <w:r w:rsidR="00BD03D9" w:rsidRPr="00591BFB">
              <w:rPr>
                <w:rStyle w:val="Hyperlink"/>
                <w:noProof/>
              </w:rPr>
              <w:t>A.</w:t>
            </w:r>
            <w:r w:rsidR="00BD03D9">
              <w:rPr>
                <w:noProof/>
                <w:color w:val="auto"/>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_Toc109295497 \h </w:instrText>
            </w:r>
            <w:r w:rsidR="00BD03D9">
              <w:rPr>
                <w:noProof/>
                <w:webHidden/>
              </w:rPr>
            </w:r>
            <w:r w:rsidR="00BD03D9">
              <w:rPr>
                <w:noProof/>
                <w:webHidden/>
              </w:rPr>
              <w:fldChar w:fldCharType="separate"/>
            </w:r>
            <w:r>
              <w:rPr>
                <w:noProof/>
                <w:webHidden/>
              </w:rPr>
              <w:t>9</w:t>
            </w:r>
            <w:r w:rsidR="00BD03D9">
              <w:rPr>
                <w:noProof/>
                <w:webHidden/>
              </w:rPr>
              <w:fldChar w:fldCharType="end"/>
            </w:r>
          </w:hyperlink>
        </w:p>
        <w:p w14:paraId="5D6FE9E0" w14:textId="6F7151FE" w:rsidR="00BD03D9" w:rsidRDefault="00DC1BCB">
          <w:pPr>
            <w:pStyle w:val="TOC3"/>
            <w:rPr>
              <w:noProof/>
              <w:color w:val="auto"/>
              <w:sz w:val="22"/>
              <w:szCs w:val="22"/>
            </w:rPr>
          </w:pPr>
          <w:hyperlink w:anchor="_Toc109295498" w:history="1">
            <w:r w:rsidR="00BD03D9" w:rsidRPr="00591BFB">
              <w:rPr>
                <w:rStyle w:val="Hyperlink"/>
                <w:noProof/>
              </w:rPr>
              <w:t>B.</w:t>
            </w:r>
            <w:r w:rsidR="00BD03D9">
              <w:rPr>
                <w:noProof/>
                <w:color w:val="auto"/>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_Toc109295498 \h </w:instrText>
            </w:r>
            <w:r w:rsidR="00BD03D9">
              <w:rPr>
                <w:noProof/>
                <w:webHidden/>
              </w:rPr>
            </w:r>
            <w:r w:rsidR="00BD03D9">
              <w:rPr>
                <w:noProof/>
                <w:webHidden/>
              </w:rPr>
              <w:fldChar w:fldCharType="separate"/>
            </w:r>
            <w:r>
              <w:rPr>
                <w:noProof/>
                <w:webHidden/>
              </w:rPr>
              <w:t>9</w:t>
            </w:r>
            <w:r w:rsidR="00BD03D9">
              <w:rPr>
                <w:noProof/>
                <w:webHidden/>
              </w:rPr>
              <w:fldChar w:fldCharType="end"/>
            </w:r>
          </w:hyperlink>
        </w:p>
        <w:p w14:paraId="296C23B2" w14:textId="290260CC" w:rsidR="00BD03D9" w:rsidRDefault="00DC1BCB">
          <w:pPr>
            <w:pStyle w:val="TOC4"/>
            <w:rPr>
              <w:noProof/>
              <w:sz w:val="22"/>
              <w:szCs w:val="22"/>
            </w:rPr>
          </w:pPr>
          <w:hyperlink w:anchor="_Toc109295499" w:history="1">
            <w:r w:rsidR="00BD03D9" w:rsidRPr="00591BFB">
              <w:rPr>
                <w:rStyle w:val="Hyperlink"/>
                <w:noProof/>
              </w:rPr>
              <w:t>i.</w:t>
            </w:r>
            <w:r w:rsidR="00BD03D9">
              <w:rPr>
                <w:noProof/>
                <w:sz w:val="22"/>
                <w:szCs w:val="22"/>
              </w:rPr>
              <w:tab/>
            </w:r>
            <w:r w:rsidR="00BD03D9" w:rsidRPr="00591BFB">
              <w:rPr>
                <w:rStyle w:val="Hyperlink"/>
                <w:noProof/>
              </w:rPr>
              <w:t>Requested data</w:t>
            </w:r>
            <w:r w:rsidR="00BD03D9">
              <w:rPr>
                <w:noProof/>
                <w:webHidden/>
              </w:rPr>
              <w:tab/>
            </w:r>
            <w:r w:rsidR="00BD03D9">
              <w:rPr>
                <w:noProof/>
                <w:webHidden/>
              </w:rPr>
              <w:fldChar w:fldCharType="begin"/>
            </w:r>
            <w:r w:rsidR="00BD03D9">
              <w:rPr>
                <w:noProof/>
                <w:webHidden/>
              </w:rPr>
              <w:instrText xml:space="preserve"> PAGEREF _Toc109295499 \h </w:instrText>
            </w:r>
            <w:r w:rsidR="00BD03D9">
              <w:rPr>
                <w:noProof/>
                <w:webHidden/>
              </w:rPr>
            </w:r>
            <w:r w:rsidR="00BD03D9">
              <w:rPr>
                <w:noProof/>
                <w:webHidden/>
              </w:rPr>
              <w:fldChar w:fldCharType="separate"/>
            </w:r>
            <w:r>
              <w:rPr>
                <w:noProof/>
                <w:webHidden/>
              </w:rPr>
              <w:t>9</w:t>
            </w:r>
            <w:r w:rsidR="00BD03D9">
              <w:rPr>
                <w:noProof/>
                <w:webHidden/>
              </w:rPr>
              <w:fldChar w:fldCharType="end"/>
            </w:r>
          </w:hyperlink>
        </w:p>
        <w:p w14:paraId="34A23E07" w14:textId="7AC5526D" w:rsidR="00BD03D9" w:rsidRDefault="00DC1BCB">
          <w:pPr>
            <w:pStyle w:val="TOC4"/>
            <w:rPr>
              <w:noProof/>
              <w:sz w:val="22"/>
              <w:szCs w:val="22"/>
            </w:rPr>
          </w:pPr>
          <w:hyperlink w:anchor="_Toc109295500" w:history="1">
            <w:r w:rsidR="00BD03D9" w:rsidRPr="00591BFB">
              <w:rPr>
                <w:rStyle w:val="Hyperlink"/>
                <w:noProof/>
              </w:rPr>
              <w:t>ii.</w:t>
            </w:r>
            <w:r w:rsidR="00BD03D9">
              <w:rPr>
                <w:noProof/>
                <w:sz w:val="22"/>
                <w:szCs w:val="22"/>
              </w:rPr>
              <w:tab/>
            </w:r>
            <w:r w:rsidR="00BD03D9" w:rsidRPr="00591BFB">
              <w:rPr>
                <w:rStyle w:val="Hyperlink"/>
                <w:noProof/>
              </w:rPr>
              <w:t>Data used to develop the capitation rates</w:t>
            </w:r>
            <w:r w:rsidR="00BD03D9">
              <w:rPr>
                <w:noProof/>
                <w:webHidden/>
              </w:rPr>
              <w:tab/>
            </w:r>
            <w:r w:rsidR="00BD03D9">
              <w:rPr>
                <w:noProof/>
                <w:webHidden/>
              </w:rPr>
              <w:fldChar w:fldCharType="begin"/>
            </w:r>
            <w:r w:rsidR="00BD03D9">
              <w:rPr>
                <w:noProof/>
                <w:webHidden/>
              </w:rPr>
              <w:instrText xml:space="preserve"> PAGEREF _Toc109295500 \h </w:instrText>
            </w:r>
            <w:r w:rsidR="00BD03D9">
              <w:rPr>
                <w:noProof/>
                <w:webHidden/>
              </w:rPr>
            </w:r>
            <w:r w:rsidR="00BD03D9">
              <w:rPr>
                <w:noProof/>
                <w:webHidden/>
              </w:rPr>
              <w:fldChar w:fldCharType="separate"/>
            </w:r>
            <w:r>
              <w:rPr>
                <w:noProof/>
                <w:webHidden/>
              </w:rPr>
              <w:t>9</w:t>
            </w:r>
            <w:r w:rsidR="00BD03D9">
              <w:rPr>
                <w:noProof/>
                <w:webHidden/>
              </w:rPr>
              <w:fldChar w:fldCharType="end"/>
            </w:r>
          </w:hyperlink>
        </w:p>
        <w:p w14:paraId="4F326EA1" w14:textId="1053285D" w:rsidR="00BD03D9" w:rsidRDefault="00DC1BCB">
          <w:pPr>
            <w:pStyle w:val="TOC4"/>
            <w:rPr>
              <w:noProof/>
              <w:sz w:val="22"/>
              <w:szCs w:val="22"/>
            </w:rPr>
          </w:pPr>
          <w:hyperlink w:anchor="_Toc109295501" w:history="1">
            <w:r w:rsidR="00BD03D9" w:rsidRPr="00591BFB">
              <w:rPr>
                <w:rStyle w:val="Hyperlink"/>
                <w:noProof/>
              </w:rPr>
              <w:t>iii.</w:t>
            </w:r>
            <w:r w:rsidR="00BD03D9">
              <w:rPr>
                <w:noProof/>
                <w:sz w:val="22"/>
                <w:szCs w:val="22"/>
              </w:rPr>
              <w:tab/>
            </w:r>
            <w:r w:rsidR="00BD03D9" w:rsidRPr="00591BFB">
              <w:rPr>
                <w:rStyle w:val="Hyperlink"/>
                <w:noProof/>
              </w:rPr>
              <w:t>Data adjustments</w:t>
            </w:r>
            <w:r w:rsidR="00BD03D9">
              <w:rPr>
                <w:noProof/>
                <w:webHidden/>
              </w:rPr>
              <w:tab/>
            </w:r>
            <w:r w:rsidR="00BD03D9">
              <w:rPr>
                <w:noProof/>
                <w:webHidden/>
              </w:rPr>
              <w:fldChar w:fldCharType="begin"/>
            </w:r>
            <w:r w:rsidR="00BD03D9">
              <w:rPr>
                <w:noProof/>
                <w:webHidden/>
              </w:rPr>
              <w:instrText xml:space="preserve"> PAGEREF _Toc109295501 \h </w:instrText>
            </w:r>
            <w:r w:rsidR="00BD03D9">
              <w:rPr>
                <w:noProof/>
                <w:webHidden/>
              </w:rPr>
            </w:r>
            <w:r w:rsidR="00BD03D9">
              <w:rPr>
                <w:noProof/>
                <w:webHidden/>
              </w:rPr>
              <w:fldChar w:fldCharType="separate"/>
            </w:r>
            <w:r>
              <w:rPr>
                <w:noProof/>
                <w:webHidden/>
              </w:rPr>
              <w:t>10</w:t>
            </w:r>
            <w:r w:rsidR="00BD03D9">
              <w:rPr>
                <w:noProof/>
                <w:webHidden/>
              </w:rPr>
              <w:fldChar w:fldCharType="end"/>
            </w:r>
          </w:hyperlink>
        </w:p>
        <w:p w14:paraId="5CCAF964" w14:textId="75DF79F9" w:rsidR="00BD03D9" w:rsidRDefault="00DC1BCB">
          <w:pPr>
            <w:pStyle w:val="TOC2"/>
            <w:rPr>
              <w:caps w:val="0"/>
              <w:noProof/>
              <w:color w:val="auto"/>
              <w:sz w:val="22"/>
              <w:szCs w:val="22"/>
            </w:rPr>
          </w:pPr>
          <w:hyperlink w:anchor="_Toc109295502" w:history="1">
            <w:r w:rsidR="00BD03D9" w:rsidRPr="00591BFB">
              <w:rPr>
                <w:rStyle w:val="Hyperlink"/>
                <w:noProof/>
              </w:rPr>
              <w:t>3.</w:t>
            </w:r>
            <w:r w:rsidR="00BD03D9">
              <w:rPr>
                <w:caps w:val="0"/>
                <w:noProof/>
                <w:color w:val="auto"/>
                <w:sz w:val="22"/>
                <w:szCs w:val="22"/>
              </w:rPr>
              <w:tab/>
            </w:r>
            <w:r w:rsidR="00BD03D9" w:rsidRPr="00591BFB">
              <w:rPr>
                <w:rStyle w:val="Hyperlink"/>
                <w:noProof/>
              </w:rPr>
              <w:t>Projected benefit cost and trends</w:t>
            </w:r>
            <w:r w:rsidR="00BD03D9">
              <w:rPr>
                <w:noProof/>
                <w:webHidden/>
              </w:rPr>
              <w:tab/>
            </w:r>
            <w:r w:rsidR="00BD03D9">
              <w:rPr>
                <w:noProof/>
                <w:webHidden/>
              </w:rPr>
              <w:fldChar w:fldCharType="begin"/>
            </w:r>
            <w:r w:rsidR="00BD03D9">
              <w:rPr>
                <w:noProof/>
                <w:webHidden/>
              </w:rPr>
              <w:instrText xml:space="preserve"> PAGEREF _Toc109295502 \h </w:instrText>
            </w:r>
            <w:r w:rsidR="00BD03D9">
              <w:rPr>
                <w:noProof/>
                <w:webHidden/>
              </w:rPr>
            </w:r>
            <w:r w:rsidR="00BD03D9">
              <w:rPr>
                <w:noProof/>
                <w:webHidden/>
              </w:rPr>
              <w:fldChar w:fldCharType="separate"/>
            </w:r>
            <w:r>
              <w:rPr>
                <w:noProof/>
                <w:webHidden/>
              </w:rPr>
              <w:t>12</w:t>
            </w:r>
            <w:r w:rsidR="00BD03D9">
              <w:rPr>
                <w:noProof/>
                <w:webHidden/>
              </w:rPr>
              <w:fldChar w:fldCharType="end"/>
            </w:r>
          </w:hyperlink>
        </w:p>
        <w:p w14:paraId="71CE6889" w14:textId="44D5ED9B" w:rsidR="00BD03D9" w:rsidRDefault="00DC1BCB">
          <w:pPr>
            <w:pStyle w:val="TOC3"/>
            <w:rPr>
              <w:noProof/>
              <w:color w:val="auto"/>
              <w:sz w:val="22"/>
              <w:szCs w:val="22"/>
            </w:rPr>
          </w:pPr>
          <w:hyperlink w:anchor="_Toc109295503" w:history="1">
            <w:r w:rsidR="00BD03D9" w:rsidRPr="00591BFB">
              <w:rPr>
                <w:rStyle w:val="Hyperlink"/>
                <w:noProof/>
              </w:rPr>
              <w:t>A.</w:t>
            </w:r>
            <w:r w:rsidR="00BD03D9">
              <w:rPr>
                <w:noProof/>
                <w:color w:val="auto"/>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_Toc109295503 \h </w:instrText>
            </w:r>
            <w:r w:rsidR="00BD03D9">
              <w:rPr>
                <w:noProof/>
                <w:webHidden/>
              </w:rPr>
            </w:r>
            <w:r w:rsidR="00BD03D9">
              <w:rPr>
                <w:noProof/>
                <w:webHidden/>
              </w:rPr>
              <w:fldChar w:fldCharType="separate"/>
            </w:r>
            <w:r>
              <w:rPr>
                <w:noProof/>
                <w:webHidden/>
              </w:rPr>
              <w:t>12</w:t>
            </w:r>
            <w:r w:rsidR="00BD03D9">
              <w:rPr>
                <w:noProof/>
                <w:webHidden/>
              </w:rPr>
              <w:fldChar w:fldCharType="end"/>
            </w:r>
          </w:hyperlink>
        </w:p>
        <w:p w14:paraId="168D4F9A" w14:textId="218BB72D" w:rsidR="00BD03D9" w:rsidRDefault="00DC1BCB">
          <w:pPr>
            <w:pStyle w:val="TOC4"/>
            <w:rPr>
              <w:noProof/>
              <w:sz w:val="22"/>
              <w:szCs w:val="22"/>
            </w:rPr>
          </w:pPr>
          <w:hyperlink w:anchor="_Toc109295504" w:history="1">
            <w:r w:rsidR="00BD03D9" w:rsidRPr="00591BFB">
              <w:rPr>
                <w:rStyle w:val="Hyperlink"/>
                <w:noProof/>
              </w:rPr>
              <w:t>i.</w:t>
            </w:r>
            <w:r w:rsidR="00BD03D9">
              <w:rPr>
                <w:noProof/>
                <w:sz w:val="22"/>
                <w:szCs w:val="22"/>
              </w:rPr>
              <w:tab/>
            </w:r>
            <w:r w:rsidR="00BD03D9" w:rsidRPr="00591BFB">
              <w:rPr>
                <w:rStyle w:val="Hyperlink"/>
                <w:noProof/>
              </w:rPr>
              <w:t>Final capitation rate compliance</w:t>
            </w:r>
            <w:r w:rsidR="00BD03D9">
              <w:rPr>
                <w:noProof/>
                <w:webHidden/>
              </w:rPr>
              <w:tab/>
            </w:r>
            <w:r w:rsidR="00BD03D9">
              <w:rPr>
                <w:noProof/>
                <w:webHidden/>
              </w:rPr>
              <w:fldChar w:fldCharType="begin"/>
            </w:r>
            <w:r w:rsidR="00BD03D9">
              <w:rPr>
                <w:noProof/>
                <w:webHidden/>
              </w:rPr>
              <w:instrText xml:space="preserve"> PAGEREF _Toc109295504 \h </w:instrText>
            </w:r>
            <w:r w:rsidR="00BD03D9">
              <w:rPr>
                <w:noProof/>
                <w:webHidden/>
              </w:rPr>
            </w:r>
            <w:r w:rsidR="00BD03D9">
              <w:rPr>
                <w:noProof/>
                <w:webHidden/>
              </w:rPr>
              <w:fldChar w:fldCharType="separate"/>
            </w:r>
            <w:r>
              <w:rPr>
                <w:noProof/>
                <w:webHidden/>
              </w:rPr>
              <w:t>12</w:t>
            </w:r>
            <w:r w:rsidR="00BD03D9">
              <w:rPr>
                <w:noProof/>
                <w:webHidden/>
              </w:rPr>
              <w:fldChar w:fldCharType="end"/>
            </w:r>
          </w:hyperlink>
        </w:p>
        <w:p w14:paraId="463375ED" w14:textId="5D2BA5A7" w:rsidR="00BD03D9" w:rsidRDefault="00DC1BCB">
          <w:pPr>
            <w:pStyle w:val="TOC4"/>
            <w:rPr>
              <w:noProof/>
              <w:sz w:val="22"/>
              <w:szCs w:val="22"/>
            </w:rPr>
          </w:pPr>
          <w:hyperlink w:anchor="_Toc109295505" w:history="1">
            <w:r w:rsidR="00BD03D9" w:rsidRPr="00591BFB">
              <w:rPr>
                <w:rStyle w:val="Hyperlink"/>
                <w:noProof/>
              </w:rPr>
              <w:t>ii.</w:t>
            </w:r>
            <w:r w:rsidR="00BD03D9">
              <w:rPr>
                <w:noProof/>
                <w:sz w:val="22"/>
                <w:szCs w:val="22"/>
              </w:rPr>
              <w:tab/>
            </w:r>
            <w:r w:rsidR="00BD03D9" w:rsidRPr="00591BFB">
              <w:rPr>
                <w:rStyle w:val="Hyperlink"/>
                <w:noProof/>
              </w:rPr>
              <w:t>Benefit cost trend assumptions</w:t>
            </w:r>
            <w:r w:rsidR="00BD03D9">
              <w:rPr>
                <w:noProof/>
                <w:webHidden/>
              </w:rPr>
              <w:tab/>
            </w:r>
            <w:r w:rsidR="00BD03D9">
              <w:rPr>
                <w:noProof/>
                <w:webHidden/>
              </w:rPr>
              <w:fldChar w:fldCharType="begin"/>
            </w:r>
            <w:r w:rsidR="00BD03D9">
              <w:rPr>
                <w:noProof/>
                <w:webHidden/>
              </w:rPr>
              <w:instrText xml:space="preserve"> PAGEREF _Toc109295505 \h </w:instrText>
            </w:r>
            <w:r w:rsidR="00BD03D9">
              <w:rPr>
                <w:noProof/>
                <w:webHidden/>
              </w:rPr>
            </w:r>
            <w:r w:rsidR="00BD03D9">
              <w:rPr>
                <w:noProof/>
                <w:webHidden/>
              </w:rPr>
              <w:fldChar w:fldCharType="separate"/>
            </w:r>
            <w:r>
              <w:rPr>
                <w:noProof/>
                <w:webHidden/>
              </w:rPr>
              <w:t>12</w:t>
            </w:r>
            <w:r w:rsidR="00BD03D9">
              <w:rPr>
                <w:noProof/>
                <w:webHidden/>
              </w:rPr>
              <w:fldChar w:fldCharType="end"/>
            </w:r>
          </w:hyperlink>
        </w:p>
        <w:p w14:paraId="3F3FDAAB" w14:textId="1737605A" w:rsidR="00BD03D9" w:rsidRDefault="00DC1BCB">
          <w:pPr>
            <w:pStyle w:val="TOC4"/>
            <w:rPr>
              <w:noProof/>
              <w:sz w:val="22"/>
              <w:szCs w:val="22"/>
            </w:rPr>
          </w:pPr>
          <w:hyperlink w:anchor="_Toc109295506" w:history="1">
            <w:r w:rsidR="00BD03D9" w:rsidRPr="00591BFB">
              <w:rPr>
                <w:rStyle w:val="Hyperlink"/>
                <w:noProof/>
              </w:rPr>
              <w:t>iii.</w:t>
            </w:r>
            <w:r w:rsidR="00BD03D9">
              <w:rPr>
                <w:noProof/>
                <w:sz w:val="22"/>
                <w:szCs w:val="22"/>
              </w:rPr>
              <w:tab/>
            </w:r>
            <w:r w:rsidR="00BD03D9" w:rsidRPr="00591BFB">
              <w:rPr>
                <w:rStyle w:val="Hyperlink"/>
                <w:noProof/>
              </w:rPr>
              <w:t>In lieu of services</w:t>
            </w:r>
            <w:r w:rsidR="00BD03D9">
              <w:rPr>
                <w:noProof/>
                <w:webHidden/>
              </w:rPr>
              <w:tab/>
            </w:r>
            <w:r w:rsidR="00BD03D9">
              <w:rPr>
                <w:noProof/>
                <w:webHidden/>
              </w:rPr>
              <w:fldChar w:fldCharType="begin"/>
            </w:r>
            <w:r w:rsidR="00BD03D9">
              <w:rPr>
                <w:noProof/>
                <w:webHidden/>
              </w:rPr>
              <w:instrText xml:space="preserve"> PAGEREF _Toc109295506 \h </w:instrText>
            </w:r>
            <w:r w:rsidR="00BD03D9">
              <w:rPr>
                <w:noProof/>
                <w:webHidden/>
              </w:rPr>
            </w:r>
            <w:r w:rsidR="00BD03D9">
              <w:rPr>
                <w:noProof/>
                <w:webHidden/>
              </w:rPr>
              <w:fldChar w:fldCharType="separate"/>
            </w:r>
            <w:r>
              <w:rPr>
                <w:noProof/>
                <w:webHidden/>
              </w:rPr>
              <w:t>12</w:t>
            </w:r>
            <w:r w:rsidR="00BD03D9">
              <w:rPr>
                <w:noProof/>
                <w:webHidden/>
              </w:rPr>
              <w:fldChar w:fldCharType="end"/>
            </w:r>
          </w:hyperlink>
        </w:p>
        <w:p w14:paraId="0FB4963C" w14:textId="14252D3E" w:rsidR="00BD03D9" w:rsidRDefault="00DC1BCB">
          <w:pPr>
            <w:pStyle w:val="TOC4"/>
            <w:rPr>
              <w:noProof/>
              <w:sz w:val="22"/>
              <w:szCs w:val="22"/>
            </w:rPr>
          </w:pPr>
          <w:hyperlink w:anchor="_Toc109295507" w:history="1">
            <w:r w:rsidR="00BD03D9" w:rsidRPr="00591BFB">
              <w:rPr>
                <w:rStyle w:val="Hyperlink"/>
                <w:noProof/>
              </w:rPr>
              <w:t>iv.</w:t>
            </w:r>
            <w:r w:rsidR="00BD03D9">
              <w:rPr>
                <w:noProof/>
                <w:sz w:val="22"/>
                <w:szCs w:val="22"/>
              </w:rPr>
              <w:tab/>
            </w:r>
            <w:r w:rsidR="00BD03D9" w:rsidRPr="00591BFB">
              <w:rPr>
                <w:rStyle w:val="Hyperlink"/>
                <w:noProof/>
              </w:rPr>
              <w:t>IMDs as an in-lieu-of service provider</w:t>
            </w:r>
            <w:r w:rsidR="00BD03D9">
              <w:rPr>
                <w:noProof/>
                <w:webHidden/>
              </w:rPr>
              <w:tab/>
            </w:r>
            <w:r w:rsidR="00BD03D9">
              <w:rPr>
                <w:noProof/>
                <w:webHidden/>
              </w:rPr>
              <w:fldChar w:fldCharType="begin"/>
            </w:r>
            <w:r w:rsidR="00BD03D9">
              <w:rPr>
                <w:noProof/>
                <w:webHidden/>
              </w:rPr>
              <w:instrText xml:space="preserve"> PAGEREF _Toc109295507 \h </w:instrText>
            </w:r>
            <w:r w:rsidR="00BD03D9">
              <w:rPr>
                <w:noProof/>
                <w:webHidden/>
              </w:rPr>
            </w:r>
            <w:r w:rsidR="00BD03D9">
              <w:rPr>
                <w:noProof/>
                <w:webHidden/>
              </w:rPr>
              <w:fldChar w:fldCharType="separate"/>
            </w:r>
            <w:r>
              <w:rPr>
                <w:noProof/>
                <w:webHidden/>
              </w:rPr>
              <w:t>12</w:t>
            </w:r>
            <w:r w:rsidR="00BD03D9">
              <w:rPr>
                <w:noProof/>
                <w:webHidden/>
              </w:rPr>
              <w:fldChar w:fldCharType="end"/>
            </w:r>
          </w:hyperlink>
        </w:p>
        <w:p w14:paraId="1DF4338C" w14:textId="1009FFEE" w:rsidR="00BD03D9" w:rsidRDefault="00DC1BCB">
          <w:pPr>
            <w:pStyle w:val="TOC3"/>
            <w:rPr>
              <w:noProof/>
              <w:color w:val="auto"/>
              <w:sz w:val="22"/>
              <w:szCs w:val="22"/>
            </w:rPr>
          </w:pPr>
          <w:hyperlink w:anchor="_Toc109295508" w:history="1">
            <w:r w:rsidR="00BD03D9" w:rsidRPr="00591BFB">
              <w:rPr>
                <w:rStyle w:val="Hyperlink"/>
                <w:noProof/>
              </w:rPr>
              <w:t>B.</w:t>
            </w:r>
            <w:r w:rsidR="00BD03D9">
              <w:rPr>
                <w:noProof/>
                <w:color w:val="auto"/>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_Toc109295508 \h </w:instrText>
            </w:r>
            <w:r w:rsidR="00BD03D9">
              <w:rPr>
                <w:noProof/>
                <w:webHidden/>
              </w:rPr>
            </w:r>
            <w:r w:rsidR="00BD03D9">
              <w:rPr>
                <w:noProof/>
                <w:webHidden/>
              </w:rPr>
              <w:fldChar w:fldCharType="separate"/>
            </w:r>
            <w:r>
              <w:rPr>
                <w:noProof/>
                <w:webHidden/>
              </w:rPr>
              <w:t>12</w:t>
            </w:r>
            <w:r w:rsidR="00BD03D9">
              <w:rPr>
                <w:noProof/>
                <w:webHidden/>
              </w:rPr>
              <w:fldChar w:fldCharType="end"/>
            </w:r>
          </w:hyperlink>
        </w:p>
        <w:p w14:paraId="3C6A3ABB" w14:textId="62A454C1" w:rsidR="00BD03D9" w:rsidRDefault="00DC1BCB">
          <w:pPr>
            <w:pStyle w:val="TOC4"/>
            <w:rPr>
              <w:noProof/>
              <w:sz w:val="22"/>
              <w:szCs w:val="22"/>
            </w:rPr>
          </w:pPr>
          <w:hyperlink w:anchor="_Toc109295509" w:history="1">
            <w:r w:rsidR="00BD03D9" w:rsidRPr="00591BFB">
              <w:rPr>
                <w:rStyle w:val="Hyperlink"/>
                <w:noProof/>
              </w:rPr>
              <w:t>i.</w:t>
            </w:r>
            <w:r w:rsidR="00BD03D9">
              <w:rPr>
                <w:noProof/>
                <w:sz w:val="22"/>
                <w:szCs w:val="22"/>
              </w:rPr>
              <w:tab/>
            </w:r>
            <w:r w:rsidR="00BD03D9" w:rsidRPr="00591BFB">
              <w:rPr>
                <w:rStyle w:val="Hyperlink"/>
                <w:noProof/>
              </w:rPr>
              <w:t>Projected Benefit Costs</w:t>
            </w:r>
            <w:r w:rsidR="00BD03D9">
              <w:rPr>
                <w:noProof/>
                <w:webHidden/>
              </w:rPr>
              <w:tab/>
            </w:r>
            <w:r w:rsidR="00BD03D9">
              <w:rPr>
                <w:noProof/>
                <w:webHidden/>
              </w:rPr>
              <w:fldChar w:fldCharType="begin"/>
            </w:r>
            <w:r w:rsidR="00BD03D9">
              <w:rPr>
                <w:noProof/>
                <w:webHidden/>
              </w:rPr>
              <w:instrText xml:space="preserve"> PAGEREF _Toc109295509 \h </w:instrText>
            </w:r>
            <w:r w:rsidR="00BD03D9">
              <w:rPr>
                <w:noProof/>
                <w:webHidden/>
              </w:rPr>
            </w:r>
            <w:r w:rsidR="00BD03D9">
              <w:rPr>
                <w:noProof/>
                <w:webHidden/>
              </w:rPr>
              <w:fldChar w:fldCharType="separate"/>
            </w:r>
            <w:r>
              <w:rPr>
                <w:noProof/>
                <w:webHidden/>
              </w:rPr>
              <w:t>12</w:t>
            </w:r>
            <w:r w:rsidR="00BD03D9">
              <w:rPr>
                <w:noProof/>
                <w:webHidden/>
              </w:rPr>
              <w:fldChar w:fldCharType="end"/>
            </w:r>
          </w:hyperlink>
        </w:p>
        <w:p w14:paraId="525BEC9A" w14:textId="22A7EDA3" w:rsidR="00BD03D9" w:rsidRDefault="00DC1BCB">
          <w:pPr>
            <w:pStyle w:val="TOC4"/>
            <w:rPr>
              <w:noProof/>
              <w:sz w:val="22"/>
              <w:szCs w:val="22"/>
            </w:rPr>
          </w:pPr>
          <w:hyperlink w:anchor="_Toc109295510" w:history="1">
            <w:r w:rsidR="00BD03D9" w:rsidRPr="00591BFB">
              <w:rPr>
                <w:rStyle w:val="Hyperlink"/>
                <w:noProof/>
              </w:rPr>
              <w:t>ii.</w:t>
            </w:r>
            <w:r w:rsidR="00BD03D9">
              <w:rPr>
                <w:noProof/>
                <w:sz w:val="22"/>
                <w:szCs w:val="22"/>
              </w:rPr>
              <w:tab/>
            </w:r>
            <w:r w:rsidR="00BD03D9" w:rsidRPr="00591BFB">
              <w:rPr>
                <w:rStyle w:val="Hyperlink"/>
                <w:noProof/>
              </w:rPr>
              <w:t>Development of projected benefit costs</w:t>
            </w:r>
            <w:r w:rsidR="00BD03D9">
              <w:rPr>
                <w:noProof/>
                <w:webHidden/>
              </w:rPr>
              <w:tab/>
            </w:r>
            <w:r w:rsidR="00BD03D9">
              <w:rPr>
                <w:noProof/>
                <w:webHidden/>
              </w:rPr>
              <w:fldChar w:fldCharType="begin"/>
            </w:r>
            <w:r w:rsidR="00BD03D9">
              <w:rPr>
                <w:noProof/>
                <w:webHidden/>
              </w:rPr>
              <w:instrText xml:space="preserve"> PAGEREF _Toc109295510 \h </w:instrText>
            </w:r>
            <w:r w:rsidR="00BD03D9">
              <w:rPr>
                <w:noProof/>
                <w:webHidden/>
              </w:rPr>
            </w:r>
            <w:r w:rsidR="00BD03D9">
              <w:rPr>
                <w:noProof/>
                <w:webHidden/>
              </w:rPr>
              <w:fldChar w:fldCharType="separate"/>
            </w:r>
            <w:r>
              <w:rPr>
                <w:noProof/>
                <w:webHidden/>
              </w:rPr>
              <w:t>12</w:t>
            </w:r>
            <w:r w:rsidR="00BD03D9">
              <w:rPr>
                <w:noProof/>
                <w:webHidden/>
              </w:rPr>
              <w:fldChar w:fldCharType="end"/>
            </w:r>
          </w:hyperlink>
        </w:p>
        <w:p w14:paraId="2B90B387" w14:textId="7DA907CC" w:rsidR="00BD03D9" w:rsidRDefault="00DC1BCB">
          <w:pPr>
            <w:pStyle w:val="TOC4"/>
            <w:rPr>
              <w:noProof/>
              <w:sz w:val="22"/>
              <w:szCs w:val="22"/>
            </w:rPr>
          </w:pPr>
          <w:hyperlink w:anchor="_Toc109295511" w:history="1">
            <w:r w:rsidR="00BD03D9" w:rsidRPr="00591BFB">
              <w:rPr>
                <w:rStyle w:val="Hyperlink"/>
                <w:noProof/>
              </w:rPr>
              <w:t>iii.</w:t>
            </w:r>
            <w:r w:rsidR="00BD03D9">
              <w:rPr>
                <w:noProof/>
                <w:sz w:val="22"/>
                <w:szCs w:val="22"/>
              </w:rPr>
              <w:tab/>
            </w:r>
            <w:r w:rsidR="00BD03D9" w:rsidRPr="00591BFB">
              <w:rPr>
                <w:rStyle w:val="Hyperlink"/>
                <w:noProof/>
              </w:rPr>
              <w:t>Projected benefit cost trends</w:t>
            </w:r>
            <w:r w:rsidR="00BD03D9">
              <w:rPr>
                <w:noProof/>
                <w:webHidden/>
              </w:rPr>
              <w:tab/>
            </w:r>
            <w:r w:rsidR="00BD03D9">
              <w:rPr>
                <w:noProof/>
                <w:webHidden/>
              </w:rPr>
              <w:fldChar w:fldCharType="begin"/>
            </w:r>
            <w:r w:rsidR="00BD03D9">
              <w:rPr>
                <w:noProof/>
                <w:webHidden/>
              </w:rPr>
              <w:instrText xml:space="preserve"> PAGEREF _Toc109295511 \h </w:instrText>
            </w:r>
            <w:r w:rsidR="00BD03D9">
              <w:rPr>
                <w:noProof/>
                <w:webHidden/>
              </w:rPr>
            </w:r>
            <w:r w:rsidR="00BD03D9">
              <w:rPr>
                <w:noProof/>
                <w:webHidden/>
              </w:rPr>
              <w:fldChar w:fldCharType="separate"/>
            </w:r>
            <w:r>
              <w:rPr>
                <w:noProof/>
                <w:webHidden/>
              </w:rPr>
              <w:t>15</w:t>
            </w:r>
            <w:r w:rsidR="00BD03D9">
              <w:rPr>
                <w:noProof/>
                <w:webHidden/>
              </w:rPr>
              <w:fldChar w:fldCharType="end"/>
            </w:r>
          </w:hyperlink>
        </w:p>
        <w:p w14:paraId="694404E0" w14:textId="1CB42C3F" w:rsidR="00BD03D9" w:rsidRDefault="00DC1BCB">
          <w:pPr>
            <w:pStyle w:val="TOC4"/>
            <w:rPr>
              <w:noProof/>
              <w:sz w:val="22"/>
              <w:szCs w:val="22"/>
            </w:rPr>
          </w:pPr>
          <w:hyperlink w:anchor="_Toc109295512" w:history="1">
            <w:r w:rsidR="00BD03D9" w:rsidRPr="00591BFB">
              <w:rPr>
                <w:rStyle w:val="Hyperlink"/>
                <w:noProof/>
              </w:rPr>
              <w:t>iv.</w:t>
            </w:r>
            <w:r w:rsidR="00BD03D9">
              <w:rPr>
                <w:noProof/>
                <w:sz w:val="22"/>
                <w:szCs w:val="22"/>
              </w:rPr>
              <w:tab/>
            </w:r>
            <w:r w:rsidR="00BD03D9" w:rsidRPr="00591BFB">
              <w:rPr>
                <w:rStyle w:val="Hyperlink"/>
                <w:noProof/>
              </w:rPr>
              <w:t>Mental health parity and addiction equity act service adjustment</w:t>
            </w:r>
            <w:r w:rsidR="00BD03D9">
              <w:rPr>
                <w:noProof/>
                <w:webHidden/>
              </w:rPr>
              <w:tab/>
            </w:r>
            <w:r w:rsidR="00BD03D9">
              <w:rPr>
                <w:noProof/>
                <w:webHidden/>
              </w:rPr>
              <w:fldChar w:fldCharType="begin"/>
            </w:r>
            <w:r w:rsidR="00BD03D9">
              <w:rPr>
                <w:noProof/>
                <w:webHidden/>
              </w:rPr>
              <w:instrText xml:space="preserve"> PAGEREF _Toc109295512 \h </w:instrText>
            </w:r>
            <w:r w:rsidR="00BD03D9">
              <w:rPr>
                <w:noProof/>
                <w:webHidden/>
              </w:rPr>
            </w:r>
            <w:r w:rsidR="00BD03D9">
              <w:rPr>
                <w:noProof/>
                <w:webHidden/>
              </w:rPr>
              <w:fldChar w:fldCharType="separate"/>
            </w:r>
            <w:r>
              <w:rPr>
                <w:noProof/>
                <w:webHidden/>
              </w:rPr>
              <w:t>17</w:t>
            </w:r>
            <w:r w:rsidR="00BD03D9">
              <w:rPr>
                <w:noProof/>
                <w:webHidden/>
              </w:rPr>
              <w:fldChar w:fldCharType="end"/>
            </w:r>
          </w:hyperlink>
        </w:p>
        <w:p w14:paraId="717C0679" w14:textId="1E423805" w:rsidR="00BD03D9" w:rsidRDefault="00DC1BCB">
          <w:pPr>
            <w:pStyle w:val="TOC4"/>
            <w:rPr>
              <w:noProof/>
              <w:sz w:val="22"/>
              <w:szCs w:val="22"/>
            </w:rPr>
          </w:pPr>
          <w:hyperlink w:anchor="_Toc109295513" w:history="1">
            <w:r w:rsidR="00BD03D9" w:rsidRPr="00591BFB">
              <w:rPr>
                <w:rStyle w:val="Hyperlink"/>
                <w:noProof/>
              </w:rPr>
              <w:t>v.</w:t>
            </w:r>
            <w:r w:rsidR="00BD03D9">
              <w:rPr>
                <w:noProof/>
                <w:sz w:val="22"/>
                <w:szCs w:val="22"/>
              </w:rPr>
              <w:tab/>
            </w:r>
            <w:r w:rsidR="00BD03D9" w:rsidRPr="00591BFB">
              <w:rPr>
                <w:rStyle w:val="Hyperlink"/>
                <w:noProof/>
              </w:rPr>
              <w:t>In lieu of services</w:t>
            </w:r>
            <w:r w:rsidR="00BD03D9">
              <w:rPr>
                <w:noProof/>
                <w:webHidden/>
              </w:rPr>
              <w:tab/>
            </w:r>
            <w:r w:rsidR="00BD03D9">
              <w:rPr>
                <w:noProof/>
                <w:webHidden/>
              </w:rPr>
              <w:fldChar w:fldCharType="begin"/>
            </w:r>
            <w:r w:rsidR="00BD03D9">
              <w:rPr>
                <w:noProof/>
                <w:webHidden/>
              </w:rPr>
              <w:instrText xml:space="preserve"> PAGEREF _Toc109295513 \h </w:instrText>
            </w:r>
            <w:r w:rsidR="00BD03D9">
              <w:rPr>
                <w:noProof/>
                <w:webHidden/>
              </w:rPr>
            </w:r>
            <w:r w:rsidR="00BD03D9">
              <w:rPr>
                <w:noProof/>
                <w:webHidden/>
              </w:rPr>
              <w:fldChar w:fldCharType="separate"/>
            </w:r>
            <w:r>
              <w:rPr>
                <w:noProof/>
                <w:webHidden/>
              </w:rPr>
              <w:t>17</w:t>
            </w:r>
            <w:r w:rsidR="00BD03D9">
              <w:rPr>
                <w:noProof/>
                <w:webHidden/>
              </w:rPr>
              <w:fldChar w:fldCharType="end"/>
            </w:r>
          </w:hyperlink>
        </w:p>
        <w:p w14:paraId="3E114EE3" w14:textId="5C3A6438" w:rsidR="00BD03D9" w:rsidRDefault="00DC1BCB">
          <w:pPr>
            <w:pStyle w:val="TOC4"/>
            <w:rPr>
              <w:noProof/>
              <w:sz w:val="22"/>
              <w:szCs w:val="22"/>
            </w:rPr>
          </w:pPr>
          <w:hyperlink w:anchor="_Toc109295514" w:history="1">
            <w:r w:rsidR="00BD03D9" w:rsidRPr="00591BFB">
              <w:rPr>
                <w:rStyle w:val="Hyperlink"/>
                <w:noProof/>
              </w:rPr>
              <w:t>vi.</w:t>
            </w:r>
            <w:r w:rsidR="00BD03D9">
              <w:rPr>
                <w:noProof/>
                <w:sz w:val="22"/>
                <w:szCs w:val="22"/>
              </w:rPr>
              <w:tab/>
            </w:r>
            <w:r w:rsidR="00BD03D9" w:rsidRPr="00591BFB">
              <w:rPr>
                <w:rStyle w:val="Hyperlink"/>
                <w:noProof/>
              </w:rPr>
              <w:t>Retrospective eligibility periods</w:t>
            </w:r>
            <w:r w:rsidR="00BD03D9">
              <w:rPr>
                <w:noProof/>
                <w:webHidden/>
              </w:rPr>
              <w:tab/>
            </w:r>
            <w:r w:rsidR="00BD03D9">
              <w:rPr>
                <w:noProof/>
                <w:webHidden/>
              </w:rPr>
              <w:fldChar w:fldCharType="begin"/>
            </w:r>
            <w:r w:rsidR="00BD03D9">
              <w:rPr>
                <w:noProof/>
                <w:webHidden/>
              </w:rPr>
              <w:instrText xml:space="preserve"> PAGEREF _Toc109295514 \h </w:instrText>
            </w:r>
            <w:r w:rsidR="00BD03D9">
              <w:rPr>
                <w:noProof/>
                <w:webHidden/>
              </w:rPr>
            </w:r>
            <w:r w:rsidR="00BD03D9">
              <w:rPr>
                <w:noProof/>
                <w:webHidden/>
              </w:rPr>
              <w:fldChar w:fldCharType="separate"/>
            </w:r>
            <w:r>
              <w:rPr>
                <w:noProof/>
                <w:webHidden/>
              </w:rPr>
              <w:t>17</w:t>
            </w:r>
            <w:r w:rsidR="00BD03D9">
              <w:rPr>
                <w:noProof/>
                <w:webHidden/>
              </w:rPr>
              <w:fldChar w:fldCharType="end"/>
            </w:r>
          </w:hyperlink>
        </w:p>
        <w:p w14:paraId="390C28EA" w14:textId="3A4A2B25" w:rsidR="00BD03D9" w:rsidRDefault="00DC1BCB">
          <w:pPr>
            <w:pStyle w:val="TOC4"/>
            <w:rPr>
              <w:noProof/>
              <w:sz w:val="22"/>
              <w:szCs w:val="22"/>
            </w:rPr>
          </w:pPr>
          <w:hyperlink w:anchor="_Toc109295515" w:history="1">
            <w:r w:rsidR="00BD03D9" w:rsidRPr="00591BFB">
              <w:rPr>
                <w:rStyle w:val="Hyperlink"/>
                <w:noProof/>
              </w:rPr>
              <w:t>vii.</w:t>
            </w:r>
            <w:r w:rsidR="00BD03D9">
              <w:rPr>
                <w:noProof/>
                <w:sz w:val="22"/>
                <w:szCs w:val="22"/>
              </w:rPr>
              <w:tab/>
            </w:r>
            <w:r w:rsidR="00BD03D9" w:rsidRPr="00591BFB">
              <w:rPr>
                <w:rStyle w:val="Hyperlink"/>
                <w:noProof/>
              </w:rPr>
              <w:t>Impact of material changes</w:t>
            </w:r>
            <w:r w:rsidR="00BD03D9">
              <w:rPr>
                <w:noProof/>
                <w:webHidden/>
              </w:rPr>
              <w:tab/>
            </w:r>
            <w:r w:rsidR="00BD03D9">
              <w:rPr>
                <w:noProof/>
                <w:webHidden/>
              </w:rPr>
              <w:fldChar w:fldCharType="begin"/>
            </w:r>
            <w:r w:rsidR="00BD03D9">
              <w:rPr>
                <w:noProof/>
                <w:webHidden/>
              </w:rPr>
              <w:instrText xml:space="preserve"> PAGEREF _Toc109295515 \h </w:instrText>
            </w:r>
            <w:r w:rsidR="00BD03D9">
              <w:rPr>
                <w:noProof/>
                <w:webHidden/>
              </w:rPr>
            </w:r>
            <w:r w:rsidR="00BD03D9">
              <w:rPr>
                <w:noProof/>
                <w:webHidden/>
              </w:rPr>
              <w:fldChar w:fldCharType="separate"/>
            </w:r>
            <w:r>
              <w:rPr>
                <w:noProof/>
                <w:webHidden/>
              </w:rPr>
              <w:t>18</w:t>
            </w:r>
            <w:r w:rsidR="00BD03D9">
              <w:rPr>
                <w:noProof/>
                <w:webHidden/>
              </w:rPr>
              <w:fldChar w:fldCharType="end"/>
            </w:r>
          </w:hyperlink>
        </w:p>
        <w:p w14:paraId="228A79AB" w14:textId="44AE27A0" w:rsidR="00BD03D9" w:rsidRDefault="00DC1BCB">
          <w:pPr>
            <w:pStyle w:val="TOC4"/>
            <w:rPr>
              <w:noProof/>
              <w:sz w:val="22"/>
              <w:szCs w:val="22"/>
            </w:rPr>
          </w:pPr>
          <w:hyperlink w:anchor="_Toc109295516" w:history="1">
            <w:r w:rsidR="00BD03D9" w:rsidRPr="00591BFB">
              <w:rPr>
                <w:rStyle w:val="Hyperlink"/>
                <w:noProof/>
              </w:rPr>
              <w:t>viii.</w:t>
            </w:r>
            <w:r w:rsidR="00BD03D9">
              <w:rPr>
                <w:noProof/>
                <w:sz w:val="22"/>
                <w:szCs w:val="22"/>
              </w:rPr>
              <w:tab/>
            </w:r>
            <w:r w:rsidR="00BD03D9" w:rsidRPr="00591BFB">
              <w:rPr>
                <w:rStyle w:val="Hyperlink"/>
                <w:noProof/>
              </w:rPr>
              <w:t>Documentation of material changes</w:t>
            </w:r>
            <w:r w:rsidR="00BD03D9">
              <w:rPr>
                <w:noProof/>
                <w:webHidden/>
              </w:rPr>
              <w:tab/>
            </w:r>
            <w:r w:rsidR="00BD03D9">
              <w:rPr>
                <w:noProof/>
                <w:webHidden/>
              </w:rPr>
              <w:fldChar w:fldCharType="begin"/>
            </w:r>
            <w:r w:rsidR="00BD03D9">
              <w:rPr>
                <w:noProof/>
                <w:webHidden/>
              </w:rPr>
              <w:instrText xml:space="preserve"> PAGEREF _Toc109295516 \h </w:instrText>
            </w:r>
            <w:r w:rsidR="00BD03D9">
              <w:rPr>
                <w:noProof/>
                <w:webHidden/>
              </w:rPr>
            </w:r>
            <w:r w:rsidR="00BD03D9">
              <w:rPr>
                <w:noProof/>
                <w:webHidden/>
              </w:rPr>
              <w:fldChar w:fldCharType="separate"/>
            </w:r>
            <w:r>
              <w:rPr>
                <w:noProof/>
                <w:webHidden/>
              </w:rPr>
              <w:t>18</w:t>
            </w:r>
            <w:r w:rsidR="00BD03D9">
              <w:rPr>
                <w:noProof/>
                <w:webHidden/>
              </w:rPr>
              <w:fldChar w:fldCharType="end"/>
            </w:r>
          </w:hyperlink>
        </w:p>
        <w:p w14:paraId="356A54BC" w14:textId="0601EBB4" w:rsidR="00BD03D9" w:rsidRDefault="00DC1BCB">
          <w:pPr>
            <w:pStyle w:val="TOC2"/>
            <w:rPr>
              <w:caps w:val="0"/>
              <w:noProof/>
              <w:color w:val="auto"/>
              <w:sz w:val="22"/>
              <w:szCs w:val="22"/>
            </w:rPr>
          </w:pPr>
          <w:hyperlink w:anchor="_Toc109295517" w:history="1">
            <w:r w:rsidR="00BD03D9" w:rsidRPr="00591BFB">
              <w:rPr>
                <w:rStyle w:val="Hyperlink"/>
                <w:noProof/>
              </w:rPr>
              <w:t>4.</w:t>
            </w:r>
            <w:r w:rsidR="00BD03D9">
              <w:rPr>
                <w:caps w:val="0"/>
                <w:noProof/>
                <w:color w:val="auto"/>
                <w:sz w:val="22"/>
                <w:szCs w:val="22"/>
              </w:rPr>
              <w:tab/>
            </w:r>
            <w:r w:rsidR="00BD03D9" w:rsidRPr="00591BFB">
              <w:rPr>
                <w:rStyle w:val="Hyperlink"/>
                <w:noProof/>
              </w:rPr>
              <w:t>Special Contract Provisions Related to Payment</w:t>
            </w:r>
            <w:r w:rsidR="00BD03D9">
              <w:rPr>
                <w:noProof/>
                <w:webHidden/>
              </w:rPr>
              <w:tab/>
            </w:r>
            <w:r w:rsidR="00BD03D9">
              <w:rPr>
                <w:noProof/>
                <w:webHidden/>
              </w:rPr>
              <w:fldChar w:fldCharType="begin"/>
            </w:r>
            <w:r w:rsidR="00BD03D9">
              <w:rPr>
                <w:noProof/>
                <w:webHidden/>
              </w:rPr>
              <w:instrText xml:space="preserve"> PAGEREF _Toc109295517 \h </w:instrText>
            </w:r>
            <w:r w:rsidR="00BD03D9">
              <w:rPr>
                <w:noProof/>
                <w:webHidden/>
              </w:rPr>
            </w:r>
            <w:r w:rsidR="00BD03D9">
              <w:rPr>
                <w:noProof/>
                <w:webHidden/>
              </w:rPr>
              <w:fldChar w:fldCharType="separate"/>
            </w:r>
            <w:r>
              <w:rPr>
                <w:noProof/>
                <w:webHidden/>
              </w:rPr>
              <w:t>20</w:t>
            </w:r>
            <w:r w:rsidR="00BD03D9">
              <w:rPr>
                <w:noProof/>
                <w:webHidden/>
              </w:rPr>
              <w:fldChar w:fldCharType="end"/>
            </w:r>
          </w:hyperlink>
        </w:p>
        <w:p w14:paraId="4B41924D" w14:textId="5062B4E0" w:rsidR="00BD03D9" w:rsidRDefault="00DC1BCB">
          <w:pPr>
            <w:pStyle w:val="TOC3"/>
            <w:rPr>
              <w:noProof/>
              <w:color w:val="auto"/>
              <w:sz w:val="22"/>
              <w:szCs w:val="22"/>
            </w:rPr>
          </w:pPr>
          <w:hyperlink w:anchor="_Toc109295518" w:history="1">
            <w:r w:rsidR="00BD03D9" w:rsidRPr="00591BFB">
              <w:rPr>
                <w:rStyle w:val="Hyperlink"/>
                <w:noProof/>
              </w:rPr>
              <w:t>A.</w:t>
            </w:r>
            <w:r w:rsidR="00BD03D9">
              <w:rPr>
                <w:noProof/>
                <w:color w:val="auto"/>
                <w:sz w:val="22"/>
                <w:szCs w:val="22"/>
              </w:rPr>
              <w:tab/>
            </w:r>
            <w:r w:rsidR="00BD03D9" w:rsidRPr="00591BFB">
              <w:rPr>
                <w:rStyle w:val="Hyperlink"/>
                <w:noProof/>
              </w:rPr>
              <w:t>Incentive Arrangements</w:t>
            </w:r>
            <w:r w:rsidR="00BD03D9">
              <w:rPr>
                <w:noProof/>
                <w:webHidden/>
              </w:rPr>
              <w:tab/>
            </w:r>
            <w:r w:rsidR="00BD03D9">
              <w:rPr>
                <w:noProof/>
                <w:webHidden/>
              </w:rPr>
              <w:fldChar w:fldCharType="begin"/>
            </w:r>
            <w:r w:rsidR="00BD03D9">
              <w:rPr>
                <w:noProof/>
                <w:webHidden/>
              </w:rPr>
              <w:instrText xml:space="preserve"> PAGEREF _Toc109295518 \h </w:instrText>
            </w:r>
            <w:r w:rsidR="00BD03D9">
              <w:rPr>
                <w:noProof/>
                <w:webHidden/>
              </w:rPr>
            </w:r>
            <w:r w:rsidR="00BD03D9">
              <w:rPr>
                <w:noProof/>
                <w:webHidden/>
              </w:rPr>
              <w:fldChar w:fldCharType="separate"/>
            </w:r>
            <w:r>
              <w:rPr>
                <w:noProof/>
                <w:webHidden/>
              </w:rPr>
              <w:t>20</w:t>
            </w:r>
            <w:r w:rsidR="00BD03D9">
              <w:rPr>
                <w:noProof/>
                <w:webHidden/>
              </w:rPr>
              <w:fldChar w:fldCharType="end"/>
            </w:r>
          </w:hyperlink>
        </w:p>
        <w:p w14:paraId="2D96844B" w14:textId="285C7576" w:rsidR="00BD03D9" w:rsidRDefault="00DC1BCB">
          <w:pPr>
            <w:pStyle w:val="TOC4"/>
            <w:rPr>
              <w:noProof/>
              <w:sz w:val="22"/>
              <w:szCs w:val="22"/>
            </w:rPr>
          </w:pPr>
          <w:hyperlink w:anchor="_Toc109295519" w:history="1">
            <w:r w:rsidR="00BD03D9" w:rsidRPr="00591BFB">
              <w:rPr>
                <w:rStyle w:val="Hyperlink"/>
                <w:noProof/>
              </w:rPr>
              <w:t>i.</w:t>
            </w:r>
            <w:r w:rsidR="00BD03D9">
              <w:rPr>
                <w:noProof/>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_Toc109295519 \h </w:instrText>
            </w:r>
            <w:r w:rsidR="00BD03D9">
              <w:rPr>
                <w:noProof/>
                <w:webHidden/>
              </w:rPr>
            </w:r>
            <w:r w:rsidR="00BD03D9">
              <w:rPr>
                <w:noProof/>
                <w:webHidden/>
              </w:rPr>
              <w:fldChar w:fldCharType="separate"/>
            </w:r>
            <w:r>
              <w:rPr>
                <w:noProof/>
                <w:webHidden/>
              </w:rPr>
              <w:t>20</w:t>
            </w:r>
            <w:r w:rsidR="00BD03D9">
              <w:rPr>
                <w:noProof/>
                <w:webHidden/>
              </w:rPr>
              <w:fldChar w:fldCharType="end"/>
            </w:r>
          </w:hyperlink>
        </w:p>
        <w:p w14:paraId="025DEF71" w14:textId="3B96345B" w:rsidR="00BD03D9" w:rsidRDefault="00DC1BCB">
          <w:pPr>
            <w:pStyle w:val="TOC4"/>
            <w:rPr>
              <w:noProof/>
              <w:sz w:val="22"/>
              <w:szCs w:val="22"/>
            </w:rPr>
          </w:pPr>
          <w:hyperlink w:anchor="_Toc109295520" w:history="1">
            <w:r w:rsidR="00BD03D9" w:rsidRPr="00591BFB">
              <w:rPr>
                <w:rStyle w:val="Hyperlink"/>
                <w:noProof/>
              </w:rPr>
              <w:t>ii.</w:t>
            </w:r>
            <w:r w:rsidR="00BD03D9">
              <w:rPr>
                <w:noProof/>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_Toc109295520 \h </w:instrText>
            </w:r>
            <w:r w:rsidR="00BD03D9">
              <w:rPr>
                <w:noProof/>
                <w:webHidden/>
              </w:rPr>
            </w:r>
            <w:r w:rsidR="00BD03D9">
              <w:rPr>
                <w:noProof/>
                <w:webHidden/>
              </w:rPr>
              <w:fldChar w:fldCharType="separate"/>
            </w:r>
            <w:r>
              <w:rPr>
                <w:noProof/>
                <w:webHidden/>
              </w:rPr>
              <w:t>20</w:t>
            </w:r>
            <w:r w:rsidR="00BD03D9">
              <w:rPr>
                <w:noProof/>
                <w:webHidden/>
              </w:rPr>
              <w:fldChar w:fldCharType="end"/>
            </w:r>
          </w:hyperlink>
        </w:p>
        <w:p w14:paraId="68B76C62" w14:textId="5D1B971F" w:rsidR="00BD03D9" w:rsidRDefault="00DC1BCB">
          <w:pPr>
            <w:pStyle w:val="TOC3"/>
            <w:rPr>
              <w:noProof/>
              <w:color w:val="auto"/>
              <w:sz w:val="22"/>
              <w:szCs w:val="22"/>
            </w:rPr>
          </w:pPr>
          <w:hyperlink w:anchor="_Toc109295521" w:history="1">
            <w:r w:rsidR="00BD03D9" w:rsidRPr="00591BFB">
              <w:rPr>
                <w:rStyle w:val="Hyperlink"/>
                <w:noProof/>
              </w:rPr>
              <w:t>B.</w:t>
            </w:r>
            <w:r w:rsidR="00BD03D9">
              <w:rPr>
                <w:noProof/>
                <w:color w:val="auto"/>
                <w:sz w:val="22"/>
                <w:szCs w:val="22"/>
              </w:rPr>
              <w:tab/>
            </w:r>
            <w:r w:rsidR="00BD03D9" w:rsidRPr="00591BFB">
              <w:rPr>
                <w:rStyle w:val="Hyperlink"/>
                <w:noProof/>
              </w:rPr>
              <w:t>Withhold Arrangements</w:t>
            </w:r>
            <w:r w:rsidR="00BD03D9">
              <w:rPr>
                <w:noProof/>
                <w:webHidden/>
              </w:rPr>
              <w:tab/>
            </w:r>
            <w:r w:rsidR="00BD03D9">
              <w:rPr>
                <w:noProof/>
                <w:webHidden/>
              </w:rPr>
              <w:fldChar w:fldCharType="begin"/>
            </w:r>
            <w:r w:rsidR="00BD03D9">
              <w:rPr>
                <w:noProof/>
                <w:webHidden/>
              </w:rPr>
              <w:instrText xml:space="preserve"> PAGEREF _Toc109295521 \h </w:instrText>
            </w:r>
            <w:r w:rsidR="00BD03D9">
              <w:rPr>
                <w:noProof/>
                <w:webHidden/>
              </w:rPr>
            </w:r>
            <w:r w:rsidR="00BD03D9">
              <w:rPr>
                <w:noProof/>
                <w:webHidden/>
              </w:rPr>
              <w:fldChar w:fldCharType="separate"/>
            </w:r>
            <w:r>
              <w:rPr>
                <w:noProof/>
                <w:webHidden/>
              </w:rPr>
              <w:t>20</w:t>
            </w:r>
            <w:r w:rsidR="00BD03D9">
              <w:rPr>
                <w:noProof/>
                <w:webHidden/>
              </w:rPr>
              <w:fldChar w:fldCharType="end"/>
            </w:r>
          </w:hyperlink>
        </w:p>
        <w:p w14:paraId="5FC5DD7E" w14:textId="2B1FAC7B" w:rsidR="00BD03D9" w:rsidRDefault="00DC1BCB">
          <w:pPr>
            <w:pStyle w:val="TOC4"/>
            <w:rPr>
              <w:noProof/>
              <w:sz w:val="22"/>
              <w:szCs w:val="22"/>
            </w:rPr>
          </w:pPr>
          <w:hyperlink w:anchor="_Toc109295522" w:history="1">
            <w:r w:rsidR="00BD03D9" w:rsidRPr="00591BFB">
              <w:rPr>
                <w:rStyle w:val="Hyperlink"/>
                <w:noProof/>
              </w:rPr>
              <w:t>i.</w:t>
            </w:r>
            <w:r w:rsidR="00BD03D9">
              <w:rPr>
                <w:noProof/>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_Toc109295522 \h </w:instrText>
            </w:r>
            <w:r w:rsidR="00BD03D9">
              <w:rPr>
                <w:noProof/>
                <w:webHidden/>
              </w:rPr>
            </w:r>
            <w:r w:rsidR="00BD03D9">
              <w:rPr>
                <w:noProof/>
                <w:webHidden/>
              </w:rPr>
              <w:fldChar w:fldCharType="separate"/>
            </w:r>
            <w:r>
              <w:rPr>
                <w:noProof/>
                <w:webHidden/>
              </w:rPr>
              <w:t>20</w:t>
            </w:r>
            <w:r w:rsidR="00BD03D9">
              <w:rPr>
                <w:noProof/>
                <w:webHidden/>
              </w:rPr>
              <w:fldChar w:fldCharType="end"/>
            </w:r>
          </w:hyperlink>
        </w:p>
        <w:p w14:paraId="44CF1F36" w14:textId="2AC628D6" w:rsidR="00BD03D9" w:rsidRDefault="00DC1BCB">
          <w:pPr>
            <w:pStyle w:val="TOC4"/>
            <w:rPr>
              <w:noProof/>
              <w:sz w:val="22"/>
              <w:szCs w:val="22"/>
            </w:rPr>
          </w:pPr>
          <w:hyperlink w:anchor="_Toc109295523" w:history="1">
            <w:r w:rsidR="00BD03D9" w:rsidRPr="00591BFB">
              <w:rPr>
                <w:rStyle w:val="Hyperlink"/>
                <w:noProof/>
              </w:rPr>
              <w:t>ii.</w:t>
            </w:r>
            <w:r w:rsidR="00BD03D9">
              <w:rPr>
                <w:noProof/>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_Toc109295523 \h </w:instrText>
            </w:r>
            <w:r w:rsidR="00BD03D9">
              <w:rPr>
                <w:noProof/>
                <w:webHidden/>
              </w:rPr>
            </w:r>
            <w:r w:rsidR="00BD03D9">
              <w:rPr>
                <w:noProof/>
                <w:webHidden/>
              </w:rPr>
              <w:fldChar w:fldCharType="separate"/>
            </w:r>
            <w:r>
              <w:rPr>
                <w:noProof/>
                <w:webHidden/>
              </w:rPr>
              <w:t>20</w:t>
            </w:r>
            <w:r w:rsidR="00BD03D9">
              <w:rPr>
                <w:noProof/>
                <w:webHidden/>
              </w:rPr>
              <w:fldChar w:fldCharType="end"/>
            </w:r>
          </w:hyperlink>
        </w:p>
        <w:p w14:paraId="58ED3ECC" w14:textId="5E966B3F" w:rsidR="00BD03D9" w:rsidRDefault="00DC1BCB">
          <w:pPr>
            <w:pStyle w:val="TOC3"/>
            <w:rPr>
              <w:noProof/>
              <w:color w:val="auto"/>
              <w:sz w:val="22"/>
              <w:szCs w:val="22"/>
            </w:rPr>
          </w:pPr>
          <w:hyperlink w:anchor="_Toc109295524" w:history="1">
            <w:r w:rsidR="00BD03D9" w:rsidRPr="00591BFB">
              <w:rPr>
                <w:rStyle w:val="Hyperlink"/>
                <w:noProof/>
              </w:rPr>
              <w:t>C.</w:t>
            </w:r>
            <w:r w:rsidR="00BD03D9">
              <w:rPr>
                <w:noProof/>
                <w:color w:val="auto"/>
                <w:sz w:val="22"/>
                <w:szCs w:val="22"/>
              </w:rPr>
              <w:tab/>
            </w:r>
            <w:r w:rsidR="00BD03D9" w:rsidRPr="00591BFB">
              <w:rPr>
                <w:rStyle w:val="Hyperlink"/>
                <w:noProof/>
              </w:rPr>
              <w:t>Risk Sharing Mechanisms</w:t>
            </w:r>
            <w:r w:rsidR="00BD03D9">
              <w:rPr>
                <w:noProof/>
                <w:webHidden/>
              </w:rPr>
              <w:tab/>
            </w:r>
            <w:r w:rsidR="00BD03D9">
              <w:rPr>
                <w:noProof/>
                <w:webHidden/>
              </w:rPr>
              <w:fldChar w:fldCharType="begin"/>
            </w:r>
            <w:r w:rsidR="00BD03D9">
              <w:rPr>
                <w:noProof/>
                <w:webHidden/>
              </w:rPr>
              <w:instrText xml:space="preserve"> PAGEREF _Toc109295524 \h </w:instrText>
            </w:r>
            <w:r w:rsidR="00BD03D9">
              <w:rPr>
                <w:noProof/>
                <w:webHidden/>
              </w:rPr>
            </w:r>
            <w:r w:rsidR="00BD03D9">
              <w:rPr>
                <w:noProof/>
                <w:webHidden/>
              </w:rPr>
              <w:fldChar w:fldCharType="separate"/>
            </w:r>
            <w:r>
              <w:rPr>
                <w:noProof/>
                <w:webHidden/>
              </w:rPr>
              <w:t>21</w:t>
            </w:r>
            <w:r w:rsidR="00BD03D9">
              <w:rPr>
                <w:noProof/>
                <w:webHidden/>
              </w:rPr>
              <w:fldChar w:fldCharType="end"/>
            </w:r>
          </w:hyperlink>
        </w:p>
        <w:p w14:paraId="208EEC55" w14:textId="6B5BA7F1" w:rsidR="00BD03D9" w:rsidRDefault="00DC1BCB">
          <w:pPr>
            <w:pStyle w:val="TOC4"/>
            <w:rPr>
              <w:noProof/>
              <w:sz w:val="22"/>
              <w:szCs w:val="22"/>
            </w:rPr>
          </w:pPr>
          <w:hyperlink w:anchor="_Toc109295525" w:history="1">
            <w:r w:rsidR="00BD03D9" w:rsidRPr="00591BFB">
              <w:rPr>
                <w:rStyle w:val="Hyperlink"/>
                <w:noProof/>
              </w:rPr>
              <w:t>i.</w:t>
            </w:r>
            <w:r w:rsidR="00BD03D9">
              <w:rPr>
                <w:noProof/>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_Toc109295525 \h </w:instrText>
            </w:r>
            <w:r w:rsidR="00BD03D9">
              <w:rPr>
                <w:noProof/>
                <w:webHidden/>
              </w:rPr>
            </w:r>
            <w:r w:rsidR="00BD03D9">
              <w:rPr>
                <w:noProof/>
                <w:webHidden/>
              </w:rPr>
              <w:fldChar w:fldCharType="separate"/>
            </w:r>
            <w:r>
              <w:rPr>
                <w:noProof/>
                <w:webHidden/>
              </w:rPr>
              <w:t>21</w:t>
            </w:r>
            <w:r w:rsidR="00BD03D9">
              <w:rPr>
                <w:noProof/>
                <w:webHidden/>
              </w:rPr>
              <w:fldChar w:fldCharType="end"/>
            </w:r>
          </w:hyperlink>
        </w:p>
        <w:p w14:paraId="260D32A7" w14:textId="51DE84E6" w:rsidR="00BD03D9" w:rsidRDefault="00DC1BCB">
          <w:pPr>
            <w:pStyle w:val="TOC4"/>
            <w:rPr>
              <w:noProof/>
              <w:sz w:val="22"/>
              <w:szCs w:val="22"/>
            </w:rPr>
          </w:pPr>
          <w:hyperlink w:anchor="_Toc109295526" w:history="1">
            <w:r w:rsidR="00BD03D9" w:rsidRPr="00591BFB">
              <w:rPr>
                <w:rStyle w:val="Hyperlink"/>
                <w:noProof/>
              </w:rPr>
              <w:t>ii.</w:t>
            </w:r>
            <w:r w:rsidR="00BD03D9">
              <w:rPr>
                <w:noProof/>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_Toc109295526 \h </w:instrText>
            </w:r>
            <w:r w:rsidR="00BD03D9">
              <w:rPr>
                <w:noProof/>
                <w:webHidden/>
              </w:rPr>
            </w:r>
            <w:r w:rsidR="00BD03D9">
              <w:rPr>
                <w:noProof/>
                <w:webHidden/>
              </w:rPr>
              <w:fldChar w:fldCharType="separate"/>
            </w:r>
            <w:r>
              <w:rPr>
                <w:noProof/>
                <w:webHidden/>
              </w:rPr>
              <w:t>21</w:t>
            </w:r>
            <w:r w:rsidR="00BD03D9">
              <w:rPr>
                <w:noProof/>
                <w:webHidden/>
              </w:rPr>
              <w:fldChar w:fldCharType="end"/>
            </w:r>
          </w:hyperlink>
        </w:p>
        <w:p w14:paraId="635CE5DD" w14:textId="0C34289A" w:rsidR="00BD03D9" w:rsidRDefault="00DC1BCB">
          <w:pPr>
            <w:pStyle w:val="TOC3"/>
            <w:rPr>
              <w:noProof/>
              <w:color w:val="auto"/>
              <w:sz w:val="22"/>
              <w:szCs w:val="22"/>
            </w:rPr>
          </w:pPr>
          <w:hyperlink w:anchor="_Toc109295527" w:history="1">
            <w:r w:rsidR="00BD03D9" w:rsidRPr="00591BFB">
              <w:rPr>
                <w:rStyle w:val="Hyperlink"/>
                <w:noProof/>
              </w:rPr>
              <w:t>D.</w:t>
            </w:r>
            <w:r w:rsidR="00BD03D9">
              <w:rPr>
                <w:noProof/>
                <w:color w:val="auto"/>
                <w:sz w:val="22"/>
                <w:szCs w:val="22"/>
              </w:rPr>
              <w:tab/>
            </w:r>
            <w:r w:rsidR="00BD03D9" w:rsidRPr="00591BFB">
              <w:rPr>
                <w:rStyle w:val="Hyperlink"/>
                <w:noProof/>
              </w:rPr>
              <w:t>State Directed Payments</w:t>
            </w:r>
            <w:r w:rsidR="00BD03D9">
              <w:rPr>
                <w:noProof/>
                <w:webHidden/>
              </w:rPr>
              <w:tab/>
            </w:r>
            <w:r w:rsidR="00BD03D9">
              <w:rPr>
                <w:noProof/>
                <w:webHidden/>
              </w:rPr>
              <w:fldChar w:fldCharType="begin"/>
            </w:r>
            <w:r w:rsidR="00BD03D9">
              <w:rPr>
                <w:noProof/>
                <w:webHidden/>
              </w:rPr>
              <w:instrText xml:space="preserve"> PAGEREF _Toc109295527 \h </w:instrText>
            </w:r>
            <w:r w:rsidR="00BD03D9">
              <w:rPr>
                <w:noProof/>
                <w:webHidden/>
              </w:rPr>
            </w:r>
            <w:r w:rsidR="00BD03D9">
              <w:rPr>
                <w:noProof/>
                <w:webHidden/>
              </w:rPr>
              <w:fldChar w:fldCharType="separate"/>
            </w:r>
            <w:r>
              <w:rPr>
                <w:noProof/>
                <w:webHidden/>
              </w:rPr>
              <w:t>21</w:t>
            </w:r>
            <w:r w:rsidR="00BD03D9">
              <w:rPr>
                <w:noProof/>
                <w:webHidden/>
              </w:rPr>
              <w:fldChar w:fldCharType="end"/>
            </w:r>
          </w:hyperlink>
        </w:p>
        <w:p w14:paraId="7DEB4E23" w14:textId="3341A981" w:rsidR="00BD03D9" w:rsidRDefault="00DC1BCB">
          <w:pPr>
            <w:pStyle w:val="TOC4"/>
            <w:rPr>
              <w:noProof/>
              <w:sz w:val="22"/>
              <w:szCs w:val="22"/>
            </w:rPr>
          </w:pPr>
          <w:hyperlink w:anchor="_Toc109295528" w:history="1">
            <w:r w:rsidR="00BD03D9" w:rsidRPr="00591BFB">
              <w:rPr>
                <w:rStyle w:val="Hyperlink"/>
                <w:noProof/>
              </w:rPr>
              <w:t>i.</w:t>
            </w:r>
            <w:r w:rsidR="00BD03D9">
              <w:rPr>
                <w:noProof/>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_Toc109295528 \h </w:instrText>
            </w:r>
            <w:r w:rsidR="00BD03D9">
              <w:rPr>
                <w:noProof/>
                <w:webHidden/>
              </w:rPr>
            </w:r>
            <w:r w:rsidR="00BD03D9">
              <w:rPr>
                <w:noProof/>
                <w:webHidden/>
              </w:rPr>
              <w:fldChar w:fldCharType="separate"/>
            </w:r>
            <w:r>
              <w:rPr>
                <w:noProof/>
                <w:webHidden/>
              </w:rPr>
              <w:t>21</w:t>
            </w:r>
            <w:r w:rsidR="00BD03D9">
              <w:rPr>
                <w:noProof/>
                <w:webHidden/>
              </w:rPr>
              <w:fldChar w:fldCharType="end"/>
            </w:r>
          </w:hyperlink>
        </w:p>
        <w:p w14:paraId="47218269" w14:textId="0B94D6DA" w:rsidR="00BD03D9" w:rsidRDefault="00DC1BCB">
          <w:pPr>
            <w:pStyle w:val="TOC4"/>
            <w:rPr>
              <w:noProof/>
              <w:sz w:val="22"/>
              <w:szCs w:val="22"/>
            </w:rPr>
          </w:pPr>
          <w:hyperlink w:anchor="_Toc109295529" w:history="1">
            <w:r w:rsidR="00BD03D9" w:rsidRPr="00591BFB">
              <w:rPr>
                <w:rStyle w:val="Hyperlink"/>
                <w:noProof/>
              </w:rPr>
              <w:t>ii.</w:t>
            </w:r>
            <w:r w:rsidR="00BD03D9">
              <w:rPr>
                <w:noProof/>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_Toc109295529 \h </w:instrText>
            </w:r>
            <w:r w:rsidR="00BD03D9">
              <w:rPr>
                <w:noProof/>
                <w:webHidden/>
              </w:rPr>
            </w:r>
            <w:r w:rsidR="00BD03D9">
              <w:rPr>
                <w:noProof/>
                <w:webHidden/>
              </w:rPr>
              <w:fldChar w:fldCharType="separate"/>
            </w:r>
            <w:r>
              <w:rPr>
                <w:noProof/>
                <w:webHidden/>
              </w:rPr>
              <w:t>22</w:t>
            </w:r>
            <w:r w:rsidR="00BD03D9">
              <w:rPr>
                <w:noProof/>
                <w:webHidden/>
              </w:rPr>
              <w:fldChar w:fldCharType="end"/>
            </w:r>
          </w:hyperlink>
        </w:p>
        <w:p w14:paraId="6B94CCFC" w14:textId="5A3C067C" w:rsidR="00BD03D9" w:rsidRDefault="00DC1BCB">
          <w:pPr>
            <w:pStyle w:val="TOC3"/>
            <w:rPr>
              <w:noProof/>
              <w:color w:val="auto"/>
              <w:sz w:val="22"/>
              <w:szCs w:val="22"/>
            </w:rPr>
          </w:pPr>
          <w:hyperlink w:anchor="_Toc109295530" w:history="1">
            <w:r w:rsidR="00BD03D9" w:rsidRPr="00591BFB">
              <w:rPr>
                <w:rStyle w:val="Hyperlink"/>
                <w:noProof/>
              </w:rPr>
              <w:t>E.</w:t>
            </w:r>
            <w:r w:rsidR="00BD03D9">
              <w:rPr>
                <w:noProof/>
                <w:color w:val="auto"/>
                <w:sz w:val="22"/>
                <w:szCs w:val="22"/>
              </w:rPr>
              <w:tab/>
            </w:r>
            <w:r w:rsidR="00BD03D9" w:rsidRPr="00591BFB">
              <w:rPr>
                <w:rStyle w:val="Hyperlink"/>
                <w:noProof/>
              </w:rPr>
              <w:t>Pass-Through Payments</w:t>
            </w:r>
            <w:r w:rsidR="00BD03D9">
              <w:rPr>
                <w:noProof/>
                <w:webHidden/>
              </w:rPr>
              <w:tab/>
            </w:r>
            <w:r w:rsidR="00BD03D9">
              <w:rPr>
                <w:noProof/>
                <w:webHidden/>
              </w:rPr>
              <w:fldChar w:fldCharType="begin"/>
            </w:r>
            <w:r w:rsidR="00BD03D9">
              <w:rPr>
                <w:noProof/>
                <w:webHidden/>
              </w:rPr>
              <w:instrText xml:space="preserve"> PAGEREF _Toc109295530 \h </w:instrText>
            </w:r>
            <w:r w:rsidR="00BD03D9">
              <w:rPr>
                <w:noProof/>
                <w:webHidden/>
              </w:rPr>
            </w:r>
            <w:r w:rsidR="00BD03D9">
              <w:rPr>
                <w:noProof/>
                <w:webHidden/>
              </w:rPr>
              <w:fldChar w:fldCharType="separate"/>
            </w:r>
            <w:r>
              <w:rPr>
                <w:noProof/>
                <w:webHidden/>
              </w:rPr>
              <w:t>25</w:t>
            </w:r>
            <w:r w:rsidR="00BD03D9">
              <w:rPr>
                <w:noProof/>
                <w:webHidden/>
              </w:rPr>
              <w:fldChar w:fldCharType="end"/>
            </w:r>
          </w:hyperlink>
        </w:p>
        <w:p w14:paraId="4688CD64" w14:textId="4309874F" w:rsidR="00BD03D9" w:rsidRDefault="00DC1BCB">
          <w:pPr>
            <w:pStyle w:val="TOC4"/>
            <w:rPr>
              <w:noProof/>
              <w:sz w:val="22"/>
              <w:szCs w:val="22"/>
            </w:rPr>
          </w:pPr>
          <w:hyperlink w:anchor="_Toc109295531" w:history="1">
            <w:r w:rsidR="00BD03D9" w:rsidRPr="00591BFB">
              <w:rPr>
                <w:rStyle w:val="Hyperlink"/>
                <w:noProof/>
              </w:rPr>
              <w:t>i.</w:t>
            </w:r>
            <w:r w:rsidR="00BD03D9">
              <w:rPr>
                <w:noProof/>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_Toc109295531 \h </w:instrText>
            </w:r>
            <w:r w:rsidR="00BD03D9">
              <w:rPr>
                <w:noProof/>
                <w:webHidden/>
              </w:rPr>
            </w:r>
            <w:r w:rsidR="00BD03D9">
              <w:rPr>
                <w:noProof/>
                <w:webHidden/>
              </w:rPr>
              <w:fldChar w:fldCharType="separate"/>
            </w:r>
            <w:r>
              <w:rPr>
                <w:noProof/>
                <w:webHidden/>
              </w:rPr>
              <w:t>25</w:t>
            </w:r>
            <w:r w:rsidR="00BD03D9">
              <w:rPr>
                <w:noProof/>
                <w:webHidden/>
              </w:rPr>
              <w:fldChar w:fldCharType="end"/>
            </w:r>
          </w:hyperlink>
        </w:p>
        <w:p w14:paraId="093C5A43" w14:textId="03031BED" w:rsidR="00BD03D9" w:rsidRDefault="00DC1BCB">
          <w:pPr>
            <w:pStyle w:val="TOC4"/>
            <w:rPr>
              <w:noProof/>
              <w:sz w:val="22"/>
              <w:szCs w:val="22"/>
            </w:rPr>
          </w:pPr>
          <w:hyperlink w:anchor="_Toc109295532" w:history="1">
            <w:r w:rsidR="00BD03D9" w:rsidRPr="00591BFB">
              <w:rPr>
                <w:rStyle w:val="Hyperlink"/>
                <w:noProof/>
              </w:rPr>
              <w:t>ii.</w:t>
            </w:r>
            <w:r w:rsidR="00BD03D9">
              <w:rPr>
                <w:noProof/>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_Toc109295532 \h </w:instrText>
            </w:r>
            <w:r w:rsidR="00BD03D9">
              <w:rPr>
                <w:noProof/>
                <w:webHidden/>
              </w:rPr>
            </w:r>
            <w:r w:rsidR="00BD03D9">
              <w:rPr>
                <w:noProof/>
                <w:webHidden/>
              </w:rPr>
              <w:fldChar w:fldCharType="separate"/>
            </w:r>
            <w:r>
              <w:rPr>
                <w:noProof/>
                <w:webHidden/>
              </w:rPr>
              <w:t>25</w:t>
            </w:r>
            <w:r w:rsidR="00BD03D9">
              <w:rPr>
                <w:noProof/>
                <w:webHidden/>
              </w:rPr>
              <w:fldChar w:fldCharType="end"/>
            </w:r>
          </w:hyperlink>
        </w:p>
        <w:p w14:paraId="6B5F6326" w14:textId="72F072E6" w:rsidR="00BD03D9" w:rsidRDefault="00DC1BCB">
          <w:pPr>
            <w:pStyle w:val="TOC2"/>
            <w:rPr>
              <w:caps w:val="0"/>
              <w:noProof/>
              <w:color w:val="auto"/>
              <w:sz w:val="22"/>
              <w:szCs w:val="22"/>
            </w:rPr>
          </w:pPr>
          <w:hyperlink w:anchor="_Toc109295533" w:history="1">
            <w:r w:rsidR="00BD03D9" w:rsidRPr="00591BFB">
              <w:rPr>
                <w:rStyle w:val="Hyperlink"/>
                <w:noProof/>
              </w:rPr>
              <w:t>5.</w:t>
            </w:r>
            <w:r w:rsidR="00BD03D9">
              <w:rPr>
                <w:caps w:val="0"/>
                <w:noProof/>
                <w:color w:val="auto"/>
                <w:sz w:val="22"/>
                <w:szCs w:val="22"/>
              </w:rPr>
              <w:tab/>
            </w:r>
            <w:r w:rsidR="00BD03D9" w:rsidRPr="00591BFB">
              <w:rPr>
                <w:rStyle w:val="Hyperlink"/>
                <w:noProof/>
              </w:rPr>
              <w:t>Projected non-benefit costs</w:t>
            </w:r>
            <w:r w:rsidR="00BD03D9">
              <w:rPr>
                <w:noProof/>
                <w:webHidden/>
              </w:rPr>
              <w:tab/>
            </w:r>
            <w:r w:rsidR="00BD03D9">
              <w:rPr>
                <w:noProof/>
                <w:webHidden/>
              </w:rPr>
              <w:fldChar w:fldCharType="begin"/>
            </w:r>
            <w:r w:rsidR="00BD03D9">
              <w:rPr>
                <w:noProof/>
                <w:webHidden/>
              </w:rPr>
              <w:instrText xml:space="preserve"> PAGEREF _Toc109295533 \h </w:instrText>
            </w:r>
            <w:r w:rsidR="00BD03D9">
              <w:rPr>
                <w:noProof/>
                <w:webHidden/>
              </w:rPr>
            </w:r>
            <w:r w:rsidR="00BD03D9">
              <w:rPr>
                <w:noProof/>
                <w:webHidden/>
              </w:rPr>
              <w:fldChar w:fldCharType="separate"/>
            </w:r>
            <w:r>
              <w:rPr>
                <w:noProof/>
                <w:webHidden/>
              </w:rPr>
              <w:t>26</w:t>
            </w:r>
            <w:r w:rsidR="00BD03D9">
              <w:rPr>
                <w:noProof/>
                <w:webHidden/>
              </w:rPr>
              <w:fldChar w:fldCharType="end"/>
            </w:r>
          </w:hyperlink>
        </w:p>
        <w:p w14:paraId="456BAC74" w14:textId="570B8C66" w:rsidR="00BD03D9" w:rsidRDefault="00DC1BCB">
          <w:pPr>
            <w:pStyle w:val="TOC3"/>
            <w:rPr>
              <w:noProof/>
              <w:color w:val="auto"/>
              <w:sz w:val="22"/>
              <w:szCs w:val="22"/>
            </w:rPr>
          </w:pPr>
          <w:hyperlink w:anchor="_Toc109295534" w:history="1">
            <w:r w:rsidR="00BD03D9" w:rsidRPr="00591BFB">
              <w:rPr>
                <w:rStyle w:val="Hyperlink"/>
                <w:noProof/>
              </w:rPr>
              <w:t>A.</w:t>
            </w:r>
            <w:r w:rsidR="00BD03D9">
              <w:rPr>
                <w:noProof/>
                <w:color w:val="auto"/>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_Toc109295534 \h </w:instrText>
            </w:r>
            <w:r w:rsidR="00BD03D9">
              <w:rPr>
                <w:noProof/>
                <w:webHidden/>
              </w:rPr>
            </w:r>
            <w:r w:rsidR="00BD03D9">
              <w:rPr>
                <w:noProof/>
                <w:webHidden/>
              </w:rPr>
              <w:fldChar w:fldCharType="separate"/>
            </w:r>
            <w:r>
              <w:rPr>
                <w:noProof/>
                <w:webHidden/>
              </w:rPr>
              <w:t>26</w:t>
            </w:r>
            <w:r w:rsidR="00BD03D9">
              <w:rPr>
                <w:noProof/>
                <w:webHidden/>
              </w:rPr>
              <w:fldChar w:fldCharType="end"/>
            </w:r>
          </w:hyperlink>
        </w:p>
        <w:p w14:paraId="4EC3BD86" w14:textId="75CBF2BF" w:rsidR="00BD03D9" w:rsidRDefault="00DC1BCB">
          <w:pPr>
            <w:pStyle w:val="TOC4"/>
            <w:rPr>
              <w:noProof/>
              <w:sz w:val="22"/>
              <w:szCs w:val="22"/>
            </w:rPr>
          </w:pPr>
          <w:hyperlink w:anchor="_Toc109295535" w:history="1">
            <w:r w:rsidR="00BD03D9" w:rsidRPr="00591BFB">
              <w:rPr>
                <w:rStyle w:val="Hyperlink"/>
                <w:noProof/>
              </w:rPr>
              <w:t>i.</w:t>
            </w:r>
            <w:r w:rsidR="00BD03D9">
              <w:rPr>
                <w:noProof/>
                <w:sz w:val="22"/>
                <w:szCs w:val="22"/>
              </w:rPr>
              <w:tab/>
            </w:r>
            <w:r w:rsidR="00BD03D9" w:rsidRPr="00591BFB">
              <w:rPr>
                <w:rStyle w:val="Hyperlink"/>
                <w:noProof/>
              </w:rPr>
              <w:t>Overview</w:t>
            </w:r>
            <w:r w:rsidR="00BD03D9">
              <w:rPr>
                <w:noProof/>
                <w:webHidden/>
              </w:rPr>
              <w:tab/>
            </w:r>
            <w:r w:rsidR="00BD03D9">
              <w:rPr>
                <w:noProof/>
                <w:webHidden/>
              </w:rPr>
              <w:fldChar w:fldCharType="begin"/>
            </w:r>
            <w:r w:rsidR="00BD03D9">
              <w:rPr>
                <w:noProof/>
                <w:webHidden/>
              </w:rPr>
              <w:instrText xml:space="preserve"> PAGEREF _Toc109295535 \h </w:instrText>
            </w:r>
            <w:r w:rsidR="00BD03D9">
              <w:rPr>
                <w:noProof/>
                <w:webHidden/>
              </w:rPr>
            </w:r>
            <w:r w:rsidR="00BD03D9">
              <w:rPr>
                <w:noProof/>
                <w:webHidden/>
              </w:rPr>
              <w:fldChar w:fldCharType="separate"/>
            </w:r>
            <w:r>
              <w:rPr>
                <w:noProof/>
                <w:webHidden/>
              </w:rPr>
              <w:t>26</w:t>
            </w:r>
            <w:r w:rsidR="00BD03D9">
              <w:rPr>
                <w:noProof/>
                <w:webHidden/>
              </w:rPr>
              <w:fldChar w:fldCharType="end"/>
            </w:r>
          </w:hyperlink>
        </w:p>
        <w:p w14:paraId="464AA049" w14:textId="417990B1" w:rsidR="00BD03D9" w:rsidRDefault="00DC1BCB">
          <w:pPr>
            <w:pStyle w:val="TOC4"/>
            <w:rPr>
              <w:noProof/>
              <w:sz w:val="22"/>
              <w:szCs w:val="22"/>
            </w:rPr>
          </w:pPr>
          <w:hyperlink w:anchor="_Toc109295536" w:history="1">
            <w:r w:rsidR="00BD03D9" w:rsidRPr="00591BFB">
              <w:rPr>
                <w:rStyle w:val="Hyperlink"/>
                <w:noProof/>
              </w:rPr>
              <w:t>ii.</w:t>
            </w:r>
            <w:r w:rsidR="00BD03D9">
              <w:rPr>
                <w:noProof/>
                <w:sz w:val="22"/>
                <w:szCs w:val="22"/>
              </w:rPr>
              <w:tab/>
            </w:r>
            <w:r w:rsidR="00BD03D9" w:rsidRPr="00591BFB">
              <w:rPr>
                <w:rStyle w:val="Hyperlink"/>
                <w:noProof/>
              </w:rPr>
              <w:t>PMPM versus percentage</w:t>
            </w:r>
            <w:r w:rsidR="00BD03D9">
              <w:rPr>
                <w:noProof/>
                <w:webHidden/>
              </w:rPr>
              <w:tab/>
            </w:r>
            <w:r w:rsidR="00BD03D9">
              <w:rPr>
                <w:noProof/>
                <w:webHidden/>
              </w:rPr>
              <w:fldChar w:fldCharType="begin"/>
            </w:r>
            <w:r w:rsidR="00BD03D9">
              <w:rPr>
                <w:noProof/>
                <w:webHidden/>
              </w:rPr>
              <w:instrText xml:space="preserve"> PAGEREF _Toc109295536 \h </w:instrText>
            </w:r>
            <w:r w:rsidR="00BD03D9">
              <w:rPr>
                <w:noProof/>
                <w:webHidden/>
              </w:rPr>
            </w:r>
            <w:r w:rsidR="00BD03D9">
              <w:rPr>
                <w:noProof/>
                <w:webHidden/>
              </w:rPr>
              <w:fldChar w:fldCharType="separate"/>
            </w:r>
            <w:r>
              <w:rPr>
                <w:noProof/>
                <w:webHidden/>
              </w:rPr>
              <w:t>26</w:t>
            </w:r>
            <w:r w:rsidR="00BD03D9">
              <w:rPr>
                <w:noProof/>
                <w:webHidden/>
              </w:rPr>
              <w:fldChar w:fldCharType="end"/>
            </w:r>
          </w:hyperlink>
        </w:p>
        <w:p w14:paraId="37F3EBDC" w14:textId="6870861A" w:rsidR="00BD03D9" w:rsidRDefault="00DC1BCB">
          <w:pPr>
            <w:pStyle w:val="TOC3"/>
            <w:rPr>
              <w:noProof/>
              <w:color w:val="auto"/>
              <w:sz w:val="22"/>
              <w:szCs w:val="22"/>
            </w:rPr>
          </w:pPr>
          <w:hyperlink w:anchor="_Toc109295537" w:history="1">
            <w:r w:rsidR="00BD03D9" w:rsidRPr="00591BFB">
              <w:rPr>
                <w:rStyle w:val="Hyperlink"/>
                <w:noProof/>
              </w:rPr>
              <w:t>B.</w:t>
            </w:r>
            <w:r w:rsidR="00BD03D9">
              <w:rPr>
                <w:noProof/>
                <w:color w:val="auto"/>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_Toc109295537 \h </w:instrText>
            </w:r>
            <w:r w:rsidR="00BD03D9">
              <w:rPr>
                <w:noProof/>
                <w:webHidden/>
              </w:rPr>
            </w:r>
            <w:r w:rsidR="00BD03D9">
              <w:rPr>
                <w:noProof/>
                <w:webHidden/>
              </w:rPr>
              <w:fldChar w:fldCharType="separate"/>
            </w:r>
            <w:r>
              <w:rPr>
                <w:noProof/>
                <w:webHidden/>
              </w:rPr>
              <w:t>26</w:t>
            </w:r>
            <w:r w:rsidR="00BD03D9">
              <w:rPr>
                <w:noProof/>
                <w:webHidden/>
              </w:rPr>
              <w:fldChar w:fldCharType="end"/>
            </w:r>
          </w:hyperlink>
        </w:p>
        <w:p w14:paraId="23AC1A82" w14:textId="7C693D2F" w:rsidR="00BD03D9" w:rsidRDefault="00DC1BCB">
          <w:pPr>
            <w:pStyle w:val="TOC4"/>
            <w:rPr>
              <w:noProof/>
              <w:sz w:val="22"/>
              <w:szCs w:val="22"/>
            </w:rPr>
          </w:pPr>
          <w:hyperlink w:anchor="_Toc109295538" w:history="1">
            <w:r w:rsidR="00BD03D9" w:rsidRPr="00591BFB">
              <w:rPr>
                <w:rStyle w:val="Hyperlink"/>
                <w:noProof/>
              </w:rPr>
              <w:t>i.</w:t>
            </w:r>
            <w:r w:rsidR="00BD03D9">
              <w:rPr>
                <w:noProof/>
                <w:sz w:val="22"/>
                <w:szCs w:val="22"/>
              </w:rPr>
              <w:tab/>
            </w:r>
            <w:r w:rsidR="00BD03D9" w:rsidRPr="00591BFB">
              <w:rPr>
                <w:rStyle w:val="Hyperlink"/>
                <w:noProof/>
              </w:rPr>
              <w:t>Development of non-benefit costs</w:t>
            </w:r>
            <w:r w:rsidR="00BD03D9">
              <w:rPr>
                <w:noProof/>
                <w:webHidden/>
              </w:rPr>
              <w:tab/>
            </w:r>
            <w:r w:rsidR="00BD03D9">
              <w:rPr>
                <w:noProof/>
                <w:webHidden/>
              </w:rPr>
              <w:fldChar w:fldCharType="begin"/>
            </w:r>
            <w:r w:rsidR="00BD03D9">
              <w:rPr>
                <w:noProof/>
                <w:webHidden/>
              </w:rPr>
              <w:instrText xml:space="preserve"> PAGEREF _Toc109295538 \h </w:instrText>
            </w:r>
            <w:r w:rsidR="00BD03D9">
              <w:rPr>
                <w:noProof/>
                <w:webHidden/>
              </w:rPr>
            </w:r>
            <w:r w:rsidR="00BD03D9">
              <w:rPr>
                <w:noProof/>
                <w:webHidden/>
              </w:rPr>
              <w:fldChar w:fldCharType="separate"/>
            </w:r>
            <w:r>
              <w:rPr>
                <w:noProof/>
                <w:webHidden/>
              </w:rPr>
              <w:t>26</w:t>
            </w:r>
            <w:r w:rsidR="00BD03D9">
              <w:rPr>
                <w:noProof/>
                <w:webHidden/>
              </w:rPr>
              <w:fldChar w:fldCharType="end"/>
            </w:r>
          </w:hyperlink>
        </w:p>
        <w:p w14:paraId="1C81C0ED" w14:textId="4F0D1524" w:rsidR="00BD03D9" w:rsidRDefault="00DC1BCB">
          <w:pPr>
            <w:pStyle w:val="TOC4"/>
            <w:rPr>
              <w:noProof/>
              <w:sz w:val="22"/>
              <w:szCs w:val="22"/>
            </w:rPr>
          </w:pPr>
          <w:hyperlink w:anchor="_Toc109295539" w:history="1">
            <w:r w:rsidR="00BD03D9" w:rsidRPr="00591BFB">
              <w:rPr>
                <w:rStyle w:val="Hyperlink"/>
                <w:noProof/>
              </w:rPr>
              <w:t>ii.</w:t>
            </w:r>
            <w:r w:rsidR="00BD03D9">
              <w:rPr>
                <w:noProof/>
                <w:sz w:val="22"/>
                <w:szCs w:val="22"/>
              </w:rPr>
              <w:tab/>
            </w:r>
            <w:r w:rsidR="00BD03D9" w:rsidRPr="00591BFB">
              <w:rPr>
                <w:rStyle w:val="Hyperlink"/>
                <w:noProof/>
              </w:rPr>
              <w:t>Non-benefit costs, by cost category</w:t>
            </w:r>
            <w:r w:rsidR="00BD03D9">
              <w:rPr>
                <w:noProof/>
                <w:webHidden/>
              </w:rPr>
              <w:tab/>
            </w:r>
            <w:r w:rsidR="00BD03D9">
              <w:rPr>
                <w:noProof/>
                <w:webHidden/>
              </w:rPr>
              <w:fldChar w:fldCharType="begin"/>
            </w:r>
            <w:r w:rsidR="00BD03D9">
              <w:rPr>
                <w:noProof/>
                <w:webHidden/>
              </w:rPr>
              <w:instrText xml:space="preserve"> PAGEREF _Toc109295539 \h </w:instrText>
            </w:r>
            <w:r w:rsidR="00BD03D9">
              <w:rPr>
                <w:noProof/>
                <w:webHidden/>
              </w:rPr>
            </w:r>
            <w:r w:rsidR="00BD03D9">
              <w:rPr>
                <w:noProof/>
                <w:webHidden/>
              </w:rPr>
              <w:fldChar w:fldCharType="separate"/>
            </w:r>
            <w:r>
              <w:rPr>
                <w:noProof/>
                <w:webHidden/>
              </w:rPr>
              <w:t>26</w:t>
            </w:r>
            <w:r w:rsidR="00BD03D9">
              <w:rPr>
                <w:noProof/>
                <w:webHidden/>
              </w:rPr>
              <w:fldChar w:fldCharType="end"/>
            </w:r>
          </w:hyperlink>
        </w:p>
        <w:p w14:paraId="38D2F374" w14:textId="0DC7A9A5" w:rsidR="00BD03D9" w:rsidRDefault="00DC1BCB">
          <w:pPr>
            <w:pStyle w:val="TOC4"/>
            <w:rPr>
              <w:noProof/>
              <w:sz w:val="22"/>
              <w:szCs w:val="22"/>
            </w:rPr>
          </w:pPr>
          <w:hyperlink w:anchor="_Toc109295540" w:history="1">
            <w:r w:rsidR="00BD03D9" w:rsidRPr="00591BFB">
              <w:rPr>
                <w:rStyle w:val="Hyperlink"/>
                <w:noProof/>
              </w:rPr>
              <w:t>iii.</w:t>
            </w:r>
            <w:r w:rsidR="00BD03D9">
              <w:rPr>
                <w:noProof/>
                <w:sz w:val="22"/>
                <w:szCs w:val="22"/>
              </w:rPr>
              <w:tab/>
            </w:r>
            <w:r w:rsidR="00BD03D9" w:rsidRPr="00591BFB">
              <w:rPr>
                <w:rStyle w:val="Hyperlink"/>
                <w:noProof/>
              </w:rPr>
              <w:t>Historical non-benefit cost</w:t>
            </w:r>
            <w:r w:rsidR="00BD03D9">
              <w:rPr>
                <w:noProof/>
                <w:webHidden/>
              </w:rPr>
              <w:tab/>
            </w:r>
            <w:r w:rsidR="00BD03D9">
              <w:rPr>
                <w:noProof/>
                <w:webHidden/>
              </w:rPr>
              <w:fldChar w:fldCharType="begin"/>
            </w:r>
            <w:r w:rsidR="00BD03D9">
              <w:rPr>
                <w:noProof/>
                <w:webHidden/>
              </w:rPr>
              <w:instrText xml:space="preserve"> PAGEREF _Toc109295540 \h </w:instrText>
            </w:r>
            <w:r w:rsidR="00BD03D9">
              <w:rPr>
                <w:noProof/>
                <w:webHidden/>
              </w:rPr>
            </w:r>
            <w:r w:rsidR="00BD03D9">
              <w:rPr>
                <w:noProof/>
                <w:webHidden/>
              </w:rPr>
              <w:fldChar w:fldCharType="separate"/>
            </w:r>
            <w:r>
              <w:rPr>
                <w:noProof/>
                <w:webHidden/>
              </w:rPr>
              <w:t>27</w:t>
            </w:r>
            <w:r w:rsidR="00BD03D9">
              <w:rPr>
                <w:noProof/>
                <w:webHidden/>
              </w:rPr>
              <w:fldChar w:fldCharType="end"/>
            </w:r>
          </w:hyperlink>
        </w:p>
        <w:p w14:paraId="0FD27B31" w14:textId="58CD8920" w:rsidR="00BD03D9" w:rsidRDefault="00DC1BCB">
          <w:pPr>
            <w:pStyle w:val="TOC2"/>
            <w:rPr>
              <w:caps w:val="0"/>
              <w:noProof/>
              <w:color w:val="auto"/>
              <w:sz w:val="22"/>
              <w:szCs w:val="22"/>
            </w:rPr>
          </w:pPr>
          <w:hyperlink w:anchor="_Toc109295541" w:history="1">
            <w:r w:rsidR="00BD03D9" w:rsidRPr="00591BFB">
              <w:rPr>
                <w:rStyle w:val="Hyperlink"/>
                <w:noProof/>
              </w:rPr>
              <w:t>6.</w:t>
            </w:r>
            <w:r w:rsidR="00BD03D9">
              <w:rPr>
                <w:caps w:val="0"/>
                <w:noProof/>
                <w:color w:val="auto"/>
                <w:sz w:val="22"/>
                <w:szCs w:val="22"/>
              </w:rPr>
              <w:tab/>
            </w:r>
            <w:r w:rsidR="00BD03D9" w:rsidRPr="00591BFB">
              <w:rPr>
                <w:rStyle w:val="Hyperlink"/>
                <w:noProof/>
              </w:rPr>
              <w:t>Risk Adjustment and Acuity Adjustments</w:t>
            </w:r>
            <w:r w:rsidR="00BD03D9">
              <w:rPr>
                <w:noProof/>
                <w:webHidden/>
              </w:rPr>
              <w:tab/>
            </w:r>
            <w:r w:rsidR="00BD03D9">
              <w:rPr>
                <w:noProof/>
                <w:webHidden/>
              </w:rPr>
              <w:fldChar w:fldCharType="begin"/>
            </w:r>
            <w:r w:rsidR="00BD03D9">
              <w:rPr>
                <w:noProof/>
                <w:webHidden/>
              </w:rPr>
              <w:instrText xml:space="preserve"> PAGEREF _Toc109295541 \h </w:instrText>
            </w:r>
            <w:r w:rsidR="00BD03D9">
              <w:rPr>
                <w:noProof/>
                <w:webHidden/>
              </w:rPr>
            </w:r>
            <w:r w:rsidR="00BD03D9">
              <w:rPr>
                <w:noProof/>
                <w:webHidden/>
              </w:rPr>
              <w:fldChar w:fldCharType="separate"/>
            </w:r>
            <w:r>
              <w:rPr>
                <w:noProof/>
                <w:webHidden/>
              </w:rPr>
              <w:t>28</w:t>
            </w:r>
            <w:r w:rsidR="00BD03D9">
              <w:rPr>
                <w:noProof/>
                <w:webHidden/>
              </w:rPr>
              <w:fldChar w:fldCharType="end"/>
            </w:r>
          </w:hyperlink>
        </w:p>
        <w:p w14:paraId="18CCB64F" w14:textId="3EC75AAD" w:rsidR="00BD03D9" w:rsidRDefault="00DC1BCB">
          <w:pPr>
            <w:pStyle w:val="TOC1"/>
            <w:rPr>
              <w:b w:val="0"/>
              <w:caps w:val="0"/>
              <w:noProof/>
              <w:sz w:val="22"/>
              <w:szCs w:val="22"/>
            </w:rPr>
          </w:pPr>
          <w:hyperlink w:anchor="_Toc109295542" w:history="1">
            <w:r w:rsidR="00BD03D9" w:rsidRPr="00591BFB">
              <w:rPr>
                <w:rStyle w:val="Hyperlink"/>
                <w:noProof/>
              </w:rPr>
              <w:t>Section II. Medicaid Managed care rates with long-term services and supports</w:t>
            </w:r>
            <w:r w:rsidR="00BD03D9">
              <w:rPr>
                <w:noProof/>
                <w:webHidden/>
              </w:rPr>
              <w:tab/>
            </w:r>
            <w:r w:rsidR="00BD03D9">
              <w:rPr>
                <w:noProof/>
                <w:webHidden/>
              </w:rPr>
              <w:fldChar w:fldCharType="begin"/>
            </w:r>
            <w:r w:rsidR="00BD03D9">
              <w:rPr>
                <w:noProof/>
                <w:webHidden/>
              </w:rPr>
              <w:instrText xml:space="preserve"> PAGEREF _Toc109295542 \h </w:instrText>
            </w:r>
            <w:r w:rsidR="00BD03D9">
              <w:rPr>
                <w:noProof/>
                <w:webHidden/>
              </w:rPr>
            </w:r>
            <w:r w:rsidR="00BD03D9">
              <w:rPr>
                <w:noProof/>
                <w:webHidden/>
              </w:rPr>
              <w:fldChar w:fldCharType="separate"/>
            </w:r>
            <w:r>
              <w:rPr>
                <w:noProof/>
                <w:webHidden/>
              </w:rPr>
              <w:t>29</w:t>
            </w:r>
            <w:r w:rsidR="00BD03D9">
              <w:rPr>
                <w:noProof/>
                <w:webHidden/>
              </w:rPr>
              <w:fldChar w:fldCharType="end"/>
            </w:r>
          </w:hyperlink>
        </w:p>
        <w:p w14:paraId="007AAE53" w14:textId="5895BE3A" w:rsidR="00BD03D9" w:rsidRDefault="00DC1BCB">
          <w:pPr>
            <w:pStyle w:val="TOC2"/>
            <w:rPr>
              <w:caps w:val="0"/>
              <w:noProof/>
              <w:color w:val="auto"/>
              <w:sz w:val="22"/>
              <w:szCs w:val="22"/>
            </w:rPr>
          </w:pPr>
          <w:hyperlink w:anchor="_Toc109295543" w:history="1">
            <w:r w:rsidR="00BD03D9" w:rsidRPr="00591BFB">
              <w:rPr>
                <w:rStyle w:val="Hyperlink"/>
                <w:noProof/>
              </w:rPr>
              <w:t>1.</w:t>
            </w:r>
            <w:r w:rsidR="00BD03D9">
              <w:rPr>
                <w:caps w:val="0"/>
                <w:noProof/>
                <w:color w:val="auto"/>
                <w:sz w:val="22"/>
                <w:szCs w:val="22"/>
              </w:rPr>
              <w:tab/>
            </w:r>
            <w:r w:rsidR="00BD03D9" w:rsidRPr="00591BFB">
              <w:rPr>
                <w:rStyle w:val="Hyperlink"/>
                <w:noProof/>
              </w:rPr>
              <w:t>Managed Long-Term Services and Supports</w:t>
            </w:r>
            <w:r w:rsidR="00BD03D9">
              <w:rPr>
                <w:noProof/>
                <w:webHidden/>
              </w:rPr>
              <w:tab/>
            </w:r>
            <w:r w:rsidR="00BD03D9">
              <w:rPr>
                <w:noProof/>
                <w:webHidden/>
              </w:rPr>
              <w:fldChar w:fldCharType="begin"/>
            </w:r>
            <w:r w:rsidR="00BD03D9">
              <w:rPr>
                <w:noProof/>
                <w:webHidden/>
              </w:rPr>
              <w:instrText xml:space="preserve"> PAGEREF _Toc109295543 \h </w:instrText>
            </w:r>
            <w:r w:rsidR="00BD03D9">
              <w:rPr>
                <w:noProof/>
                <w:webHidden/>
              </w:rPr>
            </w:r>
            <w:r w:rsidR="00BD03D9">
              <w:rPr>
                <w:noProof/>
                <w:webHidden/>
              </w:rPr>
              <w:fldChar w:fldCharType="separate"/>
            </w:r>
            <w:r>
              <w:rPr>
                <w:noProof/>
                <w:webHidden/>
              </w:rPr>
              <w:t>29</w:t>
            </w:r>
            <w:r w:rsidR="00BD03D9">
              <w:rPr>
                <w:noProof/>
                <w:webHidden/>
              </w:rPr>
              <w:fldChar w:fldCharType="end"/>
            </w:r>
          </w:hyperlink>
        </w:p>
        <w:p w14:paraId="7D7E4D69" w14:textId="046AB459" w:rsidR="00BD03D9" w:rsidRDefault="00DC1BCB">
          <w:pPr>
            <w:pStyle w:val="TOC3"/>
            <w:rPr>
              <w:noProof/>
              <w:color w:val="auto"/>
              <w:sz w:val="22"/>
              <w:szCs w:val="22"/>
            </w:rPr>
          </w:pPr>
          <w:hyperlink w:anchor="_Toc109295544" w:history="1">
            <w:r w:rsidR="00BD03D9" w:rsidRPr="00591BFB">
              <w:rPr>
                <w:rStyle w:val="Hyperlink"/>
                <w:noProof/>
              </w:rPr>
              <w:t>A.</w:t>
            </w:r>
            <w:r w:rsidR="00BD03D9">
              <w:rPr>
                <w:noProof/>
                <w:color w:val="auto"/>
                <w:sz w:val="22"/>
                <w:szCs w:val="22"/>
              </w:rPr>
              <w:tab/>
            </w:r>
            <w:r w:rsidR="00BD03D9" w:rsidRPr="00591BFB">
              <w:rPr>
                <w:rStyle w:val="Hyperlink"/>
                <w:noProof/>
              </w:rPr>
              <w:t>Applicability</w:t>
            </w:r>
            <w:r w:rsidR="00BD03D9">
              <w:rPr>
                <w:noProof/>
                <w:webHidden/>
              </w:rPr>
              <w:tab/>
            </w:r>
            <w:r w:rsidR="00BD03D9">
              <w:rPr>
                <w:noProof/>
                <w:webHidden/>
              </w:rPr>
              <w:fldChar w:fldCharType="begin"/>
            </w:r>
            <w:r w:rsidR="00BD03D9">
              <w:rPr>
                <w:noProof/>
                <w:webHidden/>
              </w:rPr>
              <w:instrText xml:space="preserve"> PAGEREF _Toc109295544 \h </w:instrText>
            </w:r>
            <w:r w:rsidR="00BD03D9">
              <w:rPr>
                <w:noProof/>
                <w:webHidden/>
              </w:rPr>
            </w:r>
            <w:r w:rsidR="00BD03D9">
              <w:rPr>
                <w:noProof/>
                <w:webHidden/>
              </w:rPr>
              <w:fldChar w:fldCharType="separate"/>
            </w:r>
            <w:r>
              <w:rPr>
                <w:noProof/>
                <w:webHidden/>
              </w:rPr>
              <w:t>29</w:t>
            </w:r>
            <w:r w:rsidR="00BD03D9">
              <w:rPr>
                <w:noProof/>
                <w:webHidden/>
              </w:rPr>
              <w:fldChar w:fldCharType="end"/>
            </w:r>
          </w:hyperlink>
        </w:p>
        <w:p w14:paraId="716CBC3D" w14:textId="5D9F38FB" w:rsidR="00BD03D9" w:rsidRDefault="00DC1BCB">
          <w:pPr>
            <w:pStyle w:val="TOC3"/>
            <w:rPr>
              <w:noProof/>
              <w:color w:val="auto"/>
              <w:sz w:val="22"/>
              <w:szCs w:val="22"/>
            </w:rPr>
          </w:pPr>
          <w:hyperlink w:anchor="_Toc109295545" w:history="1">
            <w:r w:rsidR="00BD03D9" w:rsidRPr="00591BFB">
              <w:rPr>
                <w:rStyle w:val="Hyperlink"/>
                <w:noProof/>
              </w:rPr>
              <w:t>B.</w:t>
            </w:r>
            <w:r w:rsidR="00BD03D9">
              <w:rPr>
                <w:noProof/>
                <w:color w:val="auto"/>
                <w:sz w:val="22"/>
                <w:szCs w:val="22"/>
              </w:rPr>
              <w:tab/>
            </w:r>
            <w:r w:rsidR="00BD03D9" w:rsidRPr="00591BFB">
              <w:rPr>
                <w:rStyle w:val="Hyperlink"/>
                <w:noProof/>
              </w:rPr>
              <w:t>Rate Development Standards</w:t>
            </w:r>
            <w:r w:rsidR="00BD03D9">
              <w:rPr>
                <w:noProof/>
                <w:webHidden/>
              </w:rPr>
              <w:tab/>
            </w:r>
            <w:r w:rsidR="00BD03D9">
              <w:rPr>
                <w:noProof/>
                <w:webHidden/>
              </w:rPr>
              <w:fldChar w:fldCharType="begin"/>
            </w:r>
            <w:r w:rsidR="00BD03D9">
              <w:rPr>
                <w:noProof/>
                <w:webHidden/>
              </w:rPr>
              <w:instrText xml:space="preserve"> PAGEREF _Toc109295545 \h </w:instrText>
            </w:r>
            <w:r w:rsidR="00BD03D9">
              <w:rPr>
                <w:noProof/>
                <w:webHidden/>
              </w:rPr>
            </w:r>
            <w:r w:rsidR="00BD03D9">
              <w:rPr>
                <w:noProof/>
                <w:webHidden/>
              </w:rPr>
              <w:fldChar w:fldCharType="separate"/>
            </w:r>
            <w:r>
              <w:rPr>
                <w:noProof/>
                <w:webHidden/>
              </w:rPr>
              <w:t>29</w:t>
            </w:r>
            <w:r w:rsidR="00BD03D9">
              <w:rPr>
                <w:noProof/>
                <w:webHidden/>
              </w:rPr>
              <w:fldChar w:fldCharType="end"/>
            </w:r>
          </w:hyperlink>
        </w:p>
        <w:p w14:paraId="737E68B8" w14:textId="50428C88" w:rsidR="00BD03D9" w:rsidRDefault="00DC1BCB">
          <w:pPr>
            <w:pStyle w:val="TOC4"/>
            <w:rPr>
              <w:noProof/>
              <w:sz w:val="22"/>
              <w:szCs w:val="22"/>
            </w:rPr>
          </w:pPr>
          <w:hyperlink w:anchor="_Toc109295546" w:history="1">
            <w:r w:rsidR="00BD03D9" w:rsidRPr="00591BFB">
              <w:rPr>
                <w:rStyle w:val="Hyperlink"/>
                <w:noProof/>
              </w:rPr>
              <w:t>i.</w:t>
            </w:r>
            <w:r w:rsidR="00BD03D9">
              <w:rPr>
                <w:noProof/>
                <w:sz w:val="22"/>
                <w:szCs w:val="22"/>
              </w:rPr>
              <w:tab/>
            </w:r>
            <w:r w:rsidR="00BD03D9" w:rsidRPr="00591BFB">
              <w:rPr>
                <w:rStyle w:val="Hyperlink"/>
                <w:noProof/>
              </w:rPr>
              <w:t>Rate cell structure</w:t>
            </w:r>
            <w:r w:rsidR="00BD03D9">
              <w:rPr>
                <w:noProof/>
                <w:webHidden/>
              </w:rPr>
              <w:tab/>
            </w:r>
            <w:r w:rsidR="00BD03D9">
              <w:rPr>
                <w:noProof/>
                <w:webHidden/>
              </w:rPr>
              <w:fldChar w:fldCharType="begin"/>
            </w:r>
            <w:r w:rsidR="00BD03D9">
              <w:rPr>
                <w:noProof/>
                <w:webHidden/>
              </w:rPr>
              <w:instrText xml:space="preserve"> PAGEREF _Toc109295546 \h </w:instrText>
            </w:r>
            <w:r w:rsidR="00BD03D9">
              <w:rPr>
                <w:noProof/>
                <w:webHidden/>
              </w:rPr>
            </w:r>
            <w:r w:rsidR="00BD03D9">
              <w:rPr>
                <w:noProof/>
                <w:webHidden/>
              </w:rPr>
              <w:fldChar w:fldCharType="separate"/>
            </w:r>
            <w:r>
              <w:rPr>
                <w:noProof/>
                <w:webHidden/>
              </w:rPr>
              <w:t>29</w:t>
            </w:r>
            <w:r w:rsidR="00BD03D9">
              <w:rPr>
                <w:noProof/>
                <w:webHidden/>
              </w:rPr>
              <w:fldChar w:fldCharType="end"/>
            </w:r>
          </w:hyperlink>
        </w:p>
        <w:p w14:paraId="53843EB9" w14:textId="00BCE416" w:rsidR="00BD03D9" w:rsidRDefault="00DC1BCB">
          <w:pPr>
            <w:pStyle w:val="TOC3"/>
            <w:rPr>
              <w:noProof/>
              <w:color w:val="auto"/>
              <w:sz w:val="22"/>
              <w:szCs w:val="22"/>
            </w:rPr>
          </w:pPr>
          <w:hyperlink w:anchor="_Toc109295547" w:history="1">
            <w:r w:rsidR="00BD03D9" w:rsidRPr="00591BFB">
              <w:rPr>
                <w:rStyle w:val="Hyperlink"/>
                <w:noProof/>
              </w:rPr>
              <w:t>C.</w:t>
            </w:r>
            <w:r w:rsidR="00BD03D9">
              <w:rPr>
                <w:noProof/>
                <w:color w:val="auto"/>
                <w:sz w:val="22"/>
                <w:szCs w:val="22"/>
              </w:rPr>
              <w:tab/>
            </w:r>
            <w:r w:rsidR="00BD03D9" w:rsidRPr="00591BFB">
              <w:rPr>
                <w:rStyle w:val="Hyperlink"/>
                <w:noProof/>
              </w:rPr>
              <w:t>Appropriate Documentation</w:t>
            </w:r>
            <w:r w:rsidR="00BD03D9">
              <w:rPr>
                <w:noProof/>
                <w:webHidden/>
              </w:rPr>
              <w:tab/>
            </w:r>
            <w:r w:rsidR="00BD03D9">
              <w:rPr>
                <w:noProof/>
                <w:webHidden/>
              </w:rPr>
              <w:fldChar w:fldCharType="begin"/>
            </w:r>
            <w:r w:rsidR="00BD03D9">
              <w:rPr>
                <w:noProof/>
                <w:webHidden/>
              </w:rPr>
              <w:instrText xml:space="preserve"> PAGEREF _Toc109295547 \h </w:instrText>
            </w:r>
            <w:r w:rsidR="00BD03D9">
              <w:rPr>
                <w:noProof/>
                <w:webHidden/>
              </w:rPr>
            </w:r>
            <w:r w:rsidR="00BD03D9">
              <w:rPr>
                <w:noProof/>
                <w:webHidden/>
              </w:rPr>
              <w:fldChar w:fldCharType="separate"/>
            </w:r>
            <w:r>
              <w:rPr>
                <w:noProof/>
                <w:webHidden/>
              </w:rPr>
              <w:t>29</w:t>
            </w:r>
            <w:r w:rsidR="00BD03D9">
              <w:rPr>
                <w:noProof/>
                <w:webHidden/>
              </w:rPr>
              <w:fldChar w:fldCharType="end"/>
            </w:r>
          </w:hyperlink>
        </w:p>
        <w:p w14:paraId="13671DFF" w14:textId="736B9FC6" w:rsidR="00BD03D9" w:rsidRDefault="00DC1BCB">
          <w:pPr>
            <w:pStyle w:val="TOC4"/>
            <w:rPr>
              <w:noProof/>
              <w:sz w:val="22"/>
              <w:szCs w:val="22"/>
            </w:rPr>
          </w:pPr>
          <w:hyperlink w:anchor="_Toc109295548" w:history="1">
            <w:r w:rsidR="00BD03D9" w:rsidRPr="00591BFB">
              <w:rPr>
                <w:rStyle w:val="Hyperlink"/>
                <w:noProof/>
              </w:rPr>
              <w:t>i.</w:t>
            </w:r>
            <w:r w:rsidR="00BD03D9">
              <w:rPr>
                <w:noProof/>
                <w:sz w:val="22"/>
                <w:szCs w:val="22"/>
              </w:rPr>
              <w:tab/>
            </w:r>
            <w:r w:rsidR="00BD03D9" w:rsidRPr="00591BFB">
              <w:rPr>
                <w:rStyle w:val="Hyperlink"/>
                <w:noProof/>
              </w:rPr>
              <w:t>Covered benefits</w:t>
            </w:r>
            <w:r w:rsidR="00BD03D9">
              <w:rPr>
                <w:noProof/>
                <w:webHidden/>
              </w:rPr>
              <w:tab/>
            </w:r>
            <w:r w:rsidR="00BD03D9">
              <w:rPr>
                <w:noProof/>
                <w:webHidden/>
              </w:rPr>
              <w:fldChar w:fldCharType="begin"/>
            </w:r>
            <w:r w:rsidR="00BD03D9">
              <w:rPr>
                <w:noProof/>
                <w:webHidden/>
              </w:rPr>
              <w:instrText xml:space="preserve"> PAGEREF _Toc109295548 \h </w:instrText>
            </w:r>
            <w:r w:rsidR="00BD03D9">
              <w:rPr>
                <w:noProof/>
                <w:webHidden/>
              </w:rPr>
            </w:r>
            <w:r w:rsidR="00BD03D9">
              <w:rPr>
                <w:noProof/>
                <w:webHidden/>
              </w:rPr>
              <w:fldChar w:fldCharType="separate"/>
            </w:r>
            <w:r>
              <w:rPr>
                <w:noProof/>
                <w:webHidden/>
              </w:rPr>
              <w:t>29</w:t>
            </w:r>
            <w:r w:rsidR="00BD03D9">
              <w:rPr>
                <w:noProof/>
                <w:webHidden/>
              </w:rPr>
              <w:fldChar w:fldCharType="end"/>
            </w:r>
          </w:hyperlink>
        </w:p>
        <w:p w14:paraId="75F66A7E" w14:textId="031D0731" w:rsidR="00BD03D9" w:rsidRDefault="00DC1BCB">
          <w:pPr>
            <w:pStyle w:val="TOC4"/>
            <w:rPr>
              <w:noProof/>
              <w:sz w:val="22"/>
              <w:szCs w:val="22"/>
            </w:rPr>
          </w:pPr>
          <w:hyperlink w:anchor="_Toc109295549" w:history="1">
            <w:r w:rsidR="00BD03D9" w:rsidRPr="00591BFB">
              <w:rPr>
                <w:rStyle w:val="Hyperlink"/>
                <w:noProof/>
              </w:rPr>
              <w:t>ii.</w:t>
            </w:r>
            <w:r w:rsidR="00BD03D9">
              <w:rPr>
                <w:noProof/>
                <w:sz w:val="22"/>
                <w:szCs w:val="22"/>
              </w:rPr>
              <w:tab/>
            </w:r>
            <w:r w:rsidR="00BD03D9" w:rsidRPr="00591BFB">
              <w:rPr>
                <w:rStyle w:val="Hyperlink"/>
                <w:noProof/>
              </w:rPr>
              <w:t>Projected non-benefit costs</w:t>
            </w:r>
            <w:r w:rsidR="00BD03D9">
              <w:rPr>
                <w:noProof/>
                <w:webHidden/>
              </w:rPr>
              <w:tab/>
            </w:r>
            <w:r w:rsidR="00BD03D9">
              <w:rPr>
                <w:noProof/>
                <w:webHidden/>
              </w:rPr>
              <w:fldChar w:fldCharType="begin"/>
            </w:r>
            <w:r w:rsidR="00BD03D9">
              <w:rPr>
                <w:noProof/>
                <w:webHidden/>
              </w:rPr>
              <w:instrText xml:space="preserve"> PAGEREF _Toc109295549 \h </w:instrText>
            </w:r>
            <w:r w:rsidR="00BD03D9">
              <w:rPr>
                <w:noProof/>
                <w:webHidden/>
              </w:rPr>
            </w:r>
            <w:r w:rsidR="00BD03D9">
              <w:rPr>
                <w:noProof/>
                <w:webHidden/>
              </w:rPr>
              <w:fldChar w:fldCharType="separate"/>
            </w:r>
            <w:r>
              <w:rPr>
                <w:noProof/>
                <w:webHidden/>
              </w:rPr>
              <w:t>30</w:t>
            </w:r>
            <w:r w:rsidR="00BD03D9">
              <w:rPr>
                <w:noProof/>
                <w:webHidden/>
              </w:rPr>
              <w:fldChar w:fldCharType="end"/>
            </w:r>
          </w:hyperlink>
        </w:p>
        <w:p w14:paraId="09606015" w14:textId="015F0857" w:rsidR="00BD03D9" w:rsidRDefault="00DC1BCB">
          <w:pPr>
            <w:pStyle w:val="TOC4"/>
            <w:rPr>
              <w:noProof/>
              <w:sz w:val="22"/>
              <w:szCs w:val="22"/>
            </w:rPr>
          </w:pPr>
          <w:hyperlink w:anchor="_Toc109295550" w:history="1">
            <w:r w:rsidR="00BD03D9" w:rsidRPr="00591BFB">
              <w:rPr>
                <w:rStyle w:val="Hyperlink"/>
                <w:noProof/>
              </w:rPr>
              <w:t>iii.</w:t>
            </w:r>
            <w:r w:rsidR="00BD03D9">
              <w:rPr>
                <w:noProof/>
                <w:sz w:val="22"/>
                <w:szCs w:val="22"/>
              </w:rPr>
              <w:tab/>
            </w:r>
            <w:r w:rsidR="00BD03D9" w:rsidRPr="00591BFB">
              <w:rPr>
                <w:rStyle w:val="Hyperlink"/>
                <w:noProof/>
              </w:rPr>
              <w:t>Assumptions</w:t>
            </w:r>
            <w:r w:rsidR="00BD03D9">
              <w:rPr>
                <w:noProof/>
                <w:webHidden/>
              </w:rPr>
              <w:tab/>
            </w:r>
            <w:r w:rsidR="00BD03D9">
              <w:rPr>
                <w:noProof/>
                <w:webHidden/>
              </w:rPr>
              <w:fldChar w:fldCharType="begin"/>
            </w:r>
            <w:r w:rsidR="00BD03D9">
              <w:rPr>
                <w:noProof/>
                <w:webHidden/>
              </w:rPr>
              <w:instrText xml:space="preserve"> PAGEREF _Toc109295550 \h </w:instrText>
            </w:r>
            <w:r w:rsidR="00BD03D9">
              <w:rPr>
                <w:noProof/>
                <w:webHidden/>
              </w:rPr>
            </w:r>
            <w:r w:rsidR="00BD03D9">
              <w:rPr>
                <w:noProof/>
                <w:webHidden/>
              </w:rPr>
              <w:fldChar w:fldCharType="separate"/>
            </w:r>
            <w:r>
              <w:rPr>
                <w:noProof/>
                <w:webHidden/>
              </w:rPr>
              <w:t>30</w:t>
            </w:r>
            <w:r w:rsidR="00BD03D9">
              <w:rPr>
                <w:noProof/>
                <w:webHidden/>
              </w:rPr>
              <w:fldChar w:fldCharType="end"/>
            </w:r>
          </w:hyperlink>
        </w:p>
        <w:p w14:paraId="5152C64B" w14:textId="7C1A07F4" w:rsidR="00BD03D9" w:rsidRDefault="00DC1BCB">
          <w:pPr>
            <w:pStyle w:val="TOC1"/>
            <w:rPr>
              <w:b w:val="0"/>
              <w:caps w:val="0"/>
              <w:noProof/>
              <w:sz w:val="22"/>
              <w:szCs w:val="22"/>
            </w:rPr>
          </w:pPr>
          <w:hyperlink w:anchor="_Toc109295551" w:history="1">
            <w:r w:rsidR="00BD03D9" w:rsidRPr="00591BFB">
              <w:rPr>
                <w:rStyle w:val="Hyperlink"/>
                <w:noProof/>
              </w:rPr>
              <w:t>Section III. New adult group capitation rates</w:t>
            </w:r>
            <w:r w:rsidR="00BD03D9">
              <w:rPr>
                <w:noProof/>
                <w:webHidden/>
              </w:rPr>
              <w:tab/>
            </w:r>
            <w:r w:rsidR="00BD03D9">
              <w:rPr>
                <w:noProof/>
                <w:webHidden/>
              </w:rPr>
              <w:fldChar w:fldCharType="begin"/>
            </w:r>
            <w:r w:rsidR="00BD03D9">
              <w:rPr>
                <w:noProof/>
                <w:webHidden/>
              </w:rPr>
              <w:instrText xml:space="preserve"> PAGEREF _Toc109295551 \h </w:instrText>
            </w:r>
            <w:r w:rsidR="00BD03D9">
              <w:rPr>
                <w:noProof/>
                <w:webHidden/>
              </w:rPr>
            </w:r>
            <w:r w:rsidR="00BD03D9">
              <w:rPr>
                <w:noProof/>
                <w:webHidden/>
              </w:rPr>
              <w:fldChar w:fldCharType="separate"/>
            </w:r>
            <w:r>
              <w:rPr>
                <w:noProof/>
                <w:webHidden/>
              </w:rPr>
              <w:t>31</w:t>
            </w:r>
            <w:r w:rsidR="00BD03D9">
              <w:rPr>
                <w:noProof/>
                <w:webHidden/>
              </w:rPr>
              <w:fldChar w:fldCharType="end"/>
            </w:r>
          </w:hyperlink>
        </w:p>
        <w:p w14:paraId="6F8DFBB7" w14:textId="19F8DF9E" w:rsidR="00BD03D9" w:rsidRDefault="00DC1BCB">
          <w:pPr>
            <w:pStyle w:val="TOC1"/>
            <w:rPr>
              <w:noProof/>
            </w:rPr>
          </w:pPr>
          <w:hyperlink w:anchor="_Toc109295552" w:history="1">
            <w:r w:rsidR="00BD03D9" w:rsidRPr="00591BFB">
              <w:rPr>
                <w:rStyle w:val="Hyperlink"/>
                <w:noProof/>
              </w:rPr>
              <w:t>Limitations</w:t>
            </w:r>
            <w:r w:rsidR="00BD03D9">
              <w:rPr>
                <w:noProof/>
                <w:webHidden/>
              </w:rPr>
              <w:tab/>
            </w:r>
            <w:r w:rsidR="00BD03D9">
              <w:rPr>
                <w:noProof/>
                <w:webHidden/>
              </w:rPr>
              <w:fldChar w:fldCharType="begin"/>
            </w:r>
            <w:r w:rsidR="00BD03D9">
              <w:rPr>
                <w:noProof/>
                <w:webHidden/>
              </w:rPr>
              <w:instrText xml:space="preserve"> PAGEREF _Toc109295552 \h </w:instrText>
            </w:r>
            <w:r w:rsidR="00BD03D9">
              <w:rPr>
                <w:noProof/>
                <w:webHidden/>
              </w:rPr>
            </w:r>
            <w:r w:rsidR="00BD03D9">
              <w:rPr>
                <w:noProof/>
                <w:webHidden/>
              </w:rPr>
              <w:fldChar w:fldCharType="separate"/>
            </w:r>
            <w:r>
              <w:rPr>
                <w:noProof/>
                <w:webHidden/>
              </w:rPr>
              <w:t>32</w:t>
            </w:r>
            <w:r w:rsidR="00BD03D9">
              <w:rPr>
                <w:noProof/>
                <w:webHidden/>
              </w:rPr>
              <w:fldChar w:fldCharType="end"/>
            </w:r>
          </w:hyperlink>
        </w:p>
        <w:p w14:paraId="7BA77DA5" w14:textId="77777777" w:rsidR="00DC1BCB" w:rsidRPr="00DC1BCB" w:rsidRDefault="00DC1BCB" w:rsidP="00DC1BCB"/>
        <w:p w14:paraId="34FE9ED5" w14:textId="773CE218" w:rsidR="00BD03D9" w:rsidRDefault="00DC1BCB">
          <w:pPr>
            <w:pStyle w:val="TOC1"/>
            <w:rPr>
              <w:b w:val="0"/>
              <w:caps w:val="0"/>
              <w:noProof/>
              <w:sz w:val="22"/>
              <w:szCs w:val="22"/>
            </w:rPr>
          </w:pPr>
          <w:hyperlink w:anchor="_Toc109295553" w:history="1">
            <w:r w:rsidR="00BD03D9" w:rsidRPr="00591BFB">
              <w:rPr>
                <w:rStyle w:val="Hyperlink"/>
                <w:noProof/>
              </w:rPr>
              <w:t>Appendix 1: Actuarial Certification</w:t>
            </w:r>
          </w:hyperlink>
        </w:p>
        <w:p w14:paraId="272014E4" w14:textId="75BAB11F" w:rsidR="00BD03D9" w:rsidRDefault="00DC1BCB">
          <w:pPr>
            <w:pStyle w:val="TOC1"/>
            <w:rPr>
              <w:b w:val="0"/>
              <w:caps w:val="0"/>
              <w:noProof/>
              <w:sz w:val="22"/>
              <w:szCs w:val="22"/>
            </w:rPr>
          </w:pPr>
          <w:hyperlink w:anchor="_Toc109295554" w:history="1">
            <w:r w:rsidR="00BD03D9" w:rsidRPr="00591BFB">
              <w:rPr>
                <w:rStyle w:val="Hyperlink"/>
                <w:noProof/>
              </w:rPr>
              <w:t>Appendix 2: Out-of-Plan Services</w:t>
            </w:r>
          </w:hyperlink>
        </w:p>
        <w:p w14:paraId="14CE3B8F" w14:textId="1629DC96" w:rsidR="00BD03D9" w:rsidRDefault="00DC1BCB">
          <w:pPr>
            <w:pStyle w:val="TOC1"/>
            <w:rPr>
              <w:b w:val="0"/>
              <w:caps w:val="0"/>
              <w:noProof/>
              <w:sz w:val="22"/>
              <w:szCs w:val="22"/>
            </w:rPr>
          </w:pPr>
          <w:hyperlink w:anchor="_Toc109295555" w:history="1">
            <w:r w:rsidR="00BD03D9" w:rsidRPr="00591BFB">
              <w:rPr>
                <w:rStyle w:val="Hyperlink"/>
                <w:noProof/>
              </w:rPr>
              <w:t>Appendix 3: Retrospective Benefit Expense Development</w:t>
            </w:r>
          </w:hyperlink>
        </w:p>
        <w:p w14:paraId="46CF906D" w14:textId="5F0036BD" w:rsidR="00BD03D9" w:rsidRDefault="00DC1BCB">
          <w:pPr>
            <w:pStyle w:val="TOC1"/>
            <w:rPr>
              <w:b w:val="0"/>
              <w:caps w:val="0"/>
              <w:noProof/>
              <w:sz w:val="22"/>
              <w:szCs w:val="22"/>
            </w:rPr>
          </w:pPr>
          <w:hyperlink w:anchor="_Toc109295556" w:history="1">
            <w:r w:rsidR="00BD03D9" w:rsidRPr="00591BFB">
              <w:rPr>
                <w:rStyle w:val="Hyperlink"/>
                <w:noProof/>
              </w:rPr>
              <w:t>Appendix 4: SFY 2023 Prospective Benefit Expense Development</w:t>
            </w:r>
          </w:hyperlink>
        </w:p>
        <w:p w14:paraId="23E47746" w14:textId="2640DF1B" w:rsidR="00BD03D9" w:rsidRDefault="00DC1BCB">
          <w:pPr>
            <w:pStyle w:val="TOC1"/>
            <w:rPr>
              <w:b w:val="0"/>
              <w:caps w:val="0"/>
              <w:noProof/>
              <w:sz w:val="22"/>
              <w:szCs w:val="22"/>
            </w:rPr>
          </w:pPr>
          <w:hyperlink w:anchor="_Toc109295557" w:history="1">
            <w:r w:rsidR="00BD03D9" w:rsidRPr="00591BFB">
              <w:rPr>
                <w:rStyle w:val="Hyperlink"/>
                <w:noProof/>
              </w:rPr>
              <w:t>Appendix 5: SFY 2023 Capitation Rate Development</w:t>
            </w:r>
          </w:hyperlink>
        </w:p>
        <w:p w14:paraId="5698DAB1" w14:textId="65FD9C3C" w:rsidR="005178EA" w:rsidRDefault="00375E5B" w:rsidP="00981D30">
          <w:pPr>
            <w:pStyle w:val="TOC1"/>
            <w:rPr>
              <w:b w:val="0"/>
              <w:caps w:val="0"/>
            </w:rPr>
            <w:sectPr w:rsidR="005178EA" w:rsidSect="009503CA">
              <w:headerReference w:type="even" r:id="rId17"/>
              <w:headerReference w:type="default" r:id="rId18"/>
              <w:footerReference w:type="default" r:id="rId19"/>
              <w:headerReference w:type="first" r:id="rId20"/>
              <w:pgSz w:w="12240" w:h="15840" w:code="1"/>
              <w:pgMar w:top="1440" w:right="1440" w:bottom="1440" w:left="1440" w:header="720" w:footer="720" w:gutter="0"/>
              <w:pgNumType w:start="0"/>
              <w:cols w:space="720"/>
              <w:titlePg/>
              <w:docGrid w:linePitch="360"/>
            </w:sectPr>
          </w:pPr>
          <w:r>
            <w:rPr>
              <w:b w:val="0"/>
              <w:caps w:val="0"/>
              <w:noProof/>
            </w:rPr>
            <w:fldChar w:fldCharType="end"/>
          </w:r>
        </w:p>
      </w:sdtContent>
    </w:sdt>
    <w:p w14:paraId="2AB298CC" w14:textId="15B2BBAC" w:rsidR="00550937" w:rsidRPr="00210B59" w:rsidRDefault="00550937" w:rsidP="0080452D">
      <w:pPr>
        <w:pStyle w:val="Heading1"/>
        <w:spacing w:before="60" w:after="120"/>
      </w:pPr>
      <w:bookmarkStart w:id="0" w:name="_Toc109295468"/>
      <w:r w:rsidRPr="00550937">
        <w:lastRenderedPageBreak/>
        <w:t>Introduction &amp; Executive Summary</w:t>
      </w:r>
      <w:bookmarkEnd w:id="0"/>
    </w:p>
    <w:p w14:paraId="0B1340A4" w14:textId="77777777" w:rsidR="00553928" w:rsidRPr="002E1FD8" w:rsidRDefault="00553928" w:rsidP="0080452D">
      <w:pPr>
        <w:pStyle w:val="RRSubhead2"/>
        <w:spacing w:before="60" w:after="120"/>
        <w:jc w:val="both"/>
      </w:pPr>
      <w:bookmarkStart w:id="1" w:name="_Toc8031219"/>
      <w:r>
        <w:t>background</w:t>
      </w:r>
      <w:bookmarkEnd w:id="1"/>
    </w:p>
    <w:p w14:paraId="3C99C306" w14:textId="08AE776A" w:rsidR="009F5A8D" w:rsidRDefault="00536773" w:rsidP="0009742C">
      <w:pPr>
        <w:pStyle w:val="RRBody"/>
      </w:pPr>
      <w:bookmarkStart w:id="2" w:name="_Toc431546424"/>
      <w:bookmarkStart w:id="3" w:name="_Toc466284547"/>
      <w:bookmarkStart w:id="4" w:name="_Toc504388970"/>
      <w:r w:rsidRPr="006C351B">
        <w:t xml:space="preserve">Milliman, Inc. (Milliman) has been retained by </w:t>
      </w:r>
      <w:r w:rsidRPr="00BD0DBF">
        <w:t xml:space="preserve">the Rhode Island Executive Office of Health </w:t>
      </w:r>
      <w:r>
        <w:t>and</w:t>
      </w:r>
      <w:r w:rsidRPr="00BD0DBF">
        <w:t xml:space="preserve"> Human Services (EOHHS)</w:t>
      </w:r>
      <w:r>
        <w:t xml:space="preserve"> </w:t>
      </w:r>
      <w:r w:rsidRPr="006C351B">
        <w:t xml:space="preserve">to provide actuarial and consulting services related to the development of capitation rates for </w:t>
      </w:r>
      <w:r>
        <w:t>Rhode Island’s</w:t>
      </w:r>
      <w:r w:rsidRPr="006C351B">
        <w:t xml:space="preserve"> </w:t>
      </w:r>
      <w:r w:rsidR="0039369F">
        <w:t xml:space="preserve">Medicare-Medicaid Plan (MMP), also known as </w:t>
      </w:r>
      <w:r w:rsidR="00B919CF">
        <w:t>Rhody Health Options</w:t>
      </w:r>
      <w:r w:rsidR="0048239C">
        <w:t xml:space="preserve"> (RHO)</w:t>
      </w:r>
      <w:r w:rsidR="00B919CF" w:rsidRPr="006C351B">
        <w:t xml:space="preserve"> </w:t>
      </w:r>
      <w:r w:rsidR="009F5A8D">
        <w:t>Integrity</w:t>
      </w:r>
      <w:r w:rsidR="0095740C">
        <w:t>.</w:t>
      </w:r>
      <w:r w:rsidR="0039369F">
        <w:t xml:space="preserve"> </w:t>
      </w:r>
      <w:r w:rsidR="0095740C">
        <w:t xml:space="preserve">The certified capitation rates are </w:t>
      </w:r>
      <w:r>
        <w:t>effective</w:t>
      </w:r>
      <w:r w:rsidR="0095740C">
        <w:t xml:space="preserve"> July 1, </w:t>
      </w:r>
      <w:r w:rsidR="00DF2490">
        <w:t>202</w:t>
      </w:r>
      <w:r w:rsidR="00290EAD">
        <w:t>2, for state fiscal year (SFY)</w:t>
      </w:r>
      <w:r w:rsidR="00DF2490">
        <w:t xml:space="preserve"> 2023</w:t>
      </w:r>
      <w:r w:rsidRPr="006C351B">
        <w:t>.</w:t>
      </w:r>
      <w:r w:rsidR="00CD42BC">
        <w:t xml:space="preserve"> </w:t>
      </w:r>
      <w:r w:rsidR="00F172A5">
        <w:t>MMP</w:t>
      </w:r>
      <w:r w:rsidR="0048239C">
        <w:t xml:space="preserve"> is a Medicaid managed care program for dual eligible Medicare </w:t>
      </w:r>
      <w:r w:rsidR="009F5A8D">
        <w:t>and</w:t>
      </w:r>
      <w:r w:rsidR="0048239C">
        <w:t xml:space="preserve"> Medicaid beneficiaries. </w:t>
      </w:r>
    </w:p>
    <w:p w14:paraId="71DB8629" w14:textId="334BFE59" w:rsidR="009F5A8D" w:rsidRDefault="006322CB" w:rsidP="009F5A8D">
      <w:pPr>
        <w:pStyle w:val="RRBody"/>
      </w:pPr>
      <w:r>
        <w:t xml:space="preserve">This letter provides documentation for the development of the </w:t>
      </w:r>
      <w:r w:rsidR="00AF54FA">
        <w:t>certified</w:t>
      </w:r>
      <w:r>
        <w:t xml:space="preserve"> capitation rates. It also includes the required actuarial certification in Appendix 1.</w:t>
      </w:r>
      <w:r w:rsidR="009F5A8D" w:rsidRPr="009F5A8D">
        <w:t xml:space="preserve"> </w:t>
      </w:r>
      <w:r w:rsidR="009F5A8D">
        <w:t xml:space="preserve">To facilitate review, this document has been organized in the same manner as the </w:t>
      </w:r>
      <w:r w:rsidR="00DF2490">
        <w:t>2022</w:t>
      </w:r>
      <w:r w:rsidR="009F5A8D">
        <w:t>-</w:t>
      </w:r>
      <w:r w:rsidR="00DF2490">
        <w:t xml:space="preserve">2023 </w:t>
      </w:r>
      <w:r w:rsidR="009F5A8D">
        <w:t xml:space="preserve">Medicaid Managed Care Rate Development Guide, released by the Center for Medicare and Medicaid Services in </w:t>
      </w:r>
      <w:r w:rsidR="00DF2490">
        <w:t>April 2022</w:t>
      </w:r>
      <w:r w:rsidR="009F5A8D">
        <w:t xml:space="preserve"> (CMS guide).</w:t>
      </w:r>
      <w:r w:rsidR="009F5A8D" w:rsidRPr="00573103">
        <w:t xml:space="preserve"> </w:t>
      </w:r>
    </w:p>
    <w:p w14:paraId="14885649" w14:textId="7AA3B439" w:rsidR="006322CB" w:rsidRDefault="006322CB" w:rsidP="0009742C">
      <w:pPr>
        <w:pStyle w:val="RRBody"/>
      </w:pPr>
      <w:r w:rsidRPr="006322CB">
        <w:t>At the time of this report, we acknowledge there is substantial uncertainty regarding the impact of the COVID-19 pandemic on future projections. It is possible that the COVID-19 pandemic could have a material impact on the projected enrollment and capitation rates presented in this report.</w:t>
      </w:r>
    </w:p>
    <w:p w14:paraId="282AB9A4" w14:textId="1ECE4E4B" w:rsidR="00E901B9" w:rsidRPr="00A81F54" w:rsidRDefault="00573103" w:rsidP="0009742C">
      <w:pPr>
        <w:pStyle w:val="RRBody"/>
      </w:pPr>
      <w:r>
        <w:t xml:space="preserve">Unless otherwise specified, all references to “capitation rates” throughout this document refer to the Medicaid-specific component of the </w:t>
      </w:r>
      <w:r w:rsidR="00F172A5">
        <w:t>MMP</w:t>
      </w:r>
      <w:r>
        <w:t xml:space="preserve"> capitation rates. </w:t>
      </w:r>
      <w:r w:rsidRPr="00573103">
        <w:t xml:space="preserve">The </w:t>
      </w:r>
      <w:r w:rsidR="00D731CB">
        <w:t xml:space="preserve">SFY </w:t>
      </w:r>
      <w:r w:rsidR="00DF2490">
        <w:t xml:space="preserve">2023 </w:t>
      </w:r>
      <w:r w:rsidRPr="00573103">
        <w:t xml:space="preserve">composite rates reflect the mandatory </w:t>
      </w:r>
      <w:r>
        <w:t>3</w:t>
      </w:r>
      <w:r w:rsidRPr="00573103">
        <w:t xml:space="preserve">% </w:t>
      </w:r>
      <w:r w:rsidR="00B83D93">
        <w:t>D</w:t>
      </w:r>
      <w:r>
        <w:t xml:space="preserve">emonstration </w:t>
      </w:r>
      <w:r w:rsidR="00B83D93">
        <w:t>Y</w:t>
      </w:r>
      <w:r>
        <w:t xml:space="preserve">ear </w:t>
      </w:r>
      <w:r w:rsidR="00DF2490">
        <w:t xml:space="preserve">6 </w:t>
      </w:r>
      <w:r w:rsidR="00514930">
        <w:t xml:space="preserve">(calendar year </w:t>
      </w:r>
      <w:r w:rsidR="00DF2490">
        <w:t>2022</w:t>
      </w:r>
      <w:r w:rsidR="00514930">
        <w:t>)</w:t>
      </w:r>
      <w:r w:rsidR="00E9475E">
        <w:t xml:space="preserve"> </w:t>
      </w:r>
      <w:r w:rsidR="00D731CB">
        <w:t xml:space="preserve">and Demonstration Year </w:t>
      </w:r>
      <w:r w:rsidR="00DF2490">
        <w:t xml:space="preserve">7 </w:t>
      </w:r>
      <w:r w:rsidR="00D731CB">
        <w:t xml:space="preserve">(calendar year </w:t>
      </w:r>
      <w:r w:rsidR="00DF2490">
        <w:t>2023</w:t>
      </w:r>
      <w:r w:rsidR="00D731CB">
        <w:t xml:space="preserve">) </w:t>
      </w:r>
      <w:r w:rsidRPr="00573103">
        <w:t xml:space="preserve">savings assumption prescribed by CMS and </w:t>
      </w:r>
      <w:r w:rsidR="009F5A8D">
        <w:t>EOHHS</w:t>
      </w:r>
      <w:r w:rsidRPr="00573103">
        <w:t>.</w:t>
      </w:r>
      <w:r>
        <w:t xml:space="preserve"> </w:t>
      </w:r>
    </w:p>
    <w:p w14:paraId="0A208426" w14:textId="77777777" w:rsidR="00CC2386" w:rsidRPr="00C26113" w:rsidRDefault="002E1FD8" w:rsidP="0009742C">
      <w:pPr>
        <w:pStyle w:val="RRSubhead2"/>
      </w:pPr>
      <w:bookmarkStart w:id="5" w:name="_Toc8031220"/>
      <w:r w:rsidRPr="002E1FD8">
        <w:t>Fiscal impact estimate</w:t>
      </w:r>
      <w:bookmarkEnd w:id="2"/>
      <w:bookmarkEnd w:id="3"/>
      <w:bookmarkEnd w:id="4"/>
      <w:bookmarkEnd w:id="5"/>
    </w:p>
    <w:p w14:paraId="600CB1FB" w14:textId="77777777" w:rsidR="00075DA7" w:rsidRDefault="00E901B9" w:rsidP="0009742C">
      <w:pPr>
        <w:pStyle w:val="RRBody"/>
      </w:pPr>
      <w:r w:rsidRPr="00E901B9">
        <w:t xml:space="preserve">The capitation rates for the </w:t>
      </w:r>
      <w:r w:rsidR="00F172A5">
        <w:t>MMP</w:t>
      </w:r>
      <w:r w:rsidRPr="00E901B9">
        <w:t xml:space="preserve"> </w:t>
      </w:r>
      <w:r w:rsidR="0048239C">
        <w:t>p</w:t>
      </w:r>
      <w:r w:rsidRPr="00E901B9">
        <w:t xml:space="preserve">rogram are illustrated in </w:t>
      </w:r>
      <w:r w:rsidR="005A426C">
        <w:t>Figure</w:t>
      </w:r>
      <w:r w:rsidRPr="00E901B9">
        <w:t xml:space="preserve"> 1. These rates ar</w:t>
      </w:r>
      <w:r>
        <w:t xml:space="preserve">e effective from </w:t>
      </w:r>
      <w:r w:rsidR="006412E6">
        <w:t xml:space="preserve">July 1, </w:t>
      </w:r>
      <w:r w:rsidR="00DF2490">
        <w:t>2022</w:t>
      </w:r>
      <w:r w:rsidR="00DF2490" w:rsidRPr="00E901B9">
        <w:t xml:space="preserve"> </w:t>
      </w:r>
      <w:r w:rsidRPr="00E901B9">
        <w:t xml:space="preserve">through </w:t>
      </w:r>
      <w:r w:rsidR="00AF1DD5">
        <w:t xml:space="preserve">June 30, </w:t>
      </w:r>
      <w:r w:rsidR="00DF2490">
        <w:t>2023</w:t>
      </w:r>
      <w:r w:rsidRPr="00E901B9">
        <w:t xml:space="preserve">. </w:t>
      </w:r>
      <w:r w:rsidR="005A426C">
        <w:t>Figure</w:t>
      </w:r>
      <w:r w:rsidRPr="00E901B9">
        <w:t xml:space="preserve"> 1 provides a comparison of the </w:t>
      </w:r>
      <w:r w:rsidR="00566A2B">
        <w:t xml:space="preserve">SFY </w:t>
      </w:r>
      <w:r w:rsidR="00DF2490">
        <w:t>2022</w:t>
      </w:r>
      <w:r w:rsidR="00DF2490" w:rsidRPr="00E901B9">
        <w:t xml:space="preserve"> </w:t>
      </w:r>
      <w:r w:rsidRPr="00E901B9">
        <w:t xml:space="preserve">rates relative to </w:t>
      </w:r>
      <w:r>
        <w:t xml:space="preserve">the </w:t>
      </w:r>
      <w:r w:rsidR="00566A2B">
        <w:t xml:space="preserve">SFY </w:t>
      </w:r>
      <w:r w:rsidR="00DF2490">
        <w:t xml:space="preserve">2023 </w:t>
      </w:r>
      <w:r w:rsidR="009F7010">
        <w:t xml:space="preserve">rates </w:t>
      </w:r>
      <w:r w:rsidRPr="00E901B9">
        <w:t xml:space="preserve">for the </w:t>
      </w:r>
      <w:r w:rsidR="00F172A5">
        <w:t>MMP</w:t>
      </w:r>
      <w:r w:rsidRPr="00E901B9">
        <w:t xml:space="preserve"> program.</w:t>
      </w:r>
      <w:r w:rsidR="006322CB">
        <w:t xml:space="preserve"> The composite rates illustrated for both SFY </w:t>
      </w:r>
      <w:r w:rsidR="00DF2490">
        <w:t xml:space="preserve">2022 </w:t>
      </w:r>
      <w:r w:rsidR="006322CB">
        <w:t xml:space="preserve">and SFY </w:t>
      </w:r>
      <w:r w:rsidR="00DF2490">
        <w:t xml:space="preserve">2023 </w:t>
      </w:r>
      <w:r w:rsidR="006322CB">
        <w:t xml:space="preserve">were developed based on projected monthly enrollment for SFY </w:t>
      </w:r>
      <w:r w:rsidR="00DF2490">
        <w:t>2023</w:t>
      </w:r>
      <w:r w:rsidR="009F7010">
        <w:t>.</w:t>
      </w:r>
      <w:r w:rsidR="00362645">
        <w:t xml:space="preserve"> </w:t>
      </w:r>
    </w:p>
    <w:p w14:paraId="1C7A68CB" w14:textId="63010DCB" w:rsidR="00E901B9" w:rsidRDefault="00075DA7" w:rsidP="0009742C">
      <w:pPr>
        <w:pStyle w:val="RRBody"/>
      </w:pPr>
      <w:r>
        <w:t>T</w:t>
      </w:r>
      <w:r w:rsidR="00362645">
        <w:t xml:space="preserve">he </w:t>
      </w:r>
      <w:r w:rsidR="0079690F">
        <w:t>Blended LTSS</w:t>
      </w:r>
      <w:r w:rsidR="00362645">
        <w:t xml:space="preserve"> rate change illustrated in Figure 1 below is materially impacted by the change in the </w:t>
      </w:r>
      <w:r w:rsidR="0079690F">
        <w:t>membership distribution used to develop the rate</w:t>
      </w:r>
      <w:r w:rsidR="00362645">
        <w:t xml:space="preserve">. The </w:t>
      </w:r>
      <w:r>
        <w:t>SFY 2022 blended LTSS rate reflects a membership distribution of 25% / 75% nursing home and community LTSS, respectively, and the SFY 2023 blended rate reflects a 3</w:t>
      </w:r>
      <w:r w:rsidR="00BF4C51">
        <w:t>3</w:t>
      </w:r>
      <w:r>
        <w:t>% / 6</w:t>
      </w:r>
      <w:r w:rsidR="00BF4C51">
        <w:t>7</w:t>
      </w:r>
      <w:r>
        <w:t xml:space="preserve">% membership distribution. The </w:t>
      </w:r>
      <w:r w:rsidR="00362645">
        <w:t xml:space="preserve">change in </w:t>
      </w:r>
      <w:r>
        <w:t xml:space="preserve">membership distribution </w:t>
      </w:r>
      <w:r w:rsidR="00362645">
        <w:t xml:space="preserve">reflects emerging MMP enrollment distribution and </w:t>
      </w:r>
      <w:r>
        <w:t>MMP program passive enrollment initiatives</w:t>
      </w:r>
      <w:r w:rsidR="00362645">
        <w:t>.</w:t>
      </w:r>
      <w:r>
        <w:t xml:space="preserve"> Using a constant 25% / 75% membership distribution in SFY 2022 and SFY 2023 would result in a rate change of </w:t>
      </w:r>
      <w:r w:rsidR="00DE30FB">
        <w:t>5.6</w:t>
      </w:r>
      <w:r>
        <w:t>% for the Blended LTSS rate.</w:t>
      </w:r>
    </w:p>
    <w:tbl>
      <w:tblPr>
        <w:tblW w:w="9360" w:type="dxa"/>
        <w:tblLook w:val="04A0" w:firstRow="1" w:lastRow="0" w:firstColumn="1" w:lastColumn="0" w:noHBand="0" w:noVBand="1"/>
      </w:tblPr>
      <w:tblGrid>
        <w:gridCol w:w="3240"/>
        <w:gridCol w:w="1276"/>
        <w:gridCol w:w="1564"/>
        <w:gridCol w:w="1569"/>
        <w:gridCol w:w="1711"/>
      </w:tblGrid>
      <w:tr w:rsidR="008D1062" w:rsidRPr="008D1062" w14:paraId="680F5F21" w14:textId="77777777" w:rsidTr="00E9475E">
        <w:trPr>
          <w:trHeight w:val="240"/>
        </w:trPr>
        <w:tc>
          <w:tcPr>
            <w:tcW w:w="9360" w:type="dxa"/>
            <w:gridSpan w:val="5"/>
            <w:tcBorders>
              <w:top w:val="single" w:sz="4" w:space="0" w:color="E8E9E9"/>
              <w:left w:val="nil"/>
              <w:bottom w:val="nil"/>
              <w:right w:val="nil"/>
            </w:tcBorders>
            <w:shd w:val="clear" w:color="auto" w:fill="auto"/>
            <w:noWrap/>
            <w:vAlign w:val="bottom"/>
            <w:hideMark/>
          </w:tcPr>
          <w:p w14:paraId="2B90AB7B" w14:textId="7A1A4E88" w:rsidR="008D1062" w:rsidRPr="008D1062" w:rsidRDefault="00617FD5" w:rsidP="00774F4A">
            <w:pPr>
              <w:spacing w:after="60" w:line="240" w:lineRule="auto"/>
              <w:rPr>
                <w:rFonts w:ascii="Arial" w:eastAsia="Times New Roman" w:hAnsi="Arial" w:cs="Arial"/>
                <w:b/>
                <w:bCs/>
                <w:color w:val="0081E3"/>
                <w:szCs w:val="18"/>
              </w:rPr>
            </w:pPr>
            <w:r>
              <w:rPr>
                <w:rFonts w:ascii="Arial" w:eastAsia="Times New Roman" w:hAnsi="Arial" w:cs="Arial"/>
                <w:b/>
                <w:bCs/>
                <w:color w:val="0081E3"/>
                <w:szCs w:val="18"/>
              </w:rPr>
              <w:t>FIGURE</w:t>
            </w:r>
            <w:r w:rsidR="008D1062" w:rsidRPr="008D1062">
              <w:rPr>
                <w:rFonts w:ascii="Arial" w:eastAsia="Times New Roman" w:hAnsi="Arial" w:cs="Arial"/>
                <w:b/>
                <w:bCs/>
                <w:color w:val="0081E3"/>
                <w:szCs w:val="18"/>
              </w:rPr>
              <w:t xml:space="preserve"> 1</w:t>
            </w:r>
            <w:r w:rsidR="000257AC">
              <w:rPr>
                <w:rFonts w:ascii="Arial" w:eastAsia="Times New Roman" w:hAnsi="Arial" w:cs="Arial"/>
                <w:b/>
                <w:bCs/>
                <w:color w:val="0081E3"/>
                <w:szCs w:val="18"/>
              </w:rPr>
              <w:t>:</w:t>
            </w:r>
            <w:r w:rsidRPr="008D1062">
              <w:rPr>
                <w:rFonts w:ascii="Arial" w:eastAsia="Times New Roman" w:hAnsi="Arial" w:cs="Arial"/>
                <w:b/>
                <w:bCs/>
                <w:color w:val="0081E3"/>
                <w:szCs w:val="18"/>
              </w:rPr>
              <w:t xml:space="preserve"> </w:t>
            </w:r>
            <w:r>
              <w:rPr>
                <w:rFonts w:ascii="Arial" w:eastAsia="Times New Roman" w:hAnsi="Arial" w:cs="Arial"/>
                <w:b/>
                <w:bCs/>
                <w:color w:val="0081E3"/>
                <w:szCs w:val="18"/>
              </w:rPr>
              <w:t xml:space="preserve">COMPARISON WITH </w:t>
            </w:r>
            <w:r w:rsidR="00FC7618">
              <w:rPr>
                <w:rFonts w:ascii="Arial" w:eastAsia="Times New Roman" w:hAnsi="Arial" w:cs="Arial"/>
                <w:b/>
                <w:bCs/>
                <w:color w:val="0081E3"/>
                <w:szCs w:val="18"/>
              </w:rPr>
              <w:t>STATE FISCAL YEAR</w:t>
            </w:r>
            <w:r w:rsidRPr="008D1062">
              <w:rPr>
                <w:rFonts w:ascii="Arial" w:eastAsia="Times New Roman" w:hAnsi="Arial" w:cs="Arial"/>
                <w:b/>
                <w:bCs/>
                <w:color w:val="0081E3"/>
                <w:szCs w:val="18"/>
              </w:rPr>
              <w:t xml:space="preserve"> </w:t>
            </w:r>
            <w:r w:rsidR="00DF2490" w:rsidRPr="008D1062">
              <w:rPr>
                <w:rFonts w:ascii="Arial" w:eastAsia="Times New Roman" w:hAnsi="Arial" w:cs="Arial"/>
                <w:b/>
                <w:bCs/>
                <w:color w:val="0081E3"/>
                <w:szCs w:val="18"/>
              </w:rPr>
              <w:t>20</w:t>
            </w:r>
            <w:r w:rsidR="00DF2490">
              <w:rPr>
                <w:rFonts w:ascii="Arial" w:eastAsia="Times New Roman" w:hAnsi="Arial" w:cs="Arial"/>
                <w:b/>
                <w:bCs/>
                <w:color w:val="0081E3"/>
                <w:szCs w:val="18"/>
              </w:rPr>
              <w:t>22</w:t>
            </w:r>
            <w:r w:rsidR="00DF2490" w:rsidRPr="008D1062">
              <w:rPr>
                <w:rFonts w:ascii="Arial" w:eastAsia="Times New Roman" w:hAnsi="Arial" w:cs="Arial"/>
                <w:b/>
                <w:bCs/>
                <w:color w:val="0081E3"/>
                <w:szCs w:val="18"/>
              </w:rPr>
              <w:t xml:space="preserve"> </w:t>
            </w:r>
            <w:r>
              <w:rPr>
                <w:rFonts w:ascii="Arial" w:eastAsia="Times New Roman" w:hAnsi="Arial" w:cs="Arial"/>
                <w:b/>
                <w:bCs/>
                <w:color w:val="0081E3"/>
                <w:szCs w:val="18"/>
              </w:rPr>
              <w:t xml:space="preserve">RATES </w:t>
            </w:r>
            <w:r w:rsidRPr="008D1062">
              <w:rPr>
                <w:rFonts w:ascii="Arial" w:eastAsia="Times New Roman" w:hAnsi="Arial" w:cs="Arial"/>
                <w:b/>
                <w:bCs/>
                <w:color w:val="0081E3"/>
                <w:szCs w:val="18"/>
              </w:rPr>
              <w:t>(PMPM)</w:t>
            </w:r>
          </w:p>
        </w:tc>
      </w:tr>
      <w:tr w:rsidR="00514930" w:rsidRPr="008D1062" w14:paraId="7D091625" w14:textId="77777777" w:rsidTr="002F285E">
        <w:trPr>
          <w:trHeight w:val="414"/>
        </w:trPr>
        <w:tc>
          <w:tcPr>
            <w:tcW w:w="3240" w:type="dxa"/>
            <w:tcBorders>
              <w:top w:val="nil"/>
              <w:left w:val="nil"/>
              <w:bottom w:val="single" w:sz="4" w:space="0" w:color="C6C9CA"/>
              <w:right w:val="nil"/>
            </w:tcBorders>
            <w:shd w:val="clear" w:color="auto" w:fill="auto"/>
            <w:vAlign w:val="bottom"/>
            <w:hideMark/>
          </w:tcPr>
          <w:p w14:paraId="6033FBDC" w14:textId="77777777" w:rsidR="00E9475E" w:rsidRPr="008D1062" w:rsidRDefault="00E9475E" w:rsidP="00E9475E">
            <w:pPr>
              <w:spacing w:after="0" w:line="240" w:lineRule="auto"/>
              <w:rPr>
                <w:rFonts w:ascii="Arial" w:eastAsia="Times New Roman" w:hAnsi="Arial" w:cs="Arial"/>
                <w:b/>
                <w:bCs/>
                <w:color w:val="39414D"/>
                <w:szCs w:val="18"/>
              </w:rPr>
            </w:pPr>
            <w:r w:rsidRPr="008D1062">
              <w:rPr>
                <w:rFonts w:ascii="Arial" w:eastAsia="Times New Roman" w:hAnsi="Arial" w:cs="Arial"/>
                <w:b/>
                <w:bCs/>
                <w:color w:val="39414D"/>
                <w:szCs w:val="18"/>
              </w:rPr>
              <w:t>Rate Cell</w:t>
            </w:r>
          </w:p>
        </w:tc>
        <w:tc>
          <w:tcPr>
            <w:tcW w:w="1276" w:type="dxa"/>
            <w:tcBorders>
              <w:top w:val="nil"/>
              <w:left w:val="nil"/>
              <w:bottom w:val="single" w:sz="4" w:space="0" w:color="C6C9CA"/>
              <w:right w:val="nil"/>
            </w:tcBorders>
            <w:shd w:val="clear" w:color="auto" w:fill="auto"/>
            <w:vAlign w:val="bottom"/>
            <w:hideMark/>
          </w:tcPr>
          <w:p w14:paraId="45520242" w14:textId="274EBCF1" w:rsidR="00E9475E" w:rsidRPr="008D1062" w:rsidRDefault="00E9475E" w:rsidP="00E9475E">
            <w:pPr>
              <w:spacing w:after="0" w:line="240" w:lineRule="auto"/>
              <w:jc w:val="center"/>
              <w:rPr>
                <w:rFonts w:ascii="Arial" w:eastAsia="Times New Roman" w:hAnsi="Arial" w:cs="Arial"/>
                <w:b/>
                <w:bCs/>
                <w:color w:val="39414D"/>
                <w:szCs w:val="18"/>
              </w:rPr>
            </w:pPr>
            <w:r>
              <w:rPr>
                <w:rFonts w:ascii="Arial" w:hAnsi="Arial" w:cs="Arial"/>
                <w:b/>
                <w:bCs/>
                <w:color w:val="39414D"/>
                <w:szCs w:val="18"/>
              </w:rPr>
              <w:t>Estimated Average Monthly Enrollment</w:t>
            </w:r>
          </w:p>
        </w:tc>
        <w:tc>
          <w:tcPr>
            <w:tcW w:w="1564" w:type="dxa"/>
            <w:tcBorders>
              <w:top w:val="nil"/>
              <w:left w:val="nil"/>
              <w:bottom w:val="single" w:sz="4" w:space="0" w:color="C6C9CA"/>
              <w:right w:val="nil"/>
            </w:tcBorders>
            <w:shd w:val="clear" w:color="auto" w:fill="auto"/>
            <w:vAlign w:val="bottom"/>
            <w:hideMark/>
          </w:tcPr>
          <w:p w14:paraId="762D87EC" w14:textId="5E43BCED" w:rsidR="00E9475E" w:rsidRPr="008D1062" w:rsidRDefault="00566A2B" w:rsidP="00E9475E">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 xml:space="preserve">SFY </w:t>
            </w:r>
            <w:r w:rsidR="00DF2490">
              <w:rPr>
                <w:rFonts w:ascii="Arial" w:eastAsia="Times New Roman" w:hAnsi="Arial" w:cs="Arial"/>
                <w:b/>
                <w:bCs/>
                <w:color w:val="39414D"/>
                <w:szCs w:val="18"/>
              </w:rPr>
              <w:t xml:space="preserve">2022 </w:t>
            </w:r>
            <w:r w:rsidR="00E9475E">
              <w:rPr>
                <w:rFonts w:ascii="Arial" w:hAnsi="Arial" w:cs="Arial"/>
                <w:b/>
                <w:bCs/>
                <w:color w:val="39414D"/>
                <w:szCs w:val="18"/>
              </w:rPr>
              <w:t>Capitation Rates</w:t>
            </w:r>
          </w:p>
        </w:tc>
        <w:tc>
          <w:tcPr>
            <w:tcW w:w="1569" w:type="dxa"/>
            <w:tcBorders>
              <w:top w:val="nil"/>
              <w:left w:val="nil"/>
              <w:bottom w:val="single" w:sz="4" w:space="0" w:color="C6C9CA"/>
              <w:right w:val="nil"/>
            </w:tcBorders>
            <w:shd w:val="clear" w:color="auto" w:fill="auto"/>
            <w:vAlign w:val="bottom"/>
            <w:hideMark/>
          </w:tcPr>
          <w:p w14:paraId="4BC462CB" w14:textId="67B3C44F" w:rsidR="00E9475E" w:rsidRPr="008D1062" w:rsidRDefault="00566A2B" w:rsidP="00E9475E">
            <w:pPr>
              <w:spacing w:after="0" w:line="240" w:lineRule="auto"/>
              <w:jc w:val="center"/>
              <w:rPr>
                <w:rFonts w:ascii="Arial" w:eastAsia="Times New Roman" w:hAnsi="Arial" w:cs="Arial"/>
                <w:b/>
                <w:bCs/>
                <w:color w:val="39414D"/>
                <w:szCs w:val="18"/>
              </w:rPr>
            </w:pPr>
            <w:r>
              <w:rPr>
                <w:rFonts w:ascii="Arial" w:hAnsi="Arial" w:cs="Arial"/>
                <w:b/>
                <w:bCs/>
                <w:color w:val="39414D"/>
                <w:szCs w:val="18"/>
              </w:rPr>
              <w:t xml:space="preserve">SFY </w:t>
            </w:r>
            <w:r w:rsidR="00DF2490">
              <w:rPr>
                <w:rFonts w:ascii="Arial" w:hAnsi="Arial" w:cs="Arial"/>
                <w:b/>
                <w:bCs/>
                <w:color w:val="39414D"/>
                <w:szCs w:val="18"/>
              </w:rPr>
              <w:t xml:space="preserve">2023 </w:t>
            </w:r>
            <w:r w:rsidR="00E9475E">
              <w:rPr>
                <w:rFonts w:ascii="Arial" w:hAnsi="Arial" w:cs="Arial"/>
                <w:b/>
                <w:bCs/>
                <w:color w:val="39414D"/>
                <w:szCs w:val="18"/>
              </w:rPr>
              <w:t>Capitation Rates</w:t>
            </w:r>
          </w:p>
        </w:tc>
        <w:tc>
          <w:tcPr>
            <w:tcW w:w="1711" w:type="dxa"/>
            <w:tcBorders>
              <w:top w:val="nil"/>
              <w:left w:val="nil"/>
              <w:bottom w:val="single" w:sz="4" w:space="0" w:color="C6C9CA"/>
              <w:right w:val="nil"/>
            </w:tcBorders>
            <w:shd w:val="clear" w:color="auto" w:fill="auto"/>
            <w:vAlign w:val="bottom"/>
            <w:hideMark/>
          </w:tcPr>
          <w:p w14:paraId="480EDB8A" w14:textId="133D0753" w:rsidR="00E9475E" w:rsidRPr="008D1062" w:rsidRDefault="00E9475E" w:rsidP="00E9475E">
            <w:pPr>
              <w:spacing w:after="0" w:line="240" w:lineRule="auto"/>
              <w:jc w:val="center"/>
              <w:rPr>
                <w:rFonts w:ascii="Arial" w:eastAsia="Times New Roman" w:hAnsi="Arial" w:cs="Arial"/>
                <w:b/>
                <w:bCs/>
                <w:color w:val="39414D"/>
                <w:szCs w:val="18"/>
              </w:rPr>
            </w:pPr>
            <w:r>
              <w:rPr>
                <w:rFonts w:ascii="Arial" w:hAnsi="Arial" w:cs="Arial"/>
                <w:b/>
                <w:bCs/>
                <w:color w:val="39414D"/>
                <w:szCs w:val="18"/>
              </w:rPr>
              <w:t>% Change</w:t>
            </w:r>
          </w:p>
        </w:tc>
      </w:tr>
      <w:tr w:rsidR="0094562F" w:rsidRPr="008D1062" w14:paraId="39070004" w14:textId="77777777" w:rsidTr="00FF5937">
        <w:trPr>
          <w:trHeight w:val="240"/>
        </w:trPr>
        <w:tc>
          <w:tcPr>
            <w:tcW w:w="3240" w:type="dxa"/>
            <w:tcBorders>
              <w:top w:val="nil"/>
              <w:left w:val="nil"/>
              <w:bottom w:val="nil"/>
              <w:right w:val="nil"/>
            </w:tcBorders>
            <w:shd w:val="clear" w:color="auto" w:fill="auto"/>
            <w:noWrap/>
          </w:tcPr>
          <w:p w14:paraId="60A3818D" w14:textId="280B8E2C" w:rsidR="0094562F" w:rsidRPr="00CB0082" w:rsidRDefault="0094562F" w:rsidP="0094562F">
            <w:pPr>
              <w:spacing w:after="0" w:line="240" w:lineRule="auto"/>
              <w:rPr>
                <w:rFonts w:ascii="Arial" w:eastAsia="Times New Roman" w:hAnsi="Arial" w:cs="Arial"/>
                <w:color w:val="39414D"/>
                <w:szCs w:val="18"/>
              </w:rPr>
            </w:pPr>
            <w:r w:rsidRPr="00CB0082">
              <w:rPr>
                <w:color w:val="39414D"/>
              </w:rPr>
              <w:t>IC30: MMP - SPMI</w:t>
            </w:r>
          </w:p>
        </w:tc>
        <w:tc>
          <w:tcPr>
            <w:tcW w:w="1276" w:type="dxa"/>
            <w:tcBorders>
              <w:top w:val="nil"/>
              <w:left w:val="nil"/>
              <w:bottom w:val="nil"/>
              <w:right w:val="nil"/>
            </w:tcBorders>
            <w:shd w:val="clear" w:color="auto" w:fill="auto"/>
            <w:noWrap/>
            <w:vAlign w:val="center"/>
          </w:tcPr>
          <w:p w14:paraId="7BADDEA7" w14:textId="794106BD"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1,132 </w:t>
            </w:r>
          </w:p>
        </w:tc>
        <w:tc>
          <w:tcPr>
            <w:tcW w:w="1564" w:type="dxa"/>
            <w:tcBorders>
              <w:top w:val="nil"/>
              <w:left w:val="nil"/>
              <w:bottom w:val="nil"/>
              <w:right w:val="nil"/>
            </w:tcBorders>
            <w:shd w:val="clear" w:color="auto" w:fill="auto"/>
            <w:noWrap/>
            <w:vAlign w:val="center"/>
          </w:tcPr>
          <w:p w14:paraId="5843A41A" w14:textId="4EAC6B82"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$ 1,127.26 </w:t>
            </w:r>
          </w:p>
        </w:tc>
        <w:tc>
          <w:tcPr>
            <w:tcW w:w="1569" w:type="dxa"/>
            <w:tcBorders>
              <w:top w:val="nil"/>
              <w:left w:val="nil"/>
              <w:bottom w:val="nil"/>
              <w:right w:val="nil"/>
            </w:tcBorders>
            <w:shd w:val="clear" w:color="auto" w:fill="auto"/>
            <w:noWrap/>
            <w:vAlign w:val="center"/>
          </w:tcPr>
          <w:p w14:paraId="35FB67F7" w14:textId="47A534F7"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$ 1,131.61 </w:t>
            </w:r>
          </w:p>
        </w:tc>
        <w:tc>
          <w:tcPr>
            <w:tcW w:w="1711" w:type="dxa"/>
            <w:tcBorders>
              <w:top w:val="nil"/>
              <w:left w:val="nil"/>
              <w:bottom w:val="nil"/>
              <w:right w:val="nil"/>
            </w:tcBorders>
            <w:shd w:val="clear" w:color="auto" w:fill="auto"/>
            <w:noWrap/>
            <w:vAlign w:val="center"/>
          </w:tcPr>
          <w:p w14:paraId="08D04580" w14:textId="27EDC04C"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0.4% </w:t>
            </w:r>
          </w:p>
        </w:tc>
      </w:tr>
      <w:tr w:rsidR="0094562F" w:rsidRPr="008D1062" w14:paraId="7EE87D88" w14:textId="77777777" w:rsidTr="00FF5937">
        <w:trPr>
          <w:trHeight w:val="240"/>
        </w:trPr>
        <w:tc>
          <w:tcPr>
            <w:tcW w:w="3240" w:type="dxa"/>
            <w:tcBorders>
              <w:top w:val="nil"/>
              <w:left w:val="nil"/>
              <w:bottom w:val="nil"/>
              <w:right w:val="nil"/>
            </w:tcBorders>
            <w:shd w:val="clear" w:color="000000" w:fill="E8E9E9"/>
            <w:noWrap/>
          </w:tcPr>
          <w:p w14:paraId="5C985BFD" w14:textId="0405C6A9" w:rsidR="0094562F" w:rsidRPr="00CB0082" w:rsidRDefault="0094562F" w:rsidP="0094562F">
            <w:pPr>
              <w:spacing w:after="0" w:line="240" w:lineRule="auto"/>
              <w:rPr>
                <w:rFonts w:ascii="Arial" w:eastAsia="Times New Roman" w:hAnsi="Arial" w:cs="Arial"/>
                <w:color w:val="39414D"/>
                <w:szCs w:val="18"/>
              </w:rPr>
            </w:pPr>
            <w:r w:rsidRPr="00CB0082">
              <w:rPr>
                <w:color w:val="39414D"/>
              </w:rPr>
              <w:t>IC40: MMP - ID</w:t>
            </w:r>
          </w:p>
        </w:tc>
        <w:tc>
          <w:tcPr>
            <w:tcW w:w="1276" w:type="dxa"/>
            <w:tcBorders>
              <w:top w:val="nil"/>
              <w:left w:val="nil"/>
              <w:bottom w:val="nil"/>
              <w:right w:val="nil"/>
            </w:tcBorders>
            <w:shd w:val="clear" w:color="000000" w:fill="E8E9E9"/>
            <w:noWrap/>
            <w:vAlign w:val="center"/>
          </w:tcPr>
          <w:p w14:paraId="5C0DDE23" w14:textId="66F6F1E8"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1,411 </w:t>
            </w:r>
          </w:p>
        </w:tc>
        <w:tc>
          <w:tcPr>
            <w:tcW w:w="1564" w:type="dxa"/>
            <w:tcBorders>
              <w:top w:val="nil"/>
              <w:left w:val="nil"/>
              <w:bottom w:val="nil"/>
              <w:right w:val="nil"/>
            </w:tcBorders>
            <w:shd w:val="clear" w:color="000000" w:fill="E8E9E9"/>
            <w:noWrap/>
            <w:vAlign w:val="center"/>
          </w:tcPr>
          <w:p w14:paraId="1B0FCDC4" w14:textId="2AAB4A5E"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150.20 </w:t>
            </w:r>
          </w:p>
        </w:tc>
        <w:tc>
          <w:tcPr>
            <w:tcW w:w="1569" w:type="dxa"/>
            <w:tcBorders>
              <w:top w:val="nil"/>
              <w:left w:val="nil"/>
              <w:bottom w:val="nil"/>
              <w:right w:val="nil"/>
            </w:tcBorders>
            <w:shd w:val="clear" w:color="000000" w:fill="E8E9E9"/>
            <w:noWrap/>
            <w:vAlign w:val="center"/>
          </w:tcPr>
          <w:p w14:paraId="4855A501" w14:textId="0850C002"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146.11 </w:t>
            </w:r>
          </w:p>
        </w:tc>
        <w:tc>
          <w:tcPr>
            <w:tcW w:w="1711" w:type="dxa"/>
            <w:tcBorders>
              <w:top w:val="nil"/>
              <w:left w:val="nil"/>
              <w:bottom w:val="nil"/>
              <w:right w:val="nil"/>
            </w:tcBorders>
            <w:shd w:val="clear" w:color="000000" w:fill="E8E9E9"/>
            <w:noWrap/>
            <w:vAlign w:val="center"/>
          </w:tcPr>
          <w:p w14:paraId="18A7F82C" w14:textId="1CE2C79F"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(2.7%)</w:t>
            </w:r>
          </w:p>
        </w:tc>
      </w:tr>
      <w:tr w:rsidR="0094562F" w:rsidRPr="008D1062" w14:paraId="4FA6570A" w14:textId="77777777" w:rsidTr="00FF5937">
        <w:trPr>
          <w:trHeight w:val="240"/>
        </w:trPr>
        <w:tc>
          <w:tcPr>
            <w:tcW w:w="3240" w:type="dxa"/>
            <w:tcBorders>
              <w:top w:val="nil"/>
              <w:left w:val="nil"/>
              <w:bottom w:val="nil"/>
              <w:right w:val="nil"/>
            </w:tcBorders>
            <w:shd w:val="clear" w:color="auto" w:fill="auto"/>
            <w:noWrap/>
          </w:tcPr>
          <w:p w14:paraId="3824CA89" w14:textId="57DDAD28" w:rsidR="0094562F" w:rsidRPr="00CB0082" w:rsidRDefault="0094562F" w:rsidP="0094562F">
            <w:pPr>
              <w:spacing w:after="0" w:line="240" w:lineRule="auto"/>
              <w:rPr>
                <w:rFonts w:ascii="Arial" w:eastAsia="Times New Roman" w:hAnsi="Arial" w:cs="Arial"/>
                <w:color w:val="39414D"/>
                <w:szCs w:val="18"/>
              </w:rPr>
            </w:pPr>
            <w:r w:rsidRPr="00CB0082">
              <w:rPr>
                <w:color w:val="39414D"/>
              </w:rPr>
              <w:t>IC50/IC60: MMP - Blended LTSS</w:t>
            </w:r>
          </w:p>
        </w:tc>
        <w:tc>
          <w:tcPr>
            <w:tcW w:w="1276" w:type="dxa"/>
            <w:tcBorders>
              <w:top w:val="nil"/>
              <w:left w:val="nil"/>
              <w:bottom w:val="nil"/>
              <w:right w:val="nil"/>
            </w:tcBorders>
            <w:shd w:val="clear" w:color="auto" w:fill="auto"/>
            <w:noWrap/>
            <w:vAlign w:val="center"/>
          </w:tcPr>
          <w:p w14:paraId="767AB49F" w14:textId="4310EFC2"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2,457 </w:t>
            </w:r>
          </w:p>
        </w:tc>
        <w:tc>
          <w:tcPr>
            <w:tcW w:w="1564" w:type="dxa"/>
            <w:tcBorders>
              <w:top w:val="nil"/>
              <w:left w:val="nil"/>
              <w:bottom w:val="nil"/>
              <w:right w:val="nil"/>
            </w:tcBorders>
            <w:shd w:val="clear" w:color="auto" w:fill="auto"/>
            <w:noWrap/>
            <w:vAlign w:val="center"/>
          </w:tcPr>
          <w:p w14:paraId="5C702335" w14:textId="7BCACCE0"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3,559.74 </w:t>
            </w:r>
          </w:p>
        </w:tc>
        <w:tc>
          <w:tcPr>
            <w:tcW w:w="1569" w:type="dxa"/>
            <w:tcBorders>
              <w:top w:val="nil"/>
              <w:left w:val="nil"/>
              <w:bottom w:val="nil"/>
              <w:right w:val="nil"/>
            </w:tcBorders>
            <w:shd w:val="clear" w:color="auto" w:fill="auto"/>
            <w:noWrap/>
            <w:vAlign w:val="center"/>
          </w:tcPr>
          <w:p w14:paraId="55039460" w14:textId="2E22A0B1"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4,053.69 </w:t>
            </w:r>
          </w:p>
        </w:tc>
        <w:tc>
          <w:tcPr>
            <w:tcW w:w="1711" w:type="dxa"/>
            <w:tcBorders>
              <w:top w:val="nil"/>
              <w:left w:val="nil"/>
              <w:bottom w:val="nil"/>
              <w:right w:val="nil"/>
            </w:tcBorders>
            <w:shd w:val="clear" w:color="auto" w:fill="auto"/>
            <w:noWrap/>
            <w:vAlign w:val="center"/>
          </w:tcPr>
          <w:p w14:paraId="056004D7" w14:textId="017B6EC3"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13.9% </w:t>
            </w:r>
          </w:p>
        </w:tc>
      </w:tr>
      <w:tr w:rsidR="0094562F" w:rsidRPr="008D1062" w14:paraId="7B141F3A" w14:textId="77777777" w:rsidTr="00FF5937">
        <w:trPr>
          <w:trHeight w:val="240"/>
        </w:trPr>
        <w:tc>
          <w:tcPr>
            <w:tcW w:w="3240" w:type="dxa"/>
            <w:tcBorders>
              <w:top w:val="nil"/>
              <w:left w:val="nil"/>
              <w:bottom w:val="nil"/>
              <w:right w:val="nil"/>
            </w:tcBorders>
            <w:shd w:val="clear" w:color="000000" w:fill="E8E9E9"/>
            <w:noWrap/>
          </w:tcPr>
          <w:p w14:paraId="66FD0438" w14:textId="13A1FD40" w:rsidR="0094562F" w:rsidRPr="00CB0082" w:rsidRDefault="0094562F" w:rsidP="0094562F">
            <w:pPr>
              <w:spacing w:after="0" w:line="240" w:lineRule="auto"/>
              <w:rPr>
                <w:rFonts w:ascii="Arial" w:eastAsia="Times New Roman" w:hAnsi="Arial" w:cs="Arial"/>
                <w:color w:val="39414D"/>
                <w:szCs w:val="18"/>
              </w:rPr>
            </w:pPr>
            <w:r w:rsidRPr="00CB0082">
              <w:rPr>
                <w:color w:val="39414D"/>
              </w:rPr>
              <w:t>IC70: MMP - Community Non-LTSS</w:t>
            </w:r>
          </w:p>
        </w:tc>
        <w:tc>
          <w:tcPr>
            <w:tcW w:w="1276" w:type="dxa"/>
            <w:tcBorders>
              <w:top w:val="nil"/>
              <w:left w:val="nil"/>
              <w:bottom w:val="nil"/>
              <w:right w:val="nil"/>
            </w:tcBorders>
            <w:shd w:val="clear" w:color="000000" w:fill="E8E9E9"/>
            <w:noWrap/>
            <w:vAlign w:val="center"/>
          </w:tcPr>
          <w:p w14:paraId="1397CDD6" w14:textId="7754D4C0"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8,427 </w:t>
            </w:r>
          </w:p>
        </w:tc>
        <w:tc>
          <w:tcPr>
            <w:tcW w:w="1564" w:type="dxa"/>
            <w:tcBorders>
              <w:top w:val="nil"/>
              <w:left w:val="nil"/>
              <w:bottom w:val="nil"/>
              <w:right w:val="nil"/>
            </w:tcBorders>
            <w:shd w:val="clear" w:color="000000" w:fill="E8E9E9"/>
            <w:noWrap/>
            <w:vAlign w:val="center"/>
          </w:tcPr>
          <w:p w14:paraId="41C03706" w14:textId="0C72C683"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191.00 </w:t>
            </w:r>
          </w:p>
        </w:tc>
        <w:tc>
          <w:tcPr>
            <w:tcW w:w="1569" w:type="dxa"/>
            <w:tcBorders>
              <w:top w:val="nil"/>
              <w:left w:val="nil"/>
              <w:bottom w:val="nil"/>
              <w:right w:val="nil"/>
            </w:tcBorders>
            <w:shd w:val="clear" w:color="000000" w:fill="E8E9E9"/>
            <w:noWrap/>
            <w:vAlign w:val="center"/>
          </w:tcPr>
          <w:p w14:paraId="060BC86F" w14:textId="2A3638E1"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209.28 </w:t>
            </w:r>
          </w:p>
        </w:tc>
        <w:tc>
          <w:tcPr>
            <w:tcW w:w="1711" w:type="dxa"/>
            <w:tcBorders>
              <w:top w:val="nil"/>
              <w:left w:val="nil"/>
              <w:bottom w:val="nil"/>
              <w:right w:val="nil"/>
            </w:tcBorders>
            <w:shd w:val="clear" w:color="000000" w:fill="E8E9E9"/>
            <w:noWrap/>
            <w:vAlign w:val="center"/>
          </w:tcPr>
          <w:p w14:paraId="0D150958" w14:textId="7D30C66F"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9.6% </w:t>
            </w:r>
          </w:p>
        </w:tc>
      </w:tr>
      <w:tr w:rsidR="0094562F" w:rsidRPr="008D1062" w14:paraId="508A1FC0" w14:textId="77777777" w:rsidTr="00FF5937">
        <w:trPr>
          <w:trHeight w:val="102"/>
        </w:trPr>
        <w:tc>
          <w:tcPr>
            <w:tcW w:w="3240" w:type="dxa"/>
            <w:tcBorders>
              <w:top w:val="nil"/>
              <w:left w:val="nil"/>
              <w:bottom w:val="nil"/>
              <w:right w:val="nil"/>
            </w:tcBorders>
            <w:shd w:val="clear" w:color="auto" w:fill="auto"/>
            <w:noWrap/>
          </w:tcPr>
          <w:p w14:paraId="4DFEDEFE" w14:textId="77777777" w:rsidR="0094562F" w:rsidRPr="00CB0082" w:rsidRDefault="0094562F" w:rsidP="0094562F">
            <w:pPr>
              <w:spacing w:after="0" w:line="240" w:lineRule="auto"/>
              <w:rPr>
                <w:rFonts w:ascii="Arial" w:eastAsia="Times New Roman" w:hAnsi="Arial" w:cs="Arial"/>
                <w:color w:val="39414D"/>
                <w:szCs w:val="18"/>
              </w:rPr>
            </w:pPr>
          </w:p>
        </w:tc>
        <w:tc>
          <w:tcPr>
            <w:tcW w:w="1276" w:type="dxa"/>
            <w:tcBorders>
              <w:top w:val="nil"/>
              <w:left w:val="nil"/>
              <w:bottom w:val="nil"/>
              <w:right w:val="nil"/>
            </w:tcBorders>
            <w:shd w:val="clear" w:color="auto" w:fill="auto"/>
            <w:noWrap/>
            <w:vAlign w:val="center"/>
          </w:tcPr>
          <w:p w14:paraId="45BD97E8" w14:textId="77777777" w:rsidR="0094562F" w:rsidRPr="00EF57BA" w:rsidRDefault="0094562F" w:rsidP="0094562F">
            <w:pPr>
              <w:spacing w:after="0" w:line="240" w:lineRule="auto"/>
              <w:rPr>
                <w:rFonts w:ascii="Times New Roman" w:eastAsia="Times New Roman" w:hAnsi="Times New Roman" w:cs="Times New Roman"/>
                <w:color w:val="39414D"/>
                <w:sz w:val="20"/>
                <w:szCs w:val="20"/>
              </w:rPr>
            </w:pPr>
          </w:p>
        </w:tc>
        <w:tc>
          <w:tcPr>
            <w:tcW w:w="1564" w:type="dxa"/>
            <w:tcBorders>
              <w:top w:val="nil"/>
              <w:left w:val="nil"/>
              <w:bottom w:val="nil"/>
              <w:right w:val="nil"/>
            </w:tcBorders>
            <w:shd w:val="clear" w:color="auto" w:fill="auto"/>
            <w:noWrap/>
            <w:vAlign w:val="center"/>
          </w:tcPr>
          <w:p w14:paraId="15796CC3" w14:textId="77777777" w:rsidR="0094562F" w:rsidRPr="00EF57BA" w:rsidRDefault="0094562F" w:rsidP="0094562F">
            <w:pPr>
              <w:spacing w:after="0" w:line="240" w:lineRule="auto"/>
              <w:rPr>
                <w:rFonts w:ascii="Times New Roman" w:eastAsia="Times New Roman" w:hAnsi="Times New Roman" w:cs="Times New Roman"/>
                <w:color w:val="39414D"/>
                <w:sz w:val="20"/>
                <w:szCs w:val="20"/>
              </w:rPr>
            </w:pPr>
          </w:p>
        </w:tc>
        <w:tc>
          <w:tcPr>
            <w:tcW w:w="1569" w:type="dxa"/>
            <w:tcBorders>
              <w:top w:val="nil"/>
              <w:left w:val="nil"/>
              <w:bottom w:val="nil"/>
              <w:right w:val="nil"/>
            </w:tcBorders>
            <w:shd w:val="clear" w:color="auto" w:fill="auto"/>
            <w:noWrap/>
            <w:vAlign w:val="center"/>
          </w:tcPr>
          <w:p w14:paraId="6E4E2145" w14:textId="77777777" w:rsidR="0094562F" w:rsidRPr="00EF57BA" w:rsidRDefault="0094562F" w:rsidP="0094562F">
            <w:pPr>
              <w:spacing w:after="0" w:line="240" w:lineRule="auto"/>
              <w:rPr>
                <w:rFonts w:ascii="Times New Roman" w:eastAsia="Times New Roman" w:hAnsi="Times New Roman" w:cs="Times New Roman"/>
                <w:color w:val="39414D"/>
                <w:sz w:val="20"/>
                <w:szCs w:val="20"/>
              </w:rPr>
            </w:pPr>
          </w:p>
        </w:tc>
        <w:tc>
          <w:tcPr>
            <w:tcW w:w="1711" w:type="dxa"/>
            <w:tcBorders>
              <w:top w:val="nil"/>
              <w:left w:val="nil"/>
              <w:bottom w:val="nil"/>
              <w:right w:val="nil"/>
            </w:tcBorders>
            <w:shd w:val="clear" w:color="auto" w:fill="auto"/>
            <w:noWrap/>
            <w:vAlign w:val="center"/>
          </w:tcPr>
          <w:p w14:paraId="465F4941" w14:textId="77777777" w:rsidR="0094562F" w:rsidRPr="00EF57BA" w:rsidRDefault="0094562F" w:rsidP="0094562F">
            <w:pPr>
              <w:spacing w:after="0" w:line="240" w:lineRule="auto"/>
              <w:rPr>
                <w:rFonts w:ascii="Times New Roman" w:eastAsia="Times New Roman" w:hAnsi="Times New Roman" w:cs="Times New Roman"/>
                <w:color w:val="39414D"/>
                <w:sz w:val="20"/>
                <w:szCs w:val="20"/>
              </w:rPr>
            </w:pPr>
          </w:p>
        </w:tc>
      </w:tr>
      <w:tr w:rsidR="0094562F" w:rsidRPr="008D1062" w14:paraId="2043165F" w14:textId="77777777" w:rsidTr="00FF5937">
        <w:trPr>
          <w:trHeight w:val="240"/>
        </w:trPr>
        <w:tc>
          <w:tcPr>
            <w:tcW w:w="3240" w:type="dxa"/>
            <w:tcBorders>
              <w:top w:val="nil"/>
              <w:left w:val="nil"/>
              <w:bottom w:val="nil"/>
              <w:right w:val="nil"/>
            </w:tcBorders>
            <w:shd w:val="clear" w:color="000000" w:fill="E8E9E9"/>
            <w:noWrap/>
          </w:tcPr>
          <w:p w14:paraId="5DF0DA1F" w14:textId="00BEA518" w:rsidR="0094562F" w:rsidRPr="00CB0082" w:rsidRDefault="0094562F" w:rsidP="0094562F">
            <w:pPr>
              <w:spacing w:after="0" w:line="240" w:lineRule="auto"/>
              <w:rPr>
                <w:rFonts w:ascii="Arial" w:eastAsia="Times New Roman" w:hAnsi="Arial" w:cs="Arial"/>
                <w:b/>
                <w:bCs/>
                <w:color w:val="39414D"/>
                <w:szCs w:val="18"/>
              </w:rPr>
            </w:pPr>
            <w:r w:rsidRPr="00CB0082">
              <w:rPr>
                <w:b/>
                <w:bCs/>
                <w:color w:val="39414D"/>
              </w:rPr>
              <w:t>Composite</w:t>
            </w:r>
          </w:p>
        </w:tc>
        <w:tc>
          <w:tcPr>
            <w:tcW w:w="1276" w:type="dxa"/>
            <w:tcBorders>
              <w:top w:val="nil"/>
              <w:left w:val="nil"/>
              <w:bottom w:val="nil"/>
              <w:right w:val="nil"/>
            </w:tcBorders>
            <w:shd w:val="clear" w:color="000000" w:fill="E8E9E9"/>
            <w:noWrap/>
            <w:vAlign w:val="center"/>
          </w:tcPr>
          <w:p w14:paraId="7BECBB23" w14:textId="53398117" w:rsidR="0094562F" w:rsidRPr="00EF57BA" w:rsidRDefault="0094562F" w:rsidP="0094562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13,427 </w:t>
            </w:r>
          </w:p>
        </w:tc>
        <w:tc>
          <w:tcPr>
            <w:tcW w:w="1564" w:type="dxa"/>
            <w:tcBorders>
              <w:top w:val="nil"/>
              <w:left w:val="nil"/>
              <w:bottom w:val="nil"/>
              <w:right w:val="nil"/>
            </w:tcBorders>
            <w:shd w:val="clear" w:color="000000" w:fill="E8E9E9"/>
            <w:noWrap/>
            <w:vAlign w:val="center"/>
          </w:tcPr>
          <w:p w14:paraId="43D432CA" w14:textId="601A376E" w:rsidR="0094562F" w:rsidRPr="00EF57BA" w:rsidRDefault="0094562F" w:rsidP="0094562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$ 882.09 </w:t>
            </w:r>
          </w:p>
        </w:tc>
        <w:tc>
          <w:tcPr>
            <w:tcW w:w="1569" w:type="dxa"/>
            <w:tcBorders>
              <w:top w:val="nil"/>
              <w:left w:val="nil"/>
              <w:bottom w:val="nil"/>
              <w:right w:val="nil"/>
            </w:tcBorders>
            <w:shd w:val="clear" w:color="000000" w:fill="E8E9E9"/>
            <w:noWrap/>
            <w:vAlign w:val="center"/>
          </w:tcPr>
          <w:p w14:paraId="3EAD39A3" w14:textId="68CD5C43" w:rsidR="0094562F" w:rsidRPr="00EF57BA" w:rsidRDefault="0094562F" w:rsidP="0094562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$ 983.89 </w:t>
            </w:r>
          </w:p>
        </w:tc>
        <w:tc>
          <w:tcPr>
            <w:tcW w:w="1711" w:type="dxa"/>
            <w:tcBorders>
              <w:top w:val="nil"/>
              <w:left w:val="nil"/>
              <w:bottom w:val="nil"/>
              <w:right w:val="nil"/>
            </w:tcBorders>
            <w:shd w:val="clear" w:color="000000" w:fill="E8E9E9"/>
            <w:noWrap/>
            <w:vAlign w:val="center"/>
          </w:tcPr>
          <w:p w14:paraId="1688FC48" w14:textId="2959665C" w:rsidR="0094562F" w:rsidRPr="00EF57BA" w:rsidRDefault="0094562F" w:rsidP="0094562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11.5% </w:t>
            </w:r>
          </w:p>
        </w:tc>
      </w:tr>
    </w:tbl>
    <w:p w14:paraId="1CA940D0" w14:textId="643A54F5" w:rsidR="00E901B9" w:rsidRPr="006E4DF5" w:rsidRDefault="00AF54FA" w:rsidP="0009742C">
      <w:pPr>
        <w:rPr>
          <w:b/>
        </w:rPr>
      </w:pPr>
      <w:r>
        <w:rPr>
          <w:b/>
        </w:rPr>
        <w:br/>
      </w:r>
      <w:r w:rsidR="00E901B9" w:rsidRPr="006E4DF5">
        <w:rPr>
          <w:b/>
        </w:rPr>
        <w:t xml:space="preserve">Notes: </w:t>
      </w:r>
    </w:p>
    <w:p w14:paraId="33B11D5F" w14:textId="20DD58A8" w:rsidR="00F62CAB" w:rsidRDefault="00F62CAB" w:rsidP="00B77034">
      <w:pPr>
        <w:pStyle w:val="ListParagraph"/>
        <w:numPr>
          <w:ilvl w:val="0"/>
          <w:numId w:val="17"/>
        </w:numPr>
        <w:ind w:left="360"/>
      </w:pPr>
      <w:r>
        <w:t>Values have been rounded.</w:t>
      </w:r>
    </w:p>
    <w:p w14:paraId="6A926A02" w14:textId="7501BBAB" w:rsidR="0019294E" w:rsidRDefault="00566A2B" w:rsidP="00B77034">
      <w:pPr>
        <w:pStyle w:val="ListParagraph"/>
        <w:numPr>
          <w:ilvl w:val="0"/>
          <w:numId w:val="17"/>
        </w:numPr>
        <w:ind w:left="360"/>
      </w:pPr>
      <w:r>
        <w:t xml:space="preserve">SFY </w:t>
      </w:r>
      <w:r w:rsidR="00DF2490">
        <w:t xml:space="preserve">2022 </w:t>
      </w:r>
      <w:r w:rsidR="00E901B9" w:rsidRPr="00E51B17">
        <w:t xml:space="preserve">and </w:t>
      </w:r>
      <w:r>
        <w:t xml:space="preserve">SFY </w:t>
      </w:r>
      <w:r w:rsidR="00DF2490">
        <w:t xml:space="preserve">2023 </w:t>
      </w:r>
      <w:r w:rsidR="00E901B9" w:rsidRPr="00E51B17">
        <w:t xml:space="preserve">composite rates were </w:t>
      </w:r>
      <w:r w:rsidR="00514930">
        <w:t xml:space="preserve">calculated </w:t>
      </w:r>
      <w:r w:rsidR="00E901B9" w:rsidRPr="00E51B17">
        <w:t xml:space="preserve">based on </w:t>
      </w:r>
      <w:r w:rsidR="00AA23AE">
        <w:t xml:space="preserve">projected </w:t>
      </w:r>
      <w:r w:rsidR="00BB56D2">
        <w:t xml:space="preserve">SFY </w:t>
      </w:r>
      <w:r w:rsidR="00DF2490">
        <w:t xml:space="preserve">2023 </w:t>
      </w:r>
      <w:r w:rsidR="00BB56D2">
        <w:t>enrollment</w:t>
      </w:r>
      <w:r w:rsidR="00E901B9" w:rsidRPr="00E51B17">
        <w:t>.</w:t>
      </w:r>
    </w:p>
    <w:p w14:paraId="4852CDE8" w14:textId="03CE9AB3" w:rsidR="005F7D12" w:rsidRDefault="00566A2B" w:rsidP="00B77034">
      <w:pPr>
        <w:pStyle w:val="ListParagraph"/>
        <w:numPr>
          <w:ilvl w:val="0"/>
          <w:numId w:val="17"/>
        </w:numPr>
        <w:ind w:left="360"/>
      </w:pPr>
      <w:r>
        <w:t xml:space="preserve">Illustrated capitation rates </w:t>
      </w:r>
      <w:r w:rsidR="005F7D12">
        <w:t xml:space="preserve">reflect the </w:t>
      </w:r>
      <w:r w:rsidR="00F15ED1">
        <w:t>mandatory 3% Demonstration Y</w:t>
      </w:r>
      <w:r w:rsidR="005F7D12">
        <w:t xml:space="preserve">ear </w:t>
      </w:r>
      <w:r w:rsidR="00DF2490">
        <w:t xml:space="preserve">6 </w:t>
      </w:r>
      <w:r w:rsidR="003F0E0F">
        <w:t xml:space="preserve">and </w:t>
      </w:r>
      <w:r w:rsidR="00514930">
        <w:t xml:space="preserve">Demonstration Year </w:t>
      </w:r>
      <w:r w:rsidR="00DF2490">
        <w:t xml:space="preserve">7 </w:t>
      </w:r>
      <w:r w:rsidR="005F7D12">
        <w:t>savings percentage</w:t>
      </w:r>
      <w:r>
        <w:t xml:space="preserve"> and are prior to application of the withhold</w:t>
      </w:r>
      <w:r w:rsidR="005F7D12">
        <w:t>.</w:t>
      </w:r>
    </w:p>
    <w:p w14:paraId="2DB419FB" w14:textId="407AF697" w:rsidR="0095740C" w:rsidRDefault="0095740C" w:rsidP="00B507B6">
      <w:pPr>
        <w:pStyle w:val="ListParagraph"/>
        <w:numPr>
          <w:ilvl w:val="0"/>
          <w:numId w:val="17"/>
        </w:numPr>
        <w:ind w:left="360"/>
        <w:sectPr w:rsidR="0095740C" w:rsidSect="00550937">
          <w:headerReference w:type="even" r:id="rId21"/>
          <w:headerReference w:type="default" r:id="rId22"/>
          <w:headerReference w:type="first" r:id="rId23"/>
          <w:footerReference w:type="first" r:id="rId24"/>
          <w:pgSz w:w="12240" w:h="15840" w:code="1"/>
          <w:pgMar w:top="1440" w:right="1440" w:bottom="1440" w:left="1440" w:header="720" w:footer="720" w:gutter="0"/>
          <w:pgNumType w:start="1"/>
          <w:cols w:space="720"/>
          <w:titlePg/>
          <w:docGrid w:linePitch="360"/>
        </w:sectPr>
      </w:pPr>
    </w:p>
    <w:p w14:paraId="671CB455" w14:textId="52659CBE" w:rsidR="00A81F54" w:rsidRDefault="005A426C" w:rsidP="0009742C">
      <w:pPr>
        <w:pStyle w:val="RRBody"/>
      </w:pPr>
      <w:r>
        <w:lastRenderedPageBreak/>
        <w:t>Figure</w:t>
      </w:r>
      <w:r w:rsidR="0041608E" w:rsidRPr="00827581">
        <w:t xml:space="preserve"> </w:t>
      </w:r>
      <w:r w:rsidR="0041608E">
        <w:t>2</w:t>
      </w:r>
      <w:r w:rsidR="0041608E" w:rsidRPr="00827581">
        <w:t xml:space="preserve"> compares the estimated state and federal expenditures under</w:t>
      </w:r>
      <w:r w:rsidR="0041608E">
        <w:t xml:space="preserve"> </w:t>
      </w:r>
      <w:r w:rsidR="00AA23AE">
        <w:t xml:space="preserve">the </w:t>
      </w:r>
      <w:r w:rsidR="00566A2B">
        <w:t xml:space="preserve">SFY </w:t>
      </w:r>
      <w:r w:rsidR="009F04BB">
        <w:t xml:space="preserve">2022 </w:t>
      </w:r>
      <w:r w:rsidR="0041608E">
        <w:t>capitation rates</w:t>
      </w:r>
      <w:r w:rsidR="001151A9">
        <w:t xml:space="preserve"> relative</w:t>
      </w:r>
      <w:r w:rsidR="0041608E" w:rsidRPr="00827581">
        <w:t xml:space="preserve"> to the</w:t>
      </w:r>
      <w:r w:rsidR="0041608E">
        <w:t xml:space="preserve"> </w:t>
      </w:r>
      <w:r w:rsidR="00566A2B">
        <w:t xml:space="preserve">SFY </w:t>
      </w:r>
      <w:r w:rsidR="009F04BB">
        <w:t xml:space="preserve">2023 </w:t>
      </w:r>
      <w:r w:rsidR="0041608E">
        <w:t xml:space="preserve">capitation rates, </w:t>
      </w:r>
      <w:r w:rsidR="00F96EED">
        <w:t>using the same</w:t>
      </w:r>
      <w:r w:rsidR="0041608E">
        <w:t xml:space="preserve"> </w:t>
      </w:r>
      <w:r w:rsidR="00AA23AE">
        <w:t xml:space="preserve">projected </w:t>
      </w:r>
      <w:r w:rsidR="00BB56D2">
        <w:t xml:space="preserve">SFY </w:t>
      </w:r>
      <w:r w:rsidR="009F04BB">
        <w:t xml:space="preserve">2023 </w:t>
      </w:r>
      <w:r w:rsidR="0041608E">
        <w:t>average monthly enrollment.</w:t>
      </w:r>
    </w:p>
    <w:tbl>
      <w:tblPr>
        <w:tblW w:w="7560" w:type="dxa"/>
        <w:tblLook w:val="04A0" w:firstRow="1" w:lastRow="0" w:firstColumn="1" w:lastColumn="0" w:noHBand="0" w:noVBand="1"/>
      </w:tblPr>
      <w:tblGrid>
        <w:gridCol w:w="3411"/>
        <w:gridCol w:w="1419"/>
        <w:gridCol w:w="1430"/>
        <w:gridCol w:w="1300"/>
      </w:tblGrid>
      <w:tr w:rsidR="00116DC6" w:rsidRPr="00116DC6" w14:paraId="611A133A" w14:textId="77777777" w:rsidTr="00DE0847">
        <w:trPr>
          <w:trHeight w:val="240"/>
        </w:trPr>
        <w:tc>
          <w:tcPr>
            <w:tcW w:w="7560" w:type="dxa"/>
            <w:gridSpan w:val="4"/>
            <w:tcBorders>
              <w:top w:val="nil"/>
              <w:left w:val="nil"/>
              <w:bottom w:val="nil"/>
              <w:right w:val="nil"/>
            </w:tcBorders>
            <w:shd w:val="clear" w:color="auto" w:fill="auto"/>
            <w:noWrap/>
            <w:vAlign w:val="bottom"/>
            <w:hideMark/>
          </w:tcPr>
          <w:p w14:paraId="27F79BA0" w14:textId="602CDA99" w:rsidR="00116DC6" w:rsidRPr="00116DC6" w:rsidRDefault="006C7448" w:rsidP="00647A58">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 xml:space="preserve">FIGURE 2: </w:t>
            </w:r>
            <w:r w:rsidR="00F96EED">
              <w:rPr>
                <w:rFonts w:ascii="Arial" w:eastAsia="Times New Roman" w:hAnsi="Arial" w:cs="Arial"/>
                <w:b/>
                <w:bCs/>
                <w:color w:val="0081E3"/>
                <w:szCs w:val="18"/>
              </w:rPr>
              <w:t xml:space="preserve">EXPENDITURE </w:t>
            </w:r>
            <w:r>
              <w:rPr>
                <w:rFonts w:ascii="Arial" w:eastAsia="Times New Roman" w:hAnsi="Arial" w:cs="Arial"/>
                <w:b/>
                <w:bCs/>
                <w:color w:val="0081E3"/>
                <w:szCs w:val="18"/>
              </w:rPr>
              <w:t xml:space="preserve">COMPARISON </w:t>
            </w:r>
            <w:r w:rsidR="00116DC6" w:rsidRPr="00116DC6">
              <w:rPr>
                <w:rFonts w:ascii="Arial" w:eastAsia="Times New Roman" w:hAnsi="Arial" w:cs="Arial"/>
                <w:b/>
                <w:bCs/>
                <w:color w:val="0081E3"/>
                <w:szCs w:val="18"/>
              </w:rPr>
              <w:t xml:space="preserve">($ </w:t>
            </w:r>
            <w:r>
              <w:rPr>
                <w:rFonts w:ascii="Arial" w:eastAsia="Times New Roman" w:hAnsi="Arial" w:cs="Arial"/>
                <w:b/>
                <w:bCs/>
                <w:color w:val="0081E3"/>
                <w:szCs w:val="18"/>
              </w:rPr>
              <w:t>MILLIONS</w:t>
            </w:r>
            <w:r w:rsidR="00116DC6" w:rsidRPr="00116DC6" w:rsidDel="006038F7">
              <w:rPr>
                <w:rFonts w:ascii="Arial" w:eastAsia="Times New Roman" w:hAnsi="Arial" w:cs="Arial"/>
                <w:b/>
                <w:bCs/>
                <w:color w:val="0081E3"/>
                <w:szCs w:val="18"/>
              </w:rPr>
              <w:t>)</w:t>
            </w:r>
          </w:p>
        </w:tc>
      </w:tr>
      <w:tr w:rsidR="00116DC6" w:rsidRPr="00116DC6" w14:paraId="0B3AD553" w14:textId="77777777" w:rsidTr="00DE0847">
        <w:trPr>
          <w:trHeight w:val="720"/>
        </w:trPr>
        <w:tc>
          <w:tcPr>
            <w:tcW w:w="3411" w:type="dxa"/>
            <w:tcBorders>
              <w:top w:val="nil"/>
              <w:left w:val="nil"/>
              <w:bottom w:val="single" w:sz="4" w:space="0" w:color="C6C9CA"/>
              <w:right w:val="nil"/>
            </w:tcBorders>
            <w:shd w:val="clear" w:color="auto" w:fill="auto"/>
            <w:vAlign w:val="bottom"/>
            <w:hideMark/>
          </w:tcPr>
          <w:p w14:paraId="40608A90" w14:textId="77777777" w:rsidR="00116DC6" w:rsidRPr="00116DC6" w:rsidRDefault="00116DC6" w:rsidP="00116DC6">
            <w:pPr>
              <w:spacing w:after="0" w:line="240" w:lineRule="auto"/>
              <w:rPr>
                <w:rFonts w:ascii="Arial" w:eastAsia="Times New Roman" w:hAnsi="Arial" w:cs="Arial"/>
                <w:b/>
                <w:bCs/>
                <w:color w:val="39414D"/>
                <w:szCs w:val="18"/>
              </w:rPr>
            </w:pPr>
            <w:r w:rsidRPr="00116DC6">
              <w:rPr>
                <w:rFonts w:ascii="Arial" w:eastAsia="Times New Roman" w:hAnsi="Arial" w:cs="Arial"/>
                <w:b/>
                <w:bCs/>
                <w:color w:val="39414D"/>
                <w:szCs w:val="18"/>
              </w:rPr>
              <w:t>Rate Cell</w:t>
            </w:r>
          </w:p>
        </w:tc>
        <w:tc>
          <w:tcPr>
            <w:tcW w:w="1419" w:type="dxa"/>
            <w:tcBorders>
              <w:top w:val="nil"/>
              <w:left w:val="nil"/>
              <w:bottom w:val="single" w:sz="4" w:space="0" w:color="C6C9CA"/>
              <w:right w:val="nil"/>
            </w:tcBorders>
            <w:shd w:val="clear" w:color="auto" w:fill="auto"/>
            <w:vAlign w:val="bottom"/>
            <w:hideMark/>
          </w:tcPr>
          <w:p w14:paraId="52B07EC4" w14:textId="1F3B0EAD" w:rsidR="00116DC6" w:rsidRPr="00116DC6" w:rsidRDefault="00566A2B" w:rsidP="00116DC6">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 xml:space="preserve">SFY </w:t>
            </w:r>
            <w:r w:rsidR="009F04BB">
              <w:rPr>
                <w:rFonts w:ascii="Arial" w:eastAsia="Times New Roman" w:hAnsi="Arial" w:cs="Arial"/>
                <w:b/>
                <w:bCs/>
                <w:color w:val="39414D"/>
                <w:szCs w:val="18"/>
              </w:rPr>
              <w:t xml:space="preserve">2022 </w:t>
            </w:r>
            <w:r w:rsidR="00116DC6" w:rsidRPr="00116DC6">
              <w:rPr>
                <w:rFonts w:ascii="Arial" w:eastAsia="Times New Roman" w:hAnsi="Arial" w:cs="Arial"/>
                <w:b/>
                <w:bCs/>
                <w:color w:val="39414D"/>
                <w:szCs w:val="18"/>
              </w:rPr>
              <w:t>Aggregate Expenditures</w:t>
            </w:r>
          </w:p>
        </w:tc>
        <w:tc>
          <w:tcPr>
            <w:tcW w:w="1430" w:type="dxa"/>
            <w:tcBorders>
              <w:top w:val="nil"/>
              <w:left w:val="nil"/>
              <w:bottom w:val="single" w:sz="4" w:space="0" w:color="C6C9CA"/>
              <w:right w:val="nil"/>
            </w:tcBorders>
            <w:shd w:val="clear" w:color="auto" w:fill="auto"/>
            <w:vAlign w:val="bottom"/>
            <w:hideMark/>
          </w:tcPr>
          <w:p w14:paraId="57FC17D8" w14:textId="37AEBAAC" w:rsidR="00116DC6" w:rsidRPr="00116DC6" w:rsidRDefault="00566A2B" w:rsidP="00116DC6">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 xml:space="preserve">SFY </w:t>
            </w:r>
            <w:r w:rsidR="009F04BB">
              <w:rPr>
                <w:rFonts w:ascii="Arial" w:eastAsia="Times New Roman" w:hAnsi="Arial" w:cs="Arial"/>
                <w:b/>
                <w:bCs/>
                <w:color w:val="39414D"/>
                <w:szCs w:val="18"/>
              </w:rPr>
              <w:t xml:space="preserve">2023 </w:t>
            </w:r>
            <w:r w:rsidR="00116DC6" w:rsidRPr="00116DC6">
              <w:rPr>
                <w:rFonts w:ascii="Arial" w:eastAsia="Times New Roman" w:hAnsi="Arial" w:cs="Arial"/>
                <w:b/>
                <w:bCs/>
                <w:color w:val="39414D"/>
                <w:szCs w:val="18"/>
              </w:rPr>
              <w:t>Aggregate Expenditures</w:t>
            </w:r>
          </w:p>
        </w:tc>
        <w:tc>
          <w:tcPr>
            <w:tcW w:w="1300" w:type="dxa"/>
            <w:tcBorders>
              <w:top w:val="nil"/>
              <w:left w:val="nil"/>
              <w:bottom w:val="single" w:sz="4" w:space="0" w:color="C6C9CA"/>
              <w:right w:val="nil"/>
            </w:tcBorders>
            <w:shd w:val="clear" w:color="auto" w:fill="auto"/>
            <w:vAlign w:val="bottom"/>
            <w:hideMark/>
          </w:tcPr>
          <w:p w14:paraId="7D2B8FDC" w14:textId="77777777" w:rsidR="00116DC6" w:rsidRPr="00116DC6" w:rsidRDefault="00116DC6" w:rsidP="00116DC6">
            <w:pPr>
              <w:spacing w:after="0" w:line="240" w:lineRule="auto"/>
              <w:jc w:val="center"/>
              <w:rPr>
                <w:rFonts w:ascii="Arial" w:eastAsia="Times New Roman" w:hAnsi="Arial" w:cs="Arial"/>
                <w:b/>
                <w:bCs/>
                <w:color w:val="39414D"/>
                <w:szCs w:val="18"/>
              </w:rPr>
            </w:pPr>
            <w:r w:rsidRPr="00116DC6">
              <w:rPr>
                <w:rFonts w:ascii="Arial" w:eastAsia="Times New Roman" w:hAnsi="Arial" w:cs="Arial"/>
                <w:b/>
                <w:bCs/>
                <w:color w:val="39414D"/>
                <w:szCs w:val="18"/>
              </w:rPr>
              <w:t>Expenditure Change</w:t>
            </w:r>
          </w:p>
        </w:tc>
      </w:tr>
      <w:tr w:rsidR="0094562F" w:rsidRPr="00116DC6" w14:paraId="07A1E7A4" w14:textId="77777777" w:rsidTr="001E7721">
        <w:trPr>
          <w:trHeight w:val="240"/>
        </w:trPr>
        <w:tc>
          <w:tcPr>
            <w:tcW w:w="3411" w:type="dxa"/>
            <w:tcBorders>
              <w:top w:val="nil"/>
              <w:left w:val="nil"/>
              <w:bottom w:val="nil"/>
              <w:right w:val="nil"/>
            </w:tcBorders>
            <w:shd w:val="clear" w:color="auto" w:fill="auto"/>
            <w:noWrap/>
          </w:tcPr>
          <w:p w14:paraId="6B1681EE" w14:textId="2E989F45" w:rsidR="0094562F" w:rsidRPr="00CB0082" w:rsidRDefault="0094562F" w:rsidP="0094562F">
            <w:pPr>
              <w:spacing w:after="0" w:line="240" w:lineRule="auto"/>
              <w:rPr>
                <w:rFonts w:ascii="Arial" w:eastAsia="Times New Roman" w:hAnsi="Arial" w:cs="Arial"/>
                <w:color w:val="39414D"/>
                <w:szCs w:val="18"/>
              </w:rPr>
            </w:pPr>
            <w:r w:rsidRPr="00CB0082">
              <w:rPr>
                <w:color w:val="39414D"/>
              </w:rPr>
              <w:t>IC30: MMP - SPMI</w:t>
            </w:r>
          </w:p>
        </w:tc>
        <w:tc>
          <w:tcPr>
            <w:tcW w:w="1419" w:type="dxa"/>
            <w:tcBorders>
              <w:top w:val="nil"/>
              <w:left w:val="nil"/>
              <w:bottom w:val="nil"/>
              <w:right w:val="nil"/>
            </w:tcBorders>
            <w:shd w:val="clear" w:color="auto" w:fill="auto"/>
            <w:noWrap/>
            <w:vAlign w:val="center"/>
          </w:tcPr>
          <w:p w14:paraId="59836AD1" w14:textId="6271BF6B" w:rsidR="0094562F" w:rsidRPr="00CB0082"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$ 15.3 </w:t>
            </w:r>
          </w:p>
        </w:tc>
        <w:tc>
          <w:tcPr>
            <w:tcW w:w="1430" w:type="dxa"/>
            <w:tcBorders>
              <w:top w:val="nil"/>
              <w:left w:val="nil"/>
              <w:bottom w:val="nil"/>
              <w:right w:val="nil"/>
            </w:tcBorders>
            <w:shd w:val="clear" w:color="auto" w:fill="auto"/>
            <w:noWrap/>
            <w:vAlign w:val="center"/>
          </w:tcPr>
          <w:p w14:paraId="21A5A85F" w14:textId="40C95C0A" w:rsidR="0094562F" w:rsidRPr="00CB0082"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$ 15.4 </w:t>
            </w:r>
          </w:p>
        </w:tc>
        <w:tc>
          <w:tcPr>
            <w:tcW w:w="1300" w:type="dxa"/>
            <w:tcBorders>
              <w:top w:val="nil"/>
              <w:left w:val="nil"/>
              <w:bottom w:val="nil"/>
              <w:right w:val="nil"/>
            </w:tcBorders>
            <w:shd w:val="clear" w:color="auto" w:fill="auto"/>
            <w:noWrap/>
            <w:vAlign w:val="center"/>
          </w:tcPr>
          <w:p w14:paraId="6B39132F" w14:textId="07DCC241" w:rsidR="0094562F" w:rsidRPr="00CB0082"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$ 0.1 </w:t>
            </w:r>
          </w:p>
        </w:tc>
      </w:tr>
      <w:tr w:rsidR="0094562F" w:rsidRPr="00116DC6" w14:paraId="6D5F1F63" w14:textId="77777777" w:rsidTr="001E7721">
        <w:trPr>
          <w:trHeight w:val="240"/>
        </w:trPr>
        <w:tc>
          <w:tcPr>
            <w:tcW w:w="3411" w:type="dxa"/>
            <w:tcBorders>
              <w:top w:val="nil"/>
              <w:left w:val="nil"/>
              <w:bottom w:val="nil"/>
              <w:right w:val="nil"/>
            </w:tcBorders>
            <w:shd w:val="clear" w:color="000000" w:fill="E8E9E9"/>
            <w:noWrap/>
          </w:tcPr>
          <w:p w14:paraId="694031E7" w14:textId="59FA04CF" w:rsidR="0094562F" w:rsidRPr="00CB0082" w:rsidRDefault="0094562F" w:rsidP="0094562F">
            <w:pPr>
              <w:spacing w:after="0" w:line="240" w:lineRule="auto"/>
              <w:rPr>
                <w:rFonts w:ascii="Arial" w:eastAsia="Times New Roman" w:hAnsi="Arial" w:cs="Arial"/>
                <w:color w:val="39414D"/>
                <w:szCs w:val="18"/>
              </w:rPr>
            </w:pPr>
            <w:r w:rsidRPr="00CB0082">
              <w:rPr>
                <w:color w:val="39414D"/>
              </w:rPr>
              <w:t>IC40: MMP - ID</w:t>
            </w:r>
          </w:p>
        </w:tc>
        <w:tc>
          <w:tcPr>
            <w:tcW w:w="1419" w:type="dxa"/>
            <w:tcBorders>
              <w:top w:val="nil"/>
              <w:left w:val="nil"/>
              <w:bottom w:val="nil"/>
              <w:right w:val="nil"/>
            </w:tcBorders>
            <w:shd w:val="clear" w:color="000000" w:fill="E8E9E9"/>
            <w:noWrap/>
            <w:vAlign w:val="center"/>
          </w:tcPr>
          <w:p w14:paraId="5EC75504" w14:textId="3B14EA31" w:rsidR="0094562F" w:rsidRPr="00CB0082"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2.5 </w:t>
            </w:r>
          </w:p>
        </w:tc>
        <w:tc>
          <w:tcPr>
            <w:tcW w:w="1430" w:type="dxa"/>
            <w:tcBorders>
              <w:top w:val="nil"/>
              <w:left w:val="nil"/>
              <w:bottom w:val="nil"/>
              <w:right w:val="nil"/>
            </w:tcBorders>
            <w:shd w:val="clear" w:color="000000" w:fill="E8E9E9"/>
            <w:noWrap/>
            <w:vAlign w:val="center"/>
          </w:tcPr>
          <w:p w14:paraId="20155C16" w14:textId="2C692495" w:rsidR="0094562F" w:rsidRPr="00CB0082"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2.5 </w:t>
            </w:r>
          </w:p>
        </w:tc>
        <w:tc>
          <w:tcPr>
            <w:tcW w:w="1300" w:type="dxa"/>
            <w:tcBorders>
              <w:top w:val="nil"/>
              <w:left w:val="nil"/>
              <w:bottom w:val="nil"/>
              <w:right w:val="nil"/>
            </w:tcBorders>
            <w:shd w:val="clear" w:color="000000" w:fill="E8E9E9"/>
            <w:noWrap/>
            <w:vAlign w:val="center"/>
          </w:tcPr>
          <w:p w14:paraId="6E7A8577" w14:textId="58AD263E" w:rsidR="0094562F" w:rsidRPr="00CB0082"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r>
      <w:tr w:rsidR="0094562F" w:rsidRPr="00116DC6" w14:paraId="2FC50E06" w14:textId="77777777" w:rsidTr="001E7721">
        <w:trPr>
          <w:trHeight w:val="240"/>
        </w:trPr>
        <w:tc>
          <w:tcPr>
            <w:tcW w:w="3411" w:type="dxa"/>
            <w:tcBorders>
              <w:top w:val="nil"/>
              <w:left w:val="nil"/>
              <w:bottom w:val="nil"/>
              <w:right w:val="nil"/>
            </w:tcBorders>
            <w:shd w:val="clear" w:color="auto" w:fill="auto"/>
            <w:noWrap/>
          </w:tcPr>
          <w:p w14:paraId="75440E3A" w14:textId="4FDEFA8E" w:rsidR="0094562F" w:rsidRPr="00CB0082" w:rsidRDefault="0094562F" w:rsidP="0094562F">
            <w:pPr>
              <w:spacing w:after="0" w:line="240" w:lineRule="auto"/>
              <w:rPr>
                <w:rFonts w:ascii="Arial" w:eastAsia="Times New Roman" w:hAnsi="Arial" w:cs="Arial"/>
                <w:color w:val="39414D"/>
                <w:szCs w:val="18"/>
              </w:rPr>
            </w:pPr>
            <w:r w:rsidRPr="00CB0082">
              <w:rPr>
                <w:color w:val="39414D"/>
              </w:rPr>
              <w:t>IC50/IC60: MMP - Blended LTSS</w:t>
            </w:r>
          </w:p>
        </w:tc>
        <w:tc>
          <w:tcPr>
            <w:tcW w:w="1419" w:type="dxa"/>
            <w:tcBorders>
              <w:top w:val="nil"/>
              <w:left w:val="nil"/>
              <w:bottom w:val="nil"/>
              <w:right w:val="nil"/>
            </w:tcBorders>
            <w:shd w:val="clear" w:color="auto" w:fill="auto"/>
            <w:noWrap/>
            <w:vAlign w:val="center"/>
          </w:tcPr>
          <w:p w14:paraId="4EE2AB40" w14:textId="05A1089F" w:rsidR="0094562F" w:rsidRPr="00CB0082"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105.0 </w:t>
            </w:r>
          </w:p>
        </w:tc>
        <w:tc>
          <w:tcPr>
            <w:tcW w:w="1430" w:type="dxa"/>
            <w:tcBorders>
              <w:top w:val="nil"/>
              <w:left w:val="nil"/>
              <w:bottom w:val="nil"/>
              <w:right w:val="nil"/>
            </w:tcBorders>
            <w:shd w:val="clear" w:color="auto" w:fill="auto"/>
            <w:noWrap/>
            <w:vAlign w:val="center"/>
          </w:tcPr>
          <w:p w14:paraId="68D08A8B" w14:textId="0DD4650D" w:rsidR="0094562F" w:rsidRPr="00CB0082"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119.5 </w:t>
            </w:r>
          </w:p>
        </w:tc>
        <w:tc>
          <w:tcPr>
            <w:tcW w:w="1300" w:type="dxa"/>
            <w:tcBorders>
              <w:top w:val="nil"/>
              <w:left w:val="nil"/>
              <w:bottom w:val="nil"/>
              <w:right w:val="nil"/>
            </w:tcBorders>
            <w:shd w:val="clear" w:color="auto" w:fill="auto"/>
            <w:noWrap/>
            <w:vAlign w:val="center"/>
          </w:tcPr>
          <w:p w14:paraId="235FDD99" w14:textId="28355A6C" w:rsidR="0094562F" w:rsidRPr="00CB0082"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14.5 </w:t>
            </w:r>
          </w:p>
        </w:tc>
      </w:tr>
      <w:tr w:rsidR="0094562F" w:rsidRPr="00116DC6" w14:paraId="3B0EADBD" w14:textId="77777777" w:rsidTr="001E7721">
        <w:trPr>
          <w:trHeight w:val="240"/>
        </w:trPr>
        <w:tc>
          <w:tcPr>
            <w:tcW w:w="3411" w:type="dxa"/>
            <w:tcBorders>
              <w:top w:val="nil"/>
              <w:left w:val="nil"/>
              <w:bottom w:val="nil"/>
              <w:right w:val="nil"/>
            </w:tcBorders>
            <w:shd w:val="clear" w:color="000000" w:fill="E8E9E9"/>
            <w:noWrap/>
          </w:tcPr>
          <w:p w14:paraId="1E59D29F" w14:textId="1C568866" w:rsidR="0094562F" w:rsidRPr="00CB0082" w:rsidRDefault="0094562F" w:rsidP="0094562F">
            <w:pPr>
              <w:spacing w:after="0" w:line="240" w:lineRule="auto"/>
              <w:rPr>
                <w:rFonts w:ascii="Arial" w:eastAsia="Times New Roman" w:hAnsi="Arial" w:cs="Arial"/>
                <w:color w:val="39414D"/>
                <w:szCs w:val="18"/>
              </w:rPr>
            </w:pPr>
            <w:r w:rsidRPr="00CB0082">
              <w:rPr>
                <w:color w:val="39414D"/>
              </w:rPr>
              <w:t>IC70: MMP - Community Non-LTSS</w:t>
            </w:r>
          </w:p>
        </w:tc>
        <w:tc>
          <w:tcPr>
            <w:tcW w:w="1419" w:type="dxa"/>
            <w:tcBorders>
              <w:top w:val="nil"/>
              <w:left w:val="nil"/>
              <w:bottom w:val="nil"/>
              <w:right w:val="nil"/>
            </w:tcBorders>
            <w:shd w:val="clear" w:color="000000" w:fill="E8E9E9"/>
            <w:noWrap/>
            <w:vAlign w:val="center"/>
          </w:tcPr>
          <w:p w14:paraId="76F1F041" w14:textId="21DAABA4" w:rsidR="0094562F" w:rsidRPr="00CB0082"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19.3 </w:t>
            </w:r>
          </w:p>
        </w:tc>
        <w:tc>
          <w:tcPr>
            <w:tcW w:w="1430" w:type="dxa"/>
            <w:tcBorders>
              <w:top w:val="nil"/>
              <w:left w:val="nil"/>
              <w:bottom w:val="nil"/>
              <w:right w:val="nil"/>
            </w:tcBorders>
            <w:shd w:val="clear" w:color="000000" w:fill="E8E9E9"/>
            <w:noWrap/>
            <w:vAlign w:val="center"/>
          </w:tcPr>
          <w:p w14:paraId="3A9AED4B" w14:textId="5CF77437" w:rsidR="0094562F" w:rsidRPr="00CB0082"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21.2 </w:t>
            </w:r>
          </w:p>
        </w:tc>
        <w:tc>
          <w:tcPr>
            <w:tcW w:w="1300" w:type="dxa"/>
            <w:tcBorders>
              <w:top w:val="nil"/>
              <w:left w:val="nil"/>
              <w:bottom w:val="nil"/>
              <w:right w:val="nil"/>
            </w:tcBorders>
            <w:shd w:val="clear" w:color="000000" w:fill="E8E9E9"/>
            <w:noWrap/>
            <w:vAlign w:val="center"/>
          </w:tcPr>
          <w:p w14:paraId="648E1D80" w14:textId="1C324051" w:rsidR="0094562F" w:rsidRPr="00CB0082"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1.9 </w:t>
            </w:r>
          </w:p>
        </w:tc>
      </w:tr>
      <w:tr w:rsidR="0094562F" w:rsidRPr="00116DC6" w14:paraId="4C1B7417" w14:textId="77777777" w:rsidTr="001E7721">
        <w:trPr>
          <w:trHeight w:val="240"/>
        </w:trPr>
        <w:tc>
          <w:tcPr>
            <w:tcW w:w="3411" w:type="dxa"/>
            <w:tcBorders>
              <w:top w:val="nil"/>
              <w:left w:val="nil"/>
              <w:bottom w:val="nil"/>
              <w:right w:val="nil"/>
            </w:tcBorders>
            <w:shd w:val="clear" w:color="auto" w:fill="auto"/>
            <w:noWrap/>
          </w:tcPr>
          <w:p w14:paraId="3D2BF743" w14:textId="77777777" w:rsidR="0094562F" w:rsidRPr="00CB0082" w:rsidRDefault="0094562F" w:rsidP="0094562F">
            <w:pPr>
              <w:spacing w:after="0" w:line="240" w:lineRule="auto"/>
              <w:rPr>
                <w:rFonts w:ascii="Arial" w:eastAsia="Times New Roman" w:hAnsi="Arial" w:cs="Arial"/>
                <w:color w:val="39414D"/>
                <w:szCs w:val="18"/>
              </w:rPr>
            </w:pPr>
          </w:p>
        </w:tc>
        <w:tc>
          <w:tcPr>
            <w:tcW w:w="1419" w:type="dxa"/>
            <w:tcBorders>
              <w:top w:val="nil"/>
              <w:left w:val="nil"/>
              <w:bottom w:val="nil"/>
              <w:right w:val="nil"/>
            </w:tcBorders>
            <w:shd w:val="clear" w:color="auto" w:fill="auto"/>
            <w:noWrap/>
            <w:vAlign w:val="center"/>
          </w:tcPr>
          <w:p w14:paraId="5AB9A9BE" w14:textId="77777777" w:rsidR="0094562F" w:rsidRPr="00CB0082" w:rsidRDefault="0094562F" w:rsidP="0094562F">
            <w:pPr>
              <w:spacing w:after="0" w:line="240" w:lineRule="auto"/>
              <w:rPr>
                <w:rFonts w:ascii="Times New Roman" w:eastAsia="Times New Roman" w:hAnsi="Times New Roman" w:cs="Times New Roman"/>
                <w:color w:val="39414D"/>
                <w:sz w:val="20"/>
                <w:szCs w:val="20"/>
              </w:rPr>
            </w:pPr>
          </w:p>
        </w:tc>
        <w:tc>
          <w:tcPr>
            <w:tcW w:w="1430" w:type="dxa"/>
            <w:tcBorders>
              <w:top w:val="nil"/>
              <w:left w:val="nil"/>
              <w:bottom w:val="nil"/>
              <w:right w:val="nil"/>
            </w:tcBorders>
            <w:shd w:val="clear" w:color="auto" w:fill="auto"/>
            <w:noWrap/>
            <w:vAlign w:val="center"/>
          </w:tcPr>
          <w:p w14:paraId="1FB1C726" w14:textId="77777777" w:rsidR="0094562F" w:rsidRPr="00CB0082" w:rsidRDefault="0094562F" w:rsidP="0094562F">
            <w:pPr>
              <w:spacing w:after="0" w:line="240" w:lineRule="auto"/>
              <w:rPr>
                <w:rFonts w:ascii="Times New Roman" w:eastAsia="Times New Roman" w:hAnsi="Times New Roman" w:cs="Times New Roman"/>
                <w:color w:val="39414D"/>
                <w:sz w:val="20"/>
                <w:szCs w:val="20"/>
              </w:rPr>
            </w:pPr>
          </w:p>
        </w:tc>
        <w:tc>
          <w:tcPr>
            <w:tcW w:w="1300" w:type="dxa"/>
            <w:tcBorders>
              <w:top w:val="nil"/>
              <w:left w:val="nil"/>
              <w:bottom w:val="nil"/>
              <w:right w:val="nil"/>
            </w:tcBorders>
            <w:shd w:val="clear" w:color="auto" w:fill="auto"/>
            <w:noWrap/>
            <w:vAlign w:val="center"/>
          </w:tcPr>
          <w:p w14:paraId="0231D094" w14:textId="77777777" w:rsidR="0094562F" w:rsidRPr="00CB0082" w:rsidRDefault="0094562F" w:rsidP="0094562F">
            <w:pPr>
              <w:spacing w:after="0" w:line="240" w:lineRule="auto"/>
              <w:rPr>
                <w:rFonts w:ascii="Times New Roman" w:eastAsia="Times New Roman" w:hAnsi="Times New Roman" w:cs="Times New Roman"/>
                <w:color w:val="39414D"/>
                <w:sz w:val="20"/>
                <w:szCs w:val="20"/>
              </w:rPr>
            </w:pPr>
          </w:p>
        </w:tc>
      </w:tr>
      <w:tr w:rsidR="0094562F" w:rsidRPr="00116DC6" w14:paraId="63C64FF8" w14:textId="77777777" w:rsidTr="001E7721">
        <w:trPr>
          <w:trHeight w:val="240"/>
        </w:trPr>
        <w:tc>
          <w:tcPr>
            <w:tcW w:w="3411" w:type="dxa"/>
            <w:tcBorders>
              <w:top w:val="nil"/>
              <w:left w:val="nil"/>
              <w:bottom w:val="nil"/>
              <w:right w:val="nil"/>
            </w:tcBorders>
            <w:shd w:val="clear" w:color="000000" w:fill="E8E9E9"/>
            <w:noWrap/>
          </w:tcPr>
          <w:p w14:paraId="54416448" w14:textId="1FE33C0B" w:rsidR="0094562F" w:rsidRPr="00CB0082" w:rsidRDefault="0094562F" w:rsidP="0094562F">
            <w:pPr>
              <w:spacing w:after="0" w:line="240" w:lineRule="auto"/>
              <w:rPr>
                <w:rFonts w:ascii="Arial" w:eastAsia="Times New Roman" w:hAnsi="Arial" w:cs="Arial"/>
                <w:b/>
                <w:bCs/>
                <w:color w:val="39414D"/>
                <w:szCs w:val="18"/>
              </w:rPr>
            </w:pPr>
            <w:r w:rsidRPr="00CB0082">
              <w:rPr>
                <w:b/>
                <w:bCs/>
                <w:color w:val="39414D"/>
              </w:rPr>
              <w:t>Total</w:t>
            </w:r>
          </w:p>
        </w:tc>
        <w:tc>
          <w:tcPr>
            <w:tcW w:w="1419" w:type="dxa"/>
            <w:tcBorders>
              <w:top w:val="nil"/>
              <w:left w:val="nil"/>
              <w:bottom w:val="nil"/>
              <w:right w:val="nil"/>
            </w:tcBorders>
            <w:shd w:val="clear" w:color="000000" w:fill="E8E9E9"/>
            <w:noWrap/>
            <w:vAlign w:val="center"/>
          </w:tcPr>
          <w:p w14:paraId="6BB10B66" w14:textId="4EDA3133" w:rsidR="0094562F" w:rsidRPr="00CB0082" w:rsidRDefault="0094562F" w:rsidP="0094562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$ 142.1 </w:t>
            </w:r>
          </w:p>
        </w:tc>
        <w:tc>
          <w:tcPr>
            <w:tcW w:w="1430" w:type="dxa"/>
            <w:tcBorders>
              <w:top w:val="nil"/>
              <w:left w:val="nil"/>
              <w:bottom w:val="nil"/>
              <w:right w:val="nil"/>
            </w:tcBorders>
            <w:shd w:val="clear" w:color="000000" w:fill="E8E9E9"/>
            <w:noWrap/>
            <w:vAlign w:val="center"/>
          </w:tcPr>
          <w:p w14:paraId="020F41D1" w14:textId="239E6033" w:rsidR="0094562F" w:rsidRPr="00CB0082" w:rsidRDefault="0094562F" w:rsidP="0094562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$ 158.5 </w:t>
            </w:r>
          </w:p>
        </w:tc>
        <w:tc>
          <w:tcPr>
            <w:tcW w:w="1300" w:type="dxa"/>
            <w:tcBorders>
              <w:top w:val="nil"/>
              <w:left w:val="nil"/>
              <w:bottom w:val="nil"/>
              <w:right w:val="nil"/>
            </w:tcBorders>
            <w:shd w:val="clear" w:color="000000" w:fill="E8E9E9"/>
            <w:noWrap/>
            <w:vAlign w:val="center"/>
          </w:tcPr>
          <w:p w14:paraId="1E5CA8D9" w14:textId="0DDD42DF" w:rsidR="0094562F" w:rsidRPr="00CB0082" w:rsidRDefault="0094562F" w:rsidP="0094562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$ 16.4 </w:t>
            </w:r>
          </w:p>
        </w:tc>
      </w:tr>
      <w:tr w:rsidR="0094562F" w:rsidRPr="00116DC6" w14:paraId="263067DF" w14:textId="77777777" w:rsidTr="001E7721">
        <w:trPr>
          <w:trHeight w:val="240"/>
        </w:trPr>
        <w:tc>
          <w:tcPr>
            <w:tcW w:w="3411" w:type="dxa"/>
            <w:tcBorders>
              <w:top w:val="nil"/>
              <w:left w:val="nil"/>
              <w:bottom w:val="nil"/>
              <w:right w:val="nil"/>
            </w:tcBorders>
            <w:shd w:val="clear" w:color="auto" w:fill="auto"/>
            <w:noWrap/>
          </w:tcPr>
          <w:p w14:paraId="49F6C458" w14:textId="2E5391EA" w:rsidR="0094562F" w:rsidRPr="00CB0082" w:rsidRDefault="0094562F" w:rsidP="0094562F">
            <w:pPr>
              <w:spacing w:after="0" w:line="240" w:lineRule="auto"/>
              <w:rPr>
                <w:rFonts w:ascii="Arial" w:eastAsia="Times New Roman" w:hAnsi="Arial" w:cs="Arial"/>
                <w:b/>
                <w:bCs/>
                <w:color w:val="39414D"/>
                <w:szCs w:val="18"/>
              </w:rPr>
            </w:pPr>
            <w:r w:rsidRPr="00CB0082">
              <w:rPr>
                <w:b/>
                <w:bCs/>
                <w:color w:val="39414D"/>
              </w:rPr>
              <w:t>Total Federal</w:t>
            </w:r>
          </w:p>
        </w:tc>
        <w:tc>
          <w:tcPr>
            <w:tcW w:w="1419" w:type="dxa"/>
            <w:tcBorders>
              <w:top w:val="nil"/>
              <w:left w:val="nil"/>
              <w:bottom w:val="nil"/>
              <w:right w:val="nil"/>
            </w:tcBorders>
            <w:shd w:val="clear" w:color="auto" w:fill="auto"/>
            <w:noWrap/>
            <w:vAlign w:val="center"/>
          </w:tcPr>
          <w:p w14:paraId="1AD74959" w14:textId="7C5B1D48" w:rsidR="0094562F" w:rsidRPr="00CB0082" w:rsidRDefault="0094562F" w:rsidP="0094562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$ 77.0 </w:t>
            </w:r>
          </w:p>
        </w:tc>
        <w:tc>
          <w:tcPr>
            <w:tcW w:w="1430" w:type="dxa"/>
            <w:tcBorders>
              <w:top w:val="nil"/>
              <w:left w:val="nil"/>
              <w:bottom w:val="nil"/>
              <w:right w:val="nil"/>
            </w:tcBorders>
            <w:shd w:val="clear" w:color="auto" w:fill="auto"/>
            <w:noWrap/>
            <w:vAlign w:val="center"/>
          </w:tcPr>
          <w:p w14:paraId="5025ABF4" w14:textId="4E7F3CCE" w:rsidR="0094562F" w:rsidRPr="00CB0082" w:rsidRDefault="0094562F" w:rsidP="0094562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$ 85.9 </w:t>
            </w:r>
          </w:p>
        </w:tc>
        <w:tc>
          <w:tcPr>
            <w:tcW w:w="1300" w:type="dxa"/>
            <w:tcBorders>
              <w:top w:val="nil"/>
              <w:left w:val="nil"/>
              <w:bottom w:val="nil"/>
              <w:right w:val="nil"/>
            </w:tcBorders>
            <w:shd w:val="clear" w:color="auto" w:fill="auto"/>
            <w:noWrap/>
            <w:vAlign w:val="center"/>
          </w:tcPr>
          <w:p w14:paraId="50429A90" w14:textId="024C892D" w:rsidR="0094562F" w:rsidRPr="00CB0082" w:rsidRDefault="0094562F" w:rsidP="0094562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$ 8.9 </w:t>
            </w:r>
          </w:p>
        </w:tc>
      </w:tr>
      <w:tr w:rsidR="0094562F" w:rsidRPr="00116DC6" w14:paraId="2168887A" w14:textId="77777777" w:rsidTr="001E7721">
        <w:trPr>
          <w:trHeight w:val="240"/>
        </w:trPr>
        <w:tc>
          <w:tcPr>
            <w:tcW w:w="3411" w:type="dxa"/>
            <w:tcBorders>
              <w:top w:val="nil"/>
              <w:left w:val="nil"/>
              <w:bottom w:val="nil"/>
              <w:right w:val="nil"/>
            </w:tcBorders>
            <w:shd w:val="clear" w:color="000000" w:fill="E8E9E9"/>
            <w:noWrap/>
          </w:tcPr>
          <w:p w14:paraId="2A0D9C85" w14:textId="43C0B5EF" w:rsidR="0094562F" w:rsidRPr="00CB0082" w:rsidRDefault="0094562F" w:rsidP="0094562F">
            <w:pPr>
              <w:spacing w:after="0" w:line="240" w:lineRule="auto"/>
              <w:rPr>
                <w:rFonts w:ascii="Arial" w:eastAsia="Times New Roman" w:hAnsi="Arial" w:cs="Arial"/>
                <w:b/>
                <w:bCs/>
                <w:color w:val="39414D"/>
                <w:szCs w:val="18"/>
              </w:rPr>
            </w:pPr>
            <w:r w:rsidRPr="00CB0082">
              <w:rPr>
                <w:b/>
                <w:bCs/>
                <w:color w:val="39414D"/>
              </w:rPr>
              <w:t>Total State</w:t>
            </w:r>
          </w:p>
        </w:tc>
        <w:tc>
          <w:tcPr>
            <w:tcW w:w="1419" w:type="dxa"/>
            <w:tcBorders>
              <w:top w:val="nil"/>
              <w:left w:val="nil"/>
              <w:bottom w:val="nil"/>
              <w:right w:val="nil"/>
            </w:tcBorders>
            <w:shd w:val="clear" w:color="000000" w:fill="E8E9E9"/>
            <w:noWrap/>
            <w:vAlign w:val="center"/>
          </w:tcPr>
          <w:p w14:paraId="673A713B" w14:textId="4D372AC2" w:rsidR="0094562F" w:rsidRPr="00CB0082" w:rsidRDefault="0094562F" w:rsidP="0094562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$ 65.1 </w:t>
            </w:r>
          </w:p>
        </w:tc>
        <w:tc>
          <w:tcPr>
            <w:tcW w:w="1430" w:type="dxa"/>
            <w:tcBorders>
              <w:top w:val="nil"/>
              <w:left w:val="nil"/>
              <w:bottom w:val="nil"/>
              <w:right w:val="nil"/>
            </w:tcBorders>
            <w:shd w:val="clear" w:color="000000" w:fill="E8E9E9"/>
            <w:noWrap/>
            <w:vAlign w:val="center"/>
          </w:tcPr>
          <w:p w14:paraId="4816D93F" w14:textId="58704326" w:rsidR="0094562F" w:rsidRPr="00CB0082" w:rsidRDefault="0094562F" w:rsidP="0094562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$ 72.6 </w:t>
            </w:r>
          </w:p>
        </w:tc>
        <w:tc>
          <w:tcPr>
            <w:tcW w:w="1300" w:type="dxa"/>
            <w:tcBorders>
              <w:top w:val="nil"/>
              <w:left w:val="nil"/>
              <w:bottom w:val="nil"/>
              <w:right w:val="nil"/>
            </w:tcBorders>
            <w:shd w:val="clear" w:color="000000" w:fill="E8E9E9"/>
            <w:noWrap/>
            <w:vAlign w:val="center"/>
          </w:tcPr>
          <w:p w14:paraId="2F99268C" w14:textId="65CCDE25" w:rsidR="0094562F" w:rsidRPr="00CB0082" w:rsidRDefault="0094562F" w:rsidP="0094562F">
            <w:pPr>
              <w:spacing w:after="0" w:line="240" w:lineRule="auto"/>
              <w:jc w:val="right"/>
              <w:rPr>
                <w:rFonts w:ascii="Arial" w:eastAsia="Times New Roman" w:hAnsi="Arial" w:cs="Arial"/>
                <w:b/>
                <w:bCs/>
                <w:color w:val="39414D"/>
                <w:szCs w:val="18"/>
              </w:rPr>
            </w:pPr>
            <w:r>
              <w:rPr>
                <w:rFonts w:ascii="Arial" w:hAnsi="Arial" w:cs="Arial"/>
                <w:b/>
                <w:bCs/>
                <w:color w:val="39414D"/>
                <w:szCs w:val="18"/>
              </w:rPr>
              <w:t xml:space="preserve">$ 7.5 </w:t>
            </w:r>
          </w:p>
        </w:tc>
      </w:tr>
    </w:tbl>
    <w:p w14:paraId="48F109C0" w14:textId="5B2426CF" w:rsidR="0041608E" w:rsidRPr="002A6C9C" w:rsidRDefault="00FF6FC6" w:rsidP="00514930">
      <w:pPr>
        <w:jc w:val="both"/>
        <w:rPr>
          <w:b/>
        </w:rPr>
      </w:pPr>
      <w:r>
        <w:rPr>
          <w:b/>
        </w:rPr>
        <w:br/>
      </w:r>
      <w:r w:rsidR="0041608E" w:rsidRPr="002A6C9C">
        <w:rPr>
          <w:b/>
        </w:rPr>
        <w:t xml:space="preserve">Notes: </w:t>
      </w:r>
    </w:p>
    <w:p w14:paraId="620FD41A" w14:textId="77777777" w:rsidR="0041608E" w:rsidRDefault="0041608E" w:rsidP="0009742C">
      <w:pPr>
        <w:pStyle w:val="ListParagraph"/>
        <w:numPr>
          <w:ilvl w:val="0"/>
          <w:numId w:val="16"/>
        </w:numPr>
        <w:ind w:left="360"/>
      </w:pPr>
      <w:r>
        <w:t>Values have been rounded.</w:t>
      </w:r>
    </w:p>
    <w:p w14:paraId="1448E2FB" w14:textId="1E94DC6C" w:rsidR="0041608E" w:rsidRDefault="00F62CAB" w:rsidP="0009742C">
      <w:pPr>
        <w:pStyle w:val="ListParagraph"/>
        <w:numPr>
          <w:ilvl w:val="0"/>
          <w:numId w:val="16"/>
        </w:numPr>
        <w:ind w:left="360"/>
      </w:pPr>
      <w:r>
        <w:t xml:space="preserve">SFY </w:t>
      </w:r>
      <w:r w:rsidR="009F04BB">
        <w:t xml:space="preserve">2022 </w:t>
      </w:r>
      <w:r w:rsidR="00557EC0">
        <w:t xml:space="preserve">and </w:t>
      </w:r>
      <w:r>
        <w:t xml:space="preserve">SFY </w:t>
      </w:r>
      <w:r w:rsidR="009F04BB">
        <w:t xml:space="preserve">2023 </w:t>
      </w:r>
      <w:r w:rsidR="0041608E">
        <w:t xml:space="preserve">aggregate expenditures were developed based on </w:t>
      </w:r>
      <w:r w:rsidR="00AA23AE">
        <w:t xml:space="preserve">projected </w:t>
      </w:r>
      <w:r w:rsidR="00BB56D2">
        <w:t xml:space="preserve">SFY </w:t>
      </w:r>
      <w:r w:rsidR="009F04BB">
        <w:t xml:space="preserve">2023 </w:t>
      </w:r>
      <w:r w:rsidR="00BB56D2">
        <w:t>enrollment.</w:t>
      </w:r>
    </w:p>
    <w:p w14:paraId="0A56DE76" w14:textId="65271941" w:rsidR="0009742C" w:rsidRDefault="0041608E" w:rsidP="0009742C">
      <w:pPr>
        <w:pStyle w:val="ListParagraph"/>
        <w:numPr>
          <w:ilvl w:val="0"/>
          <w:numId w:val="16"/>
        </w:numPr>
        <w:ind w:left="360"/>
      </w:pPr>
      <w:r w:rsidRPr="006E03E1">
        <w:t xml:space="preserve">State expenditures </w:t>
      </w:r>
      <w:r w:rsidR="004C4853">
        <w:t xml:space="preserve">for all columns </w:t>
      </w:r>
      <w:r w:rsidR="00F532CE">
        <w:t xml:space="preserve">are </w:t>
      </w:r>
      <w:r w:rsidRPr="006E03E1">
        <w:t xml:space="preserve">based on Federal Fiscal Year </w:t>
      </w:r>
      <w:r w:rsidR="00DD5F14">
        <w:t xml:space="preserve">(FFY) </w:t>
      </w:r>
      <w:r w:rsidR="009F04BB" w:rsidRPr="006E03E1">
        <w:t>20</w:t>
      </w:r>
      <w:r w:rsidR="009F04BB">
        <w:t>22</w:t>
      </w:r>
      <w:r w:rsidR="009F04BB" w:rsidRPr="006E03E1">
        <w:t xml:space="preserve"> </w:t>
      </w:r>
      <w:r w:rsidR="009845D5" w:rsidRPr="009845D5">
        <w:t>Federa</w:t>
      </w:r>
      <w:r w:rsidR="009845D5">
        <w:t>l Medical Assistance Percentage (</w:t>
      </w:r>
      <w:r w:rsidRPr="006E03E1">
        <w:t>FMAP</w:t>
      </w:r>
      <w:r w:rsidR="009845D5">
        <w:t>)</w:t>
      </w:r>
      <w:r w:rsidRPr="006E03E1">
        <w:t xml:space="preserve"> </w:t>
      </w:r>
      <w:r w:rsidR="00557EC0">
        <w:t xml:space="preserve">of </w:t>
      </w:r>
      <w:r w:rsidR="00C74A33" w:rsidRPr="00641695">
        <w:t>5</w:t>
      </w:r>
      <w:r w:rsidR="006A2AC8" w:rsidRPr="003C47F4">
        <w:t>4.</w:t>
      </w:r>
      <w:r w:rsidR="009F04BB">
        <w:t>88</w:t>
      </w:r>
      <w:r w:rsidRPr="00365633">
        <w:t>%</w:t>
      </w:r>
      <w:r w:rsidR="00F532CE">
        <w:t xml:space="preserve"> for three months</w:t>
      </w:r>
      <w:r w:rsidRPr="00A14A1D">
        <w:t xml:space="preserve"> </w:t>
      </w:r>
      <w:r w:rsidR="00CC4F38">
        <w:t xml:space="preserve">and FFY </w:t>
      </w:r>
      <w:r w:rsidR="002A5B96">
        <w:t xml:space="preserve">2022 </w:t>
      </w:r>
      <w:r w:rsidR="00CC4F38">
        <w:t xml:space="preserve">FMAP of </w:t>
      </w:r>
      <w:r w:rsidR="009F04BB">
        <w:t>53.96</w:t>
      </w:r>
      <w:r w:rsidR="00CC4F38" w:rsidRPr="00641695">
        <w:t>%</w:t>
      </w:r>
      <w:r w:rsidR="00CC4F38" w:rsidRPr="00A14A1D">
        <w:t xml:space="preserve"> </w:t>
      </w:r>
      <w:r w:rsidR="00F532CE">
        <w:t xml:space="preserve">for </w:t>
      </w:r>
      <w:r w:rsidR="00BB56D2">
        <w:t xml:space="preserve">nine </w:t>
      </w:r>
      <w:r w:rsidR="00F532CE">
        <w:t>months</w:t>
      </w:r>
      <w:r w:rsidRPr="00A14A1D">
        <w:t>.</w:t>
      </w:r>
      <w:r w:rsidR="004C4853" w:rsidRPr="004C4853">
        <w:t xml:space="preserve"> </w:t>
      </w:r>
      <w:r w:rsidR="004C4853">
        <w:t xml:space="preserve">No adjustment was made for </w:t>
      </w:r>
      <w:r w:rsidR="004B551A">
        <w:t>any applicable</w:t>
      </w:r>
      <w:r w:rsidR="004C4853">
        <w:t xml:space="preserve"> enhanced FMAP rates.</w:t>
      </w:r>
    </w:p>
    <w:p w14:paraId="2415E1E6" w14:textId="416DFB91" w:rsidR="0009742C" w:rsidRPr="0009742C" w:rsidRDefault="00F62CAB" w:rsidP="0009742C">
      <w:pPr>
        <w:pStyle w:val="ListParagraph"/>
        <w:numPr>
          <w:ilvl w:val="0"/>
          <w:numId w:val="16"/>
        </w:numPr>
        <w:ind w:left="360"/>
      </w:pPr>
      <w:r>
        <w:t xml:space="preserve">Illustrated expenditures reflect the mandatory 3% Demonstration Year </w:t>
      </w:r>
      <w:r w:rsidR="009F04BB">
        <w:t xml:space="preserve">6 </w:t>
      </w:r>
      <w:r w:rsidR="003F0E0F">
        <w:t>and</w:t>
      </w:r>
      <w:r w:rsidR="002A5B96">
        <w:t xml:space="preserve"> </w:t>
      </w:r>
      <w:r>
        <w:t xml:space="preserve">Demonstration Year </w:t>
      </w:r>
      <w:r w:rsidR="009F04BB">
        <w:t xml:space="preserve">7 </w:t>
      </w:r>
      <w:r>
        <w:t>savings percentage and are prior to application of the withhold</w:t>
      </w:r>
      <w:r w:rsidR="0009742C" w:rsidRPr="0009742C">
        <w:t xml:space="preserve">. </w:t>
      </w:r>
    </w:p>
    <w:p w14:paraId="3AAD5361" w14:textId="41A0F875" w:rsidR="005F7D12" w:rsidRPr="00A14A1D" w:rsidRDefault="005F7D12" w:rsidP="0009742C">
      <w:pPr>
        <w:pStyle w:val="ListParagraph"/>
        <w:ind w:left="360"/>
        <w:jc w:val="both"/>
      </w:pPr>
    </w:p>
    <w:p w14:paraId="4FB1F961" w14:textId="77777777" w:rsidR="0041608E" w:rsidRPr="0041608E" w:rsidRDefault="0041608E" w:rsidP="00210B59">
      <w:pPr>
        <w:pStyle w:val="RRBody"/>
      </w:pPr>
    </w:p>
    <w:p w14:paraId="79B8E902" w14:textId="77777777" w:rsidR="00E9677D" w:rsidRDefault="00E9677D" w:rsidP="00210B59"/>
    <w:p w14:paraId="45CFEBB6" w14:textId="490FBFBC" w:rsidR="00593603" w:rsidRDefault="00593603">
      <w:pPr>
        <w:spacing w:line="264" w:lineRule="auto"/>
      </w:pPr>
      <w:r>
        <w:br w:type="page"/>
      </w:r>
    </w:p>
    <w:p w14:paraId="25AAE46C" w14:textId="147EC178" w:rsidR="00CE2634" w:rsidRPr="00210B59" w:rsidRDefault="00CE2634" w:rsidP="00210B59">
      <w:pPr>
        <w:pStyle w:val="Heading1"/>
      </w:pPr>
      <w:bookmarkStart w:id="6" w:name="_Toc504388971"/>
      <w:bookmarkStart w:id="7" w:name="_Toc8984984"/>
      <w:bookmarkStart w:id="8" w:name="_Toc109295469"/>
      <w:r w:rsidRPr="00210B59">
        <w:lastRenderedPageBreak/>
        <w:t>Section I. Medicaid managed care rates</w:t>
      </w:r>
      <w:bookmarkEnd w:id="6"/>
      <w:bookmarkEnd w:id="7"/>
      <w:bookmarkEnd w:id="8"/>
    </w:p>
    <w:p w14:paraId="2809C061" w14:textId="553A501B" w:rsidR="00CE2634" w:rsidRPr="00210B59" w:rsidRDefault="00CE2634" w:rsidP="00210B59">
      <w:pPr>
        <w:pStyle w:val="Heading2"/>
      </w:pPr>
      <w:bookmarkStart w:id="9" w:name="_Toc305085229"/>
      <w:bookmarkStart w:id="10" w:name="_Toc431546426"/>
      <w:bookmarkStart w:id="11" w:name="_Toc484701126"/>
      <w:bookmarkStart w:id="12" w:name="_Toc504388972"/>
      <w:bookmarkStart w:id="13" w:name="_Toc8984985"/>
      <w:bookmarkStart w:id="14" w:name="_Toc109295470"/>
      <w:r w:rsidRPr="00210B59">
        <w:t>General information</w:t>
      </w:r>
      <w:bookmarkEnd w:id="9"/>
      <w:bookmarkEnd w:id="10"/>
      <w:bookmarkEnd w:id="11"/>
      <w:bookmarkEnd w:id="12"/>
      <w:bookmarkEnd w:id="13"/>
      <w:bookmarkEnd w:id="14"/>
    </w:p>
    <w:p w14:paraId="1926051C" w14:textId="77777777" w:rsidR="006B2FA5" w:rsidRPr="006B2FA5" w:rsidRDefault="00553928" w:rsidP="00210B59">
      <w:pPr>
        <w:pStyle w:val="RRBody"/>
      </w:pPr>
      <w:bookmarkStart w:id="15" w:name="_Toc305085230"/>
      <w:bookmarkStart w:id="16" w:name="_Toc431546427"/>
      <w:r w:rsidRPr="00DA0D61">
        <w:t>This</w:t>
      </w:r>
      <w:r w:rsidR="006B2FA5" w:rsidRPr="006B2FA5">
        <w:rPr>
          <w:rFonts w:ascii="Arial" w:eastAsia="Times New Roman" w:hAnsi="Arial" w:cs="Times New Roman"/>
          <w:szCs w:val="18"/>
        </w:rPr>
        <w:t xml:space="preserve"> </w:t>
      </w:r>
      <w:r w:rsidR="006B2FA5" w:rsidRPr="006B2FA5">
        <w:t>section provides information listed under the General Information section of CMS guide, Section I.</w:t>
      </w:r>
    </w:p>
    <w:p w14:paraId="629EBBAB" w14:textId="77777777" w:rsidR="006B2FA5" w:rsidRPr="006B2FA5" w:rsidRDefault="006B2FA5" w:rsidP="00210B59">
      <w:pPr>
        <w:pStyle w:val="RRBody"/>
      </w:pPr>
      <w:r w:rsidRPr="006B2FA5">
        <w:t xml:space="preserve">The capitation rates provided under this certification are “actuarially sound” for purposes of 42 CFR 438.4(a), according to the following criteria: </w:t>
      </w:r>
    </w:p>
    <w:p w14:paraId="7E92674F" w14:textId="1AC0FE67" w:rsidR="006B2FA5" w:rsidRPr="006B2FA5" w:rsidRDefault="006B2FA5" w:rsidP="00210B59">
      <w:pPr>
        <w:pStyle w:val="RRBullet1"/>
      </w:pPr>
      <w:r w:rsidRPr="006B2FA5">
        <w:t xml:space="preserve">The capitation rates provide for all reasonable, appropriate, and attainable costs that are required under terms of the contract and for the operation of the managed care </w:t>
      </w:r>
      <w:r w:rsidR="00414E5D">
        <w:t xml:space="preserve">organization </w:t>
      </w:r>
      <w:r w:rsidR="00B74AFD">
        <w:t>(MC</w:t>
      </w:r>
      <w:r w:rsidR="00414E5D">
        <w:t>O</w:t>
      </w:r>
      <w:r w:rsidR="00B74AFD">
        <w:t>)</w:t>
      </w:r>
      <w:r w:rsidRPr="006B2FA5">
        <w:t xml:space="preserve"> for the time period and population covered under the terms of the contract, and such capitation rates were developed in accordance with the requirements under 42 CFR 438.4(b).</w:t>
      </w:r>
    </w:p>
    <w:p w14:paraId="519239E2" w14:textId="77777777" w:rsidR="006B2FA5" w:rsidRPr="006B2FA5" w:rsidRDefault="006B2FA5" w:rsidP="00210B59">
      <w:pPr>
        <w:pStyle w:val="RRBody"/>
      </w:pPr>
      <w:r w:rsidRPr="006B2FA5">
        <w:t>To ensure compliance with generally accepted actuarial practices and regulatory requirements, we referred to published guidance from the American Academy of Actuaries (AAA), the Actuarial Standards Board (ASB), the Centers for Medicare and Medicaid Services (CMS), and federal regulations. Specifically, the following were referenced during the rate development:</w:t>
      </w:r>
    </w:p>
    <w:p w14:paraId="71C37A6D" w14:textId="547E6330" w:rsidR="006B2FA5" w:rsidRPr="006B2FA5" w:rsidRDefault="006B2FA5" w:rsidP="00210B59">
      <w:pPr>
        <w:pStyle w:val="RRBullet1"/>
      </w:pPr>
      <w:r w:rsidRPr="006B2FA5">
        <w:t xml:space="preserve">Actuarial standards of practice applicable to Medicaid managed care rate setting which have been enacted as of the capitation rate certification date, including: ASOP 1 (Introductory Actuarial Standard of Practice); ASOP 5 (Incurred Health and Disability Claims); </w:t>
      </w:r>
      <w:r w:rsidR="00F62CAB" w:rsidRPr="00284EFB">
        <w:rPr>
          <w:rFonts w:ascii="Arial" w:eastAsia="Times New Roman" w:hAnsi="Arial" w:cs="Times New Roman"/>
          <w:szCs w:val="18"/>
        </w:rPr>
        <w:t>ASOP 12 (Risk Classification)</w:t>
      </w:r>
      <w:r w:rsidR="00F62CAB">
        <w:rPr>
          <w:rFonts w:ascii="Arial" w:eastAsia="Times New Roman" w:hAnsi="Arial" w:cs="Times New Roman"/>
          <w:szCs w:val="18"/>
        </w:rPr>
        <w:t xml:space="preserve">; </w:t>
      </w:r>
      <w:r w:rsidRPr="006B2FA5">
        <w:t>ASOP 23 (Data Quality); ASOP 25 (Credibility Procedures); ASOP 41 (Actuarial Communications); ASOP 45 (The Use of Health Status Based Risk Adjustment Methodologies); ASOP 49 (Medicaid Managed Care Capitation Rate Development and Certification)</w:t>
      </w:r>
      <w:r w:rsidR="007C71E4">
        <w:t>; and ASOP 56 (Modeling).</w:t>
      </w:r>
    </w:p>
    <w:p w14:paraId="733C93F1" w14:textId="65083DD8" w:rsidR="006B2FA5" w:rsidRPr="006B2FA5" w:rsidRDefault="006B2FA5" w:rsidP="00210B59">
      <w:pPr>
        <w:pStyle w:val="RRBullet1"/>
      </w:pPr>
      <w:r w:rsidRPr="006B2FA5">
        <w:t>Actuarial soundness and rate development requirements in the Medicaid and CHIP Managed Care Final Rule (CMS 2390-F</w:t>
      </w:r>
      <w:r w:rsidR="00D87AF1">
        <w:t xml:space="preserve"> and CMS-2408-F</w:t>
      </w:r>
      <w:r w:rsidRPr="006B2FA5">
        <w:t>).</w:t>
      </w:r>
    </w:p>
    <w:p w14:paraId="76047790" w14:textId="72FF3072" w:rsidR="006B2FA5" w:rsidRPr="006B2FA5" w:rsidRDefault="006B2FA5" w:rsidP="00210B59">
      <w:pPr>
        <w:pStyle w:val="RRBullet1"/>
      </w:pPr>
      <w:r w:rsidRPr="006B2FA5">
        <w:t xml:space="preserve">The </w:t>
      </w:r>
      <w:r w:rsidR="009F04BB">
        <w:t>2022</w:t>
      </w:r>
      <w:r w:rsidR="00BB4EE8">
        <w:t>-</w:t>
      </w:r>
      <w:r w:rsidR="009F04BB">
        <w:t>2023</w:t>
      </w:r>
      <w:r w:rsidR="009F04BB" w:rsidRPr="006B2FA5">
        <w:t xml:space="preserve"> </w:t>
      </w:r>
      <w:r w:rsidRPr="006B2FA5">
        <w:t>Medicaid Managed Care Rate Development Guide published by CMS.</w:t>
      </w:r>
    </w:p>
    <w:p w14:paraId="246BC8A0" w14:textId="77777777" w:rsidR="006B2FA5" w:rsidRPr="006B2FA5" w:rsidRDefault="006B2FA5" w:rsidP="00210B59">
      <w:pPr>
        <w:pStyle w:val="RRBullet1"/>
      </w:pPr>
      <w:r w:rsidRPr="006B2FA5">
        <w:t>Throughout this document and consistent with the requirements under 42 CFR 438.4(a), the term “actuarially sound” will be defined as in ASOP 49:</w:t>
      </w:r>
    </w:p>
    <w:p w14:paraId="55FC5899" w14:textId="36CC33E6" w:rsidR="00CE2634" w:rsidRDefault="006B2FA5" w:rsidP="00210B59">
      <w:pPr>
        <w:pStyle w:val="RRBody"/>
        <w:rPr>
          <w:i/>
        </w:rPr>
      </w:pPr>
      <w:r w:rsidRPr="002C7D4E">
        <w:rPr>
          <w:i/>
        </w:rPr>
        <w:t>“Medicaid capitation rates are “actuarially sound” if, for business for which the certification is being prepared and for the period covered by the certification, projected capitation rates and other revenue sources provide for all reasonable, appropriate, and attainable costs. For purposes of this definition, other revenue sources include, but are not limited to, expected reinsurance and governmental stop-loss cash flows, governmental risk-adjustment cash flows, and investment income. For purposes of this definition, costs include, but are not limited to, expected health benefits; health benefit settlement expenses; administrative expenses; the cost of capital, and government-mandated assessments, fees, and taxes.”</w:t>
      </w:r>
      <w:r w:rsidRPr="006B2FA5">
        <w:rPr>
          <w:vertAlign w:val="superscript"/>
        </w:rPr>
        <w:footnoteReference w:id="2"/>
      </w:r>
    </w:p>
    <w:p w14:paraId="4D91D059" w14:textId="77777777" w:rsidR="00D87AF1" w:rsidRDefault="00F1282B" w:rsidP="00210B59">
      <w:pPr>
        <w:pStyle w:val="RRBody"/>
        <w:rPr>
          <w:szCs w:val="18"/>
        </w:rPr>
      </w:pPr>
      <w:r w:rsidRPr="007C25A1">
        <w:rPr>
          <w:szCs w:val="18"/>
        </w:rPr>
        <w:t>The rate methodology was developed in accordance with the three-way contract</w:t>
      </w:r>
      <w:r>
        <w:rPr>
          <w:szCs w:val="18"/>
        </w:rPr>
        <w:t xml:space="preserve"> between EOHHS, CMS, and Neighborhood Health Plan of Rhode Island</w:t>
      </w:r>
      <w:r w:rsidRPr="007C25A1">
        <w:rPr>
          <w:szCs w:val="18"/>
        </w:rPr>
        <w:t>, which dictates that the capitation rates be set to Medicaid costs incurred absent the demonstration prior to the application of demonstration savings.</w:t>
      </w:r>
      <w:r>
        <w:rPr>
          <w:szCs w:val="18"/>
        </w:rPr>
        <w:t xml:space="preserve"> </w:t>
      </w:r>
    </w:p>
    <w:p w14:paraId="11554FFE" w14:textId="3A8F44D6" w:rsidR="003832F6" w:rsidRDefault="00365CE6">
      <w:pPr>
        <w:pStyle w:val="RRBody"/>
        <w:rPr>
          <w:rFonts w:cstheme="minorHAnsi"/>
          <w:szCs w:val="18"/>
        </w:rPr>
      </w:pPr>
      <w:r>
        <w:rPr>
          <w:szCs w:val="18"/>
        </w:rPr>
        <w:t>The SFY 2023 capitation rate development methodology follows the Joint Rate-Setting Process for the Financial Alignment Initiative’s Capitated Model methodology prescribed by CMS</w:t>
      </w:r>
      <w:r>
        <w:rPr>
          <w:rStyle w:val="FootnoteReference"/>
          <w:szCs w:val="18"/>
        </w:rPr>
        <w:footnoteReference w:id="3"/>
      </w:r>
      <w:r>
        <w:rPr>
          <w:szCs w:val="18"/>
        </w:rPr>
        <w:t xml:space="preserve">. </w:t>
      </w:r>
      <w:r w:rsidR="006C7448" w:rsidRPr="006C7448">
        <w:rPr>
          <w:szCs w:val="18"/>
        </w:rPr>
        <w:t xml:space="preserve">During the </w:t>
      </w:r>
      <w:r w:rsidR="009F04BB">
        <w:rPr>
          <w:szCs w:val="18"/>
        </w:rPr>
        <w:t>SFY</w:t>
      </w:r>
      <w:r w:rsidR="006C7448">
        <w:rPr>
          <w:szCs w:val="18"/>
        </w:rPr>
        <w:t xml:space="preserve"> </w:t>
      </w:r>
      <w:r w:rsidR="009F04BB">
        <w:rPr>
          <w:szCs w:val="18"/>
        </w:rPr>
        <w:t xml:space="preserve">2021 </w:t>
      </w:r>
      <w:r w:rsidR="006C7448" w:rsidRPr="006C7448">
        <w:rPr>
          <w:szCs w:val="18"/>
        </w:rPr>
        <w:t xml:space="preserve">base data period utilized in developing the </w:t>
      </w:r>
      <w:r w:rsidR="00BB4EE8">
        <w:rPr>
          <w:szCs w:val="18"/>
        </w:rPr>
        <w:t xml:space="preserve">SFY </w:t>
      </w:r>
      <w:r w:rsidR="009F04BB">
        <w:rPr>
          <w:szCs w:val="18"/>
        </w:rPr>
        <w:t>2023</w:t>
      </w:r>
      <w:r w:rsidR="009F04BB" w:rsidRPr="006C7448">
        <w:rPr>
          <w:szCs w:val="18"/>
        </w:rPr>
        <w:t xml:space="preserve"> </w:t>
      </w:r>
      <w:r w:rsidR="006C7448" w:rsidRPr="006C7448">
        <w:rPr>
          <w:szCs w:val="18"/>
        </w:rPr>
        <w:t xml:space="preserve">capitation rates, </w:t>
      </w:r>
      <w:r w:rsidR="00F172A5">
        <w:rPr>
          <w:szCs w:val="18"/>
        </w:rPr>
        <w:t>MMP</w:t>
      </w:r>
      <w:r w:rsidR="005D1CC6">
        <w:rPr>
          <w:szCs w:val="18"/>
        </w:rPr>
        <w:t xml:space="preserve"> </w:t>
      </w:r>
      <w:r w:rsidR="006C7448" w:rsidRPr="006C7448">
        <w:rPr>
          <w:szCs w:val="18"/>
        </w:rPr>
        <w:t xml:space="preserve">eligible members would have been enrolled in </w:t>
      </w:r>
      <w:r w:rsidR="005D1CC6">
        <w:rPr>
          <w:szCs w:val="18"/>
        </w:rPr>
        <w:t xml:space="preserve">the </w:t>
      </w:r>
      <w:r w:rsidR="002F1DF8">
        <w:rPr>
          <w:szCs w:val="18"/>
        </w:rPr>
        <w:t>fee-for-service</w:t>
      </w:r>
      <w:r w:rsidR="006C7448" w:rsidRPr="006C7448">
        <w:rPr>
          <w:szCs w:val="18"/>
        </w:rPr>
        <w:t xml:space="preserve"> </w:t>
      </w:r>
      <w:r w:rsidR="005D1CC6">
        <w:rPr>
          <w:szCs w:val="18"/>
        </w:rPr>
        <w:t xml:space="preserve">delivery system </w:t>
      </w:r>
      <w:r w:rsidR="006C7448" w:rsidRPr="006C7448">
        <w:rPr>
          <w:szCs w:val="18"/>
        </w:rPr>
        <w:t>absent the demonstration</w:t>
      </w:r>
      <w:r w:rsidR="006C7448">
        <w:rPr>
          <w:szCs w:val="18"/>
        </w:rPr>
        <w:t xml:space="preserve">. </w:t>
      </w:r>
      <w:r w:rsidR="00D87AF1">
        <w:rPr>
          <w:szCs w:val="18"/>
        </w:rPr>
        <w:t>W</w:t>
      </w:r>
      <w:r w:rsidR="00573103">
        <w:rPr>
          <w:szCs w:val="18"/>
        </w:rPr>
        <w:t xml:space="preserve">e utilized </w:t>
      </w:r>
      <w:r w:rsidR="002F1DF8">
        <w:rPr>
          <w:szCs w:val="18"/>
        </w:rPr>
        <w:t>Medicaid fee-for-service</w:t>
      </w:r>
      <w:r w:rsidR="00573103">
        <w:rPr>
          <w:szCs w:val="18"/>
        </w:rPr>
        <w:t xml:space="preserve"> experience as the base data for purposes of the </w:t>
      </w:r>
      <w:r w:rsidR="0017639B">
        <w:rPr>
          <w:szCs w:val="18"/>
        </w:rPr>
        <w:t xml:space="preserve">SFY </w:t>
      </w:r>
      <w:r w:rsidR="009F04BB">
        <w:rPr>
          <w:szCs w:val="18"/>
        </w:rPr>
        <w:t>2023</w:t>
      </w:r>
      <w:r w:rsidR="009F04BB" w:rsidRPr="006C7448">
        <w:rPr>
          <w:szCs w:val="18"/>
        </w:rPr>
        <w:t xml:space="preserve"> </w:t>
      </w:r>
      <w:r w:rsidR="00F172A5">
        <w:rPr>
          <w:szCs w:val="18"/>
        </w:rPr>
        <w:t>MMP</w:t>
      </w:r>
      <w:r w:rsidR="00573103">
        <w:rPr>
          <w:szCs w:val="18"/>
        </w:rPr>
        <w:t xml:space="preserve"> capitation rate developmen</w:t>
      </w:r>
      <w:r>
        <w:rPr>
          <w:szCs w:val="18"/>
        </w:rPr>
        <w:t xml:space="preserve">t. </w:t>
      </w:r>
      <w:r w:rsidR="00093F7F">
        <w:rPr>
          <w:szCs w:val="18"/>
        </w:rPr>
        <w:t xml:space="preserve">As discussed further in </w:t>
      </w:r>
      <w:r w:rsidR="00093F7F" w:rsidRPr="00630096">
        <w:rPr>
          <w:szCs w:val="18"/>
        </w:rPr>
        <w:t>Section I.2</w:t>
      </w:r>
      <w:r w:rsidR="00093F7F">
        <w:rPr>
          <w:szCs w:val="18"/>
        </w:rPr>
        <w:t>, w</w:t>
      </w:r>
      <w:r w:rsidR="00573103">
        <w:rPr>
          <w:szCs w:val="18"/>
        </w:rPr>
        <w:t xml:space="preserve">e determined that this was the most appropriate data source available to develop the Medicaid component of the capitation rates </w:t>
      </w:r>
      <w:r w:rsidR="00152B5A">
        <w:rPr>
          <w:szCs w:val="18"/>
        </w:rPr>
        <w:t>assuming</w:t>
      </w:r>
      <w:r w:rsidR="00573103">
        <w:rPr>
          <w:szCs w:val="18"/>
        </w:rPr>
        <w:t xml:space="preserve"> the demonstration did not exist. </w:t>
      </w:r>
      <w:r w:rsidR="003832F6">
        <w:rPr>
          <w:rFonts w:cstheme="minorHAnsi"/>
          <w:szCs w:val="18"/>
        </w:rPr>
        <w:br w:type="page"/>
      </w:r>
    </w:p>
    <w:p w14:paraId="4CDFC172" w14:textId="621894A2" w:rsidR="00CE2634" w:rsidRPr="00210B59" w:rsidRDefault="00CE2634" w:rsidP="00210B59">
      <w:pPr>
        <w:pStyle w:val="Heading3"/>
      </w:pPr>
      <w:bookmarkStart w:id="17" w:name="_Toc484701127"/>
      <w:bookmarkStart w:id="18" w:name="_Toc504388973"/>
      <w:bookmarkStart w:id="19" w:name="_Toc8984986"/>
      <w:bookmarkStart w:id="20" w:name="_Toc109295471"/>
      <w:bookmarkEnd w:id="15"/>
      <w:bookmarkEnd w:id="16"/>
      <w:r w:rsidRPr="00210B59">
        <w:lastRenderedPageBreak/>
        <w:t>Rate Development Standards</w:t>
      </w:r>
      <w:bookmarkEnd w:id="17"/>
      <w:bookmarkEnd w:id="18"/>
      <w:bookmarkEnd w:id="19"/>
      <w:bookmarkEnd w:id="20"/>
    </w:p>
    <w:p w14:paraId="769EB02B" w14:textId="25509B2A" w:rsidR="0080747D" w:rsidRDefault="0080747D" w:rsidP="00210B59">
      <w:pPr>
        <w:pStyle w:val="Heading4"/>
      </w:pPr>
      <w:bookmarkStart w:id="21" w:name="_Toc109295472"/>
      <w:bookmarkStart w:id="22" w:name="_Toc484701128"/>
      <w:bookmarkStart w:id="23" w:name="_Toc504388974"/>
      <w:bookmarkStart w:id="24" w:name="_Toc8984987"/>
      <w:bookmarkStart w:id="25" w:name="_Toc305085234"/>
      <w:bookmarkStart w:id="26" w:name="_Toc431546431"/>
      <w:r>
        <w:t xml:space="preserve">Rate </w:t>
      </w:r>
      <w:r w:rsidR="00F20243">
        <w:t>ranges</w:t>
      </w:r>
      <w:bookmarkEnd w:id="21"/>
    </w:p>
    <w:p w14:paraId="14C29B4B" w14:textId="205D506F" w:rsidR="0080747D" w:rsidRPr="005965D4" w:rsidRDefault="0080747D" w:rsidP="003C47F4">
      <w:bookmarkStart w:id="27" w:name="_Hlk76645818"/>
      <w:r>
        <w:t xml:space="preserve">The SFY </w:t>
      </w:r>
      <w:r w:rsidR="009F04BB">
        <w:t xml:space="preserve">2023 </w:t>
      </w:r>
      <w:r w:rsidR="007E0B26">
        <w:t xml:space="preserve">MMP capitation rate development does not </w:t>
      </w:r>
      <w:r w:rsidR="005D4390">
        <w:t>utilize</w:t>
      </w:r>
      <w:r w:rsidR="007E0B26">
        <w:t xml:space="preserve"> rate ranges.</w:t>
      </w:r>
    </w:p>
    <w:p w14:paraId="3F0D006A" w14:textId="7112BB0C" w:rsidR="00CE2634" w:rsidRPr="00210B59" w:rsidRDefault="00CE2634" w:rsidP="00210B59">
      <w:pPr>
        <w:pStyle w:val="Heading4"/>
      </w:pPr>
      <w:bookmarkStart w:id="28" w:name="_Toc109295473"/>
      <w:bookmarkEnd w:id="27"/>
      <w:r w:rsidRPr="00210B59">
        <w:t>Annual basis</w:t>
      </w:r>
      <w:bookmarkEnd w:id="22"/>
      <w:bookmarkEnd w:id="23"/>
      <w:bookmarkEnd w:id="24"/>
      <w:bookmarkEnd w:id="28"/>
    </w:p>
    <w:p w14:paraId="70D5BFB7" w14:textId="4EA5458C" w:rsidR="00AD5657" w:rsidRPr="00A81F54" w:rsidRDefault="00A81F54" w:rsidP="00210B59">
      <w:pPr>
        <w:pStyle w:val="RRBody"/>
      </w:pPr>
      <w:r w:rsidRPr="00A81F54">
        <w:t xml:space="preserve">The actuarial certification contained in this report is effective for the capitation rates for the </w:t>
      </w:r>
      <w:r w:rsidR="00D731CB">
        <w:t>twelve</w:t>
      </w:r>
      <w:r w:rsidR="007E1FFE">
        <w:t xml:space="preserve">-month </w:t>
      </w:r>
      <w:r w:rsidRPr="00A81F54">
        <w:t xml:space="preserve">rate period from </w:t>
      </w:r>
      <w:r w:rsidR="006412E6">
        <w:t xml:space="preserve">July 1, </w:t>
      </w:r>
      <w:r w:rsidR="009F04BB">
        <w:t xml:space="preserve">2022 </w:t>
      </w:r>
      <w:r w:rsidR="006B2FA5">
        <w:t xml:space="preserve">through </w:t>
      </w:r>
      <w:r w:rsidR="00AF1DD5">
        <w:t xml:space="preserve">June 30, </w:t>
      </w:r>
      <w:r w:rsidR="009F04BB">
        <w:t>2023</w:t>
      </w:r>
      <w:r w:rsidRPr="00A81F54">
        <w:t>.</w:t>
      </w:r>
      <w:r w:rsidR="00F9038D">
        <w:t xml:space="preserve"> </w:t>
      </w:r>
    </w:p>
    <w:p w14:paraId="5328CE2F" w14:textId="77777777" w:rsidR="00CE2634" w:rsidRPr="008335E4" w:rsidRDefault="00CE2634" w:rsidP="00210B59">
      <w:pPr>
        <w:pStyle w:val="Heading4"/>
      </w:pPr>
      <w:bookmarkStart w:id="29" w:name="_Toc484701129"/>
      <w:bookmarkStart w:id="30" w:name="_Toc504388975"/>
      <w:bookmarkStart w:id="31" w:name="_Toc8984988"/>
      <w:bookmarkStart w:id="32" w:name="_Toc109295474"/>
      <w:r w:rsidRPr="008335E4">
        <w:t>Required elements</w:t>
      </w:r>
      <w:bookmarkEnd w:id="29"/>
      <w:bookmarkEnd w:id="30"/>
      <w:bookmarkEnd w:id="31"/>
      <w:bookmarkEnd w:id="32"/>
    </w:p>
    <w:p w14:paraId="5F7AC0E8" w14:textId="77777777" w:rsidR="00CE2634" w:rsidRPr="00210B59" w:rsidRDefault="00CE2634" w:rsidP="00210B59">
      <w:pPr>
        <w:pStyle w:val="Heading5"/>
      </w:pPr>
      <w:bookmarkStart w:id="33" w:name="_Toc484701130"/>
      <w:bookmarkStart w:id="34" w:name="_Toc504388976"/>
      <w:r w:rsidRPr="00210B59">
        <w:t>Actuarial certification</w:t>
      </w:r>
      <w:bookmarkEnd w:id="33"/>
      <w:bookmarkEnd w:id="34"/>
    </w:p>
    <w:bookmarkEnd w:id="25"/>
    <w:bookmarkEnd w:id="26"/>
    <w:p w14:paraId="7F76B2F1" w14:textId="18FC64B0" w:rsidR="00414E5D" w:rsidRDefault="000D3679" w:rsidP="009F0D8C">
      <w:pPr>
        <w:pStyle w:val="RRBody"/>
        <w:rPr>
          <w:rFonts w:cstheme="minorHAnsi"/>
          <w:b/>
          <w:color w:val="555B5D" w:themeColor="accent3" w:themeShade="BF"/>
          <w:sz w:val="20"/>
          <w:szCs w:val="20"/>
        </w:rPr>
      </w:pPr>
      <w:r w:rsidRPr="000D3679">
        <w:t xml:space="preserve">The actuarial certification, signed by </w:t>
      </w:r>
      <w:r w:rsidR="00B00CC4">
        <w:t>Ian McCulla</w:t>
      </w:r>
      <w:r w:rsidRPr="000D3679">
        <w:t xml:space="preserve">, FSA, is in Appendix 1. Mr. </w:t>
      </w:r>
      <w:r w:rsidR="00B00CC4">
        <w:t xml:space="preserve">McCulla </w:t>
      </w:r>
      <w:r w:rsidRPr="000D3679">
        <w:t>meets the qualification standards established by the American Academy of Actuaries, follows the practice standards established by the Actuarial Standards Board, and certifies that the final rates meet the applicable standards in 42 CFR</w:t>
      </w:r>
      <w:r w:rsidR="006A1F9C">
        <w:t xml:space="preserve"> </w:t>
      </w:r>
      <w:r w:rsidR="006A1F9C" w:rsidRPr="006A1F9C">
        <w:t>§</w:t>
      </w:r>
      <w:r w:rsidRPr="000D3679">
        <w:t xml:space="preserve">438 that are effective for the </w:t>
      </w:r>
      <w:r w:rsidR="007E1FFE">
        <w:t xml:space="preserve">July 1, </w:t>
      </w:r>
      <w:r w:rsidR="00AF0E17">
        <w:t xml:space="preserve">2022 </w:t>
      </w:r>
      <w:r w:rsidR="007E1FFE">
        <w:t xml:space="preserve">through </w:t>
      </w:r>
      <w:r w:rsidR="00AF1DD5">
        <w:t xml:space="preserve">June 30, </w:t>
      </w:r>
      <w:r w:rsidR="00AF0E17">
        <w:t>2023</w:t>
      </w:r>
      <w:r w:rsidR="00AF0E17" w:rsidRPr="000D3679">
        <w:t xml:space="preserve"> </w:t>
      </w:r>
      <w:r w:rsidR="00F172A5">
        <w:t>MMP</w:t>
      </w:r>
      <w:r w:rsidRPr="000D3679">
        <w:t xml:space="preserve"> program rating period.</w:t>
      </w:r>
      <w:bookmarkStart w:id="35" w:name="_Toc484701131"/>
      <w:bookmarkStart w:id="36" w:name="_Toc504388977"/>
    </w:p>
    <w:p w14:paraId="65C727DA" w14:textId="0DFB5EF6" w:rsidR="00CE2634" w:rsidRPr="000D53E0" w:rsidRDefault="00CE2634" w:rsidP="00210B59">
      <w:pPr>
        <w:pStyle w:val="Heading5"/>
      </w:pPr>
      <w:r w:rsidRPr="000D53E0">
        <w:t>Certified capitation rates for each rate cell</w:t>
      </w:r>
      <w:bookmarkEnd w:id="35"/>
      <w:bookmarkEnd w:id="36"/>
    </w:p>
    <w:p w14:paraId="2450C265" w14:textId="54C8E30F" w:rsidR="00CE2634" w:rsidRPr="00541C09" w:rsidRDefault="00A81F54" w:rsidP="00210B59">
      <w:pPr>
        <w:pStyle w:val="RRBody"/>
        <w:rPr>
          <w:rFonts w:cstheme="minorHAnsi"/>
          <w:szCs w:val="18"/>
        </w:rPr>
      </w:pPr>
      <w:bookmarkStart w:id="37" w:name="_Toc484701132"/>
      <w:r w:rsidRPr="00A81F54">
        <w:t xml:space="preserve">The </w:t>
      </w:r>
      <w:r w:rsidR="009F69D6" w:rsidRPr="009F69D6">
        <w:t xml:space="preserve">certified capitation rates by rate cell are illustrated in Appendix </w:t>
      </w:r>
      <w:r w:rsidR="00742D77">
        <w:t>5</w:t>
      </w:r>
      <w:r w:rsidR="009F69D6" w:rsidRPr="009F69D6">
        <w:t xml:space="preserve">. </w:t>
      </w:r>
      <w:r w:rsidR="00D1585E">
        <w:t>M</w:t>
      </w:r>
      <w:r w:rsidR="009F69D6" w:rsidRPr="009F69D6">
        <w:t xml:space="preserve">ember months illustrated in Appendix </w:t>
      </w:r>
      <w:r w:rsidR="00742D77">
        <w:t>5</w:t>
      </w:r>
      <w:r w:rsidR="009F69D6" w:rsidRPr="009F69D6">
        <w:t xml:space="preserve"> represent </w:t>
      </w:r>
      <w:r w:rsidR="00D1585E">
        <w:t xml:space="preserve">projected </w:t>
      </w:r>
      <w:r w:rsidR="002623DD">
        <w:t>enrollment</w:t>
      </w:r>
      <w:r w:rsidR="002623DD" w:rsidRPr="009F69D6">
        <w:t xml:space="preserve"> </w:t>
      </w:r>
      <w:r w:rsidR="009F69D6" w:rsidRPr="009F69D6">
        <w:t xml:space="preserve">for </w:t>
      </w:r>
      <w:r w:rsidR="002623DD">
        <w:t xml:space="preserve">the July </w:t>
      </w:r>
      <w:r w:rsidR="00AF0E17">
        <w:t xml:space="preserve">2022 </w:t>
      </w:r>
      <w:r w:rsidR="002623DD">
        <w:t xml:space="preserve">through </w:t>
      </w:r>
      <w:r w:rsidR="00AF1DD5">
        <w:t xml:space="preserve">June </w:t>
      </w:r>
      <w:r w:rsidR="00AF0E17">
        <w:t xml:space="preserve">2023 </w:t>
      </w:r>
      <w:r w:rsidR="002623DD">
        <w:t>time period</w:t>
      </w:r>
      <w:r w:rsidR="00C35322">
        <w:t xml:space="preserve">. </w:t>
      </w:r>
    </w:p>
    <w:p w14:paraId="493E7242" w14:textId="77777777" w:rsidR="00CE2634" w:rsidRPr="000D53E0" w:rsidRDefault="00CE2634" w:rsidP="00210B59">
      <w:pPr>
        <w:pStyle w:val="Heading5"/>
      </w:pPr>
      <w:bookmarkStart w:id="38" w:name="_Toc484701133"/>
      <w:bookmarkStart w:id="39" w:name="_Toc504388979"/>
      <w:bookmarkEnd w:id="37"/>
      <w:r w:rsidRPr="000D53E0">
        <w:t>Program information</w:t>
      </w:r>
      <w:bookmarkEnd w:id="38"/>
      <w:bookmarkEnd w:id="39"/>
    </w:p>
    <w:p w14:paraId="7BB23872" w14:textId="1144C046" w:rsidR="00CE2634" w:rsidRPr="00210B59" w:rsidRDefault="00CF3F10">
      <w:pPr>
        <w:pStyle w:val="Heading6"/>
      </w:pPr>
      <w:bookmarkStart w:id="40" w:name="_Toc484701134"/>
      <w:bookmarkStart w:id="41" w:name="_Toc504388980"/>
      <w:r w:rsidRPr="00CF3F10">
        <w:t xml:space="preserve">Medicare-Medicaid Plan </w:t>
      </w:r>
      <w:r>
        <w:t xml:space="preserve">(MMP) </w:t>
      </w:r>
      <w:r w:rsidR="00127884">
        <w:t>m</w:t>
      </w:r>
      <w:r w:rsidR="00CE2634" w:rsidRPr="00210B59">
        <w:t xml:space="preserve">anaged </w:t>
      </w:r>
      <w:r w:rsidR="00127884">
        <w:t>c</w:t>
      </w:r>
      <w:r w:rsidR="00CE2634" w:rsidRPr="00210B59">
        <w:t>are program</w:t>
      </w:r>
      <w:bookmarkEnd w:id="40"/>
      <w:bookmarkEnd w:id="41"/>
    </w:p>
    <w:p w14:paraId="04E98B1E" w14:textId="5B984B12" w:rsidR="005705EA" w:rsidRDefault="00E1295D" w:rsidP="00210B59">
      <w:pPr>
        <w:pStyle w:val="RRBody"/>
      </w:pPr>
      <w:r>
        <w:t xml:space="preserve">EOHHS operates the </w:t>
      </w:r>
      <w:r w:rsidR="00F172A5">
        <w:t>MMP</w:t>
      </w:r>
      <w:r w:rsidR="00127884">
        <w:t xml:space="preserve"> </w:t>
      </w:r>
      <w:r>
        <w:t>m</w:t>
      </w:r>
      <w:r w:rsidRPr="003D0595">
        <w:t xml:space="preserve">anaged </w:t>
      </w:r>
      <w:r>
        <w:t>c</w:t>
      </w:r>
      <w:r w:rsidRPr="003D0595">
        <w:t xml:space="preserve">are program for its population </w:t>
      </w:r>
      <w:r w:rsidR="00477A63">
        <w:t xml:space="preserve">dual eligible for </w:t>
      </w:r>
      <w:r w:rsidRPr="003D0595">
        <w:t xml:space="preserve">Medicaid </w:t>
      </w:r>
      <w:r w:rsidR="00477A63">
        <w:t>and Medicare</w:t>
      </w:r>
      <w:r w:rsidRPr="003D0595">
        <w:t>.</w:t>
      </w:r>
      <w:r w:rsidR="00477A63">
        <w:t xml:space="preserve"> </w:t>
      </w:r>
      <w:r w:rsidR="002C1DA6">
        <w:t xml:space="preserve">Under </w:t>
      </w:r>
      <w:r>
        <w:t xml:space="preserve">the </w:t>
      </w:r>
      <w:r w:rsidR="00F172A5">
        <w:t>MMP</w:t>
      </w:r>
      <w:r>
        <w:t xml:space="preserve"> </w:t>
      </w:r>
      <w:r w:rsidR="002C1DA6">
        <w:t xml:space="preserve">program, comprehensive services are provided through </w:t>
      </w:r>
      <w:r w:rsidR="00127884" w:rsidRPr="00127884">
        <w:t>Neighborhood Health Plan of Rhode Island</w:t>
      </w:r>
      <w:r w:rsidR="00EC1A7C">
        <w:t xml:space="preserve"> (NHPRI)</w:t>
      </w:r>
      <w:r w:rsidR="00127884">
        <w:t>.</w:t>
      </w:r>
      <w:r w:rsidR="009F0D8C">
        <w:t xml:space="preserve"> </w:t>
      </w:r>
      <w:r w:rsidR="002C1DA6">
        <w:t xml:space="preserve">Benefits covered under the </w:t>
      </w:r>
      <w:r w:rsidR="00D3279E">
        <w:t xml:space="preserve">Medicaid managed </w:t>
      </w:r>
      <w:r w:rsidR="002C1DA6">
        <w:t>prog</w:t>
      </w:r>
      <w:r w:rsidR="003238B2">
        <w:t xml:space="preserve">ram are comprehensive </w:t>
      </w:r>
      <w:r w:rsidR="005B1ED0">
        <w:t xml:space="preserve">with limited </w:t>
      </w:r>
      <w:r w:rsidR="006F1840">
        <w:t>out-of-plan services being covered through the fee-for-service delivery system</w:t>
      </w:r>
      <w:r w:rsidR="008F543B">
        <w:t>.</w:t>
      </w:r>
      <w:r w:rsidR="006F1840">
        <w:t xml:space="preserve"> </w:t>
      </w:r>
      <w:r w:rsidR="00477A63">
        <w:t xml:space="preserve">A full list of services identified as out-of-plan and excluded from the base data used in the SFY </w:t>
      </w:r>
      <w:r w:rsidR="0091314C">
        <w:t xml:space="preserve">2023 </w:t>
      </w:r>
      <w:r w:rsidR="00477A63">
        <w:t xml:space="preserve">capitation rate development is included in Appendix 2. </w:t>
      </w:r>
      <w:r w:rsidR="002C1DA6">
        <w:t xml:space="preserve">The following table outlines the core benefits covered under the </w:t>
      </w:r>
      <w:r w:rsidR="00F172A5">
        <w:t>MMP</w:t>
      </w:r>
      <w:r w:rsidR="002C1DA6">
        <w:t xml:space="preserve"> capitation rate</w:t>
      </w:r>
      <w:r w:rsidR="00DB79EC">
        <w:t>s</w:t>
      </w:r>
      <w:r w:rsidR="005C5A81">
        <w:t>.</w:t>
      </w:r>
    </w:p>
    <w:tbl>
      <w:tblPr>
        <w:tblW w:w="9450" w:type="dxa"/>
        <w:tblLook w:val="04A0" w:firstRow="1" w:lastRow="0" w:firstColumn="1" w:lastColumn="0" w:noHBand="0" w:noVBand="1"/>
      </w:tblPr>
      <w:tblGrid>
        <w:gridCol w:w="4545"/>
        <w:gridCol w:w="4905"/>
      </w:tblGrid>
      <w:tr w:rsidR="00DB79EC" w:rsidRPr="00084E88" w14:paraId="5D9DCA50" w14:textId="77777777" w:rsidTr="00647A58">
        <w:trPr>
          <w:trHeight w:val="395"/>
        </w:trPr>
        <w:tc>
          <w:tcPr>
            <w:tcW w:w="9450" w:type="dxa"/>
            <w:gridSpan w:val="2"/>
            <w:tcBorders>
              <w:top w:val="single" w:sz="4" w:space="0" w:color="E8E9E9"/>
              <w:left w:val="nil"/>
              <w:bottom w:val="nil"/>
              <w:right w:val="nil"/>
            </w:tcBorders>
            <w:shd w:val="clear" w:color="auto" w:fill="auto"/>
            <w:noWrap/>
            <w:vAlign w:val="center"/>
            <w:hideMark/>
          </w:tcPr>
          <w:p w14:paraId="191BE145" w14:textId="6B87468F" w:rsidR="00DB79EC" w:rsidRPr="00084E88" w:rsidRDefault="00670041" w:rsidP="00647A58">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 xml:space="preserve">FIGURE 3: </w:t>
            </w:r>
            <w:r w:rsidR="00ED634B">
              <w:rPr>
                <w:rFonts w:ascii="Arial" w:eastAsia="Times New Roman" w:hAnsi="Arial" w:cs="Arial"/>
                <w:b/>
                <w:bCs/>
                <w:color w:val="0081E3"/>
                <w:szCs w:val="18"/>
              </w:rPr>
              <w:t xml:space="preserve">MMP </w:t>
            </w:r>
            <w:r>
              <w:rPr>
                <w:rFonts w:ascii="Arial" w:eastAsia="Times New Roman" w:hAnsi="Arial" w:cs="Arial"/>
                <w:b/>
                <w:bCs/>
                <w:color w:val="0081E3"/>
                <w:szCs w:val="18"/>
              </w:rPr>
              <w:t>BENEFIT</w:t>
            </w:r>
            <w:r w:rsidRPr="00084E88">
              <w:rPr>
                <w:rFonts w:ascii="Arial" w:eastAsia="Times New Roman" w:hAnsi="Arial" w:cs="Arial"/>
                <w:b/>
                <w:bCs/>
                <w:color w:val="0081E3"/>
                <w:szCs w:val="18"/>
              </w:rPr>
              <w:t xml:space="preserve"> </w:t>
            </w:r>
            <w:r>
              <w:rPr>
                <w:rFonts w:ascii="Arial" w:eastAsia="Times New Roman" w:hAnsi="Arial" w:cs="Arial"/>
                <w:b/>
                <w:bCs/>
                <w:color w:val="0081E3"/>
                <w:szCs w:val="18"/>
              </w:rPr>
              <w:t>PACKAGE</w:t>
            </w:r>
          </w:p>
        </w:tc>
      </w:tr>
      <w:tr w:rsidR="00DB79EC" w:rsidRPr="00084E88" w14:paraId="63BF50D1" w14:textId="77777777" w:rsidTr="00772740">
        <w:trPr>
          <w:trHeight w:val="300"/>
        </w:trPr>
        <w:tc>
          <w:tcPr>
            <w:tcW w:w="4545" w:type="dxa"/>
            <w:tcBorders>
              <w:top w:val="single" w:sz="4" w:space="0" w:color="BFBFBF" w:themeColor="background1" w:themeShade="BF"/>
              <w:left w:val="nil"/>
              <w:bottom w:val="nil"/>
              <w:right w:val="single" w:sz="4" w:space="0" w:color="BFBFBF" w:themeColor="background1" w:themeShade="BF"/>
            </w:tcBorders>
            <w:shd w:val="clear" w:color="auto" w:fill="auto"/>
            <w:vAlign w:val="center"/>
            <w:hideMark/>
          </w:tcPr>
          <w:p w14:paraId="09674C63"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Inpatient and Outpatient Hospital</w:t>
            </w:r>
          </w:p>
        </w:tc>
        <w:tc>
          <w:tcPr>
            <w:tcW w:w="4905" w:type="dxa"/>
            <w:tcBorders>
              <w:top w:val="single" w:sz="4" w:space="0" w:color="BFBFBF" w:themeColor="background1" w:themeShade="BF"/>
              <w:left w:val="single" w:sz="4" w:space="0" w:color="BFBFBF" w:themeColor="background1" w:themeShade="BF"/>
              <w:bottom w:val="nil"/>
              <w:right w:val="nil"/>
            </w:tcBorders>
            <w:shd w:val="clear" w:color="auto" w:fill="auto"/>
            <w:vAlign w:val="center"/>
            <w:hideMark/>
          </w:tcPr>
          <w:p w14:paraId="5AEA25F7"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Services of Other Practitioners</w:t>
            </w:r>
          </w:p>
        </w:tc>
      </w:tr>
      <w:tr w:rsidR="00DB79EC" w:rsidRPr="00084E88" w14:paraId="3B933A89" w14:textId="77777777" w:rsidTr="00772740">
        <w:trPr>
          <w:trHeight w:val="300"/>
        </w:trPr>
        <w:tc>
          <w:tcPr>
            <w:tcW w:w="4545" w:type="dxa"/>
            <w:tcBorders>
              <w:top w:val="nil"/>
              <w:left w:val="nil"/>
              <w:bottom w:val="nil"/>
              <w:right w:val="single" w:sz="4" w:space="0" w:color="BFBFBF" w:themeColor="background1" w:themeShade="BF"/>
            </w:tcBorders>
            <w:shd w:val="clear" w:color="000000" w:fill="E8E9E9"/>
            <w:vAlign w:val="center"/>
            <w:hideMark/>
          </w:tcPr>
          <w:p w14:paraId="3D8C44D5"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Therapies</w:t>
            </w:r>
          </w:p>
        </w:tc>
        <w:tc>
          <w:tcPr>
            <w:tcW w:w="4905" w:type="dxa"/>
            <w:tcBorders>
              <w:top w:val="nil"/>
              <w:left w:val="single" w:sz="4" w:space="0" w:color="BFBFBF" w:themeColor="background1" w:themeShade="BF"/>
              <w:bottom w:val="nil"/>
              <w:right w:val="nil"/>
            </w:tcBorders>
            <w:shd w:val="clear" w:color="000000" w:fill="E8E9E9"/>
            <w:vAlign w:val="center"/>
          </w:tcPr>
          <w:p w14:paraId="4939703A"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Court Ordered Mental Health and Substance Use Services</w:t>
            </w:r>
          </w:p>
        </w:tc>
      </w:tr>
      <w:tr w:rsidR="00DB79EC" w:rsidRPr="00084E88" w14:paraId="6FA0D922" w14:textId="77777777" w:rsidTr="00B97205">
        <w:trPr>
          <w:trHeight w:val="288"/>
        </w:trPr>
        <w:tc>
          <w:tcPr>
            <w:tcW w:w="4545" w:type="dxa"/>
            <w:tcBorders>
              <w:top w:val="nil"/>
              <w:left w:val="nil"/>
              <w:bottom w:val="nil"/>
              <w:right w:val="single" w:sz="4" w:space="0" w:color="BFBFBF" w:themeColor="background1" w:themeShade="BF"/>
            </w:tcBorders>
            <w:shd w:val="clear" w:color="auto" w:fill="auto"/>
            <w:vAlign w:val="center"/>
            <w:hideMark/>
          </w:tcPr>
          <w:p w14:paraId="1A396EF7"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Physician Services</w:t>
            </w:r>
          </w:p>
        </w:tc>
        <w:tc>
          <w:tcPr>
            <w:tcW w:w="4905" w:type="dxa"/>
            <w:tcBorders>
              <w:top w:val="nil"/>
              <w:left w:val="single" w:sz="4" w:space="0" w:color="BFBFBF" w:themeColor="background1" w:themeShade="BF"/>
              <w:bottom w:val="nil"/>
              <w:right w:val="nil"/>
            </w:tcBorders>
            <w:shd w:val="clear" w:color="auto" w:fill="auto"/>
            <w:vAlign w:val="center"/>
          </w:tcPr>
          <w:p w14:paraId="2862C15D"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Podiatry Services</w:t>
            </w:r>
          </w:p>
        </w:tc>
      </w:tr>
      <w:tr w:rsidR="00DB79EC" w:rsidRPr="00084E88" w14:paraId="7CBC17F7" w14:textId="77777777" w:rsidTr="00B97205">
        <w:trPr>
          <w:trHeight w:val="270"/>
        </w:trPr>
        <w:tc>
          <w:tcPr>
            <w:tcW w:w="4545" w:type="dxa"/>
            <w:tcBorders>
              <w:top w:val="nil"/>
              <w:left w:val="nil"/>
              <w:bottom w:val="nil"/>
              <w:right w:val="single" w:sz="4" w:space="0" w:color="BFBFBF" w:themeColor="background1" w:themeShade="BF"/>
            </w:tcBorders>
            <w:shd w:val="clear" w:color="000000" w:fill="E8E9E9"/>
            <w:vAlign w:val="center"/>
            <w:hideMark/>
          </w:tcPr>
          <w:p w14:paraId="08B6F114"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Family Planning Services</w:t>
            </w:r>
          </w:p>
        </w:tc>
        <w:tc>
          <w:tcPr>
            <w:tcW w:w="4905" w:type="dxa"/>
            <w:tcBorders>
              <w:top w:val="nil"/>
              <w:left w:val="single" w:sz="4" w:space="0" w:color="BFBFBF" w:themeColor="background1" w:themeShade="BF"/>
              <w:bottom w:val="nil"/>
              <w:right w:val="nil"/>
            </w:tcBorders>
            <w:shd w:val="clear" w:color="000000" w:fill="E8E9E9"/>
            <w:vAlign w:val="center"/>
          </w:tcPr>
          <w:p w14:paraId="6D4B4C54"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Optometry Services</w:t>
            </w:r>
          </w:p>
        </w:tc>
      </w:tr>
      <w:tr w:rsidR="00DB79EC" w:rsidRPr="00084E88" w14:paraId="7E45D474" w14:textId="77777777" w:rsidTr="00772740">
        <w:trPr>
          <w:trHeight w:val="300"/>
        </w:trPr>
        <w:tc>
          <w:tcPr>
            <w:tcW w:w="4545" w:type="dxa"/>
            <w:tcBorders>
              <w:top w:val="nil"/>
              <w:left w:val="nil"/>
              <w:bottom w:val="nil"/>
              <w:right w:val="single" w:sz="4" w:space="0" w:color="BFBFBF" w:themeColor="background1" w:themeShade="BF"/>
            </w:tcBorders>
            <w:shd w:val="clear" w:color="auto" w:fill="auto"/>
            <w:vAlign w:val="center"/>
            <w:hideMark/>
          </w:tcPr>
          <w:p w14:paraId="56F05CD5"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Prescription and Non-Prescription Drugs</w:t>
            </w:r>
          </w:p>
        </w:tc>
        <w:tc>
          <w:tcPr>
            <w:tcW w:w="4905" w:type="dxa"/>
            <w:tcBorders>
              <w:top w:val="nil"/>
              <w:left w:val="single" w:sz="4" w:space="0" w:color="BFBFBF" w:themeColor="background1" w:themeShade="BF"/>
              <w:bottom w:val="nil"/>
              <w:right w:val="nil"/>
            </w:tcBorders>
            <w:shd w:val="clear" w:color="auto" w:fill="auto"/>
            <w:vAlign w:val="center"/>
          </w:tcPr>
          <w:p w14:paraId="5E264C31"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Oral Health</w:t>
            </w:r>
          </w:p>
        </w:tc>
      </w:tr>
      <w:tr w:rsidR="00DB79EC" w:rsidRPr="00084E88" w14:paraId="3081C220" w14:textId="77777777" w:rsidTr="00772740">
        <w:trPr>
          <w:trHeight w:val="300"/>
        </w:trPr>
        <w:tc>
          <w:tcPr>
            <w:tcW w:w="4545" w:type="dxa"/>
            <w:tcBorders>
              <w:top w:val="nil"/>
              <w:left w:val="nil"/>
              <w:bottom w:val="nil"/>
              <w:right w:val="single" w:sz="4" w:space="0" w:color="BFBFBF" w:themeColor="background1" w:themeShade="BF"/>
            </w:tcBorders>
            <w:shd w:val="clear" w:color="000000" w:fill="E8E9E9"/>
            <w:vAlign w:val="center"/>
            <w:hideMark/>
          </w:tcPr>
          <w:p w14:paraId="57F4727B"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Laboratory, Radiology, and Diagnostic Services</w:t>
            </w:r>
          </w:p>
        </w:tc>
        <w:tc>
          <w:tcPr>
            <w:tcW w:w="4905" w:type="dxa"/>
            <w:tcBorders>
              <w:top w:val="nil"/>
              <w:left w:val="single" w:sz="4" w:space="0" w:color="BFBFBF" w:themeColor="background1" w:themeShade="BF"/>
              <w:bottom w:val="nil"/>
              <w:right w:val="nil"/>
            </w:tcBorders>
            <w:shd w:val="clear" w:color="000000" w:fill="E8E9E9"/>
            <w:vAlign w:val="center"/>
          </w:tcPr>
          <w:p w14:paraId="57D8BAC3"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Hospice Services</w:t>
            </w:r>
          </w:p>
        </w:tc>
      </w:tr>
      <w:tr w:rsidR="00DB79EC" w:rsidRPr="00084E88" w14:paraId="04EE82D7" w14:textId="77777777" w:rsidTr="00772740">
        <w:trPr>
          <w:trHeight w:val="480"/>
        </w:trPr>
        <w:tc>
          <w:tcPr>
            <w:tcW w:w="4545" w:type="dxa"/>
            <w:tcBorders>
              <w:top w:val="nil"/>
              <w:left w:val="nil"/>
              <w:bottom w:val="nil"/>
              <w:right w:val="single" w:sz="4" w:space="0" w:color="BFBFBF" w:themeColor="background1" w:themeShade="BF"/>
            </w:tcBorders>
            <w:shd w:val="clear" w:color="auto" w:fill="auto"/>
            <w:vAlign w:val="center"/>
            <w:hideMark/>
          </w:tcPr>
          <w:p w14:paraId="7D01260E"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Mental Health and Substance Use Inpatient and Outpatient Services</w:t>
            </w:r>
          </w:p>
        </w:tc>
        <w:tc>
          <w:tcPr>
            <w:tcW w:w="4905" w:type="dxa"/>
            <w:tcBorders>
              <w:top w:val="nil"/>
              <w:left w:val="single" w:sz="4" w:space="0" w:color="BFBFBF" w:themeColor="background1" w:themeShade="BF"/>
              <w:bottom w:val="nil"/>
              <w:right w:val="nil"/>
            </w:tcBorders>
            <w:shd w:val="clear" w:color="auto" w:fill="auto"/>
            <w:vAlign w:val="center"/>
          </w:tcPr>
          <w:p w14:paraId="301DDE86"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Durable Medical Equipment</w:t>
            </w:r>
          </w:p>
        </w:tc>
      </w:tr>
      <w:tr w:rsidR="00DB79EC" w:rsidRPr="00084E88" w14:paraId="6E231A58" w14:textId="77777777" w:rsidTr="00772740">
        <w:trPr>
          <w:trHeight w:val="300"/>
        </w:trPr>
        <w:tc>
          <w:tcPr>
            <w:tcW w:w="4545" w:type="dxa"/>
            <w:tcBorders>
              <w:top w:val="nil"/>
              <w:left w:val="nil"/>
              <w:bottom w:val="nil"/>
              <w:right w:val="single" w:sz="4" w:space="0" w:color="BFBFBF" w:themeColor="background1" w:themeShade="BF"/>
            </w:tcBorders>
            <w:shd w:val="clear" w:color="000000" w:fill="E8E9E9"/>
            <w:vAlign w:val="center"/>
            <w:hideMark/>
          </w:tcPr>
          <w:p w14:paraId="4D1E2282"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Home Health and Home Care Services</w:t>
            </w:r>
          </w:p>
        </w:tc>
        <w:tc>
          <w:tcPr>
            <w:tcW w:w="4905" w:type="dxa"/>
            <w:tcBorders>
              <w:top w:val="nil"/>
              <w:left w:val="single" w:sz="4" w:space="0" w:color="BFBFBF" w:themeColor="background1" w:themeShade="BF"/>
              <w:bottom w:val="nil"/>
              <w:right w:val="nil"/>
            </w:tcBorders>
            <w:shd w:val="clear" w:color="000000" w:fill="E8E9E9"/>
            <w:vAlign w:val="center"/>
          </w:tcPr>
          <w:p w14:paraId="181EBC1B"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Case Management</w:t>
            </w:r>
          </w:p>
        </w:tc>
      </w:tr>
      <w:tr w:rsidR="00DB79EC" w:rsidRPr="00084E88" w14:paraId="2DC654A7" w14:textId="77777777" w:rsidTr="00772740">
        <w:trPr>
          <w:trHeight w:val="300"/>
        </w:trPr>
        <w:tc>
          <w:tcPr>
            <w:tcW w:w="4545" w:type="dxa"/>
            <w:tcBorders>
              <w:top w:val="nil"/>
              <w:left w:val="nil"/>
              <w:bottom w:val="nil"/>
              <w:right w:val="single" w:sz="4" w:space="0" w:color="BFBFBF" w:themeColor="background1" w:themeShade="BF"/>
            </w:tcBorders>
            <w:shd w:val="clear" w:color="auto" w:fill="auto"/>
            <w:vAlign w:val="center"/>
            <w:hideMark/>
          </w:tcPr>
          <w:p w14:paraId="53B68732"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Preventive Services</w:t>
            </w:r>
          </w:p>
        </w:tc>
        <w:tc>
          <w:tcPr>
            <w:tcW w:w="4905" w:type="dxa"/>
            <w:tcBorders>
              <w:top w:val="nil"/>
              <w:left w:val="single" w:sz="4" w:space="0" w:color="BFBFBF" w:themeColor="background1" w:themeShade="BF"/>
              <w:bottom w:val="nil"/>
              <w:right w:val="nil"/>
            </w:tcBorders>
            <w:shd w:val="clear" w:color="auto" w:fill="auto"/>
            <w:vAlign w:val="center"/>
          </w:tcPr>
          <w:p w14:paraId="1C6D724A"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Transplant Services</w:t>
            </w:r>
          </w:p>
        </w:tc>
      </w:tr>
      <w:tr w:rsidR="00DB79EC" w:rsidRPr="00084E88" w14:paraId="194328CB" w14:textId="77777777" w:rsidTr="00772740">
        <w:trPr>
          <w:trHeight w:val="300"/>
        </w:trPr>
        <w:tc>
          <w:tcPr>
            <w:tcW w:w="4545" w:type="dxa"/>
            <w:tcBorders>
              <w:top w:val="nil"/>
              <w:left w:val="nil"/>
              <w:bottom w:val="nil"/>
              <w:right w:val="single" w:sz="4" w:space="0" w:color="BFBFBF" w:themeColor="background1" w:themeShade="BF"/>
            </w:tcBorders>
            <w:shd w:val="clear" w:color="000000" w:fill="E8E9E9"/>
            <w:vAlign w:val="center"/>
            <w:hideMark/>
          </w:tcPr>
          <w:p w14:paraId="2CAA675B"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Emergency Room Services</w:t>
            </w:r>
          </w:p>
        </w:tc>
        <w:tc>
          <w:tcPr>
            <w:tcW w:w="4905" w:type="dxa"/>
            <w:tcBorders>
              <w:top w:val="nil"/>
              <w:left w:val="single" w:sz="4" w:space="0" w:color="BFBFBF" w:themeColor="background1" w:themeShade="BF"/>
              <w:bottom w:val="nil"/>
              <w:right w:val="nil"/>
            </w:tcBorders>
            <w:shd w:val="clear" w:color="000000" w:fill="E8E9E9"/>
            <w:vAlign w:val="center"/>
          </w:tcPr>
          <w:p w14:paraId="204BDBFC"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Rehabilitation services</w:t>
            </w:r>
          </w:p>
        </w:tc>
      </w:tr>
      <w:tr w:rsidR="00DB79EC" w:rsidRPr="00084E88" w14:paraId="6A7467CC" w14:textId="77777777" w:rsidTr="00772740">
        <w:trPr>
          <w:trHeight w:val="300"/>
        </w:trPr>
        <w:tc>
          <w:tcPr>
            <w:tcW w:w="4545" w:type="dxa"/>
            <w:tcBorders>
              <w:top w:val="nil"/>
              <w:left w:val="nil"/>
              <w:bottom w:val="nil"/>
              <w:right w:val="single" w:sz="4" w:space="0" w:color="BFBFBF" w:themeColor="background1" w:themeShade="BF"/>
            </w:tcBorders>
            <w:shd w:val="clear" w:color="auto" w:fill="auto"/>
            <w:vAlign w:val="center"/>
          </w:tcPr>
          <w:p w14:paraId="4080A9D8"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Emergency Transportation</w:t>
            </w:r>
          </w:p>
        </w:tc>
        <w:tc>
          <w:tcPr>
            <w:tcW w:w="4905" w:type="dxa"/>
            <w:tcBorders>
              <w:top w:val="nil"/>
              <w:left w:val="single" w:sz="4" w:space="0" w:color="BFBFBF" w:themeColor="background1" w:themeShade="BF"/>
              <w:bottom w:val="nil"/>
              <w:right w:val="nil"/>
            </w:tcBorders>
            <w:shd w:val="clear" w:color="auto" w:fill="auto"/>
            <w:vAlign w:val="center"/>
          </w:tcPr>
          <w:p w14:paraId="2300A2DB" w14:textId="4ED44E32" w:rsidR="00DB79EC" w:rsidRPr="00084E88" w:rsidRDefault="00DB79EC" w:rsidP="00772740">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Home and Community Based (HCBS) Waiver </w:t>
            </w:r>
            <w:r w:rsidR="00572ED5">
              <w:rPr>
                <w:rFonts w:ascii="Arial" w:eastAsia="Times New Roman" w:hAnsi="Arial" w:cs="Arial"/>
                <w:color w:val="39414D"/>
                <w:szCs w:val="18"/>
              </w:rPr>
              <w:t>Services</w:t>
            </w:r>
            <w:r w:rsidR="00572ED5">
              <w:rPr>
                <w:rFonts w:ascii="Arial" w:eastAsia="Times New Roman" w:hAnsi="Arial" w:cs="Arial"/>
                <w:color w:val="39414D"/>
                <w:szCs w:val="18"/>
                <w:vertAlign w:val="superscript"/>
              </w:rPr>
              <w:t>1</w:t>
            </w:r>
          </w:p>
        </w:tc>
      </w:tr>
      <w:tr w:rsidR="00DB79EC" w:rsidRPr="00224E82" w14:paraId="16FDC681" w14:textId="77777777" w:rsidTr="00772740">
        <w:trPr>
          <w:trHeight w:val="300"/>
        </w:trPr>
        <w:tc>
          <w:tcPr>
            <w:tcW w:w="4545" w:type="dxa"/>
            <w:tcBorders>
              <w:top w:val="nil"/>
              <w:left w:val="nil"/>
              <w:bottom w:val="single" w:sz="4" w:space="0" w:color="BFBFBF" w:themeColor="background1" w:themeShade="BF"/>
              <w:right w:val="single" w:sz="4" w:space="0" w:color="BFBFBF" w:themeColor="background1" w:themeShade="BF"/>
            </w:tcBorders>
            <w:shd w:val="clear" w:color="auto" w:fill="E8E9E9" w:themeFill="accent2" w:themeFillTint="66"/>
            <w:vAlign w:val="center"/>
          </w:tcPr>
          <w:p w14:paraId="0EBEFED0" w14:textId="41C8BE7D"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Nursing Home and Skilled Nursing Facility Care</w:t>
            </w:r>
          </w:p>
        </w:tc>
        <w:tc>
          <w:tcPr>
            <w:tcW w:w="4905" w:type="dxa"/>
            <w:tcBorders>
              <w:top w:val="nil"/>
              <w:left w:val="single" w:sz="4" w:space="0" w:color="BFBFBF" w:themeColor="background1" w:themeShade="BF"/>
              <w:bottom w:val="single" w:sz="4" w:space="0" w:color="BFBFBF" w:themeColor="background1" w:themeShade="BF"/>
              <w:right w:val="nil"/>
            </w:tcBorders>
            <w:shd w:val="clear" w:color="auto" w:fill="E8E9E9" w:themeFill="accent2" w:themeFillTint="66"/>
            <w:vAlign w:val="center"/>
          </w:tcPr>
          <w:p w14:paraId="50423526" w14:textId="77777777" w:rsidR="00DB79EC" w:rsidRPr="00084E88" w:rsidRDefault="00DB79EC" w:rsidP="00772740">
            <w:pPr>
              <w:spacing w:after="0" w:line="240" w:lineRule="auto"/>
              <w:rPr>
                <w:rFonts w:ascii="Arial" w:eastAsia="Times New Roman" w:hAnsi="Arial" w:cs="Arial"/>
                <w:color w:val="39414D"/>
                <w:szCs w:val="18"/>
              </w:rPr>
            </w:pPr>
            <w:r w:rsidRPr="00084E88">
              <w:rPr>
                <w:rFonts w:ascii="Arial" w:eastAsia="Times New Roman" w:hAnsi="Arial" w:cs="Arial"/>
                <w:color w:val="39414D"/>
                <w:szCs w:val="18"/>
              </w:rPr>
              <w:t>Other Miscellaneous Services</w:t>
            </w:r>
          </w:p>
        </w:tc>
      </w:tr>
    </w:tbl>
    <w:p w14:paraId="264A439C" w14:textId="791A9BC0" w:rsidR="004C4853" w:rsidRDefault="00572ED5" w:rsidP="004C4853">
      <w:pPr>
        <w:pStyle w:val="RRBody"/>
        <w:rPr>
          <w:sz w:val="16"/>
          <w:szCs w:val="16"/>
        </w:rPr>
      </w:pPr>
      <w:r>
        <w:rPr>
          <w:sz w:val="16"/>
          <w:szCs w:val="16"/>
          <w:vertAlign w:val="superscript"/>
        </w:rPr>
        <w:t>1</w:t>
      </w:r>
      <w:r>
        <w:rPr>
          <w:sz w:val="16"/>
          <w:szCs w:val="16"/>
        </w:rPr>
        <w:t xml:space="preserve">Home </w:t>
      </w:r>
      <w:r w:rsidR="004C4853">
        <w:rPr>
          <w:sz w:val="16"/>
          <w:szCs w:val="16"/>
        </w:rPr>
        <w:t xml:space="preserve">and </w:t>
      </w:r>
      <w:r w:rsidR="00837161">
        <w:rPr>
          <w:sz w:val="16"/>
          <w:szCs w:val="16"/>
        </w:rPr>
        <w:t>community-based</w:t>
      </w:r>
      <w:r w:rsidR="004C4853">
        <w:rPr>
          <w:sz w:val="16"/>
          <w:szCs w:val="16"/>
        </w:rPr>
        <w:t xml:space="preserve"> services are </w:t>
      </w:r>
      <w:r w:rsidR="004C4853" w:rsidRPr="00F47642">
        <w:rPr>
          <w:sz w:val="16"/>
          <w:szCs w:val="16"/>
        </w:rPr>
        <w:t xml:space="preserve">only covered </w:t>
      </w:r>
      <w:r w:rsidR="004C4853">
        <w:rPr>
          <w:sz w:val="16"/>
          <w:szCs w:val="16"/>
        </w:rPr>
        <w:t xml:space="preserve">for </w:t>
      </w:r>
      <w:r>
        <w:rPr>
          <w:sz w:val="16"/>
          <w:szCs w:val="16"/>
        </w:rPr>
        <w:t>eligible members</w:t>
      </w:r>
      <w:r w:rsidR="004C4853">
        <w:rPr>
          <w:sz w:val="16"/>
          <w:szCs w:val="16"/>
        </w:rPr>
        <w:t>.</w:t>
      </w:r>
    </w:p>
    <w:p w14:paraId="1402EEDA" w14:textId="096CB35E" w:rsidR="00DB79EC" w:rsidRDefault="00DB79EC" w:rsidP="00210B59">
      <w:pPr>
        <w:pStyle w:val="RRBody"/>
      </w:pPr>
    </w:p>
    <w:p w14:paraId="0775C5C9" w14:textId="39BB9862" w:rsidR="00DB79EC" w:rsidRPr="00807B0D" w:rsidRDefault="00DB79EC" w:rsidP="00DB79EC">
      <w:pPr>
        <w:pStyle w:val="RRBody"/>
      </w:pPr>
      <w:r>
        <w:lastRenderedPageBreak/>
        <w:t xml:space="preserve">Covered services are consistent with the SFY </w:t>
      </w:r>
      <w:r w:rsidR="00AF0E17">
        <w:t xml:space="preserve">2022 </w:t>
      </w:r>
      <w:r>
        <w:t xml:space="preserve">benefit package. </w:t>
      </w:r>
      <w:r w:rsidRPr="00807B0D">
        <w:t>Detailed benefit coverage information for all benefits listed in this table can be found within</w:t>
      </w:r>
      <w:r>
        <w:t xml:space="preserve"> Appendix A of the three-way contract.</w:t>
      </w:r>
      <w:r w:rsidRPr="000C2553">
        <w:t xml:space="preserve"> In-lieu-of services may </w:t>
      </w:r>
      <w:r w:rsidR="00B45276" w:rsidRPr="000C2553">
        <w:t xml:space="preserve">also </w:t>
      </w:r>
      <w:r w:rsidRPr="000C2553">
        <w:t>be provided with written approval from EOHHS</w:t>
      </w:r>
      <w:r>
        <w:t>.</w:t>
      </w:r>
      <w:r w:rsidRPr="000C2553">
        <w:t xml:space="preserve"> </w:t>
      </w:r>
    </w:p>
    <w:p w14:paraId="3041A018" w14:textId="77777777" w:rsidR="00DE0859" w:rsidRPr="00DE0859" w:rsidRDefault="00AD5657">
      <w:pPr>
        <w:pStyle w:val="Heading6"/>
      </w:pPr>
      <w:bookmarkStart w:id="42" w:name="_Toc484701136"/>
      <w:r>
        <w:t>Rating period</w:t>
      </w:r>
    </w:p>
    <w:p w14:paraId="60A77602" w14:textId="48C0B305" w:rsidR="00357B5D" w:rsidRPr="00541C09" w:rsidRDefault="00AD5657" w:rsidP="00210B59">
      <w:pPr>
        <w:pStyle w:val="RRBody"/>
        <w:rPr>
          <w:rFonts w:cstheme="minorHAnsi"/>
          <w:szCs w:val="18"/>
        </w:rPr>
      </w:pPr>
      <w:r w:rsidRPr="00DA0D61">
        <w:t xml:space="preserve">This </w:t>
      </w:r>
      <w:r w:rsidR="00357B5D" w:rsidRPr="00357B5D">
        <w:t xml:space="preserve">actuarial certification is effective for the </w:t>
      </w:r>
      <w:r w:rsidR="00D731CB">
        <w:t>twelve</w:t>
      </w:r>
      <w:r w:rsidR="002623DD">
        <w:t>-month</w:t>
      </w:r>
      <w:r w:rsidR="00357B5D" w:rsidRPr="00357B5D">
        <w:t xml:space="preserve"> rating period of </w:t>
      </w:r>
      <w:r w:rsidR="006412E6">
        <w:t xml:space="preserve">July 1, </w:t>
      </w:r>
      <w:r w:rsidR="00AF0E17">
        <w:t>2022</w:t>
      </w:r>
      <w:r w:rsidR="00AF0E17" w:rsidRPr="00357B5D">
        <w:t xml:space="preserve"> </w:t>
      </w:r>
      <w:r w:rsidR="00357B5D" w:rsidRPr="00357B5D">
        <w:t xml:space="preserve">through </w:t>
      </w:r>
      <w:r w:rsidR="00AF1DD5">
        <w:t xml:space="preserve">June 30, </w:t>
      </w:r>
      <w:r w:rsidR="00AF0E17">
        <w:t>2023</w:t>
      </w:r>
      <w:r w:rsidR="00357B5D" w:rsidRPr="00357B5D">
        <w:t>.</w:t>
      </w:r>
    </w:p>
    <w:p w14:paraId="13671AE6" w14:textId="2F168ED8" w:rsidR="00CE2634" w:rsidRDefault="00CE2634">
      <w:pPr>
        <w:pStyle w:val="Heading6"/>
      </w:pPr>
      <w:bookmarkStart w:id="43" w:name="_Toc504388982"/>
      <w:r w:rsidRPr="00DE0859">
        <w:t>Covered populations</w:t>
      </w:r>
      <w:bookmarkEnd w:id="42"/>
      <w:bookmarkEnd w:id="43"/>
    </w:p>
    <w:p w14:paraId="59FF6DF6" w14:textId="444237A0" w:rsidR="00DB79EC" w:rsidRDefault="00DB79EC" w:rsidP="00DB79EC">
      <w:pPr>
        <w:pStyle w:val="RRBody"/>
        <w:spacing w:after="0"/>
        <w:contextualSpacing/>
        <w:jc w:val="both"/>
      </w:pPr>
      <w:r>
        <w:t xml:space="preserve">The </w:t>
      </w:r>
      <w:r w:rsidR="00F172A5">
        <w:t>MMP</w:t>
      </w:r>
      <w:r>
        <w:t xml:space="preserve"> program include</w:t>
      </w:r>
      <w:r w:rsidR="00982B91">
        <w:t>s</w:t>
      </w:r>
      <w:r>
        <w:t xml:space="preserve"> dual eligible Medicare-Medicaid beneficiaries in distinct rate cells:</w:t>
      </w:r>
    </w:p>
    <w:p w14:paraId="372A4C50" w14:textId="5580D9C5" w:rsidR="00DB79EC" w:rsidRPr="000A48DC" w:rsidRDefault="00DB79EC" w:rsidP="005570C2">
      <w:pPr>
        <w:pStyle w:val="RRNumberedBullet1"/>
        <w:numPr>
          <w:ilvl w:val="0"/>
          <w:numId w:val="32"/>
        </w:numPr>
        <w:spacing w:before="60"/>
        <w:ind w:left="360"/>
      </w:pPr>
      <w:r>
        <w:rPr>
          <w:b/>
        </w:rPr>
        <w:t>Individuals with Intellectual Disabilities:</w:t>
      </w:r>
      <w:r>
        <w:t xml:space="preserve"> Individuals enrolled in the </w:t>
      </w:r>
      <w:r w:rsidR="00572ED5">
        <w:t xml:space="preserve">Intellectual Disability </w:t>
      </w:r>
      <w:r w:rsidR="009F0D8C">
        <w:t>Waiver</w:t>
      </w:r>
      <w:r>
        <w:t>.</w:t>
      </w:r>
    </w:p>
    <w:p w14:paraId="6CBE59A6" w14:textId="77777777" w:rsidR="00DB79EC" w:rsidRPr="000A48DC" w:rsidRDefault="00DB79EC" w:rsidP="005570C2">
      <w:pPr>
        <w:pStyle w:val="RRNumberedBullet1"/>
        <w:numPr>
          <w:ilvl w:val="0"/>
          <w:numId w:val="32"/>
        </w:numPr>
        <w:spacing w:before="60"/>
        <w:ind w:left="360"/>
        <w:rPr>
          <w:b/>
        </w:rPr>
      </w:pPr>
      <w:r>
        <w:rPr>
          <w:b/>
        </w:rPr>
        <w:t xml:space="preserve">Individuals with Serious and Persistent Mental Illness: </w:t>
      </w:r>
      <w:r>
        <w:t>Individuals identified as having severe and persistent mental illness (SPMI)</w:t>
      </w:r>
      <w:r w:rsidRPr="000A48DC">
        <w:t>.</w:t>
      </w:r>
    </w:p>
    <w:p w14:paraId="5D82252C" w14:textId="6591A891" w:rsidR="00DB79EC" w:rsidRPr="000A48DC" w:rsidRDefault="00DB79EC" w:rsidP="005570C2">
      <w:pPr>
        <w:pStyle w:val="RRNumberedBullet1"/>
        <w:numPr>
          <w:ilvl w:val="0"/>
          <w:numId w:val="32"/>
        </w:numPr>
        <w:spacing w:before="60"/>
        <w:ind w:left="360"/>
      </w:pPr>
      <w:r>
        <w:rPr>
          <w:b/>
        </w:rPr>
        <w:t xml:space="preserve">Community </w:t>
      </w:r>
      <w:r w:rsidR="00955D03">
        <w:rPr>
          <w:b/>
        </w:rPr>
        <w:t>long-term services and supports (</w:t>
      </w:r>
      <w:r>
        <w:rPr>
          <w:b/>
        </w:rPr>
        <w:t>LTSS</w:t>
      </w:r>
      <w:r w:rsidR="00955D03">
        <w:rPr>
          <w:b/>
        </w:rPr>
        <w:t>)</w:t>
      </w:r>
      <w:r w:rsidRPr="000A48DC">
        <w:rPr>
          <w:b/>
        </w:rPr>
        <w:t>:</w:t>
      </w:r>
      <w:r w:rsidRPr="000A48DC">
        <w:t xml:space="preserve"> </w:t>
      </w:r>
      <w:r>
        <w:t>Individuals living in the community through the assistance of a home and community based (HCBS) waiver program</w:t>
      </w:r>
      <w:r w:rsidRPr="000A48DC">
        <w:t>.</w:t>
      </w:r>
    </w:p>
    <w:p w14:paraId="64D8EA2A" w14:textId="77777777" w:rsidR="00DB79EC" w:rsidRDefault="00DB79EC" w:rsidP="005570C2">
      <w:pPr>
        <w:pStyle w:val="RRNumberedBullet1"/>
        <w:numPr>
          <w:ilvl w:val="0"/>
          <w:numId w:val="32"/>
        </w:numPr>
        <w:spacing w:before="60"/>
        <w:ind w:left="360"/>
      </w:pPr>
      <w:r>
        <w:rPr>
          <w:b/>
        </w:rPr>
        <w:t>Community non-LTSS</w:t>
      </w:r>
      <w:r w:rsidRPr="000A48DC">
        <w:rPr>
          <w:b/>
        </w:rPr>
        <w:t>:</w:t>
      </w:r>
      <w:r w:rsidRPr="000A48DC">
        <w:t xml:space="preserve"> </w:t>
      </w:r>
      <w:r>
        <w:t xml:space="preserve">Individuals </w:t>
      </w:r>
      <w:r w:rsidRPr="000A48DC">
        <w:t>living in the community</w:t>
      </w:r>
      <w:r>
        <w:t xml:space="preserve"> who are not enrolled in an HCBS waiver program</w:t>
      </w:r>
      <w:r w:rsidRPr="000A48DC">
        <w:t xml:space="preserve">. </w:t>
      </w:r>
    </w:p>
    <w:p w14:paraId="709C3DA6" w14:textId="7C84C8D4" w:rsidR="00DB79EC" w:rsidRPr="000A48DC" w:rsidRDefault="00DB79EC" w:rsidP="005570C2">
      <w:pPr>
        <w:pStyle w:val="RRNumberedBullet1"/>
        <w:numPr>
          <w:ilvl w:val="0"/>
          <w:numId w:val="32"/>
        </w:numPr>
        <w:spacing w:before="60"/>
        <w:ind w:left="360"/>
      </w:pPr>
      <w:r>
        <w:rPr>
          <w:b/>
        </w:rPr>
        <w:t xml:space="preserve">Nursing Home: </w:t>
      </w:r>
      <w:r>
        <w:t>Individuals residing in a nursing home</w:t>
      </w:r>
      <w:r w:rsidR="00572ED5">
        <w:t xml:space="preserve"> </w:t>
      </w:r>
      <w:r w:rsidR="002038FB">
        <w:t xml:space="preserve">or hospice </w:t>
      </w:r>
      <w:r w:rsidR="00572ED5">
        <w:t xml:space="preserve">with </w:t>
      </w:r>
      <w:r w:rsidR="00C1672A">
        <w:t xml:space="preserve">long term care </w:t>
      </w:r>
      <w:r w:rsidR="000738B2">
        <w:t>nursing home segment</w:t>
      </w:r>
      <w:r>
        <w:t>.</w:t>
      </w:r>
    </w:p>
    <w:p w14:paraId="72484802" w14:textId="68280FB0" w:rsidR="00DB79EC" w:rsidRDefault="005A426C" w:rsidP="00210B59">
      <w:pPr>
        <w:pStyle w:val="RRBody"/>
      </w:pPr>
      <w:r>
        <w:t>Figure</w:t>
      </w:r>
      <w:r w:rsidR="00DB79EC">
        <w:t xml:space="preserve"> 4 illustrates the corresponding rate cells and pay levels for the populations covered in this certification.</w:t>
      </w:r>
    </w:p>
    <w:tbl>
      <w:tblPr>
        <w:tblW w:w="8460" w:type="dxa"/>
        <w:tblLook w:val="04A0" w:firstRow="1" w:lastRow="0" w:firstColumn="1" w:lastColumn="0" w:noHBand="0" w:noVBand="1"/>
      </w:tblPr>
      <w:tblGrid>
        <w:gridCol w:w="3330"/>
        <w:gridCol w:w="3780"/>
        <w:gridCol w:w="1350"/>
      </w:tblGrid>
      <w:tr w:rsidR="00DB79EC" w:rsidRPr="00A73F83" w14:paraId="2DD845D8" w14:textId="77777777" w:rsidTr="00647A58">
        <w:trPr>
          <w:trHeight w:val="170"/>
          <w:tblHeader/>
        </w:trPr>
        <w:tc>
          <w:tcPr>
            <w:tcW w:w="8460" w:type="dxa"/>
            <w:gridSpan w:val="3"/>
            <w:tcBorders>
              <w:top w:val="single" w:sz="4" w:space="0" w:color="E8E9E9"/>
              <w:left w:val="nil"/>
              <w:bottom w:val="nil"/>
              <w:right w:val="nil"/>
            </w:tcBorders>
            <w:shd w:val="clear" w:color="auto" w:fill="auto"/>
            <w:noWrap/>
            <w:hideMark/>
          </w:tcPr>
          <w:p w14:paraId="68700E0F" w14:textId="36430703" w:rsidR="00DB79EC" w:rsidRPr="00A73F83" w:rsidRDefault="00670041" w:rsidP="00647A58">
            <w:pPr>
              <w:spacing w:after="0" w:line="240" w:lineRule="auto"/>
              <w:rPr>
                <w:rFonts w:ascii="Arial" w:eastAsia="Times New Roman" w:hAnsi="Arial" w:cs="Arial"/>
                <w:b/>
                <w:bCs/>
                <w:color w:val="0081E3"/>
                <w:szCs w:val="18"/>
              </w:rPr>
            </w:pPr>
            <w:r>
              <w:rPr>
                <w:rFonts w:ascii="Arial" w:eastAsia="Times New Roman" w:hAnsi="Arial" w:cs="Arial"/>
                <w:b/>
                <w:bCs/>
                <w:color w:val="0081E3"/>
                <w:szCs w:val="18"/>
              </w:rPr>
              <w:t xml:space="preserve">FIGURE 4: </w:t>
            </w:r>
            <w:r w:rsidR="00ED634B">
              <w:rPr>
                <w:rFonts w:ascii="Arial" w:eastAsia="Times New Roman" w:hAnsi="Arial" w:cs="Arial"/>
                <w:b/>
                <w:bCs/>
                <w:color w:val="0081E3"/>
                <w:szCs w:val="18"/>
              </w:rPr>
              <w:t>MMP</w:t>
            </w:r>
            <w:r>
              <w:rPr>
                <w:rFonts w:ascii="Arial" w:eastAsia="Times New Roman" w:hAnsi="Arial" w:cs="Arial"/>
                <w:b/>
                <w:bCs/>
                <w:color w:val="0081E3"/>
                <w:szCs w:val="18"/>
              </w:rPr>
              <w:t xml:space="preserve"> CAPITATION RATE </w:t>
            </w:r>
            <w:r w:rsidR="006B622B">
              <w:rPr>
                <w:rFonts w:ascii="Arial" w:eastAsia="Times New Roman" w:hAnsi="Arial" w:cs="Arial"/>
                <w:b/>
                <w:bCs/>
                <w:color w:val="0081E3"/>
                <w:szCs w:val="18"/>
              </w:rPr>
              <w:t>CELLS</w:t>
            </w:r>
          </w:p>
        </w:tc>
      </w:tr>
      <w:tr w:rsidR="00DB79EC" w:rsidRPr="00A73F83" w14:paraId="5236EA2E" w14:textId="77777777" w:rsidTr="006B622B">
        <w:trPr>
          <w:trHeight w:val="80"/>
          <w:tblHeader/>
        </w:trPr>
        <w:tc>
          <w:tcPr>
            <w:tcW w:w="3330" w:type="dxa"/>
            <w:tcBorders>
              <w:top w:val="nil"/>
              <w:left w:val="nil"/>
              <w:bottom w:val="single" w:sz="4" w:space="0" w:color="C6C9CA"/>
              <w:right w:val="nil"/>
            </w:tcBorders>
            <w:shd w:val="clear" w:color="auto" w:fill="auto"/>
            <w:vAlign w:val="bottom"/>
            <w:hideMark/>
          </w:tcPr>
          <w:p w14:paraId="5CFC34A0" w14:textId="77777777" w:rsidR="00DB79EC" w:rsidRPr="00A73F83" w:rsidRDefault="00DB79EC" w:rsidP="00772740">
            <w:pPr>
              <w:spacing w:after="0" w:line="240" w:lineRule="auto"/>
              <w:rPr>
                <w:rFonts w:ascii="Arial" w:eastAsia="Times New Roman" w:hAnsi="Arial" w:cs="Arial"/>
                <w:b/>
                <w:bCs/>
                <w:color w:val="39414D"/>
                <w:szCs w:val="18"/>
              </w:rPr>
            </w:pPr>
            <w:r w:rsidRPr="00A73F83">
              <w:rPr>
                <w:rFonts w:ascii="Arial" w:eastAsia="Times New Roman" w:hAnsi="Arial" w:cs="Arial"/>
                <w:b/>
                <w:bCs/>
                <w:color w:val="39414D"/>
                <w:szCs w:val="18"/>
              </w:rPr>
              <w:t>Population</w:t>
            </w:r>
          </w:p>
        </w:tc>
        <w:tc>
          <w:tcPr>
            <w:tcW w:w="3780" w:type="dxa"/>
            <w:tcBorders>
              <w:top w:val="nil"/>
              <w:left w:val="nil"/>
              <w:bottom w:val="single" w:sz="4" w:space="0" w:color="C6C9CA"/>
              <w:right w:val="nil"/>
            </w:tcBorders>
            <w:shd w:val="clear" w:color="auto" w:fill="auto"/>
            <w:vAlign w:val="bottom"/>
            <w:hideMark/>
          </w:tcPr>
          <w:p w14:paraId="527BD110" w14:textId="77777777" w:rsidR="00DB79EC" w:rsidRPr="00A73F83" w:rsidRDefault="00DB79EC" w:rsidP="00772740">
            <w:pPr>
              <w:spacing w:after="0" w:line="240" w:lineRule="auto"/>
              <w:rPr>
                <w:rFonts w:ascii="Arial" w:eastAsia="Times New Roman" w:hAnsi="Arial" w:cs="Arial"/>
                <w:b/>
                <w:bCs/>
                <w:color w:val="39414D"/>
                <w:szCs w:val="18"/>
              </w:rPr>
            </w:pPr>
            <w:r w:rsidRPr="00A73F83">
              <w:rPr>
                <w:rFonts w:ascii="Arial" w:eastAsia="Times New Roman" w:hAnsi="Arial" w:cs="Arial"/>
                <w:b/>
                <w:bCs/>
                <w:color w:val="39414D"/>
                <w:szCs w:val="18"/>
              </w:rPr>
              <w:t>Rate Cell</w:t>
            </w:r>
          </w:p>
        </w:tc>
        <w:tc>
          <w:tcPr>
            <w:tcW w:w="1350" w:type="dxa"/>
            <w:tcBorders>
              <w:top w:val="nil"/>
              <w:left w:val="nil"/>
              <w:bottom w:val="single" w:sz="4" w:space="0" w:color="C6C9CA"/>
              <w:right w:val="nil"/>
            </w:tcBorders>
            <w:shd w:val="clear" w:color="auto" w:fill="auto"/>
            <w:vAlign w:val="bottom"/>
            <w:hideMark/>
          </w:tcPr>
          <w:p w14:paraId="73104513" w14:textId="77777777" w:rsidR="00DB79EC" w:rsidRPr="00A73F83" w:rsidRDefault="00DB79EC" w:rsidP="00772740">
            <w:pPr>
              <w:spacing w:after="0" w:line="240" w:lineRule="auto"/>
              <w:rPr>
                <w:rFonts w:ascii="Arial" w:eastAsia="Times New Roman" w:hAnsi="Arial" w:cs="Arial"/>
                <w:b/>
                <w:bCs/>
                <w:color w:val="39414D"/>
                <w:szCs w:val="18"/>
              </w:rPr>
            </w:pPr>
            <w:r w:rsidRPr="00A73F83">
              <w:rPr>
                <w:rFonts w:ascii="Arial" w:eastAsia="Times New Roman" w:hAnsi="Arial" w:cs="Arial"/>
                <w:b/>
                <w:bCs/>
                <w:color w:val="39414D"/>
                <w:szCs w:val="18"/>
              </w:rPr>
              <w:t>Pay Level</w:t>
            </w:r>
          </w:p>
        </w:tc>
      </w:tr>
      <w:tr w:rsidR="00DB79EC" w:rsidRPr="00A73F83" w14:paraId="0FDEC6E9" w14:textId="77777777" w:rsidTr="009B1F77">
        <w:trPr>
          <w:trHeight w:val="300"/>
        </w:trPr>
        <w:tc>
          <w:tcPr>
            <w:tcW w:w="3330" w:type="dxa"/>
            <w:vMerge w:val="restart"/>
            <w:tcBorders>
              <w:top w:val="single" w:sz="4" w:space="0" w:color="BFBFBF" w:themeColor="background1" w:themeShade="BF"/>
              <w:left w:val="nil"/>
              <w:bottom w:val="nil"/>
              <w:right w:val="nil"/>
            </w:tcBorders>
            <w:shd w:val="clear" w:color="auto" w:fill="auto"/>
            <w:vAlign w:val="center"/>
            <w:hideMark/>
          </w:tcPr>
          <w:p w14:paraId="0D33B4F8" w14:textId="421030D5" w:rsidR="00DB79EC" w:rsidRPr="00A73F83" w:rsidRDefault="00DB79EC">
            <w:pPr>
              <w:spacing w:after="0" w:line="240" w:lineRule="auto"/>
              <w:rPr>
                <w:rFonts w:ascii="Arial" w:eastAsia="Times New Roman" w:hAnsi="Arial" w:cs="Arial"/>
                <w:b/>
                <w:bCs/>
                <w:color w:val="39414D"/>
                <w:szCs w:val="18"/>
              </w:rPr>
            </w:pPr>
            <w:r>
              <w:rPr>
                <w:rFonts w:ascii="Arial" w:eastAsia="Times New Roman" w:hAnsi="Arial" w:cs="Arial"/>
                <w:b/>
                <w:bCs/>
                <w:color w:val="39414D"/>
                <w:szCs w:val="18"/>
              </w:rPr>
              <w:t>Medicare Medicaid Plan</w:t>
            </w:r>
          </w:p>
        </w:tc>
        <w:tc>
          <w:tcPr>
            <w:tcW w:w="3780" w:type="dxa"/>
            <w:tcBorders>
              <w:top w:val="single" w:sz="4" w:space="0" w:color="BFBFBF" w:themeColor="background1" w:themeShade="BF"/>
              <w:left w:val="nil"/>
              <w:bottom w:val="nil"/>
              <w:right w:val="nil"/>
            </w:tcBorders>
            <w:shd w:val="clear" w:color="auto" w:fill="auto"/>
            <w:vAlign w:val="center"/>
            <w:hideMark/>
          </w:tcPr>
          <w:p w14:paraId="13B23655" w14:textId="022E343F" w:rsidR="00DB79EC" w:rsidRPr="00A73F83" w:rsidRDefault="00F172A5" w:rsidP="00E27A0F">
            <w:pPr>
              <w:spacing w:after="0" w:line="240" w:lineRule="auto"/>
              <w:rPr>
                <w:rFonts w:ascii="Arial" w:eastAsia="Times New Roman" w:hAnsi="Arial" w:cs="Arial"/>
                <w:color w:val="39414D"/>
                <w:szCs w:val="18"/>
              </w:rPr>
            </w:pPr>
            <w:r>
              <w:rPr>
                <w:rFonts w:ascii="Arial" w:eastAsia="Times New Roman" w:hAnsi="Arial" w:cs="Arial"/>
                <w:color w:val="39414D"/>
                <w:szCs w:val="18"/>
              </w:rPr>
              <w:t>MMP</w:t>
            </w:r>
            <w:r w:rsidR="00DB79EC" w:rsidRPr="00F47642">
              <w:rPr>
                <w:rFonts w:ascii="Arial" w:eastAsia="Times New Roman" w:hAnsi="Arial" w:cs="Arial"/>
                <w:color w:val="39414D"/>
                <w:szCs w:val="18"/>
              </w:rPr>
              <w:t xml:space="preserve"> – </w:t>
            </w:r>
            <w:r w:rsidR="00913E11" w:rsidRPr="00F47642">
              <w:rPr>
                <w:rFonts w:ascii="Arial" w:eastAsia="Times New Roman" w:hAnsi="Arial" w:cs="Arial"/>
                <w:color w:val="39414D"/>
                <w:szCs w:val="18"/>
              </w:rPr>
              <w:t>SPMI</w:t>
            </w:r>
          </w:p>
        </w:tc>
        <w:tc>
          <w:tcPr>
            <w:tcW w:w="1350" w:type="dxa"/>
            <w:tcBorders>
              <w:top w:val="single" w:sz="4" w:space="0" w:color="BFBFBF" w:themeColor="background1" w:themeShade="BF"/>
              <w:left w:val="nil"/>
              <w:bottom w:val="nil"/>
              <w:right w:val="nil"/>
            </w:tcBorders>
            <w:shd w:val="clear" w:color="auto" w:fill="auto"/>
            <w:vAlign w:val="center"/>
            <w:hideMark/>
          </w:tcPr>
          <w:p w14:paraId="36DB231C" w14:textId="4D28DAB8" w:rsidR="00DB79EC" w:rsidRPr="00A73F83" w:rsidRDefault="00DB79EC" w:rsidP="000738B2">
            <w:pPr>
              <w:spacing w:after="0" w:line="240" w:lineRule="auto"/>
              <w:rPr>
                <w:rFonts w:ascii="Arial" w:eastAsia="Times New Roman" w:hAnsi="Arial" w:cs="Arial"/>
                <w:color w:val="39414D"/>
                <w:szCs w:val="18"/>
              </w:rPr>
            </w:pPr>
            <w:r w:rsidRPr="00F47642">
              <w:rPr>
                <w:rFonts w:ascii="Arial" w:eastAsia="Times New Roman" w:hAnsi="Arial" w:cs="Arial"/>
                <w:color w:val="39414D"/>
                <w:szCs w:val="18"/>
              </w:rPr>
              <w:t>IC</w:t>
            </w:r>
            <w:r w:rsidR="00913E11">
              <w:rPr>
                <w:rFonts w:ascii="Arial" w:eastAsia="Times New Roman" w:hAnsi="Arial" w:cs="Arial"/>
                <w:color w:val="39414D"/>
                <w:szCs w:val="18"/>
              </w:rPr>
              <w:t>3</w:t>
            </w:r>
            <w:r w:rsidRPr="00F47642">
              <w:rPr>
                <w:rFonts w:ascii="Arial" w:eastAsia="Times New Roman" w:hAnsi="Arial" w:cs="Arial"/>
                <w:color w:val="39414D"/>
                <w:szCs w:val="18"/>
              </w:rPr>
              <w:t>0</w:t>
            </w:r>
          </w:p>
        </w:tc>
      </w:tr>
      <w:tr w:rsidR="00DB79EC" w:rsidRPr="00A73F83" w14:paraId="38365835" w14:textId="77777777" w:rsidTr="009B1F77">
        <w:trPr>
          <w:trHeight w:val="300"/>
        </w:trPr>
        <w:tc>
          <w:tcPr>
            <w:tcW w:w="3330" w:type="dxa"/>
            <w:vMerge/>
            <w:tcBorders>
              <w:top w:val="nil"/>
              <w:left w:val="nil"/>
              <w:bottom w:val="nil"/>
              <w:right w:val="nil"/>
            </w:tcBorders>
            <w:vAlign w:val="center"/>
            <w:hideMark/>
          </w:tcPr>
          <w:p w14:paraId="70819509" w14:textId="77777777" w:rsidR="00DB79EC" w:rsidRPr="00A73F83" w:rsidRDefault="00DB79EC" w:rsidP="00772740">
            <w:pPr>
              <w:spacing w:after="0" w:line="240" w:lineRule="auto"/>
              <w:rPr>
                <w:rFonts w:ascii="Arial" w:eastAsia="Times New Roman" w:hAnsi="Arial" w:cs="Arial"/>
                <w:b/>
                <w:bCs/>
                <w:color w:val="39414D"/>
                <w:szCs w:val="18"/>
              </w:rPr>
            </w:pPr>
          </w:p>
        </w:tc>
        <w:tc>
          <w:tcPr>
            <w:tcW w:w="3780" w:type="dxa"/>
            <w:tcBorders>
              <w:top w:val="nil"/>
              <w:left w:val="nil"/>
              <w:bottom w:val="nil"/>
              <w:right w:val="nil"/>
            </w:tcBorders>
            <w:shd w:val="clear" w:color="000000" w:fill="E8E9E9"/>
            <w:vAlign w:val="center"/>
            <w:hideMark/>
          </w:tcPr>
          <w:p w14:paraId="363F638B" w14:textId="419718B2" w:rsidR="00DB79EC" w:rsidRPr="00A73F83" w:rsidRDefault="00F172A5" w:rsidP="00E27A0F">
            <w:pPr>
              <w:spacing w:after="0" w:line="240" w:lineRule="auto"/>
              <w:rPr>
                <w:rFonts w:ascii="Arial" w:eastAsia="Times New Roman" w:hAnsi="Arial" w:cs="Arial"/>
                <w:color w:val="39414D"/>
                <w:szCs w:val="18"/>
              </w:rPr>
            </w:pPr>
            <w:r>
              <w:rPr>
                <w:rFonts w:ascii="Arial" w:eastAsia="Times New Roman" w:hAnsi="Arial" w:cs="Arial"/>
                <w:color w:val="39414D"/>
                <w:szCs w:val="18"/>
              </w:rPr>
              <w:t>MMP</w:t>
            </w:r>
            <w:r w:rsidR="00DB79EC" w:rsidRPr="00F47642">
              <w:rPr>
                <w:rFonts w:ascii="Arial" w:eastAsia="Times New Roman" w:hAnsi="Arial" w:cs="Arial"/>
                <w:color w:val="39414D"/>
                <w:szCs w:val="18"/>
              </w:rPr>
              <w:t xml:space="preserve"> – </w:t>
            </w:r>
            <w:r w:rsidR="00913E11">
              <w:rPr>
                <w:rFonts w:ascii="Arial" w:eastAsia="Times New Roman" w:hAnsi="Arial" w:cs="Arial"/>
                <w:color w:val="39414D"/>
                <w:szCs w:val="18"/>
              </w:rPr>
              <w:t>ID</w:t>
            </w:r>
          </w:p>
        </w:tc>
        <w:tc>
          <w:tcPr>
            <w:tcW w:w="1350" w:type="dxa"/>
            <w:tcBorders>
              <w:top w:val="nil"/>
              <w:left w:val="nil"/>
              <w:bottom w:val="nil"/>
              <w:right w:val="nil"/>
            </w:tcBorders>
            <w:shd w:val="clear" w:color="000000" w:fill="E8E9E9"/>
            <w:vAlign w:val="center"/>
            <w:hideMark/>
          </w:tcPr>
          <w:p w14:paraId="38DAAD47" w14:textId="5BF7BBD9" w:rsidR="00DB79EC" w:rsidRPr="00A73F83" w:rsidRDefault="00DB79EC" w:rsidP="000738B2">
            <w:pPr>
              <w:spacing w:after="0" w:line="240" w:lineRule="auto"/>
              <w:rPr>
                <w:rFonts w:ascii="Arial" w:eastAsia="Times New Roman" w:hAnsi="Arial" w:cs="Arial"/>
                <w:color w:val="39414D"/>
                <w:szCs w:val="18"/>
              </w:rPr>
            </w:pPr>
            <w:r w:rsidRPr="00F47642">
              <w:rPr>
                <w:rFonts w:ascii="Arial" w:eastAsia="Times New Roman" w:hAnsi="Arial" w:cs="Arial"/>
                <w:color w:val="39414D"/>
                <w:szCs w:val="18"/>
              </w:rPr>
              <w:t>IC</w:t>
            </w:r>
            <w:r w:rsidR="00913E11">
              <w:rPr>
                <w:rFonts w:ascii="Arial" w:eastAsia="Times New Roman" w:hAnsi="Arial" w:cs="Arial"/>
                <w:color w:val="39414D"/>
                <w:szCs w:val="18"/>
              </w:rPr>
              <w:t>4</w:t>
            </w:r>
            <w:r w:rsidRPr="00F47642">
              <w:rPr>
                <w:rFonts w:ascii="Arial" w:eastAsia="Times New Roman" w:hAnsi="Arial" w:cs="Arial"/>
                <w:color w:val="39414D"/>
                <w:szCs w:val="18"/>
              </w:rPr>
              <w:t>0</w:t>
            </w:r>
          </w:p>
        </w:tc>
      </w:tr>
      <w:tr w:rsidR="00DB79EC" w:rsidRPr="00A73F83" w14:paraId="41FDE1C8" w14:textId="77777777" w:rsidTr="009B1F77">
        <w:trPr>
          <w:trHeight w:val="300"/>
        </w:trPr>
        <w:tc>
          <w:tcPr>
            <w:tcW w:w="3330" w:type="dxa"/>
            <w:vMerge/>
            <w:tcBorders>
              <w:top w:val="nil"/>
              <w:left w:val="nil"/>
              <w:bottom w:val="nil"/>
              <w:right w:val="nil"/>
            </w:tcBorders>
            <w:vAlign w:val="center"/>
            <w:hideMark/>
          </w:tcPr>
          <w:p w14:paraId="17E2B3CF" w14:textId="77777777" w:rsidR="00DB79EC" w:rsidRPr="00A73F83" w:rsidRDefault="00DB79EC" w:rsidP="00772740">
            <w:pPr>
              <w:spacing w:after="0" w:line="240" w:lineRule="auto"/>
              <w:rPr>
                <w:rFonts w:ascii="Arial" w:eastAsia="Times New Roman" w:hAnsi="Arial" w:cs="Arial"/>
                <w:b/>
                <w:bCs/>
                <w:color w:val="39414D"/>
                <w:szCs w:val="18"/>
              </w:rPr>
            </w:pPr>
          </w:p>
        </w:tc>
        <w:tc>
          <w:tcPr>
            <w:tcW w:w="3780" w:type="dxa"/>
            <w:tcBorders>
              <w:top w:val="nil"/>
              <w:left w:val="nil"/>
              <w:bottom w:val="nil"/>
              <w:right w:val="nil"/>
            </w:tcBorders>
            <w:shd w:val="clear" w:color="auto" w:fill="auto"/>
            <w:vAlign w:val="center"/>
            <w:hideMark/>
          </w:tcPr>
          <w:p w14:paraId="6F18DBC5" w14:textId="5C9B4D44" w:rsidR="00DB79EC" w:rsidRPr="00A73F83" w:rsidRDefault="00F172A5" w:rsidP="00E27A0F">
            <w:pPr>
              <w:spacing w:after="0" w:line="240" w:lineRule="auto"/>
              <w:rPr>
                <w:rFonts w:ascii="Arial" w:eastAsia="Times New Roman" w:hAnsi="Arial" w:cs="Arial"/>
                <w:color w:val="39414D"/>
                <w:szCs w:val="18"/>
              </w:rPr>
            </w:pPr>
            <w:r>
              <w:rPr>
                <w:rFonts w:ascii="Arial" w:eastAsia="Times New Roman" w:hAnsi="Arial" w:cs="Arial"/>
                <w:color w:val="39414D"/>
                <w:szCs w:val="18"/>
              </w:rPr>
              <w:t>MMP</w:t>
            </w:r>
            <w:r w:rsidR="00DB79EC" w:rsidRPr="00F47642">
              <w:rPr>
                <w:rFonts w:ascii="Arial" w:eastAsia="Times New Roman" w:hAnsi="Arial" w:cs="Arial"/>
                <w:color w:val="39414D"/>
                <w:szCs w:val="18"/>
              </w:rPr>
              <w:t xml:space="preserve"> – Community LTSS</w:t>
            </w:r>
          </w:p>
        </w:tc>
        <w:tc>
          <w:tcPr>
            <w:tcW w:w="1350" w:type="dxa"/>
            <w:tcBorders>
              <w:top w:val="nil"/>
              <w:left w:val="nil"/>
              <w:bottom w:val="nil"/>
              <w:right w:val="nil"/>
            </w:tcBorders>
            <w:shd w:val="clear" w:color="auto" w:fill="auto"/>
            <w:vAlign w:val="center"/>
            <w:hideMark/>
          </w:tcPr>
          <w:p w14:paraId="27B41106" w14:textId="5ABB5C64" w:rsidR="00DB79EC" w:rsidRPr="00A73F83" w:rsidRDefault="00DB79EC" w:rsidP="000738B2">
            <w:pPr>
              <w:spacing w:after="0" w:line="240" w:lineRule="auto"/>
              <w:rPr>
                <w:rFonts w:ascii="Arial" w:eastAsia="Times New Roman" w:hAnsi="Arial" w:cs="Arial"/>
                <w:color w:val="39414D"/>
                <w:szCs w:val="18"/>
              </w:rPr>
            </w:pPr>
            <w:r w:rsidRPr="00F47642">
              <w:rPr>
                <w:rFonts w:ascii="Arial" w:eastAsia="Times New Roman" w:hAnsi="Arial" w:cs="Arial"/>
                <w:color w:val="39414D"/>
                <w:szCs w:val="18"/>
              </w:rPr>
              <w:t>IC</w:t>
            </w:r>
            <w:r w:rsidR="00913E11">
              <w:rPr>
                <w:rFonts w:ascii="Arial" w:eastAsia="Times New Roman" w:hAnsi="Arial" w:cs="Arial"/>
                <w:color w:val="39414D"/>
                <w:szCs w:val="18"/>
              </w:rPr>
              <w:t>5</w:t>
            </w:r>
            <w:r w:rsidRPr="00F47642">
              <w:rPr>
                <w:rFonts w:ascii="Arial" w:eastAsia="Times New Roman" w:hAnsi="Arial" w:cs="Arial"/>
                <w:color w:val="39414D"/>
                <w:szCs w:val="18"/>
              </w:rPr>
              <w:t>0</w:t>
            </w:r>
          </w:p>
        </w:tc>
      </w:tr>
      <w:tr w:rsidR="00DB79EC" w:rsidRPr="00A73F83" w14:paraId="63E1A194" w14:textId="77777777" w:rsidTr="009B1F77">
        <w:trPr>
          <w:trHeight w:val="300"/>
        </w:trPr>
        <w:tc>
          <w:tcPr>
            <w:tcW w:w="3330" w:type="dxa"/>
            <w:vMerge/>
            <w:tcBorders>
              <w:top w:val="nil"/>
              <w:left w:val="nil"/>
              <w:bottom w:val="nil"/>
              <w:right w:val="nil"/>
            </w:tcBorders>
            <w:vAlign w:val="center"/>
            <w:hideMark/>
          </w:tcPr>
          <w:p w14:paraId="43CB7DE3" w14:textId="77777777" w:rsidR="00DB79EC" w:rsidRPr="00A73F83" w:rsidRDefault="00DB79EC" w:rsidP="00772740">
            <w:pPr>
              <w:spacing w:after="0" w:line="240" w:lineRule="auto"/>
              <w:rPr>
                <w:rFonts w:ascii="Arial" w:eastAsia="Times New Roman" w:hAnsi="Arial" w:cs="Arial"/>
                <w:b/>
                <w:bCs/>
                <w:color w:val="39414D"/>
                <w:szCs w:val="18"/>
              </w:rPr>
            </w:pPr>
          </w:p>
        </w:tc>
        <w:tc>
          <w:tcPr>
            <w:tcW w:w="3780" w:type="dxa"/>
            <w:tcBorders>
              <w:top w:val="nil"/>
              <w:left w:val="nil"/>
              <w:bottom w:val="nil"/>
              <w:right w:val="nil"/>
            </w:tcBorders>
            <w:shd w:val="clear" w:color="000000" w:fill="E8E9E9"/>
            <w:vAlign w:val="center"/>
            <w:hideMark/>
          </w:tcPr>
          <w:p w14:paraId="70A94B33" w14:textId="4CF00A0F" w:rsidR="00DB79EC" w:rsidRPr="00A73F83" w:rsidRDefault="00F172A5" w:rsidP="00E27A0F">
            <w:pPr>
              <w:spacing w:after="0" w:line="240" w:lineRule="auto"/>
              <w:rPr>
                <w:rFonts w:ascii="Arial" w:eastAsia="Times New Roman" w:hAnsi="Arial" w:cs="Arial"/>
                <w:color w:val="39414D"/>
                <w:szCs w:val="18"/>
              </w:rPr>
            </w:pPr>
            <w:r>
              <w:rPr>
                <w:rFonts w:ascii="Arial" w:eastAsia="Times New Roman" w:hAnsi="Arial" w:cs="Arial"/>
                <w:color w:val="39414D"/>
                <w:szCs w:val="18"/>
              </w:rPr>
              <w:t>MMP</w:t>
            </w:r>
            <w:r w:rsidR="00DB79EC" w:rsidRPr="00F47642">
              <w:rPr>
                <w:rFonts w:ascii="Arial" w:eastAsia="Times New Roman" w:hAnsi="Arial" w:cs="Arial"/>
                <w:color w:val="39414D"/>
                <w:szCs w:val="18"/>
              </w:rPr>
              <w:t xml:space="preserve"> – </w:t>
            </w:r>
            <w:r w:rsidR="00913E11">
              <w:rPr>
                <w:rFonts w:ascii="Arial" w:eastAsia="Times New Roman" w:hAnsi="Arial" w:cs="Arial"/>
                <w:color w:val="39414D"/>
                <w:szCs w:val="18"/>
              </w:rPr>
              <w:t>Nursing Home</w:t>
            </w:r>
          </w:p>
        </w:tc>
        <w:tc>
          <w:tcPr>
            <w:tcW w:w="1350" w:type="dxa"/>
            <w:tcBorders>
              <w:top w:val="nil"/>
              <w:left w:val="nil"/>
              <w:bottom w:val="nil"/>
              <w:right w:val="nil"/>
            </w:tcBorders>
            <w:shd w:val="clear" w:color="000000" w:fill="E8E9E9"/>
            <w:vAlign w:val="center"/>
            <w:hideMark/>
          </w:tcPr>
          <w:p w14:paraId="29B6C649" w14:textId="4AE6F2B0" w:rsidR="00DB79EC" w:rsidRPr="00A73F83" w:rsidRDefault="00DB79EC" w:rsidP="000738B2">
            <w:pPr>
              <w:spacing w:after="0" w:line="240" w:lineRule="auto"/>
              <w:rPr>
                <w:rFonts w:ascii="Arial" w:eastAsia="Times New Roman" w:hAnsi="Arial" w:cs="Arial"/>
                <w:color w:val="39414D"/>
                <w:szCs w:val="18"/>
              </w:rPr>
            </w:pPr>
            <w:r w:rsidRPr="00F47642">
              <w:rPr>
                <w:rFonts w:ascii="Arial" w:eastAsia="Times New Roman" w:hAnsi="Arial" w:cs="Arial"/>
                <w:color w:val="39414D"/>
                <w:szCs w:val="18"/>
              </w:rPr>
              <w:t>IC</w:t>
            </w:r>
            <w:r w:rsidR="00913E11">
              <w:rPr>
                <w:rFonts w:ascii="Arial" w:eastAsia="Times New Roman" w:hAnsi="Arial" w:cs="Arial"/>
                <w:color w:val="39414D"/>
                <w:szCs w:val="18"/>
              </w:rPr>
              <w:t>6</w:t>
            </w:r>
            <w:r w:rsidRPr="00F47642">
              <w:rPr>
                <w:rFonts w:ascii="Arial" w:eastAsia="Times New Roman" w:hAnsi="Arial" w:cs="Arial"/>
                <w:color w:val="39414D"/>
                <w:szCs w:val="18"/>
              </w:rPr>
              <w:t>0</w:t>
            </w:r>
          </w:p>
        </w:tc>
      </w:tr>
      <w:tr w:rsidR="00DB79EC" w:rsidRPr="00A73F83" w14:paraId="774915A1" w14:textId="77777777" w:rsidTr="009B1F77">
        <w:trPr>
          <w:trHeight w:val="300"/>
        </w:trPr>
        <w:tc>
          <w:tcPr>
            <w:tcW w:w="3330" w:type="dxa"/>
            <w:vMerge/>
            <w:tcBorders>
              <w:top w:val="nil"/>
              <w:left w:val="nil"/>
              <w:bottom w:val="single" w:sz="4" w:space="0" w:color="BFBFBF" w:themeColor="background1" w:themeShade="BF"/>
              <w:right w:val="nil"/>
            </w:tcBorders>
            <w:vAlign w:val="center"/>
            <w:hideMark/>
          </w:tcPr>
          <w:p w14:paraId="62009A68" w14:textId="77777777" w:rsidR="00DB79EC" w:rsidRPr="00A73F83" w:rsidRDefault="00DB79EC" w:rsidP="00772740">
            <w:pPr>
              <w:spacing w:after="0" w:line="240" w:lineRule="auto"/>
              <w:rPr>
                <w:rFonts w:ascii="Arial" w:eastAsia="Times New Roman" w:hAnsi="Arial" w:cs="Arial"/>
                <w:b/>
                <w:bCs/>
                <w:color w:val="39414D"/>
                <w:szCs w:val="18"/>
              </w:rPr>
            </w:pPr>
          </w:p>
        </w:tc>
        <w:tc>
          <w:tcPr>
            <w:tcW w:w="3780" w:type="dxa"/>
            <w:tcBorders>
              <w:top w:val="nil"/>
              <w:left w:val="nil"/>
              <w:bottom w:val="single" w:sz="4" w:space="0" w:color="BFBFBF" w:themeColor="background1" w:themeShade="BF"/>
              <w:right w:val="nil"/>
            </w:tcBorders>
            <w:shd w:val="clear" w:color="auto" w:fill="auto"/>
            <w:vAlign w:val="center"/>
            <w:hideMark/>
          </w:tcPr>
          <w:p w14:paraId="4C307A59" w14:textId="2FBED1EB" w:rsidR="00DB79EC" w:rsidRPr="00A73F83" w:rsidRDefault="00F172A5" w:rsidP="00E27A0F">
            <w:pPr>
              <w:spacing w:after="0" w:line="240" w:lineRule="auto"/>
              <w:rPr>
                <w:rFonts w:ascii="Arial" w:eastAsia="Times New Roman" w:hAnsi="Arial" w:cs="Arial"/>
                <w:color w:val="39414D"/>
                <w:szCs w:val="18"/>
              </w:rPr>
            </w:pPr>
            <w:r>
              <w:rPr>
                <w:rFonts w:ascii="Arial" w:eastAsia="Times New Roman" w:hAnsi="Arial" w:cs="Arial"/>
                <w:color w:val="39414D"/>
                <w:szCs w:val="18"/>
              </w:rPr>
              <w:t>MMP</w:t>
            </w:r>
            <w:r w:rsidR="00DB79EC" w:rsidRPr="00F47642">
              <w:rPr>
                <w:rFonts w:ascii="Arial" w:eastAsia="Times New Roman" w:hAnsi="Arial" w:cs="Arial"/>
                <w:color w:val="39414D"/>
                <w:szCs w:val="18"/>
              </w:rPr>
              <w:t xml:space="preserve"> – </w:t>
            </w:r>
            <w:r w:rsidR="00913E11">
              <w:rPr>
                <w:rFonts w:ascii="Arial" w:eastAsia="Times New Roman" w:hAnsi="Arial" w:cs="Arial"/>
                <w:color w:val="39414D"/>
                <w:szCs w:val="18"/>
              </w:rPr>
              <w:t>Community Non-LTSS</w:t>
            </w:r>
          </w:p>
        </w:tc>
        <w:tc>
          <w:tcPr>
            <w:tcW w:w="1350" w:type="dxa"/>
            <w:tcBorders>
              <w:top w:val="nil"/>
              <w:left w:val="nil"/>
              <w:bottom w:val="single" w:sz="4" w:space="0" w:color="BFBFBF" w:themeColor="background1" w:themeShade="BF"/>
              <w:right w:val="nil"/>
            </w:tcBorders>
            <w:shd w:val="clear" w:color="auto" w:fill="auto"/>
            <w:vAlign w:val="center"/>
            <w:hideMark/>
          </w:tcPr>
          <w:p w14:paraId="7AD277C1" w14:textId="29E6CF12" w:rsidR="00DB79EC" w:rsidRPr="00A73F83" w:rsidRDefault="00DB79EC" w:rsidP="000738B2">
            <w:pPr>
              <w:spacing w:after="0" w:line="240" w:lineRule="auto"/>
              <w:rPr>
                <w:rFonts w:ascii="Arial" w:eastAsia="Times New Roman" w:hAnsi="Arial" w:cs="Arial"/>
                <w:color w:val="39414D"/>
                <w:szCs w:val="18"/>
              </w:rPr>
            </w:pPr>
            <w:r w:rsidRPr="00F47642">
              <w:rPr>
                <w:rFonts w:ascii="Arial" w:eastAsia="Times New Roman" w:hAnsi="Arial" w:cs="Arial"/>
                <w:color w:val="39414D"/>
                <w:szCs w:val="18"/>
              </w:rPr>
              <w:t>IC</w:t>
            </w:r>
            <w:r w:rsidR="00913E11">
              <w:rPr>
                <w:rFonts w:ascii="Arial" w:eastAsia="Times New Roman" w:hAnsi="Arial" w:cs="Arial"/>
                <w:color w:val="39414D"/>
                <w:szCs w:val="18"/>
              </w:rPr>
              <w:t>7</w:t>
            </w:r>
            <w:r w:rsidRPr="00F47642">
              <w:rPr>
                <w:rFonts w:ascii="Arial" w:eastAsia="Times New Roman" w:hAnsi="Arial" w:cs="Arial"/>
                <w:color w:val="39414D"/>
                <w:szCs w:val="18"/>
              </w:rPr>
              <w:t>0</w:t>
            </w:r>
          </w:p>
        </w:tc>
      </w:tr>
    </w:tbl>
    <w:p w14:paraId="038ADD6F" w14:textId="707C9FB9" w:rsidR="00395DAF" w:rsidRDefault="006C7448" w:rsidP="00395DAF">
      <w:pPr>
        <w:pStyle w:val="RRBullet1"/>
        <w:numPr>
          <w:ilvl w:val="0"/>
          <w:numId w:val="0"/>
        </w:numPr>
      </w:pPr>
      <w:r>
        <w:rPr>
          <w:rFonts w:ascii="Arial" w:eastAsia="Times New Roman" w:hAnsi="Arial" w:cs="Arial"/>
          <w:color w:val="727A7D"/>
          <w:szCs w:val="18"/>
        </w:rPr>
        <w:t xml:space="preserve">Note: </w:t>
      </w:r>
      <w:r w:rsidRPr="00E122F0">
        <w:rPr>
          <w:rFonts w:ascii="Arial" w:eastAsia="Times New Roman" w:hAnsi="Arial" w:cs="Arial"/>
          <w:color w:val="727A7D"/>
          <w:szCs w:val="18"/>
        </w:rPr>
        <w:t xml:space="preserve">The </w:t>
      </w:r>
      <w:r>
        <w:rPr>
          <w:rFonts w:ascii="Arial" w:eastAsia="Times New Roman" w:hAnsi="Arial" w:cs="Arial"/>
          <w:color w:val="727A7D"/>
          <w:szCs w:val="18"/>
        </w:rPr>
        <w:t>Community LTSS and Nursing Home</w:t>
      </w:r>
      <w:r w:rsidRPr="00E122F0">
        <w:rPr>
          <w:rFonts w:ascii="Arial" w:eastAsia="Times New Roman" w:hAnsi="Arial" w:cs="Arial"/>
          <w:color w:val="727A7D"/>
          <w:szCs w:val="18"/>
        </w:rPr>
        <w:t xml:space="preserve"> rate cell</w:t>
      </w:r>
      <w:r>
        <w:rPr>
          <w:rFonts w:ascii="Arial" w:eastAsia="Times New Roman" w:hAnsi="Arial" w:cs="Arial"/>
          <w:color w:val="727A7D"/>
          <w:szCs w:val="18"/>
        </w:rPr>
        <w:t xml:space="preserve">s are paid a blended rate, as illustrated in Appendix </w:t>
      </w:r>
      <w:r w:rsidR="004C607F">
        <w:rPr>
          <w:rFonts w:ascii="Arial" w:eastAsia="Times New Roman" w:hAnsi="Arial" w:cs="Arial"/>
          <w:color w:val="727A7D"/>
          <w:szCs w:val="18"/>
        </w:rPr>
        <w:t>5</w:t>
      </w:r>
      <w:r>
        <w:rPr>
          <w:rFonts w:ascii="Arial" w:eastAsia="Times New Roman" w:hAnsi="Arial" w:cs="Arial"/>
          <w:color w:val="727A7D"/>
          <w:szCs w:val="18"/>
        </w:rPr>
        <w:t>.</w:t>
      </w:r>
      <w:r w:rsidRPr="00E122F0">
        <w:rPr>
          <w:rFonts w:ascii="Arial" w:eastAsia="Times New Roman" w:hAnsi="Arial" w:cs="Arial"/>
          <w:color w:val="727A7D"/>
          <w:szCs w:val="18"/>
        </w:rPr>
        <w:t xml:space="preserve"> </w:t>
      </w:r>
      <w:r w:rsidRPr="00E122F0">
        <w:rPr>
          <w:rFonts w:ascii="Arial" w:eastAsia="Times New Roman" w:hAnsi="Arial" w:cs="Arial"/>
          <w:color w:val="727A7D"/>
          <w:szCs w:val="18"/>
        </w:rPr>
        <w:tab/>
      </w:r>
    </w:p>
    <w:p w14:paraId="796148A2" w14:textId="77777777" w:rsidR="00CE2634" w:rsidRPr="00DE0859" w:rsidRDefault="00CE2634">
      <w:pPr>
        <w:pStyle w:val="Heading6"/>
      </w:pPr>
      <w:bookmarkStart w:id="44" w:name="_Toc484701137"/>
      <w:bookmarkStart w:id="45" w:name="_Toc504388983"/>
      <w:r w:rsidRPr="00DE0859">
        <w:t>Eligibility criteria</w:t>
      </w:r>
      <w:bookmarkEnd w:id="44"/>
      <w:bookmarkEnd w:id="45"/>
    </w:p>
    <w:p w14:paraId="09924878" w14:textId="637F46E1" w:rsidR="004C607F" w:rsidRDefault="00E1295D" w:rsidP="00210B59">
      <w:pPr>
        <w:pStyle w:val="RRBody"/>
      </w:pPr>
      <w:bookmarkStart w:id="46" w:name="_Toc484701138"/>
      <w:r>
        <w:t>Eligible</w:t>
      </w:r>
      <w:r w:rsidRPr="00E86758">
        <w:t xml:space="preserve"> </w:t>
      </w:r>
      <w:r w:rsidR="00E86758" w:rsidRPr="00E86758">
        <w:t xml:space="preserve">Medicaid beneficiaries </w:t>
      </w:r>
      <w:r w:rsidR="006F1840">
        <w:t xml:space="preserve">may opt into the </w:t>
      </w:r>
      <w:r w:rsidR="00F172A5">
        <w:t>MMP</w:t>
      </w:r>
      <w:r w:rsidR="006F1840">
        <w:t xml:space="preserve"> program</w:t>
      </w:r>
      <w:r w:rsidR="00E86758" w:rsidRPr="00E86758">
        <w:t xml:space="preserve">. </w:t>
      </w:r>
      <w:r w:rsidR="006F1840">
        <w:t xml:space="preserve">Following the termination of the </w:t>
      </w:r>
      <w:r w:rsidR="004C607F">
        <w:t>RHO</w:t>
      </w:r>
      <w:r w:rsidR="006F1840">
        <w:t xml:space="preserve"> Phase 1 program</w:t>
      </w:r>
      <w:r w:rsidR="00840CEF">
        <w:t xml:space="preserve"> effective October 1, 2018</w:t>
      </w:r>
      <w:r w:rsidR="006F1840">
        <w:t xml:space="preserve">, beneficiaries not enrolled in </w:t>
      </w:r>
      <w:r w:rsidR="00F172A5">
        <w:t>MMP</w:t>
      </w:r>
      <w:r w:rsidR="006F1840">
        <w:t xml:space="preserve"> are covered under the state fee-for-service delivery system.</w:t>
      </w:r>
      <w:r w:rsidR="002D366F">
        <w:t xml:space="preserve"> </w:t>
      </w:r>
    </w:p>
    <w:p w14:paraId="40977A15" w14:textId="0D195E50" w:rsidR="00B94738" w:rsidRDefault="00E01AB5" w:rsidP="00210B59">
      <w:pPr>
        <w:pStyle w:val="RRBody"/>
        <w:rPr>
          <w:rFonts w:cstheme="minorHAnsi"/>
          <w:szCs w:val="18"/>
        </w:rPr>
      </w:pPr>
      <w:r>
        <w:rPr>
          <w:rFonts w:cstheme="minorHAnsi"/>
          <w:szCs w:val="18"/>
        </w:rPr>
        <w:t xml:space="preserve">For purposes of developing the SFY </w:t>
      </w:r>
      <w:r w:rsidR="00AF0E17">
        <w:rPr>
          <w:rFonts w:cstheme="minorHAnsi"/>
          <w:szCs w:val="18"/>
        </w:rPr>
        <w:t xml:space="preserve">2023 </w:t>
      </w:r>
      <w:r>
        <w:rPr>
          <w:rFonts w:cstheme="minorHAnsi"/>
          <w:szCs w:val="18"/>
        </w:rPr>
        <w:t xml:space="preserve">MMP capitation rates, </w:t>
      </w:r>
      <w:r w:rsidR="00666BBA">
        <w:rPr>
          <w:rFonts w:cstheme="minorHAnsi"/>
          <w:szCs w:val="18"/>
        </w:rPr>
        <w:t xml:space="preserve">EOHHS provided Milliman an eligibility file </w:t>
      </w:r>
      <w:r>
        <w:rPr>
          <w:rFonts w:cstheme="minorHAnsi"/>
          <w:szCs w:val="18"/>
        </w:rPr>
        <w:t xml:space="preserve">corresponding </w:t>
      </w:r>
      <w:r w:rsidR="000E0FA9">
        <w:rPr>
          <w:rFonts w:cstheme="minorHAnsi"/>
          <w:szCs w:val="18"/>
        </w:rPr>
        <w:t xml:space="preserve">to </w:t>
      </w:r>
      <w:r>
        <w:rPr>
          <w:rFonts w:cstheme="minorHAnsi"/>
          <w:szCs w:val="18"/>
        </w:rPr>
        <w:t xml:space="preserve">the </w:t>
      </w:r>
      <w:r w:rsidR="00AF0E17">
        <w:rPr>
          <w:rFonts w:cstheme="minorHAnsi"/>
          <w:szCs w:val="18"/>
        </w:rPr>
        <w:t>SFY</w:t>
      </w:r>
      <w:r>
        <w:rPr>
          <w:rFonts w:cstheme="minorHAnsi"/>
          <w:szCs w:val="18"/>
        </w:rPr>
        <w:t xml:space="preserve"> </w:t>
      </w:r>
      <w:r w:rsidR="00AF0E17">
        <w:rPr>
          <w:rFonts w:cstheme="minorHAnsi"/>
          <w:szCs w:val="18"/>
        </w:rPr>
        <w:t xml:space="preserve">2021 </w:t>
      </w:r>
      <w:r>
        <w:rPr>
          <w:rFonts w:cstheme="minorHAnsi"/>
          <w:szCs w:val="18"/>
        </w:rPr>
        <w:t xml:space="preserve">base data that assigned members to the nursing home rate cell </w:t>
      </w:r>
      <w:r w:rsidR="000E0FA9">
        <w:rPr>
          <w:rFonts w:cstheme="minorHAnsi"/>
          <w:szCs w:val="18"/>
        </w:rPr>
        <w:t xml:space="preserve">consistent with the </w:t>
      </w:r>
      <w:r w:rsidR="000738B2">
        <w:rPr>
          <w:rFonts w:cstheme="minorHAnsi"/>
          <w:szCs w:val="18"/>
        </w:rPr>
        <w:t xml:space="preserve">MMP rate cell assignment </w:t>
      </w:r>
      <w:r w:rsidR="000E0FA9">
        <w:rPr>
          <w:rFonts w:cstheme="minorHAnsi"/>
          <w:szCs w:val="18"/>
        </w:rPr>
        <w:t>logic</w:t>
      </w:r>
      <w:r>
        <w:rPr>
          <w:rFonts w:cstheme="minorHAnsi"/>
          <w:szCs w:val="18"/>
        </w:rPr>
        <w:t>.</w:t>
      </w:r>
      <w:r w:rsidR="00666BBA">
        <w:rPr>
          <w:rFonts w:cstheme="minorHAnsi"/>
          <w:szCs w:val="18"/>
        </w:rPr>
        <w:t xml:space="preserve"> </w:t>
      </w:r>
      <w:r w:rsidR="00B94738">
        <w:rPr>
          <w:rFonts w:cstheme="minorHAnsi"/>
          <w:szCs w:val="18"/>
        </w:rPr>
        <w:t xml:space="preserve">This file was reviewed for reasonability, and minor adjustments were made as </w:t>
      </w:r>
      <w:r w:rsidR="00D76021">
        <w:rPr>
          <w:rFonts w:cstheme="minorHAnsi"/>
          <w:szCs w:val="18"/>
        </w:rPr>
        <w:t xml:space="preserve">appropriate </w:t>
      </w:r>
      <w:r w:rsidR="00B94738">
        <w:rPr>
          <w:rFonts w:cstheme="minorHAnsi"/>
          <w:szCs w:val="18"/>
        </w:rPr>
        <w:t>after confirmation with EOHHS.</w:t>
      </w:r>
    </w:p>
    <w:p w14:paraId="242C6EC2" w14:textId="4079559A" w:rsidR="00357B5D" w:rsidRPr="00DA0D61" w:rsidRDefault="00666BBA" w:rsidP="00210B59">
      <w:pPr>
        <w:pStyle w:val="RRBody"/>
      </w:pPr>
      <w:bookmarkStart w:id="47" w:name="_Hlk79999454"/>
      <w:r>
        <w:t xml:space="preserve">Members will be passively enrolled </w:t>
      </w:r>
      <w:r w:rsidR="005B6D71">
        <w:t xml:space="preserve">between </w:t>
      </w:r>
      <w:r w:rsidR="000738B2">
        <w:t xml:space="preserve">July </w:t>
      </w:r>
      <w:r w:rsidR="005B6D71">
        <w:t xml:space="preserve">1, 2022 and </w:t>
      </w:r>
      <w:r w:rsidR="000738B2">
        <w:t>June 30</w:t>
      </w:r>
      <w:r w:rsidR="005B6D71">
        <w:t>, 202</w:t>
      </w:r>
      <w:r w:rsidR="000738B2">
        <w:t>3, which is described further in Section II.1.C.</w:t>
      </w:r>
      <w:r w:rsidR="002038FB">
        <w:t xml:space="preserve"> </w:t>
      </w:r>
      <w:r w:rsidR="007A6D87" w:rsidRPr="00417F46">
        <w:t>Further details on the enrollment processes may be found in the Memorandum of Understanding</w:t>
      </w:r>
      <w:r w:rsidR="006C7448" w:rsidRPr="00417F46">
        <w:t xml:space="preserve"> between the State of Rhode Island and CMS for this program</w:t>
      </w:r>
      <w:r w:rsidR="00201FAF" w:rsidRPr="00417F46">
        <w:t xml:space="preserve"> (MOU)</w:t>
      </w:r>
      <w:r w:rsidR="006C7448" w:rsidRPr="00F00EBE">
        <w:rPr>
          <w:rStyle w:val="FootnoteReference"/>
        </w:rPr>
        <w:footnoteReference w:id="4"/>
      </w:r>
      <w:r w:rsidR="007A6D87" w:rsidRPr="00F00EBE">
        <w:t>.</w:t>
      </w:r>
      <w:bookmarkEnd w:id="47"/>
      <w:r w:rsidR="005178EA">
        <w:t xml:space="preserve">                                                                </w:t>
      </w:r>
    </w:p>
    <w:p w14:paraId="57A1BE59" w14:textId="2C717437" w:rsidR="00CE2634" w:rsidRPr="00DE0859" w:rsidRDefault="00CE2634">
      <w:pPr>
        <w:pStyle w:val="Heading6"/>
      </w:pPr>
      <w:bookmarkStart w:id="48" w:name="_Toc504388984"/>
      <w:r w:rsidRPr="00DE0859">
        <w:t>Special contract provisions</w:t>
      </w:r>
      <w:bookmarkEnd w:id="46"/>
      <w:bookmarkEnd w:id="48"/>
    </w:p>
    <w:p w14:paraId="73104D2C" w14:textId="77777777" w:rsidR="00E86758" w:rsidRDefault="00D42D15" w:rsidP="00210B59">
      <w:pPr>
        <w:pStyle w:val="RRBody"/>
      </w:pPr>
      <w:r>
        <w:t>This</w:t>
      </w:r>
      <w:r w:rsidR="00E86758">
        <w:t xml:space="preserve"> rate certification report contains documentation of the following special contract provisions related to payment included within rate development.</w:t>
      </w:r>
    </w:p>
    <w:p w14:paraId="536D7FF4" w14:textId="38F25D76" w:rsidR="00E86758" w:rsidRDefault="00E86758" w:rsidP="00210B59">
      <w:pPr>
        <w:pStyle w:val="RRBullet1"/>
      </w:pPr>
      <w:r>
        <w:t>Withhold</w:t>
      </w:r>
      <w:r w:rsidR="00B32721">
        <w:t xml:space="preserve"> metrics</w:t>
      </w:r>
      <w:r>
        <w:t xml:space="preserve"> </w:t>
      </w:r>
    </w:p>
    <w:p w14:paraId="6A9BB894" w14:textId="6CEA046C" w:rsidR="00E86758" w:rsidRDefault="00BF7321" w:rsidP="00210B59">
      <w:pPr>
        <w:pStyle w:val="RRBullet1"/>
      </w:pPr>
      <w:r>
        <w:t>Minimum Medical Loss Ratio</w:t>
      </w:r>
    </w:p>
    <w:p w14:paraId="7304ECCA" w14:textId="77777777" w:rsidR="004F5395" w:rsidRPr="00E86758" w:rsidRDefault="00E86758" w:rsidP="00210B59">
      <w:pPr>
        <w:pStyle w:val="RRBody"/>
      </w:pPr>
      <w:r w:rsidRPr="008B5FE3">
        <w:t>Please see Section I, item 4 for</w:t>
      </w:r>
      <w:r>
        <w:t xml:space="preserve"> additional detail and documentation</w:t>
      </w:r>
      <w:r w:rsidR="00D42D15">
        <w:t>.</w:t>
      </w:r>
      <w:bookmarkStart w:id="49" w:name="_Toc484701139"/>
      <w:bookmarkStart w:id="50" w:name="_Toc504388985"/>
    </w:p>
    <w:p w14:paraId="1EFCF839" w14:textId="77777777" w:rsidR="00CE2634" w:rsidRPr="00927255" w:rsidRDefault="00CE2634">
      <w:pPr>
        <w:pStyle w:val="Heading6"/>
      </w:pPr>
      <w:r w:rsidRPr="00927255">
        <w:lastRenderedPageBreak/>
        <w:t>Retroactive adjustment to capitation rates</w:t>
      </w:r>
      <w:bookmarkEnd w:id="49"/>
      <w:bookmarkEnd w:id="50"/>
    </w:p>
    <w:p w14:paraId="69CB597A" w14:textId="2523E4F0" w:rsidR="00CE2634" w:rsidRPr="00541C09" w:rsidRDefault="00CE2634" w:rsidP="00210B59">
      <w:r w:rsidRPr="00541C09">
        <w:t>This rate certification report does not include a</w:t>
      </w:r>
      <w:r w:rsidR="00D42D15">
        <w:t xml:space="preserve"> retroactive adjustment to the </w:t>
      </w:r>
      <w:r w:rsidR="001F6F18">
        <w:t>prior certified</w:t>
      </w:r>
      <w:r w:rsidR="00140C74" w:rsidRPr="00541C09">
        <w:t xml:space="preserve"> </w:t>
      </w:r>
      <w:r w:rsidRPr="00541C09">
        <w:t>capitation rates.</w:t>
      </w:r>
    </w:p>
    <w:p w14:paraId="3934950E" w14:textId="77777777" w:rsidR="00CE2634" w:rsidRPr="008335E4" w:rsidRDefault="00CE2634" w:rsidP="00210B59">
      <w:pPr>
        <w:pStyle w:val="Heading4"/>
      </w:pPr>
      <w:bookmarkStart w:id="51" w:name="_Toc484701140"/>
      <w:bookmarkStart w:id="52" w:name="_Toc504388986"/>
      <w:bookmarkStart w:id="53" w:name="_Toc8984989"/>
      <w:bookmarkStart w:id="54" w:name="_Toc109295475"/>
      <w:r w:rsidRPr="008335E4">
        <w:t>Differences among capitation rates</w:t>
      </w:r>
      <w:bookmarkEnd w:id="51"/>
      <w:bookmarkEnd w:id="52"/>
      <w:bookmarkEnd w:id="53"/>
      <w:bookmarkEnd w:id="54"/>
    </w:p>
    <w:p w14:paraId="31471DF7" w14:textId="77777777" w:rsidR="00D42D15" w:rsidRPr="00DD4B5A" w:rsidRDefault="0041012B" w:rsidP="00210B59">
      <w:pPr>
        <w:pStyle w:val="RRBody"/>
      </w:pPr>
      <w:r w:rsidRPr="0041012B">
        <w:t>Any proposed differences among capitation rates according to covered populations are based on valid rate development standards and are not based on the rate of federal financial participation associated with the covered</w:t>
      </w:r>
      <w:r>
        <w:t xml:space="preserve"> </w:t>
      </w:r>
      <w:r w:rsidR="00D42D15">
        <w:t>populations.</w:t>
      </w:r>
    </w:p>
    <w:p w14:paraId="10556B71" w14:textId="77777777" w:rsidR="00CE2634" w:rsidRPr="008335E4" w:rsidRDefault="00CE2634" w:rsidP="00210B59">
      <w:pPr>
        <w:pStyle w:val="Heading4"/>
      </w:pPr>
      <w:bookmarkStart w:id="55" w:name="_Toc484701141"/>
      <w:bookmarkStart w:id="56" w:name="_Toc504388987"/>
      <w:bookmarkStart w:id="57" w:name="_Toc8984990"/>
      <w:bookmarkStart w:id="58" w:name="_Toc109295476"/>
      <w:r w:rsidRPr="008335E4">
        <w:t>Cross-subsidization of rate cell payment</w:t>
      </w:r>
      <w:bookmarkEnd w:id="55"/>
      <w:bookmarkEnd w:id="56"/>
      <w:bookmarkEnd w:id="57"/>
      <w:bookmarkEnd w:id="58"/>
    </w:p>
    <w:p w14:paraId="3807984E" w14:textId="77777777" w:rsidR="00D42D15" w:rsidRPr="00DD4B5A" w:rsidRDefault="0041012B" w:rsidP="00210B59">
      <w:pPr>
        <w:pStyle w:val="RRBody"/>
      </w:pPr>
      <w:bookmarkStart w:id="59" w:name="_Toc484701142"/>
      <w:bookmarkStart w:id="60" w:name="_Toc504388988"/>
      <w:r w:rsidRPr="0041012B">
        <w:t xml:space="preserve">The </w:t>
      </w:r>
      <w:r w:rsidRPr="00210B59">
        <w:t>capitation</w:t>
      </w:r>
      <w:r w:rsidRPr="0041012B">
        <w:t xml:space="preserve"> rates were developed at the rate cell level and neither cross-subsidize nor are cross-subsidized by payments from any other rate</w:t>
      </w:r>
      <w:r>
        <w:t xml:space="preserve"> </w:t>
      </w:r>
      <w:r w:rsidR="00D42D15">
        <w:t>cell.</w:t>
      </w:r>
    </w:p>
    <w:p w14:paraId="166AC267" w14:textId="77777777" w:rsidR="00CE2634" w:rsidRPr="008335E4" w:rsidRDefault="00CE2634" w:rsidP="00210B59">
      <w:pPr>
        <w:pStyle w:val="Heading4"/>
      </w:pPr>
      <w:bookmarkStart w:id="61" w:name="_Toc8984991"/>
      <w:bookmarkStart w:id="62" w:name="_Toc109295477"/>
      <w:r w:rsidRPr="008335E4">
        <w:t>Effective dates</w:t>
      </w:r>
      <w:bookmarkEnd w:id="59"/>
      <w:bookmarkEnd w:id="60"/>
      <w:bookmarkEnd w:id="61"/>
      <w:bookmarkEnd w:id="62"/>
    </w:p>
    <w:p w14:paraId="18B0A9A2" w14:textId="3D6F3055" w:rsidR="00D42D15" w:rsidRPr="001466CE" w:rsidRDefault="0041012B" w:rsidP="00210B59">
      <w:pPr>
        <w:pStyle w:val="RRBody"/>
      </w:pPr>
      <w:bookmarkStart w:id="63" w:name="_Toc484701143"/>
      <w:bookmarkStart w:id="64" w:name="_Toc504388989"/>
      <w:r w:rsidRPr="0041012B">
        <w:t xml:space="preserve">To the best of our knowledge, the effective dates of changes to the </w:t>
      </w:r>
      <w:r w:rsidR="00F172A5">
        <w:t>MMP</w:t>
      </w:r>
      <w:r w:rsidR="007A6D87">
        <w:t xml:space="preserve"> </w:t>
      </w:r>
      <w:r w:rsidRPr="0041012B">
        <w:t>program are consistent with the assumptions used in the development of the certifie</w:t>
      </w:r>
      <w:r w:rsidR="00554271">
        <w:t xml:space="preserve">d </w:t>
      </w:r>
      <w:r w:rsidR="008B2170">
        <w:t xml:space="preserve">SFY </w:t>
      </w:r>
      <w:r w:rsidR="00F24520">
        <w:t>2023</w:t>
      </w:r>
      <w:r w:rsidR="00F24520" w:rsidRPr="0041012B">
        <w:t xml:space="preserve"> </w:t>
      </w:r>
      <w:r w:rsidRPr="0041012B">
        <w:t>capitation rates.</w:t>
      </w:r>
    </w:p>
    <w:p w14:paraId="4C6878E1" w14:textId="77777777" w:rsidR="00210B59" w:rsidRDefault="00210B59" w:rsidP="00210B59">
      <w:pPr>
        <w:pStyle w:val="Heading4"/>
      </w:pPr>
      <w:bookmarkStart w:id="65" w:name="_Toc8984992"/>
      <w:bookmarkStart w:id="66" w:name="_Toc109295478"/>
      <w:r>
        <w:t>Medical loss ratio</w:t>
      </w:r>
      <w:bookmarkEnd w:id="65"/>
      <w:bookmarkEnd w:id="66"/>
    </w:p>
    <w:p w14:paraId="5EF21F16" w14:textId="4F668A75" w:rsidR="00210B59" w:rsidRPr="00210B59" w:rsidRDefault="00210B59" w:rsidP="00210B59">
      <w:bookmarkStart w:id="67" w:name="_Hlk9944506"/>
      <w:r>
        <w:t>Capitation rates were developed in such a way that a medical loss ratio, as calculated under 42 CFR</w:t>
      </w:r>
      <w:r w:rsidR="00295773">
        <w:t xml:space="preserve"> </w:t>
      </w:r>
      <w:r w:rsidR="00295773" w:rsidRPr="00295773">
        <w:t>§</w:t>
      </w:r>
      <w:r>
        <w:t xml:space="preserve">438.8, </w:t>
      </w:r>
      <w:r w:rsidR="00837161">
        <w:t xml:space="preserve">is projected to be greater than </w:t>
      </w:r>
      <w:r>
        <w:t xml:space="preserve">85% for the </w:t>
      </w:r>
      <w:r w:rsidR="00D24789">
        <w:t xml:space="preserve">rating </w:t>
      </w:r>
      <w:r>
        <w:t>year</w:t>
      </w:r>
      <w:bookmarkEnd w:id="67"/>
      <w:r>
        <w:t>.</w:t>
      </w:r>
    </w:p>
    <w:p w14:paraId="1CB1230D" w14:textId="6382C65B" w:rsidR="00707455" w:rsidRDefault="00F20243" w:rsidP="00210B59">
      <w:pPr>
        <w:pStyle w:val="Heading4"/>
      </w:pPr>
      <w:bookmarkStart w:id="68" w:name="_Toc109295479"/>
      <w:bookmarkStart w:id="69" w:name="_Toc8984993"/>
      <w:r>
        <w:t>R</w:t>
      </w:r>
      <w:r w:rsidR="00707455">
        <w:t xml:space="preserve">ate </w:t>
      </w:r>
      <w:r w:rsidR="00E0593B">
        <w:t>r</w:t>
      </w:r>
      <w:r w:rsidR="00707455">
        <w:t>anges</w:t>
      </w:r>
      <w:bookmarkEnd w:id="68"/>
    </w:p>
    <w:p w14:paraId="42964544" w14:textId="2B008D11" w:rsidR="00707455" w:rsidRPr="005965D4" w:rsidRDefault="00707455" w:rsidP="003C47F4">
      <w:r w:rsidRPr="00707455">
        <w:t xml:space="preserve">The SFY </w:t>
      </w:r>
      <w:r w:rsidR="00F24520" w:rsidRPr="00707455">
        <w:t>202</w:t>
      </w:r>
      <w:r w:rsidR="00F24520">
        <w:t>3</w:t>
      </w:r>
      <w:r w:rsidR="00F24520" w:rsidRPr="00707455">
        <w:t xml:space="preserve"> </w:t>
      </w:r>
      <w:r w:rsidRPr="00707455">
        <w:t>MMP capitation rate development does not utilize rate ranges.</w:t>
      </w:r>
    </w:p>
    <w:p w14:paraId="61B3E1EC" w14:textId="4F309041" w:rsidR="00E0593B" w:rsidRDefault="00F20243" w:rsidP="00210B59">
      <w:pPr>
        <w:pStyle w:val="Heading4"/>
      </w:pPr>
      <w:bookmarkStart w:id="70" w:name="_Toc109295480"/>
      <w:r>
        <w:t>Actuarial soundness of rate ranges</w:t>
      </w:r>
      <w:bookmarkEnd w:id="70"/>
    </w:p>
    <w:p w14:paraId="51CDF8E7" w14:textId="151AE79B" w:rsidR="00E0593B" w:rsidRPr="005965D4" w:rsidRDefault="00E0593B" w:rsidP="003C47F4">
      <w:r w:rsidRPr="00E0593B">
        <w:t xml:space="preserve">The SFY </w:t>
      </w:r>
      <w:r w:rsidR="00F24520" w:rsidRPr="00E0593B">
        <w:t>202</w:t>
      </w:r>
      <w:r w:rsidR="00F24520">
        <w:t>3</w:t>
      </w:r>
      <w:r w:rsidR="00F24520" w:rsidRPr="00E0593B">
        <w:t xml:space="preserve"> </w:t>
      </w:r>
      <w:r w:rsidRPr="00E0593B">
        <w:t>MMP capitation rate development does not utilize rate ranges.</w:t>
      </w:r>
    </w:p>
    <w:p w14:paraId="099F768C" w14:textId="6A5F3652" w:rsidR="00CE2634" w:rsidRPr="008335E4" w:rsidRDefault="00CE2634" w:rsidP="00210B59">
      <w:pPr>
        <w:pStyle w:val="Heading4"/>
      </w:pPr>
      <w:bookmarkStart w:id="71" w:name="_Toc109295481"/>
      <w:r w:rsidRPr="008335E4">
        <w:t>Generally accepted actuarial practices and principles</w:t>
      </w:r>
      <w:bookmarkEnd w:id="63"/>
      <w:bookmarkEnd w:id="64"/>
      <w:bookmarkEnd w:id="69"/>
      <w:bookmarkEnd w:id="71"/>
    </w:p>
    <w:p w14:paraId="45938D62" w14:textId="77777777" w:rsidR="00CE2634" w:rsidRPr="009F2859" w:rsidRDefault="00CE2634" w:rsidP="00210B59">
      <w:pPr>
        <w:pStyle w:val="Heading5"/>
      </w:pPr>
      <w:bookmarkStart w:id="72" w:name="_Toc484701144"/>
      <w:bookmarkStart w:id="73" w:name="_Toc504388990"/>
      <w:r w:rsidRPr="009F2859">
        <w:t>Reasonable, appropriate, and attainable</w:t>
      </w:r>
      <w:bookmarkEnd w:id="72"/>
      <w:bookmarkEnd w:id="73"/>
    </w:p>
    <w:p w14:paraId="48A3CF1A" w14:textId="6E40379C" w:rsidR="00CE2634" w:rsidRPr="00541C09" w:rsidRDefault="0041012B" w:rsidP="00210B59">
      <w:r w:rsidRPr="0041012B">
        <w:t>In our judgment, all adjustments to the capitation rates, or to any portion of the capitation rates, reflect reasonable, appropriate, and attainable costs</w:t>
      </w:r>
      <w:r w:rsidR="000A2742">
        <w:t xml:space="preserve"> that are reflective of financial experience absent the demonstration</w:t>
      </w:r>
      <w:r w:rsidRPr="0041012B">
        <w:t>.</w:t>
      </w:r>
    </w:p>
    <w:p w14:paraId="4F4D04DE" w14:textId="77777777" w:rsidR="00CE2634" w:rsidRPr="009F2859" w:rsidRDefault="00CE2634" w:rsidP="00210B59">
      <w:pPr>
        <w:pStyle w:val="Heading5"/>
      </w:pPr>
      <w:bookmarkStart w:id="74" w:name="_Toc484701145"/>
      <w:bookmarkStart w:id="75" w:name="_Toc504388991"/>
      <w:r w:rsidRPr="009F2859">
        <w:t>Outside the rate setting process</w:t>
      </w:r>
      <w:bookmarkEnd w:id="74"/>
      <w:bookmarkEnd w:id="75"/>
    </w:p>
    <w:p w14:paraId="58C08C1E" w14:textId="77777777" w:rsidR="00D42D15" w:rsidRDefault="00D42D15" w:rsidP="00210B59">
      <w:pPr>
        <w:pStyle w:val="RRBody"/>
      </w:pPr>
      <w:r>
        <w:t>There are no adjustments to the rates performed outside the rate setting process.</w:t>
      </w:r>
    </w:p>
    <w:p w14:paraId="6DCC4212" w14:textId="77777777" w:rsidR="00CE2634" w:rsidRPr="009F2859" w:rsidRDefault="00CE2634" w:rsidP="00210B59">
      <w:pPr>
        <w:pStyle w:val="Heading5"/>
      </w:pPr>
      <w:bookmarkStart w:id="76" w:name="_Toc484701146"/>
      <w:bookmarkStart w:id="77" w:name="_Toc504388992"/>
      <w:r w:rsidRPr="009F2859">
        <w:t>Final contracted rates</w:t>
      </w:r>
      <w:bookmarkEnd w:id="76"/>
      <w:bookmarkEnd w:id="77"/>
    </w:p>
    <w:p w14:paraId="500FB150" w14:textId="14EDBEBC" w:rsidR="00D42D15" w:rsidRPr="00D42D15" w:rsidRDefault="00D42D15" w:rsidP="00210B59">
      <w:pPr>
        <w:pStyle w:val="RRBody"/>
        <w:rPr>
          <w:sz w:val="22"/>
        </w:rPr>
      </w:pPr>
      <w:bookmarkStart w:id="78" w:name="_Toc484701147"/>
      <w:bookmarkStart w:id="79" w:name="_Toc504388993"/>
      <w:r>
        <w:t xml:space="preserve">The </w:t>
      </w:r>
      <w:r w:rsidR="00533097">
        <w:t xml:space="preserve">SFY </w:t>
      </w:r>
      <w:r w:rsidR="00F24520">
        <w:t>2023</w:t>
      </w:r>
      <w:r w:rsidR="00F24520" w:rsidRPr="00554271">
        <w:t xml:space="preserve"> </w:t>
      </w:r>
      <w:r w:rsidR="00554271" w:rsidRPr="00554271">
        <w:t xml:space="preserve">capitation rates certified in this report represent the </w:t>
      </w:r>
      <w:r w:rsidR="007A6D87">
        <w:t xml:space="preserve">Medicaid component of the </w:t>
      </w:r>
      <w:r w:rsidR="00554271" w:rsidRPr="00554271">
        <w:t xml:space="preserve">final </w:t>
      </w:r>
      <w:r w:rsidR="00F172A5">
        <w:t>MMP</w:t>
      </w:r>
      <w:r w:rsidR="007F0432">
        <w:t xml:space="preserve"> </w:t>
      </w:r>
      <w:r w:rsidR="00554271" w:rsidRPr="00554271">
        <w:t xml:space="preserve">contracted rates by rate cell. </w:t>
      </w:r>
      <w:r w:rsidR="007F0432">
        <w:t xml:space="preserve">The Medicare component of the rate is </w:t>
      </w:r>
      <w:r w:rsidR="00353E4E">
        <w:t>excluded from this report</w:t>
      </w:r>
      <w:r w:rsidR="007F0432">
        <w:t xml:space="preserve">. </w:t>
      </w:r>
    </w:p>
    <w:p w14:paraId="05121ECF" w14:textId="77777777" w:rsidR="00CE2634" w:rsidRPr="008335E4" w:rsidRDefault="00CE2634" w:rsidP="00210B59">
      <w:pPr>
        <w:pStyle w:val="Heading4"/>
      </w:pPr>
      <w:bookmarkStart w:id="80" w:name="_Toc8984994"/>
      <w:bookmarkStart w:id="81" w:name="_Toc109295482"/>
      <w:r w:rsidRPr="008335E4">
        <w:t>Rate certification for effective time periods</w:t>
      </w:r>
      <w:bookmarkEnd w:id="78"/>
      <w:bookmarkEnd w:id="79"/>
      <w:bookmarkEnd w:id="80"/>
      <w:bookmarkEnd w:id="81"/>
    </w:p>
    <w:p w14:paraId="373927AE" w14:textId="7EE1F148" w:rsidR="00CE2634" w:rsidRPr="00D42D15" w:rsidRDefault="0041012B" w:rsidP="00210B59">
      <w:pPr>
        <w:pStyle w:val="RRBody"/>
        <w:rPr>
          <w:rFonts w:cs="Times New Roman"/>
          <w:szCs w:val="18"/>
        </w:rPr>
      </w:pPr>
      <w:r w:rsidRPr="0041012B">
        <w:t xml:space="preserve">This actuarial certification is effective for the </w:t>
      </w:r>
      <w:r w:rsidR="00D731CB">
        <w:t>twelve</w:t>
      </w:r>
      <w:r w:rsidR="002623DD">
        <w:t>-month</w:t>
      </w:r>
      <w:r w:rsidRPr="0041012B">
        <w:t xml:space="preserve"> rating period of </w:t>
      </w:r>
      <w:r w:rsidR="006412E6">
        <w:t xml:space="preserve">July 1, </w:t>
      </w:r>
      <w:r w:rsidR="00F24520">
        <w:t>2022</w:t>
      </w:r>
      <w:r w:rsidR="00F24520" w:rsidRPr="0041012B">
        <w:t xml:space="preserve"> </w:t>
      </w:r>
      <w:r w:rsidRPr="0041012B">
        <w:t xml:space="preserve">through </w:t>
      </w:r>
      <w:r w:rsidR="00AF1DD5">
        <w:t xml:space="preserve">June 30, </w:t>
      </w:r>
      <w:r w:rsidR="00F24520">
        <w:t>2023</w:t>
      </w:r>
      <w:r w:rsidRPr="0041012B">
        <w:t>.</w:t>
      </w:r>
    </w:p>
    <w:p w14:paraId="5F4E4A06" w14:textId="3CF242C1" w:rsidR="0088180E" w:rsidRDefault="0088180E" w:rsidP="00210B59">
      <w:pPr>
        <w:pStyle w:val="Heading4"/>
      </w:pPr>
      <w:bookmarkStart w:id="82" w:name="_Toc109295483"/>
      <w:bookmarkStart w:id="83" w:name="_Toc484701148"/>
      <w:bookmarkStart w:id="84" w:name="_Toc504388994"/>
      <w:bookmarkStart w:id="85" w:name="_Toc8984995"/>
      <w:r>
        <w:t xml:space="preserve">COVID-19 </w:t>
      </w:r>
      <w:r w:rsidR="002E03FA">
        <w:t>public health emergency</w:t>
      </w:r>
      <w:bookmarkEnd w:id="82"/>
    </w:p>
    <w:p w14:paraId="51CA24D1" w14:textId="6739941C" w:rsidR="00DB0F75" w:rsidRDefault="002E03FA" w:rsidP="00DB0F75">
      <w:pPr>
        <w:pStyle w:val="RRNumberedBullet1"/>
        <w:numPr>
          <w:ilvl w:val="0"/>
          <w:numId w:val="0"/>
        </w:numPr>
      </w:pPr>
      <w:r>
        <w:t>We considered the direct and indirect impact of COVID-19 on the covered population and services in SFY 2023. The evaluation and rationale for assumptions included in rate development and the risk mitigation strategy are described in Section I.1.B.x.</w:t>
      </w:r>
    </w:p>
    <w:p w14:paraId="26F3EF8F" w14:textId="77777777" w:rsidR="00DC1BCB" w:rsidRDefault="00DC1BCB" w:rsidP="00DB0F75">
      <w:pPr>
        <w:pStyle w:val="RRNumberedBullet1"/>
        <w:numPr>
          <w:ilvl w:val="0"/>
          <w:numId w:val="0"/>
        </w:numPr>
      </w:pPr>
    </w:p>
    <w:p w14:paraId="26B41953" w14:textId="1B4C75C2" w:rsidR="00CE2634" w:rsidRDefault="00CE2634" w:rsidP="00210B59">
      <w:pPr>
        <w:pStyle w:val="Heading4"/>
      </w:pPr>
      <w:bookmarkStart w:id="86" w:name="_Toc109295484"/>
      <w:r w:rsidRPr="008335E4">
        <w:lastRenderedPageBreak/>
        <w:t>Procedures for rate certification and amendment</w:t>
      </w:r>
      <w:bookmarkEnd w:id="83"/>
      <w:bookmarkEnd w:id="84"/>
      <w:bookmarkEnd w:id="85"/>
      <w:bookmarkEnd w:id="86"/>
    </w:p>
    <w:p w14:paraId="663C5A32" w14:textId="093B96B8" w:rsidR="00B8748C" w:rsidRPr="00933BDB" w:rsidRDefault="008B5FE3" w:rsidP="00210B59">
      <w:pPr>
        <w:pStyle w:val="RRBody"/>
      </w:pPr>
      <w:r>
        <w:t xml:space="preserve">The SFY </w:t>
      </w:r>
      <w:r w:rsidR="00F24520">
        <w:t xml:space="preserve">2023 </w:t>
      </w:r>
      <w:r>
        <w:t xml:space="preserve">MMP rate development does not utilize rate ranges. </w:t>
      </w:r>
      <w:r w:rsidR="00B8748C" w:rsidRPr="00933BDB">
        <w:t>In general, a new rate certification will be submitted when the rates change. The following exceptions are allowed</w:t>
      </w:r>
      <w:r w:rsidR="00530625">
        <w:t xml:space="preserve"> per §438.7 of CMS 2390-F</w:t>
      </w:r>
      <w:r w:rsidR="00B8748C" w:rsidRPr="00933BDB">
        <w:t>:</w:t>
      </w:r>
    </w:p>
    <w:p w14:paraId="19EDCEEC" w14:textId="77777777" w:rsidR="00F7425B" w:rsidRDefault="00F7425B" w:rsidP="00F7425B">
      <w:pPr>
        <w:pStyle w:val="ListParagraph"/>
        <w:numPr>
          <w:ilvl w:val="0"/>
          <w:numId w:val="10"/>
        </w:numPr>
        <w:jc w:val="both"/>
      </w:pPr>
      <w:r w:rsidRPr="00DF73B0">
        <w:t>An increase or decrease of up to 1.5% in the capitation rate per rate cell.</w:t>
      </w:r>
    </w:p>
    <w:p w14:paraId="5328058E" w14:textId="00EE15D5" w:rsidR="00F7425B" w:rsidRPr="00DF73B0" w:rsidRDefault="00F7425B" w:rsidP="00F7425B">
      <w:pPr>
        <w:pStyle w:val="ListParagraph"/>
        <w:numPr>
          <w:ilvl w:val="0"/>
          <w:numId w:val="10"/>
        </w:numPr>
        <w:jc w:val="both"/>
      </w:pPr>
      <w:r w:rsidRPr="00DF73B0">
        <w:t xml:space="preserve">Risk adjustment, under a methodology described in the initial certification, changes the rates paid to the </w:t>
      </w:r>
      <w:r>
        <w:t>MCOs.</w:t>
      </w:r>
      <w:r w:rsidR="008B5FE3">
        <w:t xml:space="preserve"> There is only one MCO in the MMP program and risk adjustment is not used.</w:t>
      </w:r>
    </w:p>
    <w:p w14:paraId="68603672" w14:textId="2343EBDB" w:rsidR="00CE2634" w:rsidRPr="00B8748C" w:rsidRDefault="00F7425B" w:rsidP="00210B59">
      <w:pPr>
        <w:pStyle w:val="RRBody"/>
        <w:rPr>
          <w:sz w:val="22"/>
        </w:rPr>
      </w:pPr>
      <w:r>
        <w:t>Under case one above, a contract amendment must still be submitted to CMS. In instances in which the rates are unchanged but a contract amendment could reasonably change the rate development and rates, we will provide supporting documentation indicating the rationale as to why the rates continue to be actuarially sound</w:t>
      </w:r>
      <w:r w:rsidR="00EF2B61">
        <w:t xml:space="preserve"> using the joint rate setting process prescribed by CMS</w:t>
      </w:r>
      <w:r>
        <w:t>. A new rate certification will be provided to account for any costs invalidated by courts of law, or changes in federal statues, regulations, or approvals</w:t>
      </w:r>
      <w:r w:rsidR="00B8748C">
        <w:t xml:space="preserve">. </w:t>
      </w:r>
    </w:p>
    <w:p w14:paraId="4E15B424" w14:textId="778A711D" w:rsidR="00CE2634" w:rsidRPr="00D705D5" w:rsidRDefault="00CE2634" w:rsidP="00210B59">
      <w:pPr>
        <w:pStyle w:val="Heading3"/>
      </w:pPr>
      <w:bookmarkStart w:id="87" w:name="_Toc484701149"/>
      <w:bookmarkStart w:id="88" w:name="_Toc504388995"/>
      <w:bookmarkStart w:id="89" w:name="_Toc8984996"/>
      <w:bookmarkStart w:id="90" w:name="_Toc109295485"/>
      <w:r w:rsidRPr="00D705D5">
        <w:t>Appropriate Documentation</w:t>
      </w:r>
      <w:bookmarkEnd w:id="87"/>
      <w:bookmarkEnd w:id="88"/>
      <w:bookmarkEnd w:id="89"/>
      <w:bookmarkEnd w:id="90"/>
    </w:p>
    <w:p w14:paraId="1209C50B" w14:textId="4E11B542" w:rsidR="0042031B" w:rsidRDefault="00106AA3" w:rsidP="00210B59">
      <w:pPr>
        <w:pStyle w:val="Heading4"/>
      </w:pPr>
      <w:bookmarkStart w:id="91" w:name="_Toc109295486"/>
      <w:bookmarkStart w:id="92" w:name="_Toc484701150"/>
      <w:bookmarkStart w:id="93" w:name="_Toc504388996"/>
      <w:bookmarkStart w:id="94" w:name="_Toc8984997"/>
      <w:r>
        <w:t>Capitation rate certification</w:t>
      </w:r>
      <w:bookmarkEnd w:id="91"/>
    </w:p>
    <w:p w14:paraId="76740C25" w14:textId="18638975" w:rsidR="0042031B" w:rsidRPr="005965D4" w:rsidRDefault="0042031B" w:rsidP="003C47F4">
      <w:r>
        <w:t xml:space="preserve">The SFY </w:t>
      </w:r>
      <w:r w:rsidR="00F24520">
        <w:t xml:space="preserve">2023 </w:t>
      </w:r>
      <w:r>
        <w:t xml:space="preserve">MMP rate development certifies specific </w:t>
      </w:r>
      <w:r w:rsidR="00106AA3">
        <w:t xml:space="preserve">capitation </w:t>
      </w:r>
      <w:r>
        <w:t>rates for each rate cell.</w:t>
      </w:r>
    </w:p>
    <w:p w14:paraId="31ACA52B" w14:textId="48FC4C59" w:rsidR="00CE2634" w:rsidRPr="008335E4" w:rsidRDefault="00CE2634" w:rsidP="00210B59">
      <w:pPr>
        <w:pStyle w:val="Heading4"/>
      </w:pPr>
      <w:bookmarkStart w:id="95" w:name="_Toc109295487"/>
      <w:r w:rsidRPr="008335E4">
        <w:t>Documentation of required elements</w:t>
      </w:r>
      <w:bookmarkEnd w:id="92"/>
      <w:bookmarkEnd w:id="93"/>
      <w:bookmarkEnd w:id="94"/>
      <w:bookmarkEnd w:id="95"/>
    </w:p>
    <w:p w14:paraId="47491F2A" w14:textId="6EB3AAE1" w:rsidR="00CE2634" w:rsidRDefault="002010B6" w:rsidP="00210B59">
      <w:r w:rsidRPr="002010B6">
        <w:t>This report contains appropriate documentation of all elements described in the rate certification, including data used, assumptions made, and methods for analyzing data and developing assumptions and</w:t>
      </w:r>
      <w:r>
        <w:t xml:space="preserve"> </w:t>
      </w:r>
      <w:r w:rsidR="00CE2634" w:rsidRPr="00541C09">
        <w:t>adjustments.</w:t>
      </w:r>
    </w:p>
    <w:p w14:paraId="1CB3D165" w14:textId="4E912872" w:rsidR="006B2BF6" w:rsidRDefault="006B2BF6" w:rsidP="006B2BF6">
      <w:pPr>
        <w:pStyle w:val="Heading4"/>
      </w:pPr>
      <w:bookmarkStart w:id="96" w:name="_Toc109295488"/>
      <w:bookmarkStart w:id="97" w:name="_Toc71724190"/>
      <w:r>
        <w:t xml:space="preserve">Use of </w:t>
      </w:r>
      <w:r w:rsidR="009D0648">
        <w:t>rate ranges</w:t>
      </w:r>
      <w:bookmarkEnd w:id="96"/>
    </w:p>
    <w:p w14:paraId="3BDD830D" w14:textId="3EF03079" w:rsidR="006B2BF6" w:rsidRPr="005965D4" w:rsidRDefault="006B2BF6" w:rsidP="003C47F4">
      <w:pPr>
        <w:jc w:val="both"/>
      </w:pPr>
      <w:r>
        <w:t>This report certifies specific rates for each rate cell in accordance with 42 CFR §438.4(b)(4) and §438.7(c).</w:t>
      </w:r>
    </w:p>
    <w:p w14:paraId="4FB7E65E" w14:textId="126DFEB6" w:rsidR="00C65084" w:rsidRPr="0027065D" w:rsidRDefault="009D0648" w:rsidP="00C65084">
      <w:pPr>
        <w:pStyle w:val="Heading4"/>
      </w:pPr>
      <w:bookmarkStart w:id="98" w:name="_Toc109295489"/>
      <w:bookmarkEnd w:id="97"/>
      <w:r>
        <w:t>Rate range boundaries</w:t>
      </w:r>
      <w:bookmarkEnd w:id="98"/>
    </w:p>
    <w:p w14:paraId="5D0D79CA" w14:textId="43B260A2" w:rsidR="00C65084" w:rsidRDefault="009D0648" w:rsidP="009B1F77">
      <w:r w:rsidRPr="00E0593B">
        <w:t>The SFY 202</w:t>
      </w:r>
      <w:r>
        <w:t>3</w:t>
      </w:r>
      <w:r w:rsidRPr="00E0593B">
        <w:t xml:space="preserve"> MMP capitation rate development does not utilize rate ranges.</w:t>
      </w:r>
    </w:p>
    <w:p w14:paraId="5B3D5F1B" w14:textId="77777777" w:rsidR="00CE2634" w:rsidRPr="0027065D" w:rsidRDefault="00CE2634" w:rsidP="00210B59">
      <w:pPr>
        <w:pStyle w:val="Heading4"/>
      </w:pPr>
      <w:bookmarkStart w:id="99" w:name="_Toc78555704"/>
      <w:bookmarkStart w:id="100" w:name="_Toc484701151"/>
      <w:bookmarkStart w:id="101" w:name="_Toc504388997"/>
      <w:bookmarkStart w:id="102" w:name="_Toc8984998"/>
      <w:bookmarkStart w:id="103" w:name="_Toc109295490"/>
      <w:bookmarkEnd w:id="99"/>
      <w:r w:rsidRPr="0027065D">
        <w:t>Index</w:t>
      </w:r>
      <w:bookmarkEnd w:id="100"/>
      <w:bookmarkEnd w:id="101"/>
      <w:bookmarkEnd w:id="102"/>
      <w:bookmarkEnd w:id="103"/>
    </w:p>
    <w:p w14:paraId="5C766846" w14:textId="77777777" w:rsidR="00CE2634" w:rsidRPr="00541C09" w:rsidRDefault="00CE2634" w:rsidP="00210B59">
      <w:r w:rsidRPr="00541C09">
        <w:t xml:space="preserve">The index to this rate certification is the </w:t>
      </w:r>
      <w:r w:rsidR="003C17F1">
        <w:t xml:space="preserve">table </w:t>
      </w:r>
      <w:r w:rsidRPr="00541C09">
        <w:t>of contents, found immediately after the title page. The index includes section numbers and related page numbers. Sections not relevant to this certification continue to be provided, with an explanation of why they are not applicable.</w:t>
      </w:r>
    </w:p>
    <w:p w14:paraId="427DAD12" w14:textId="6A1AEE96" w:rsidR="004B4407" w:rsidRDefault="009D0648" w:rsidP="00210B59">
      <w:pPr>
        <w:pStyle w:val="Heading4"/>
      </w:pPr>
      <w:bookmarkStart w:id="104" w:name="_Toc104545272"/>
      <w:bookmarkStart w:id="105" w:name="_Toc109295491"/>
      <w:bookmarkStart w:id="106" w:name="_Toc484701152"/>
      <w:bookmarkStart w:id="107" w:name="_Toc504388998"/>
      <w:bookmarkStart w:id="108" w:name="_Toc8984999"/>
      <w:r>
        <w:t>Compliance with 42 CFR §438.4(b)(1)</w:t>
      </w:r>
      <w:bookmarkEnd w:id="104"/>
      <w:bookmarkEnd w:id="105"/>
    </w:p>
    <w:p w14:paraId="55DB933C" w14:textId="263FDB6B" w:rsidR="004B4407" w:rsidRPr="005965D4" w:rsidRDefault="004B4407" w:rsidP="003C47F4">
      <w:r>
        <w:t xml:space="preserve">The SFY </w:t>
      </w:r>
      <w:r w:rsidR="00F24520">
        <w:t xml:space="preserve">2023 </w:t>
      </w:r>
      <w:r>
        <w:t>MMP capitation rate development</w:t>
      </w:r>
      <w:r w:rsidR="005178EA">
        <w:t xml:space="preserve"> </w:t>
      </w:r>
      <w:r w:rsidR="00D16C8A">
        <w:t>includes assumptions, methodologies, and/or factors that are based on valid rate development standards and consistent across covered populations in accordance with 42 CFR §438.4(b)(1) and §438.4(b)(6)</w:t>
      </w:r>
      <w:r w:rsidR="008B5FE3">
        <w:t>.</w:t>
      </w:r>
    </w:p>
    <w:p w14:paraId="458B1AA0" w14:textId="75AE8051" w:rsidR="00CE2634" w:rsidRDefault="00CE2634" w:rsidP="00210B59">
      <w:pPr>
        <w:pStyle w:val="Heading4"/>
      </w:pPr>
      <w:bookmarkStart w:id="109" w:name="_Toc109295492"/>
      <w:r w:rsidRPr="0027065D">
        <w:t>Different FMAP</w:t>
      </w:r>
      <w:bookmarkEnd w:id="106"/>
      <w:bookmarkEnd w:id="107"/>
      <w:bookmarkEnd w:id="108"/>
      <w:bookmarkEnd w:id="109"/>
    </w:p>
    <w:p w14:paraId="048933C3" w14:textId="59336118" w:rsidR="00B8748C" w:rsidRPr="00EB0D6C" w:rsidRDefault="007B40AA" w:rsidP="00210B59">
      <w:pPr>
        <w:pStyle w:val="RRBody"/>
      </w:pPr>
      <w:r w:rsidRPr="007B40AA">
        <w:t xml:space="preserve">The </w:t>
      </w:r>
      <w:r w:rsidR="00F172A5">
        <w:t>MMP</w:t>
      </w:r>
      <w:r w:rsidRPr="007B40AA">
        <w:t xml:space="preserve"> </w:t>
      </w:r>
      <w:r w:rsidR="00D11F9D">
        <w:t>program</w:t>
      </w:r>
      <w:r w:rsidR="00D11F9D" w:rsidRPr="007B40AA">
        <w:t xml:space="preserve"> </w:t>
      </w:r>
      <w:r w:rsidRPr="007B40AA">
        <w:t>receive</w:t>
      </w:r>
      <w:r w:rsidR="00D11F9D">
        <w:t>s</w:t>
      </w:r>
      <w:r w:rsidRPr="007B40AA">
        <w:t xml:space="preserve"> the regular state FMAP</w:t>
      </w:r>
      <w:r w:rsidR="00C65084">
        <w:t xml:space="preserve"> </w:t>
      </w:r>
      <w:r w:rsidR="00C65084" w:rsidRPr="004B19DE">
        <w:t>of 54.</w:t>
      </w:r>
      <w:r w:rsidR="00F24520">
        <w:t>88</w:t>
      </w:r>
      <w:r w:rsidR="00C65084" w:rsidRPr="004B19DE">
        <w:t>%</w:t>
      </w:r>
      <w:r w:rsidR="00C65084">
        <w:t xml:space="preserve"> in FFY </w:t>
      </w:r>
      <w:r w:rsidR="00F24520">
        <w:t xml:space="preserve">2022 </w:t>
      </w:r>
      <w:r w:rsidR="00C65084" w:rsidRPr="004B19DE">
        <w:t xml:space="preserve">and </w:t>
      </w:r>
      <w:r w:rsidR="00F24520">
        <w:t>53.96</w:t>
      </w:r>
      <w:r w:rsidR="00C65084" w:rsidRPr="004B19DE">
        <w:t>% in</w:t>
      </w:r>
      <w:r w:rsidR="00C65084">
        <w:t xml:space="preserve"> FFY </w:t>
      </w:r>
      <w:r w:rsidR="00F24520">
        <w:t>2023</w:t>
      </w:r>
      <w:r w:rsidR="00C65084" w:rsidRPr="007B40AA">
        <w:t>.</w:t>
      </w:r>
      <w:r w:rsidR="001628A8">
        <w:t xml:space="preserve"> The enhanced FMAP provided by the Families First Coronavirus Response Act (6.2% increase) is not reflected in the values provided in Figure 2.</w:t>
      </w:r>
    </w:p>
    <w:p w14:paraId="1E9365D5" w14:textId="77777777" w:rsidR="00CE2634" w:rsidRPr="0027065D" w:rsidRDefault="00936C7D" w:rsidP="00210B59">
      <w:pPr>
        <w:pStyle w:val="Heading4"/>
      </w:pPr>
      <w:bookmarkStart w:id="110" w:name="_Toc8985000"/>
      <w:bookmarkStart w:id="111" w:name="_Toc109295493"/>
      <w:r>
        <w:t>Comparison to final certified rates in the previous rate certification.</w:t>
      </w:r>
      <w:bookmarkEnd w:id="110"/>
      <w:bookmarkEnd w:id="111"/>
    </w:p>
    <w:p w14:paraId="17B65361" w14:textId="33E50241" w:rsidR="00CE2634" w:rsidRDefault="0057296E" w:rsidP="009B1F77">
      <w:r>
        <w:t xml:space="preserve">The previous rate certification applied to SFY </w:t>
      </w:r>
      <w:r w:rsidR="00F24520">
        <w:t xml:space="preserve">2022 </w:t>
      </w:r>
      <w:r>
        <w:t>capitation rates.</w:t>
      </w:r>
      <w:r w:rsidR="005178EA">
        <w:t xml:space="preserve"> </w:t>
      </w:r>
      <w:r>
        <w:t xml:space="preserve">A comparison to SFY </w:t>
      </w:r>
      <w:r w:rsidR="00F24520">
        <w:t xml:space="preserve">2022 </w:t>
      </w:r>
      <w:r>
        <w:t>certified rates by rate cell is provided in Figure 1</w:t>
      </w:r>
      <w:r w:rsidRPr="00541C09">
        <w:t>.</w:t>
      </w:r>
      <w:r w:rsidR="001628A8">
        <w:t xml:space="preserve"> All material changes to the capitation rate and the rate development process compared to the previous rate certification are described in this report</w:t>
      </w:r>
      <w:r>
        <w:t>.</w:t>
      </w:r>
    </w:p>
    <w:p w14:paraId="72144710" w14:textId="73944A68" w:rsidR="006E705A" w:rsidRDefault="006E705A" w:rsidP="00C65084">
      <w:pPr>
        <w:pStyle w:val="Heading4"/>
      </w:pPr>
      <w:bookmarkStart w:id="112" w:name="_Toc109295494"/>
      <w:bookmarkStart w:id="113" w:name="_Toc71724194"/>
      <w:r>
        <w:lastRenderedPageBreak/>
        <w:t xml:space="preserve">Future </w:t>
      </w:r>
      <w:r w:rsidR="009D0648">
        <w:t>amendments</w:t>
      </w:r>
      <w:bookmarkEnd w:id="112"/>
    </w:p>
    <w:p w14:paraId="52E65488" w14:textId="544BFFCE" w:rsidR="006E705A" w:rsidRPr="00541C09" w:rsidRDefault="001628A8" w:rsidP="006E705A">
      <w:pPr>
        <w:jc w:val="both"/>
      </w:pPr>
      <w:r>
        <w:t xml:space="preserve">The SFY 2023 capitation rates may be amended to reflect material program changes not known or evaluated at the time of this certification, such as legislatively mandated SFY 2023 program changes and/or impacts associated with the termination of the PHE. </w:t>
      </w:r>
    </w:p>
    <w:p w14:paraId="60CF9E03" w14:textId="02A165B8" w:rsidR="00C65084" w:rsidRPr="0027065D" w:rsidRDefault="006E705A" w:rsidP="00C65084">
      <w:pPr>
        <w:pStyle w:val="Heading4"/>
      </w:pPr>
      <w:bookmarkStart w:id="114" w:name="_Toc109295495"/>
      <w:bookmarkEnd w:id="113"/>
      <w:r>
        <w:t xml:space="preserve">COVID-19 </w:t>
      </w:r>
      <w:r w:rsidR="00E23575">
        <w:t>public health emergency</w:t>
      </w:r>
      <w:bookmarkEnd w:id="114"/>
    </w:p>
    <w:p w14:paraId="479285E3" w14:textId="04C7FC32" w:rsidR="001628A8" w:rsidRDefault="00DB0F75" w:rsidP="001628A8">
      <w:pPr>
        <w:pStyle w:val="RRNumberedBullet1"/>
        <w:numPr>
          <w:ilvl w:val="0"/>
          <w:numId w:val="0"/>
        </w:numPr>
      </w:pPr>
      <w:r>
        <w:t xml:space="preserve">We considered the impact of COVID-19 on the estimated utilization and service mix for the covered population in SFY </w:t>
      </w:r>
      <w:r w:rsidR="007E1BBB">
        <w:t>2023</w:t>
      </w:r>
      <w:r>
        <w:t xml:space="preserve">. </w:t>
      </w:r>
      <w:r w:rsidR="001628A8">
        <w:t>We note that there continues to be material uncertainty related to the impact of COVID-19 on capitation rates. The analysis and estimated impacts are described in detail in Section I.3.B.ii.(a)</w:t>
      </w:r>
      <w:r w:rsidR="00E27A0F">
        <w:t>.</w:t>
      </w:r>
    </w:p>
    <w:p w14:paraId="73098CDE" w14:textId="6FD8926A" w:rsidR="00E27A0F" w:rsidRDefault="00581350" w:rsidP="00DB0F75">
      <w:pPr>
        <w:pStyle w:val="RRNumberedBullet1"/>
        <w:numPr>
          <w:ilvl w:val="0"/>
          <w:numId w:val="0"/>
        </w:numPr>
      </w:pPr>
      <w:r>
        <w:t xml:space="preserve">For purposes of this report, the public health emergency (PHE) was assumed to continue throughout SFY 2023. The potential termination of the PHE and associated impacts may be </w:t>
      </w:r>
      <w:r w:rsidR="00E27A0F">
        <w:t>e</w:t>
      </w:r>
      <w:r>
        <w:t xml:space="preserve">valuated when the PHE termination date is known. </w:t>
      </w:r>
    </w:p>
    <w:p w14:paraId="7723492D" w14:textId="246145C5" w:rsidR="00E27A0F" w:rsidRDefault="00E27A0F" w:rsidP="00E27A0F">
      <w:pPr>
        <w:pStyle w:val="Heading5"/>
        <w:numPr>
          <w:ilvl w:val="3"/>
          <w:numId w:val="60"/>
        </w:numPr>
        <w:jc w:val="both"/>
      </w:pPr>
      <w:r>
        <w:t>Available data</w:t>
      </w:r>
    </w:p>
    <w:p w14:paraId="59178ADE" w14:textId="6D5EDA05" w:rsidR="00DB0F75" w:rsidRDefault="00581350" w:rsidP="00DB0F75">
      <w:pPr>
        <w:pStyle w:val="RRNumberedBullet1"/>
        <w:numPr>
          <w:ilvl w:val="0"/>
          <w:numId w:val="0"/>
        </w:numPr>
      </w:pPr>
      <w:r>
        <w:t>Rhode Island MMP managed care data and fee-for-service experience through December 2021, inclusive of incurred but not paid (IBNP) expenditures</w:t>
      </w:r>
      <w:r w:rsidR="00784862">
        <w:t>, was evaluated to understand emerging experience during the PHE. Encounter data, fee-for-service data, and corresponding eligibility information provided by EOHHS were utilized in this analysis. Emerging Rhode Island experience was compared to results in other state Medicaid programs to evaluate the consistency of observed pandemic trends.</w:t>
      </w:r>
    </w:p>
    <w:p w14:paraId="388F301B" w14:textId="57AE490A" w:rsidR="00056AF0" w:rsidRDefault="00056AF0" w:rsidP="009B1F77">
      <w:pPr>
        <w:pStyle w:val="Heading5"/>
        <w:numPr>
          <w:ilvl w:val="3"/>
          <w:numId w:val="60"/>
        </w:numPr>
        <w:jc w:val="both"/>
      </w:pPr>
      <w:r>
        <w:t>Direct and indirect impacts</w:t>
      </w:r>
    </w:p>
    <w:p w14:paraId="0AE7A0FE" w14:textId="540A593F" w:rsidR="00EB261E" w:rsidRDefault="005F37EF" w:rsidP="00DB0F75">
      <w:pPr>
        <w:pStyle w:val="RRNumberedBullet1"/>
        <w:numPr>
          <w:ilvl w:val="0"/>
          <w:numId w:val="0"/>
        </w:numPr>
      </w:pPr>
      <w:r>
        <w:t>We considered pandemic-related impacts such as COVID-19 infections, suppressed utilization, pent-up demand, and changes in population mix</w:t>
      </w:r>
      <w:r w:rsidRPr="00505159">
        <w:t xml:space="preserve"> </w:t>
      </w:r>
      <w:r>
        <w:t>on the observed utilization and service mix. We also considered the effect of increased immunity to COVID-19, the potential impact of COVID-19 variants, and provider capacity. These considerations were evaluated in the development of the emerging experience adjustment</w:t>
      </w:r>
      <w:r w:rsidR="0097305B">
        <w:t xml:space="preserve"> and</w:t>
      </w:r>
      <w:r>
        <w:t xml:space="preserve"> prospective trend</w:t>
      </w:r>
      <w:r w:rsidR="0097305B">
        <w:t xml:space="preserve"> </w:t>
      </w:r>
      <w:r>
        <w:t>adjustment</w:t>
      </w:r>
      <w:r w:rsidR="0097305B">
        <w:t>s</w:t>
      </w:r>
      <w:r>
        <w:t xml:space="preserve"> described in section I.3.B.</w:t>
      </w:r>
    </w:p>
    <w:p w14:paraId="3EEC6C59" w14:textId="77777777" w:rsidR="00056AF0" w:rsidRDefault="00056AF0" w:rsidP="00680CA0">
      <w:pPr>
        <w:pStyle w:val="Heading5"/>
        <w:numPr>
          <w:ilvl w:val="3"/>
          <w:numId w:val="60"/>
        </w:numPr>
      </w:pPr>
      <w:r>
        <w:t xml:space="preserve">Non-risk payments </w:t>
      </w:r>
    </w:p>
    <w:p w14:paraId="0F056B46" w14:textId="457157B5" w:rsidR="00056AF0" w:rsidRDefault="00056AF0" w:rsidP="00056AF0">
      <w:r>
        <w:t xml:space="preserve">There are no non-risk payments applicable to the </w:t>
      </w:r>
      <w:r w:rsidR="00B93AA4">
        <w:t>Rhode Island MMP program</w:t>
      </w:r>
      <w:r>
        <w:t xml:space="preserve"> in SFY 2023.</w:t>
      </w:r>
    </w:p>
    <w:p w14:paraId="5DF12735" w14:textId="77777777" w:rsidR="00056AF0" w:rsidRDefault="00056AF0" w:rsidP="00056AF0">
      <w:pPr>
        <w:pStyle w:val="Heading5"/>
        <w:jc w:val="both"/>
      </w:pPr>
      <w:r>
        <w:t>Risk mitigation strategies</w:t>
      </w:r>
    </w:p>
    <w:p w14:paraId="27405FB0" w14:textId="361D06BB" w:rsidR="001D7F4A" w:rsidRPr="001D7F4A" w:rsidRDefault="005F37EF" w:rsidP="00210B59">
      <w:pPr>
        <w:rPr>
          <w:sz w:val="30"/>
          <w:szCs w:val="30"/>
        </w:rPr>
      </w:pPr>
      <w:r>
        <w:t>There is no change in the risk mitigation strategy specific to the COVID-19 PHE relative to the SFY 2022 contract period.</w:t>
      </w:r>
      <w:r w:rsidR="001D7F4A">
        <w:br w:type="page"/>
      </w:r>
    </w:p>
    <w:p w14:paraId="6BA39C68" w14:textId="3A1C3420" w:rsidR="00CE2634" w:rsidRPr="001D7F4A" w:rsidRDefault="00CE2634" w:rsidP="00210B59">
      <w:pPr>
        <w:pStyle w:val="Heading2"/>
      </w:pPr>
      <w:bookmarkStart w:id="115" w:name="_Toc8985001"/>
      <w:bookmarkStart w:id="116" w:name="_Toc109295496"/>
      <w:r w:rsidRPr="001D7F4A">
        <w:lastRenderedPageBreak/>
        <w:t>Data</w:t>
      </w:r>
      <w:bookmarkEnd w:id="115"/>
      <w:bookmarkEnd w:id="116"/>
    </w:p>
    <w:p w14:paraId="7EB427D5" w14:textId="48539983" w:rsidR="00AC17B1" w:rsidRPr="00DA0D61" w:rsidRDefault="00AC17B1" w:rsidP="00210B59">
      <w:pPr>
        <w:pStyle w:val="RRBody"/>
      </w:pPr>
      <w:bookmarkStart w:id="117" w:name="_Toc484701156"/>
      <w:bookmarkStart w:id="118" w:name="_Toc504389002"/>
      <w:r w:rsidRPr="00DA0D61">
        <w:t xml:space="preserve">This </w:t>
      </w:r>
      <w:r w:rsidR="002010B6" w:rsidRPr="002010B6">
        <w:t>section provides information regarding the base data used to develop the capitation rates. The base experience data described in this sectio</w:t>
      </w:r>
      <w:r w:rsidR="002010B6">
        <w:t xml:space="preserve">n is illustrated in Appendix </w:t>
      </w:r>
      <w:r w:rsidR="009C4895">
        <w:t>3</w:t>
      </w:r>
      <w:r w:rsidR="002010B6">
        <w:t>.</w:t>
      </w:r>
    </w:p>
    <w:p w14:paraId="6068FF80" w14:textId="505FB489" w:rsidR="00CE2634" w:rsidRPr="00D705D5" w:rsidRDefault="00CE2634" w:rsidP="005570C2">
      <w:pPr>
        <w:pStyle w:val="Heading3"/>
        <w:numPr>
          <w:ilvl w:val="1"/>
          <w:numId w:val="18"/>
        </w:numPr>
      </w:pPr>
      <w:bookmarkStart w:id="119" w:name="_Toc8985002"/>
      <w:bookmarkStart w:id="120" w:name="_Toc109295497"/>
      <w:r w:rsidRPr="00D705D5">
        <w:t>Rate Development Standards</w:t>
      </w:r>
      <w:bookmarkEnd w:id="117"/>
      <w:bookmarkEnd w:id="118"/>
      <w:bookmarkEnd w:id="119"/>
      <w:bookmarkEnd w:id="120"/>
    </w:p>
    <w:p w14:paraId="371ECBB5" w14:textId="1DEFFACE" w:rsidR="00AC17B1" w:rsidRPr="00AC17B1" w:rsidRDefault="002010B6" w:rsidP="00210B59">
      <w:pPr>
        <w:pStyle w:val="RRBody"/>
      </w:pPr>
      <w:bookmarkStart w:id="121" w:name="_Toc484701157"/>
      <w:bookmarkStart w:id="122" w:name="_Toc504389003"/>
      <w:r w:rsidRPr="002010B6">
        <w:t xml:space="preserve">In accordance with 42 CFR §438.5(c), we have followed the rate development standards related to base data. The remainder </w:t>
      </w:r>
      <w:r w:rsidRPr="00B85E83">
        <w:t xml:space="preserve">of </w:t>
      </w:r>
      <w:r w:rsidR="006B622B" w:rsidRPr="00B85E83">
        <w:t>S</w:t>
      </w:r>
      <w:r w:rsidRPr="00B85E83">
        <w:t>ection I, item 2</w:t>
      </w:r>
      <w:r w:rsidRPr="002010B6">
        <w:t xml:space="preserve"> provides documentation of the data types, sources, validation process, material adjustments and other information relevant to the documentation standards required by CMS.</w:t>
      </w:r>
    </w:p>
    <w:p w14:paraId="3379C269" w14:textId="0C53095D" w:rsidR="00CE2634" w:rsidRPr="00D705D5" w:rsidRDefault="00CE2634" w:rsidP="00D74FED">
      <w:pPr>
        <w:pStyle w:val="Heading3"/>
      </w:pPr>
      <w:bookmarkStart w:id="123" w:name="_Toc8985003"/>
      <w:bookmarkStart w:id="124" w:name="_Toc109295498"/>
      <w:r w:rsidRPr="00D705D5">
        <w:t>Appropriate Documentation</w:t>
      </w:r>
      <w:bookmarkEnd w:id="121"/>
      <w:bookmarkEnd w:id="122"/>
      <w:bookmarkEnd w:id="123"/>
      <w:bookmarkEnd w:id="124"/>
    </w:p>
    <w:p w14:paraId="6123FFF2" w14:textId="77777777" w:rsidR="00CE2634" w:rsidRPr="0027065D" w:rsidRDefault="00CE2634" w:rsidP="00D74FED">
      <w:pPr>
        <w:pStyle w:val="Heading4"/>
      </w:pPr>
      <w:bookmarkStart w:id="125" w:name="_Toc484701158"/>
      <w:bookmarkStart w:id="126" w:name="_Toc504389004"/>
      <w:bookmarkStart w:id="127" w:name="_Toc8985004"/>
      <w:bookmarkStart w:id="128" w:name="_Toc109295499"/>
      <w:r w:rsidRPr="0027065D">
        <w:t>Requested data</w:t>
      </w:r>
      <w:bookmarkEnd w:id="125"/>
      <w:bookmarkEnd w:id="126"/>
      <w:bookmarkEnd w:id="127"/>
      <w:bookmarkEnd w:id="128"/>
    </w:p>
    <w:p w14:paraId="58DBFB08" w14:textId="38AAEF84" w:rsidR="009C4895" w:rsidRDefault="007805AD" w:rsidP="00210B59">
      <w:pPr>
        <w:pStyle w:val="RRBody"/>
        <w:rPr>
          <w:rFonts w:cstheme="minorHAnsi"/>
          <w:szCs w:val="18"/>
        </w:rPr>
      </w:pPr>
      <w:r>
        <w:rPr>
          <w:rFonts w:cstheme="minorHAnsi"/>
          <w:szCs w:val="18"/>
        </w:rPr>
        <w:t xml:space="preserve">Milliman receives eligibility, capitation, encounter, and fee-for-service claim files from EOHHS on a monthly basis. </w:t>
      </w:r>
      <w:r w:rsidR="007E1BBB">
        <w:rPr>
          <w:rFonts w:cstheme="minorHAnsi"/>
          <w:szCs w:val="18"/>
        </w:rPr>
        <w:t>SFY 2021</w:t>
      </w:r>
      <w:r>
        <w:rPr>
          <w:rFonts w:cstheme="minorHAnsi"/>
          <w:szCs w:val="18"/>
        </w:rPr>
        <w:t xml:space="preserve"> fee-for-service experience was chosen as the base data used in the SFY </w:t>
      </w:r>
      <w:r w:rsidR="007E1BBB">
        <w:rPr>
          <w:rFonts w:cstheme="minorHAnsi"/>
          <w:szCs w:val="18"/>
        </w:rPr>
        <w:t xml:space="preserve">2023 </w:t>
      </w:r>
      <w:r>
        <w:rPr>
          <w:rFonts w:cstheme="minorHAnsi"/>
          <w:szCs w:val="18"/>
        </w:rPr>
        <w:t>capitation rate development.</w:t>
      </w:r>
      <w:r w:rsidR="00CC5599">
        <w:rPr>
          <w:rFonts w:cstheme="minorHAnsi"/>
          <w:szCs w:val="18"/>
        </w:rPr>
        <w:t xml:space="preserve"> </w:t>
      </w:r>
    </w:p>
    <w:p w14:paraId="0B893808" w14:textId="07A133CB" w:rsidR="007805AD" w:rsidRDefault="00AE41BB" w:rsidP="00210B59">
      <w:pPr>
        <w:pStyle w:val="RRBody"/>
        <w:rPr>
          <w:rFonts w:cstheme="minorHAnsi"/>
          <w:szCs w:val="18"/>
        </w:rPr>
      </w:pPr>
      <w:r>
        <w:rPr>
          <w:rFonts w:cstheme="minorHAnsi"/>
          <w:szCs w:val="18"/>
        </w:rPr>
        <w:t>EOHHS provided supplemental eligibility information for the fee-for-service member base.</w:t>
      </w:r>
      <w:r w:rsidR="007805AD">
        <w:rPr>
          <w:rFonts w:cstheme="minorHAnsi"/>
          <w:szCs w:val="18"/>
        </w:rPr>
        <w:t xml:space="preserve"> </w:t>
      </w:r>
      <w:r w:rsidR="009C4895">
        <w:rPr>
          <w:rFonts w:cstheme="minorHAnsi"/>
          <w:szCs w:val="18"/>
        </w:rPr>
        <w:t xml:space="preserve">The supplemental eligibility information identified the MMP capitation rate cell that would have been assigned to the </w:t>
      </w:r>
      <w:r w:rsidR="007E1BBB">
        <w:rPr>
          <w:rFonts w:cstheme="minorHAnsi"/>
          <w:szCs w:val="18"/>
        </w:rPr>
        <w:t>SFY 2021</w:t>
      </w:r>
      <w:r w:rsidR="009C4895">
        <w:rPr>
          <w:rFonts w:cstheme="minorHAnsi"/>
          <w:szCs w:val="18"/>
        </w:rPr>
        <w:t xml:space="preserve"> fee-for-service membership</w:t>
      </w:r>
      <w:r w:rsidR="009C4895" w:rsidRPr="009C4895">
        <w:rPr>
          <w:rFonts w:cstheme="minorHAnsi"/>
          <w:szCs w:val="18"/>
        </w:rPr>
        <w:t xml:space="preserve"> </w:t>
      </w:r>
      <w:r w:rsidR="009C4895">
        <w:rPr>
          <w:rFonts w:cstheme="minorHAnsi"/>
          <w:szCs w:val="18"/>
        </w:rPr>
        <w:t xml:space="preserve">using the SFY </w:t>
      </w:r>
      <w:r w:rsidR="007E1BBB">
        <w:rPr>
          <w:rFonts w:cstheme="minorHAnsi"/>
          <w:szCs w:val="18"/>
        </w:rPr>
        <w:t xml:space="preserve">2023 </w:t>
      </w:r>
      <w:r w:rsidR="007B5778">
        <w:rPr>
          <w:rFonts w:cstheme="minorHAnsi"/>
          <w:szCs w:val="18"/>
        </w:rPr>
        <w:t xml:space="preserve">MMP </w:t>
      </w:r>
      <w:r w:rsidR="009C4895">
        <w:rPr>
          <w:rFonts w:cstheme="minorHAnsi"/>
          <w:szCs w:val="18"/>
        </w:rPr>
        <w:t>rate cell assignment logic.</w:t>
      </w:r>
    </w:p>
    <w:p w14:paraId="3D1EE3E5" w14:textId="70380BDB" w:rsidR="00CE2634" w:rsidRDefault="00AE3F80" w:rsidP="00210B59">
      <w:pPr>
        <w:pStyle w:val="RRBody"/>
      </w:pPr>
      <w:r w:rsidRPr="00AE3F80">
        <w:t>The remainder of this section details the base data and validation p</w:t>
      </w:r>
      <w:r>
        <w:t xml:space="preserve">rocesses utilized in the </w:t>
      </w:r>
      <w:r w:rsidR="00CE0D42">
        <w:t xml:space="preserve">SFY </w:t>
      </w:r>
      <w:r w:rsidR="007E1BBB">
        <w:t xml:space="preserve">2023 </w:t>
      </w:r>
      <w:r w:rsidRPr="00AE3F80">
        <w:t>capitation rate development.</w:t>
      </w:r>
      <w:r>
        <w:t xml:space="preserve"> </w:t>
      </w:r>
      <w:r w:rsidR="004C5B97">
        <w:t xml:space="preserve">The </w:t>
      </w:r>
      <w:r w:rsidR="007E1BBB">
        <w:t>SFY 2021</w:t>
      </w:r>
      <w:r w:rsidR="004C5B97">
        <w:t xml:space="preserve"> base experience is </w:t>
      </w:r>
      <w:r w:rsidR="002C280A">
        <w:t>summarized</w:t>
      </w:r>
      <w:r w:rsidR="004C5B97">
        <w:t xml:space="preserve"> in </w:t>
      </w:r>
      <w:r w:rsidRPr="00AE3F80">
        <w:t xml:space="preserve">Appendix </w:t>
      </w:r>
      <w:r w:rsidR="009C4895">
        <w:t>3</w:t>
      </w:r>
      <w:r>
        <w:t>.</w:t>
      </w:r>
    </w:p>
    <w:p w14:paraId="6519A121" w14:textId="77777777" w:rsidR="00CE2634" w:rsidRPr="0027065D" w:rsidRDefault="00CE2634" w:rsidP="00D74FED">
      <w:pPr>
        <w:pStyle w:val="Heading4"/>
      </w:pPr>
      <w:bookmarkStart w:id="129" w:name="_Toc484701159"/>
      <w:bookmarkStart w:id="130" w:name="_Toc504389005"/>
      <w:bookmarkStart w:id="131" w:name="_Toc8985005"/>
      <w:bookmarkStart w:id="132" w:name="_Toc109295500"/>
      <w:r w:rsidRPr="0027065D">
        <w:t>Data used to develop the capitation rates</w:t>
      </w:r>
      <w:bookmarkEnd w:id="129"/>
      <w:bookmarkEnd w:id="130"/>
      <w:bookmarkEnd w:id="131"/>
      <w:bookmarkEnd w:id="132"/>
    </w:p>
    <w:p w14:paraId="23476022" w14:textId="77777777" w:rsidR="00CE2634" w:rsidRPr="00FA46A8" w:rsidRDefault="00CE2634" w:rsidP="00210B59">
      <w:pPr>
        <w:pStyle w:val="Heading5"/>
      </w:pPr>
      <w:bookmarkStart w:id="133" w:name="_Toc484701160"/>
      <w:bookmarkStart w:id="134" w:name="_Toc504389006"/>
      <w:r w:rsidRPr="00FA46A8">
        <w:t>Description of the data</w:t>
      </w:r>
      <w:bookmarkEnd w:id="133"/>
      <w:bookmarkEnd w:id="134"/>
    </w:p>
    <w:p w14:paraId="043FB679" w14:textId="77777777" w:rsidR="00CE2634" w:rsidRPr="00665D2D" w:rsidRDefault="00CE2634">
      <w:pPr>
        <w:pStyle w:val="Heading6"/>
        <w:numPr>
          <w:ilvl w:val="0"/>
          <w:numId w:val="35"/>
        </w:numPr>
      </w:pPr>
      <w:bookmarkStart w:id="135" w:name="_Toc484701161"/>
      <w:bookmarkStart w:id="136" w:name="_Toc504389007"/>
      <w:r w:rsidRPr="00665D2D">
        <w:t>Types of data</w:t>
      </w:r>
      <w:bookmarkEnd w:id="135"/>
      <w:bookmarkEnd w:id="136"/>
    </w:p>
    <w:p w14:paraId="323365EC" w14:textId="76DDF2A3" w:rsidR="00472A32" w:rsidRDefault="00472A32">
      <w:pPr>
        <w:pStyle w:val="RRBody"/>
        <w:rPr>
          <w:szCs w:val="18"/>
        </w:rPr>
      </w:pPr>
      <w:r>
        <w:rPr>
          <w:szCs w:val="18"/>
        </w:rPr>
        <w:t xml:space="preserve">We utilized </w:t>
      </w:r>
      <w:r w:rsidR="00117189">
        <w:rPr>
          <w:szCs w:val="18"/>
        </w:rPr>
        <w:t>SFY 2021</w:t>
      </w:r>
      <w:r w:rsidR="007805AD">
        <w:rPr>
          <w:szCs w:val="18"/>
        </w:rPr>
        <w:t xml:space="preserve"> fee</w:t>
      </w:r>
      <w:r w:rsidR="00AE41BB">
        <w:rPr>
          <w:szCs w:val="18"/>
        </w:rPr>
        <w:t>-</w:t>
      </w:r>
      <w:r w:rsidR="007805AD">
        <w:rPr>
          <w:szCs w:val="18"/>
        </w:rPr>
        <w:t>for</w:t>
      </w:r>
      <w:r w:rsidR="00AE41BB">
        <w:rPr>
          <w:szCs w:val="18"/>
        </w:rPr>
        <w:t>-</w:t>
      </w:r>
      <w:r w:rsidR="007805AD">
        <w:rPr>
          <w:szCs w:val="18"/>
        </w:rPr>
        <w:t>service</w:t>
      </w:r>
      <w:r>
        <w:rPr>
          <w:szCs w:val="18"/>
        </w:rPr>
        <w:t xml:space="preserve"> experience as the base data for purposes of the </w:t>
      </w:r>
      <w:r w:rsidR="00132EC4">
        <w:rPr>
          <w:szCs w:val="18"/>
        </w:rPr>
        <w:t xml:space="preserve">SFY </w:t>
      </w:r>
      <w:r w:rsidR="00117189">
        <w:rPr>
          <w:szCs w:val="18"/>
        </w:rPr>
        <w:t xml:space="preserve">2023 </w:t>
      </w:r>
      <w:r w:rsidR="00F172A5">
        <w:rPr>
          <w:szCs w:val="18"/>
        </w:rPr>
        <w:t>MMP</w:t>
      </w:r>
      <w:r>
        <w:rPr>
          <w:szCs w:val="18"/>
        </w:rPr>
        <w:t xml:space="preserve"> capitation rate development</w:t>
      </w:r>
      <w:r w:rsidR="00AE41BB">
        <w:rPr>
          <w:szCs w:val="18"/>
        </w:rPr>
        <w:t>,</w:t>
      </w:r>
      <w:r w:rsidR="00DE0847">
        <w:rPr>
          <w:szCs w:val="18"/>
        </w:rPr>
        <w:t xml:space="preserve"> with adjustment</w:t>
      </w:r>
      <w:r w:rsidR="003635AF">
        <w:rPr>
          <w:szCs w:val="18"/>
        </w:rPr>
        <w:t>s</w:t>
      </w:r>
      <w:r w:rsidR="00DE0847">
        <w:rPr>
          <w:szCs w:val="18"/>
        </w:rPr>
        <w:t xml:space="preserve"> for program changes</w:t>
      </w:r>
      <w:r w:rsidR="00B507B6">
        <w:rPr>
          <w:szCs w:val="18"/>
        </w:rPr>
        <w:t xml:space="preserve"> and trends</w:t>
      </w:r>
      <w:r>
        <w:rPr>
          <w:szCs w:val="18"/>
        </w:rPr>
        <w:t xml:space="preserve">. </w:t>
      </w:r>
    </w:p>
    <w:p w14:paraId="21424542" w14:textId="51B633E6" w:rsidR="00B541A7" w:rsidRPr="00A513B3" w:rsidRDefault="00B541A7">
      <w:pPr>
        <w:pStyle w:val="RRBody"/>
      </w:pPr>
      <w:r w:rsidRPr="00A513B3">
        <w:t xml:space="preserve">The </w:t>
      </w:r>
      <w:r w:rsidR="002211C6">
        <w:t>primary data sources used or referenced in the development of the capitation rates are the following</w:t>
      </w:r>
      <w:r w:rsidRPr="00A513B3">
        <w:t>:</w:t>
      </w:r>
    </w:p>
    <w:p w14:paraId="49F09068" w14:textId="1B194D97" w:rsidR="00DB79EC" w:rsidRDefault="00AE41BB" w:rsidP="005570C2">
      <w:pPr>
        <w:pStyle w:val="RRNumberedBullet1"/>
        <w:numPr>
          <w:ilvl w:val="0"/>
          <w:numId w:val="29"/>
        </w:numPr>
        <w:spacing w:before="60"/>
        <w:ind w:left="360"/>
      </w:pPr>
      <w:r>
        <w:t xml:space="preserve">Fee-for-service </w:t>
      </w:r>
      <w:r w:rsidR="00B85E83">
        <w:t xml:space="preserve">claims </w:t>
      </w:r>
      <w:r w:rsidR="00DB79EC">
        <w:t xml:space="preserve">data </w:t>
      </w:r>
      <w:r w:rsidR="00B85E83">
        <w:t xml:space="preserve">for MMP eligible population incurred </w:t>
      </w:r>
      <w:r w:rsidR="001175E8">
        <w:t xml:space="preserve">July </w:t>
      </w:r>
      <w:r w:rsidR="00B85E83">
        <w:t xml:space="preserve">1, </w:t>
      </w:r>
      <w:r w:rsidR="001175E8">
        <w:t xml:space="preserve">2020 </w:t>
      </w:r>
      <w:r w:rsidR="00B85E83">
        <w:t xml:space="preserve">through </w:t>
      </w:r>
      <w:r w:rsidR="001175E8">
        <w:t>June 30</w:t>
      </w:r>
      <w:r w:rsidR="00B85E83">
        <w:t xml:space="preserve">, </w:t>
      </w:r>
      <w:r w:rsidR="001175E8">
        <w:t xml:space="preserve">2021 </w:t>
      </w:r>
      <w:r w:rsidR="00B85E83">
        <w:t xml:space="preserve">and paid through </w:t>
      </w:r>
      <w:r w:rsidR="001175E8">
        <w:t>April 30</w:t>
      </w:r>
      <w:r w:rsidR="00B85E83">
        <w:t xml:space="preserve">, </w:t>
      </w:r>
      <w:r w:rsidR="001175E8">
        <w:t>2022</w:t>
      </w:r>
      <w:r w:rsidR="00DB79EC">
        <w:t>;</w:t>
      </w:r>
    </w:p>
    <w:p w14:paraId="6866555C" w14:textId="57561C9A" w:rsidR="00AE41BB" w:rsidRDefault="00B85E83" w:rsidP="00AE41BB">
      <w:pPr>
        <w:pStyle w:val="RRNumberedBullet1"/>
        <w:numPr>
          <w:ilvl w:val="0"/>
          <w:numId w:val="29"/>
        </w:numPr>
        <w:spacing w:before="60"/>
        <w:ind w:left="360"/>
      </w:pPr>
      <w:r>
        <w:t>Detailed fee-for-service enrollment</w:t>
      </w:r>
      <w:r w:rsidR="00DB79EC">
        <w:t xml:space="preserve"> data</w:t>
      </w:r>
      <w:r w:rsidR="002211C6">
        <w:t xml:space="preserve"> for </w:t>
      </w:r>
      <w:r w:rsidR="001175E8">
        <w:t xml:space="preserve">July </w:t>
      </w:r>
      <w:r w:rsidR="002211C6">
        <w:t xml:space="preserve">1, </w:t>
      </w:r>
      <w:r w:rsidR="001175E8">
        <w:t xml:space="preserve">2020 </w:t>
      </w:r>
      <w:r w:rsidR="002211C6">
        <w:t xml:space="preserve">through </w:t>
      </w:r>
      <w:r w:rsidR="001175E8">
        <w:t>June 30</w:t>
      </w:r>
      <w:r w:rsidR="002211C6">
        <w:t xml:space="preserve">, </w:t>
      </w:r>
      <w:r w:rsidR="001175E8">
        <w:t>2021</w:t>
      </w:r>
      <w:r w:rsidR="00DB79EC">
        <w:t>;</w:t>
      </w:r>
      <w:r w:rsidR="003635AF">
        <w:t xml:space="preserve"> and,</w:t>
      </w:r>
    </w:p>
    <w:p w14:paraId="3D8A1629" w14:textId="1D941AFD" w:rsidR="002211C6" w:rsidRDefault="002211C6" w:rsidP="00AE41BB">
      <w:pPr>
        <w:pStyle w:val="RRNumberedBullet1"/>
        <w:numPr>
          <w:ilvl w:val="0"/>
          <w:numId w:val="29"/>
        </w:numPr>
        <w:spacing w:before="60"/>
        <w:ind w:left="360"/>
      </w:pPr>
      <w:r>
        <w:t xml:space="preserve">SFY </w:t>
      </w:r>
      <w:r w:rsidR="001175E8">
        <w:t xml:space="preserve">2020 </w:t>
      </w:r>
      <w:r>
        <w:t xml:space="preserve">Medicaid Expenditure </w:t>
      </w:r>
      <w:r w:rsidR="00F7172A">
        <w:t>R</w:t>
      </w:r>
      <w:r>
        <w:t>eport</w:t>
      </w:r>
      <w:r w:rsidR="003635AF">
        <w:t>.</w:t>
      </w:r>
    </w:p>
    <w:p w14:paraId="242CD02E" w14:textId="77F6473C" w:rsidR="00897E08" w:rsidRDefault="00F7172A" w:rsidP="003C47F4">
      <w:pPr>
        <w:pStyle w:val="RRNumberedBullet1"/>
        <w:numPr>
          <w:ilvl w:val="0"/>
          <w:numId w:val="0"/>
        </w:numPr>
        <w:spacing w:before="60"/>
      </w:pPr>
      <w:r>
        <w:t xml:space="preserve">In addition, </w:t>
      </w:r>
      <w:r w:rsidR="001E0E4A">
        <w:t>MMP</w:t>
      </w:r>
      <w:r w:rsidR="00630096">
        <w:t xml:space="preserve"> claims and enrollment data </w:t>
      </w:r>
      <w:r>
        <w:t>was reviewed for purposes of developing acuity adjustments described in Section I, item 3</w:t>
      </w:r>
      <w:r w:rsidR="00592078">
        <w:t xml:space="preserve">, and historical RHO Phase 1 experience was </w:t>
      </w:r>
      <w:r w:rsidR="007B5778">
        <w:t xml:space="preserve">included </w:t>
      </w:r>
      <w:r w:rsidR="00592078">
        <w:t xml:space="preserve">in </w:t>
      </w:r>
      <w:r w:rsidR="007B5778">
        <w:t xml:space="preserve">the </w:t>
      </w:r>
      <w:r w:rsidR="00592078">
        <w:t>trend analysis described below.</w:t>
      </w:r>
    </w:p>
    <w:p w14:paraId="5B365FA9" w14:textId="7F8E1611" w:rsidR="00CE2634" w:rsidRPr="00FA46A8" w:rsidRDefault="00CE2634">
      <w:pPr>
        <w:pStyle w:val="Heading6"/>
      </w:pPr>
      <w:bookmarkStart w:id="137" w:name="_Toc484701162"/>
      <w:bookmarkStart w:id="138" w:name="_Toc504389008"/>
      <w:r w:rsidRPr="00FA46A8">
        <w:t>Age of the data</w:t>
      </w:r>
      <w:bookmarkEnd w:id="137"/>
      <w:bookmarkEnd w:id="138"/>
    </w:p>
    <w:p w14:paraId="79FD69D0" w14:textId="67DE8583" w:rsidR="00093F7F" w:rsidRDefault="002010B6" w:rsidP="00210B59">
      <w:pPr>
        <w:pStyle w:val="RRBody"/>
      </w:pPr>
      <w:bookmarkStart w:id="139" w:name="_Toc484701163"/>
      <w:r>
        <w:t xml:space="preserve">The </w:t>
      </w:r>
      <w:r w:rsidR="00A6501E">
        <w:t xml:space="preserve">data serving as the base experience in the capitation rate development process was incurred during </w:t>
      </w:r>
      <w:r w:rsidR="003D4C24">
        <w:t>SFY 2021</w:t>
      </w:r>
      <w:r w:rsidR="00A6501E">
        <w:t xml:space="preserve">. The </w:t>
      </w:r>
      <w:r w:rsidR="00B55DDE">
        <w:t xml:space="preserve">fee-for-service </w:t>
      </w:r>
      <w:r w:rsidR="00A6501E">
        <w:t xml:space="preserve">data used in our rate development process reflected </w:t>
      </w:r>
      <w:r w:rsidR="00B55DDE">
        <w:t xml:space="preserve">claims </w:t>
      </w:r>
      <w:r w:rsidR="00735481">
        <w:t xml:space="preserve">paid </w:t>
      </w:r>
      <w:r w:rsidR="00A6501E">
        <w:t xml:space="preserve">through </w:t>
      </w:r>
      <w:r w:rsidR="003D4C24">
        <w:t>April 30</w:t>
      </w:r>
      <w:r w:rsidR="00A6501E" w:rsidRPr="004B19DE">
        <w:t xml:space="preserve">, </w:t>
      </w:r>
      <w:r w:rsidR="003D4C24" w:rsidRPr="004B19DE">
        <w:t>202</w:t>
      </w:r>
      <w:r w:rsidR="003D4C24">
        <w:t>2</w:t>
      </w:r>
      <w:r w:rsidR="00A6501E">
        <w:t>.</w:t>
      </w:r>
      <w:r w:rsidR="00093F7F">
        <w:t xml:space="preserve"> </w:t>
      </w:r>
    </w:p>
    <w:p w14:paraId="2E706D35" w14:textId="5C0D275C" w:rsidR="00BE5D44" w:rsidRDefault="00A6501E" w:rsidP="00DA7C49">
      <w:pPr>
        <w:pStyle w:val="RRBody"/>
      </w:pPr>
      <w:r>
        <w:t xml:space="preserve">For the purposes of trend development and analyzing emerging population enrollment patterns and claims experience, we also reviewed </w:t>
      </w:r>
      <w:r w:rsidR="00A67FC2">
        <w:t xml:space="preserve">RHO Phase 1 </w:t>
      </w:r>
      <w:r w:rsidR="00A746BD">
        <w:t xml:space="preserve">experience for July 1, 2016 through September </w:t>
      </w:r>
      <w:r w:rsidR="00FA3C24">
        <w:t>30</w:t>
      </w:r>
      <w:r w:rsidR="00A746BD">
        <w:t xml:space="preserve">, 2018 and </w:t>
      </w:r>
      <w:r w:rsidR="004B3275">
        <w:t xml:space="preserve">dual eligible fee-for-service </w:t>
      </w:r>
      <w:r w:rsidR="00A67FC2">
        <w:t>experience</w:t>
      </w:r>
      <w:r>
        <w:t xml:space="preserve"> </w:t>
      </w:r>
      <w:r w:rsidR="00A746BD">
        <w:t xml:space="preserve">for January 1, 2019 through </w:t>
      </w:r>
      <w:r w:rsidR="001E0E4A">
        <w:t>December</w:t>
      </w:r>
      <w:r w:rsidR="00A746BD">
        <w:t xml:space="preserve"> 31, </w:t>
      </w:r>
      <w:r w:rsidR="003D4C24">
        <w:t>2021</w:t>
      </w:r>
      <w:r w:rsidR="00A746BD">
        <w:t xml:space="preserve">. Experience for these sources was </w:t>
      </w:r>
      <w:r>
        <w:t xml:space="preserve">provided by </w:t>
      </w:r>
      <w:r w:rsidR="00B541A7">
        <w:t>EOHHS</w:t>
      </w:r>
      <w:r>
        <w:t>.</w:t>
      </w:r>
      <w:bookmarkStart w:id="140" w:name="_Toc504389009"/>
    </w:p>
    <w:p w14:paraId="3939A78E" w14:textId="2D092672" w:rsidR="00CE2634" w:rsidRPr="004839D7" w:rsidRDefault="00CE2634">
      <w:pPr>
        <w:pStyle w:val="Heading6"/>
      </w:pPr>
      <w:r w:rsidRPr="004839D7">
        <w:t>Data sources</w:t>
      </w:r>
      <w:bookmarkEnd w:id="139"/>
      <w:bookmarkEnd w:id="140"/>
    </w:p>
    <w:p w14:paraId="214A3073" w14:textId="00142F7C" w:rsidR="003E7BD1" w:rsidRDefault="00A66C00" w:rsidP="00210B59">
      <w:pPr>
        <w:pStyle w:val="RRBody"/>
      </w:pPr>
      <w:r>
        <w:t>Th</w:t>
      </w:r>
      <w:r w:rsidR="003E7BD1">
        <w:t>e fee-for-service claims</w:t>
      </w:r>
      <w:r w:rsidR="00A67FC2">
        <w:t xml:space="preserve"> and</w:t>
      </w:r>
      <w:r w:rsidR="003E7BD1">
        <w:t xml:space="preserve"> eligibility data was </w:t>
      </w:r>
      <w:r>
        <w:t xml:space="preserve">provided to us </w:t>
      </w:r>
      <w:r w:rsidR="00894C19">
        <w:t xml:space="preserve">by EOHHS </w:t>
      </w:r>
      <w:r>
        <w:t xml:space="preserve">for the purposes of developing the </w:t>
      </w:r>
      <w:r w:rsidR="00566B81">
        <w:t xml:space="preserve">SFY </w:t>
      </w:r>
      <w:r w:rsidR="003D4C24">
        <w:t xml:space="preserve">2023 </w:t>
      </w:r>
      <w:r>
        <w:t>capitation rates.</w:t>
      </w:r>
      <w:r w:rsidR="003E7BD1">
        <w:t xml:space="preserve"> </w:t>
      </w:r>
      <w:r w:rsidR="00B46F5B">
        <w:t>Consistent with the g</w:t>
      </w:r>
      <w:r w:rsidR="00B46F5B" w:rsidRPr="00F24008">
        <w:t xml:space="preserve">uidance prescribed by CMS in the Joint Rate-Setting Process for the Financial Alignment Initiative’s Capitated Model, we </w:t>
      </w:r>
      <w:r w:rsidR="002D1D76" w:rsidRPr="00F24008">
        <w:t xml:space="preserve">developed the baseline costs absent the demonstration utilizing </w:t>
      </w:r>
      <w:r w:rsidR="003D4C24">
        <w:t>SFY 2021</w:t>
      </w:r>
      <w:r w:rsidR="00A67FC2">
        <w:t xml:space="preserve"> fee-for-service experience</w:t>
      </w:r>
      <w:r w:rsidR="002D1D76" w:rsidRPr="00F24008">
        <w:t>.</w:t>
      </w:r>
    </w:p>
    <w:p w14:paraId="5C5B5EC5" w14:textId="77777777" w:rsidR="00CE2634" w:rsidRDefault="00CE2634">
      <w:pPr>
        <w:pStyle w:val="Heading6"/>
      </w:pPr>
      <w:bookmarkStart w:id="141" w:name="_Toc484701164"/>
      <w:bookmarkStart w:id="142" w:name="_Toc504389010"/>
      <w:r w:rsidRPr="00FA46A8">
        <w:lastRenderedPageBreak/>
        <w:t>Sub-capitation</w:t>
      </w:r>
      <w:bookmarkEnd w:id="141"/>
      <w:bookmarkEnd w:id="142"/>
    </w:p>
    <w:p w14:paraId="79435112" w14:textId="238020EC" w:rsidR="00E63B30" w:rsidRPr="00271F06" w:rsidRDefault="00A746BD" w:rsidP="00E63B30">
      <w:pPr>
        <w:pStyle w:val="RRBody"/>
      </w:pPr>
      <w:r>
        <w:t xml:space="preserve">The </w:t>
      </w:r>
      <w:r w:rsidR="003D4C24">
        <w:t>SFY 2021</w:t>
      </w:r>
      <w:r>
        <w:t xml:space="preserve"> fee-for-service experience underlying the SFY </w:t>
      </w:r>
      <w:r w:rsidR="003D4C24">
        <w:t xml:space="preserve">2023 </w:t>
      </w:r>
      <w:r>
        <w:t xml:space="preserve">capitation rate development </w:t>
      </w:r>
      <w:r w:rsidR="00E3354C">
        <w:t>does not contain sub-capitated amounts</w:t>
      </w:r>
      <w:r w:rsidR="00E63B30">
        <w:t xml:space="preserve">. </w:t>
      </w:r>
    </w:p>
    <w:p w14:paraId="09FB3BD7" w14:textId="77777777" w:rsidR="00CE2634" w:rsidRPr="000514E6" w:rsidRDefault="00CE2634" w:rsidP="00210B59">
      <w:pPr>
        <w:pStyle w:val="Heading5"/>
      </w:pPr>
      <w:bookmarkStart w:id="143" w:name="_Toc484701165"/>
      <w:bookmarkStart w:id="144" w:name="_Toc504389011"/>
      <w:r w:rsidRPr="000514E6">
        <w:t>Availability and quality of the data</w:t>
      </w:r>
      <w:bookmarkEnd w:id="143"/>
      <w:bookmarkEnd w:id="144"/>
    </w:p>
    <w:p w14:paraId="06335F01" w14:textId="77777777" w:rsidR="00CE2634" w:rsidRDefault="00CE2634">
      <w:pPr>
        <w:pStyle w:val="Heading6"/>
        <w:numPr>
          <w:ilvl w:val="0"/>
          <w:numId w:val="19"/>
        </w:numPr>
      </w:pPr>
      <w:bookmarkStart w:id="145" w:name="_Toc484701166"/>
      <w:bookmarkStart w:id="146" w:name="_Toc504389012"/>
      <w:r w:rsidRPr="000514E6">
        <w:t>Steps taken to validate the data</w:t>
      </w:r>
      <w:bookmarkEnd w:id="145"/>
      <w:bookmarkEnd w:id="146"/>
    </w:p>
    <w:p w14:paraId="6A84CF13" w14:textId="0E52B480" w:rsidR="00E3354C" w:rsidRDefault="00E3354C" w:rsidP="00E3354C">
      <w:pPr>
        <w:pStyle w:val="RRBody"/>
      </w:pPr>
      <w:r>
        <w:t>The</w:t>
      </w:r>
      <w:r w:rsidR="004B3275">
        <w:t xml:space="preserve"> fee-for-service</w:t>
      </w:r>
      <w:r>
        <w:t xml:space="preserve"> data </w:t>
      </w:r>
      <w:r w:rsidR="003635AF">
        <w:t xml:space="preserve">was </w:t>
      </w:r>
      <w:r>
        <w:t xml:space="preserve">provided by EOHHS. We perform routine reconciliation of EOHHS’s financial data as part of the monthly data validation process and provide </w:t>
      </w:r>
      <w:r w:rsidR="00F7172A">
        <w:t>financial analysis</w:t>
      </w:r>
      <w:r>
        <w:t xml:space="preserve"> </w:t>
      </w:r>
      <w:r w:rsidR="00F7172A">
        <w:t>for</w:t>
      </w:r>
      <w:r>
        <w:t xml:space="preserve"> </w:t>
      </w:r>
      <w:r w:rsidR="00871F28">
        <w:t>EOHHS</w:t>
      </w:r>
      <w:r>
        <w:t xml:space="preserve">, which involves </w:t>
      </w:r>
      <w:r w:rsidR="00F7172A">
        <w:t xml:space="preserve">fee-for-service </w:t>
      </w:r>
      <w:r>
        <w:t xml:space="preserve">claim </w:t>
      </w:r>
      <w:r w:rsidR="00F7172A">
        <w:t xml:space="preserve">payment </w:t>
      </w:r>
      <w:r>
        <w:t xml:space="preserve">reconciliation to </w:t>
      </w:r>
      <w:r w:rsidR="00F7172A">
        <w:t xml:space="preserve">other </w:t>
      </w:r>
      <w:r>
        <w:t xml:space="preserve">EOHHS </w:t>
      </w:r>
      <w:r w:rsidR="00F7172A">
        <w:t>data sources</w:t>
      </w:r>
      <w:r>
        <w:t xml:space="preserve">. </w:t>
      </w:r>
    </w:p>
    <w:p w14:paraId="04090584" w14:textId="77777777" w:rsidR="00E3354C" w:rsidRPr="003C47F4" w:rsidRDefault="00E3354C" w:rsidP="00E3354C">
      <w:pPr>
        <w:pStyle w:val="RRBody"/>
        <w:rPr>
          <w:b/>
          <w:bCs/>
        </w:rPr>
      </w:pPr>
      <w:r w:rsidRPr="003C47F4">
        <w:rPr>
          <w:b/>
          <w:bCs/>
        </w:rPr>
        <w:t>Completeness</w:t>
      </w:r>
    </w:p>
    <w:p w14:paraId="692544DC" w14:textId="4D02D3FA" w:rsidR="00E3354C" w:rsidRDefault="00E3354C" w:rsidP="00E3354C">
      <w:pPr>
        <w:pStyle w:val="RRBody"/>
      </w:pPr>
      <w:r>
        <w:t xml:space="preserve">Milliman and EOHHS both play a role in validating </w:t>
      </w:r>
      <w:r w:rsidR="003635AF">
        <w:t xml:space="preserve">the </w:t>
      </w:r>
      <w:r w:rsidR="003D4C24">
        <w:t>SFY 2021</w:t>
      </w:r>
      <w:r w:rsidR="003635AF">
        <w:t xml:space="preserve"> </w:t>
      </w:r>
      <w:r w:rsidR="004B3275">
        <w:t xml:space="preserve">fee-for-service </w:t>
      </w:r>
      <w:r>
        <w:t>data for completeness.</w:t>
      </w:r>
      <w:r w:rsidR="005178EA">
        <w:t xml:space="preserve"> </w:t>
      </w:r>
      <w:r>
        <w:t>Milliman summarized the data to look for anomalies in the base data year</w:t>
      </w:r>
      <w:r w:rsidR="003635AF">
        <w:t xml:space="preserve">, which was </w:t>
      </w:r>
      <w:r>
        <w:t>segmented by rate cell and service category.</w:t>
      </w:r>
      <w:r w:rsidR="00933ED5">
        <w:t xml:space="preserve"> In addition, a completeness adjustment was applied to reflect claims incurred but not paid in the </w:t>
      </w:r>
      <w:r w:rsidR="003D4C24">
        <w:t>SFY 2021</w:t>
      </w:r>
      <w:r w:rsidR="00933ED5">
        <w:t xml:space="preserve"> base data period</w:t>
      </w:r>
      <w:r w:rsidR="003D4C24">
        <w:t xml:space="preserve">, </w:t>
      </w:r>
      <w:r w:rsidR="001A4DFA">
        <w:t xml:space="preserve">which </w:t>
      </w:r>
      <w:r w:rsidR="003D4C24">
        <w:t xml:space="preserve">is summarized in Figure </w:t>
      </w:r>
      <w:r w:rsidR="008A5255">
        <w:t>6</w:t>
      </w:r>
      <w:r w:rsidR="003D4C24">
        <w:t xml:space="preserve"> </w:t>
      </w:r>
      <w:r w:rsidR="00680CA0">
        <w:t>below</w:t>
      </w:r>
      <w:r w:rsidR="00933ED5">
        <w:t>.</w:t>
      </w:r>
      <w:r w:rsidR="003D4C24">
        <w:t xml:space="preserve"> </w:t>
      </w:r>
    </w:p>
    <w:p w14:paraId="17D4FE49" w14:textId="77777777" w:rsidR="00E3354C" w:rsidRPr="003C47F4" w:rsidRDefault="00E3354C" w:rsidP="00E3354C">
      <w:pPr>
        <w:pStyle w:val="RRBody"/>
        <w:rPr>
          <w:b/>
          <w:bCs/>
        </w:rPr>
      </w:pPr>
      <w:r w:rsidRPr="003C47F4">
        <w:rPr>
          <w:b/>
          <w:bCs/>
        </w:rPr>
        <w:t>Accuracy</w:t>
      </w:r>
    </w:p>
    <w:p w14:paraId="4E845F60" w14:textId="31769CF5" w:rsidR="00947DD3" w:rsidRDefault="00871F28" w:rsidP="00E3354C">
      <w:pPr>
        <w:pStyle w:val="RRBody"/>
      </w:pPr>
      <w:r>
        <w:t>A</w:t>
      </w:r>
      <w:r w:rsidR="00E3354C">
        <w:t xml:space="preserve"> series of validation checks</w:t>
      </w:r>
      <w:r>
        <w:t xml:space="preserve"> is applied to the data</w:t>
      </w:r>
      <w:r w:rsidR="00E3354C">
        <w:t>.</w:t>
      </w:r>
      <w:r w:rsidR="005178EA">
        <w:t xml:space="preserve"> </w:t>
      </w:r>
      <w:r w:rsidR="00E3354C">
        <w:t xml:space="preserve">For example, all claims must contain a valid Medicaid recipient ID for an individual who was enrolled at the time the service was provided. </w:t>
      </w:r>
      <w:r w:rsidR="00947DD3">
        <w:t>In addition</w:t>
      </w:r>
      <w:r w:rsidR="00E3354C">
        <w:t xml:space="preserve">, </w:t>
      </w:r>
      <w:r w:rsidR="00947DD3">
        <w:t>fee-for-service claims must pass a series of provider ID and other edits before payment is made.</w:t>
      </w:r>
    </w:p>
    <w:p w14:paraId="70D2FE3B" w14:textId="77777777" w:rsidR="00E3354C" w:rsidRPr="003C47F4" w:rsidRDefault="00E3354C" w:rsidP="00E3354C">
      <w:pPr>
        <w:pStyle w:val="RRBody"/>
        <w:rPr>
          <w:b/>
          <w:bCs/>
        </w:rPr>
      </w:pPr>
      <w:r w:rsidRPr="003C47F4">
        <w:rPr>
          <w:b/>
          <w:bCs/>
        </w:rPr>
        <w:t>Consistency of data across data sources</w:t>
      </w:r>
    </w:p>
    <w:p w14:paraId="557C40DB" w14:textId="55511BCE" w:rsidR="00E3354C" w:rsidRDefault="00E3354C" w:rsidP="00E3354C">
      <w:pPr>
        <w:pStyle w:val="RRBody"/>
      </w:pPr>
      <w:r>
        <w:t xml:space="preserve">There were no notable inconsistencies between the data sources used in developing the SFY </w:t>
      </w:r>
      <w:r w:rsidR="003D4C24">
        <w:t xml:space="preserve">2023 </w:t>
      </w:r>
      <w:r>
        <w:t>capitation rates.</w:t>
      </w:r>
    </w:p>
    <w:p w14:paraId="3B167CDD" w14:textId="77777777" w:rsidR="00CE2634" w:rsidRPr="003541BD" w:rsidRDefault="00CE2634">
      <w:pPr>
        <w:pStyle w:val="Heading6"/>
      </w:pPr>
      <w:bookmarkStart w:id="147" w:name="_Toc484701167"/>
      <w:bookmarkStart w:id="148" w:name="_Toc504389013"/>
      <w:r w:rsidRPr="003541BD">
        <w:t>Actuary’s assessment</w:t>
      </w:r>
      <w:bookmarkEnd w:id="147"/>
      <w:bookmarkEnd w:id="148"/>
    </w:p>
    <w:p w14:paraId="68C0EB05" w14:textId="30C8035C" w:rsidR="004431F0" w:rsidRDefault="004431F0" w:rsidP="00210B59">
      <w:pPr>
        <w:pStyle w:val="RRBody"/>
      </w:pPr>
      <w:bookmarkStart w:id="149" w:name="_Toc484701168"/>
      <w:r>
        <w:t xml:space="preserve">As required by Actuarial Standard of Practice (ASOP) No. 23, Data Quality, we disclose that Milliman has relied upon certain data and information provided by </w:t>
      </w:r>
      <w:r w:rsidR="00F1262C">
        <w:t xml:space="preserve">EOHHS </w:t>
      </w:r>
      <w:r>
        <w:t xml:space="preserve">and their vendors. The values presented in this letter are dependent upon this reliance. </w:t>
      </w:r>
    </w:p>
    <w:p w14:paraId="4C051C9F" w14:textId="60F69026" w:rsidR="005347A5" w:rsidRPr="00442723" w:rsidRDefault="009D6069" w:rsidP="00210B59">
      <w:pPr>
        <w:pStyle w:val="RRBody"/>
        <w:rPr>
          <w:rFonts w:ascii="Calibri" w:hAnsi="Calibri"/>
          <w:sz w:val="2"/>
        </w:rPr>
      </w:pPr>
      <w:r>
        <w:t xml:space="preserve">The capitation rates for the </w:t>
      </w:r>
      <w:r w:rsidR="00F172A5">
        <w:t>MMP</w:t>
      </w:r>
      <w:r>
        <w:t xml:space="preserve"> program </w:t>
      </w:r>
      <w:r w:rsidR="00E37C83">
        <w:t xml:space="preserve">were </w:t>
      </w:r>
      <w:r>
        <w:t xml:space="preserve">developed using </w:t>
      </w:r>
      <w:r w:rsidR="005B0451">
        <w:t>fee-for-service experience</w:t>
      </w:r>
      <w:r>
        <w:t xml:space="preserve">. </w:t>
      </w:r>
      <w:r w:rsidR="00947DD3" w:rsidRPr="003C175D">
        <w:t>Data quality was evaluated at the rate ce</w:t>
      </w:r>
      <w:r w:rsidR="00947DD3">
        <w:t xml:space="preserve">ll and service category level. </w:t>
      </w:r>
      <w:r w:rsidR="005B0451">
        <w:t>W</w:t>
      </w:r>
      <w:r w:rsidR="004431F0">
        <w:t xml:space="preserve">e found the </w:t>
      </w:r>
      <w:r w:rsidR="0052488F">
        <w:t>referenced data</w:t>
      </w:r>
      <w:r w:rsidR="004431F0">
        <w:t xml:space="preserve"> to be of appropriate quality for developing the </w:t>
      </w:r>
      <w:r w:rsidR="00566B81">
        <w:t xml:space="preserve">SFY </w:t>
      </w:r>
      <w:r w:rsidR="00B9187D">
        <w:t xml:space="preserve">2023 </w:t>
      </w:r>
      <w:r w:rsidR="004431F0">
        <w:t xml:space="preserve">capitation rates. </w:t>
      </w:r>
    </w:p>
    <w:p w14:paraId="7B27D8A0" w14:textId="3C1F26FC" w:rsidR="00CE2634" w:rsidRPr="00E86763" w:rsidRDefault="00CE2634">
      <w:pPr>
        <w:pStyle w:val="Heading6"/>
      </w:pPr>
      <w:bookmarkStart w:id="150" w:name="_Toc504389014"/>
      <w:r w:rsidRPr="00E86763">
        <w:t>Data concerns</w:t>
      </w:r>
      <w:bookmarkEnd w:id="149"/>
      <w:bookmarkEnd w:id="150"/>
    </w:p>
    <w:p w14:paraId="46234E08" w14:textId="6E04F02C" w:rsidR="00E13B57" w:rsidRDefault="009D6069" w:rsidP="003C47F4">
      <w:pPr>
        <w:pStyle w:val="RRBody"/>
        <w:rPr>
          <w:rFonts w:cstheme="minorHAnsi"/>
          <w:color w:val="555B5D" w:themeColor="accent3" w:themeShade="BF"/>
          <w:sz w:val="20"/>
          <w:szCs w:val="20"/>
        </w:rPr>
      </w:pPr>
      <w:bookmarkStart w:id="151" w:name="_Toc484701169"/>
      <w:bookmarkStart w:id="152" w:name="_Toc504389015"/>
      <w:r w:rsidRPr="009D6069">
        <w:t xml:space="preserve">We have not identified any material concerns with the quality or availability of the data that </w:t>
      </w:r>
      <w:r w:rsidR="00C736D2">
        <w:t>was</w:t>
      </w:r>
      <w:r w:rsidR="00C736D2" w:rsidRPr="009D6069">
        <w:t xml:space="preserve"> </w:t>
      </w:r>
      <w:r w:rsidRPr="009D6069">
        <w:t xml:space="preserve">utilized to develop the Medicaid component of the </w:t>
      </w:r>
      <w:r w:rsidR="00566B81">
        <w:t xml:space="preserve">SFY </w:t>
      </w:r>
      <w:r w:rsidR="00B9187D">
        <w:t xml:space="preserve">2023 </w:t>
      </w:r>
      <w:r w:rsidR="00F172A5">
        <w:t>MMP</w:t>
      </w:r>
      <w:r w:rsidRPr="009D6069">
        <w:t xml:space="preserve"> program capitation rates. We note that our capitation rate development methodology requires additional assumptions and adjustments to reflect the </w:t>
      </w:r>
      <w:r>
        <w:t xml:space="preserve">population mix of the </w:t>
      </w:r>
      <w:r w:rsidR="00F172A5">
        <w:t>MMP</w:t>
      </w:r>
      <w:r>
        <w:t xml:space="preserve"> program</w:t>
      </w:r>
      <w:r w:rsidR="000E5BF8">
        <w:t>.</w:t>
      </w:r>
      <w:bookmarkStart w:id="153" w:name="_Toc484701170"/>
      <w:bookmarkEnd w:id="151"/>
      <w:bookmarkEnd w:id="152"/>
    </w:p>
    <w:p w14:paraId="70520BC3" w14:textId="27A37DF1" w:rsidR="0037462D" w:rsidRPr="000514E6" w:rsidRDefault="0037462D" w:rsidP="00210B59">
      <w:pPr>
        <w:pStyle w:val="Heading5"/>
      </w:pPr>
      <w:r>
        <w:t>Appropriate data</w:t>
      </w:r>
    </w:p>
    <w:p w14:paraId="33F4E04C" w14:textId="6F65F6EB" w:rsidR="0037462D" w:rsidRPr="005347A5" w:rsidRDefault="00AC13C2" w:rsidP="00210B59">
      <w:pPr>
        <w:pStyle w:val="RRBody"/>
        <w:rPr>
          <w:rFonts w:cstheme="minorHAnsi"/>
          <w:b/>
          <w:color w:val="073658" w:themeColor="text2" w:themeShade="BF"/>
          <w:szCs w:val="18"/>
        </w:rPr>
      </w:pPr>
      <w:r>
        <w:t>Fee-for service</w:t>
      </w:r>
      <w:r w:rsidR="00CD634D" w:rsidRPr="005F752A">
        <w:t xml:space="preserve"> data was </w:t>
      </w:r>
      <w:r w:rsidR="00CD634D">
        <w:t>used</w:t>
      </w:r>
      <w:r w:rsidR="00CD634D" w:rsidRPr="005F752A">
        <w:t xml:space="preserve"> in the development of the capitation rates. The base data reflects the historical experience and covered services used by the covered populations</w:t>
      </w:r>
      <w:r w:rsidR="00B46F5B">
        <w:t xml:space="preserve"> absent of the demonstration</w:t>
      </w:r>
      <w:r w:rsidR="00F659F4" w:rsidRPr="00F659F4">
        <w:t>.</w:t>
      </w:r>
    </w:p>
    <w:p w14:paraId="62891DA6" w14:textId="77777777" w:rsidR="0037462D" w:rsidRDefault="0037462D" w:rsidP="00210B59">
      <w:pPr>
        <w:pStyle w:val="Heading5"/>
      </w:pPr>
      <w:r>
        <w:t>Reliance on a data book</w:t>
      </w:r>
    </w:p>
    <w:bookmarkEnd w:id="153"/>
    <w:p w14:paraId="41434E88" w14:textId="2EE80570" w:rsidR="0037462D" w:rsidRPr="008B19EC" w:rsidRDefault="00CD3BD4" w:rsidP="00210B59">
      <w:pPr>
        <w:pStyle w:val="RRBody"/>
      </w:pPr>
      <w:r w:rsidRPr="00CD3BD4">
        <w:t>Development of the capitation rates did not rely on a data book or other summarized data source. We were provided with detailed claims data for all services and populations.</w:t>
      </w:r>
      <w:r w:rsidR="006E4DF5" w:rsidRPr="008B19EC">
        <w:t xml:space="preserve"> </w:t>
      </w:r>
    </w:p>
    <w:p w14:paraId="4E28A075" w14:textId="77777777" w:rsidR="00CE2634" w:rsidRPr="0027065D" w:rsidRDefault="00CE2634" w:rsidP="00D74FED">
      <w:pPr>
        <w:pStyle w:val="Heading4"/>
      </w:pPr>
      <w:bookmarkStart w:id="154" w:name="_Toc484701173"/>
      <w:bookmarkStart w:id="155" w:name="_Toc504389019"/>
      <w:bookmarkStart w:id="156" w:name="_Toc8985006"/>
      <w:bookmarkStart w:id="157" w:name="_Toc109295501"/>
      <w:r w:rsidRPr="0027065D">
        <w:t>Data adjustments</w:t>
      </w:r>
      <w:bookmarkEnd w:id="154"/>
      <w:bookmarkEnd w:id="155"/>
      <w:bookmarkEnd w:id="156"/>
      <w:bookmarkEnd w:id="157"/>
    </w:p>
    <w:p w14:paraId="07A0754F" w14:textId="4E7EB72D" w:rsidR="00CE2634" w:rsidRDefault="00F659F4" w:rsidP="00210B59">
      <w:pPr>
        <w:pStyle w:val="RRBody"/>
      </w:pPr>
      <w:bookmarkStart w:id="158" w:name="_Toc484701174"/>
      <w:r w:rsidRPr="00F659F4">
        <w:t xml:space="preserve">Capitation </w:t>
      </w:r>
      <w:r w:rsidR="00BF50F2" w:rsidRPr="008B19EC">
        <w:t xml:space="preserve">rates were developed primarily from </w:t>
      </w:r>
      <w:r w:rsidR="00B9187D">
        <w:t>SFY 2021</w:t>
      </w:r>
      <w:r w:rsidR="006F6C4D">
        <w:t xml:space="preserve"> fee-for-service</w:t>
      </w:r>
      <w:r w:rsidR="00BF50F2" w:rsidRPr="008B19EC">
        <w:t xml:space="preserve"> data. Adjustments were made to the base experience for </w:t>
      </w:r>
      <w:r w:rsidR="00BF50F2">
        <w:t xml:space="preserve">data </w:t>
      </w:r>
      <w:r w:rsidR="00947DD3">
        <w:t>completion</w:t>
      </w:r>
      <w:r w:rsidR="00BF50F2">
        <w:t xml:space="preserve"> </w:t>
      </w:r>
      <w:r w:rsidR="00BF50F2" w:rsidRPr="008B19EC">
        <w:t>and other program adjustments</w:t>
      </w:r>
      <w:r w:rsidRPr="00F659F4">
        <w:t>.</w:t>
      </w:r>
      <w:r w:rsidR="00785728">
        <w:t xml:space="preserve"> The following sections describe the adjustments made to the base data cost models presented in Appendix 2.</w:t>
      </w:r>
    </w:p>
    <w:p w14:paraId="58F23229" w14:textId="77777777" w:rsidR="001A4DFA" w:rsidRDefault="001A4DFA" w:rsidP="00210B59">
      <w:pPr>
        <w:pStyle w:val="RRBody"/>
      </w:pPr>
    </w:p>
    <w:p w14:paraId="31C11225" w14:textId="77777777" w:rsidR="00CE2634" w:rsidRPr="004273B4" w:rsidRDefault="00CE2634" w:rsidP="00D74FED">
      <w:pPr>
        <w:pStyle w:val="Heading5"/>
      </w:pPr>
      <w:bookmarkStart w:id="159" w:name="_Toc504389020"/>
      <w:r w:rsidRPr="004273B4">
        <w:lastRenderedPageBreak/>
        <w:t>Credibility adjustment</w:t>
      </w:r>
      <w:bookmarkEnd w:id="158"/>
      <w:bookmarkEnd w:id="159"/>
    </w:p>
    <w:p w14:paraId="758A3159" w14:textId="755D4505" w:rsidR="007406A3" w:rsidRDefault="00ED78E6" w:rsidP="007406A3">
      <w:pPr>
        <w:pStyle w:val="RRBody"/>
      </w:pPr>
      <w:r>
        <w:t xml:space="preserve">We reviewed </w:t>
      </w:r>
      <w:r w:rsidR="008004A3">
        <w:t>historical fee-for-service experience and evaluated d</w:t>
      </w:r>
      <w:r w:rsidRPr="003C175D">
        <w:t>ata quality at the rate ce</w:t>
      </w:r>
      <w:r>
        <w:t>ll and service category level. The data was found to be suitable for capitation rate development purposes</w:t>
      </w:r>
      <w:r w:rsidR="008004A3">
        <w:t>.</w:t>
      </w:r>
    </w:p>
    <w:p w14:paraId="32CE040A" w14:textId="77777777" w:rsidR="00CE2634" w:rsidRDefault="00CE2634" w:rsidP="00D74FED">
      <w:pPr>
        <w:pStyle w:val="Heading5"/>
      </w:pPr>
      <w:bookmarkStart w:id="160" w:name="_Toc484701175"/>
      <w:bookmarkStart w:id="161" w:name="_Toc504389021"/>
      <w:r w:rsidRPr="00571F67">
        <w:t>Completion adjustment</w:t>
      </w:r>
      <w:bookmarkEnd w:id="160"/>
      <w:bookmarkEnd w:id="161"/>
    </w:p>
    <w:p w14:paraId="6BC833E8" w14:textId="008AFF4E" w:rsidR="009D453F" w:rsidRDefault="00933ED5" w:rsidP="003C47F4">
      <w:pPr>
        <w:pStyle w:val="RRBody"/>
      </w:pPr>
      <w:r>
        <w:t xml:space="preserve">The SFY </w:t>
      </w:r>
      <w:r w:rsidR="00B9187D">
        <w:t xml:space="preserve">2023 </w:t>
      </w:r>
      <w:r>
        <w:t xml:space="preserve">rate setting process uses one year of fee-for-service experience data with </w:t>
      </w:r>
      <w:r w:rsidR="000F41B7">
        <w:t xml:space="preserve">10 </w:t>
      </w:r>
      <w:r>
        <w:t xml:space="preserve">months of runout. Because </w:t>
      </w:r>
      <w:r w:rsidR="001A4DFA">
        <w:t xml:space="preserve">additional claims are estimated to be paid after the </w:t>
      </w:r>
      <w:r w:rsidR="000F41B7">
        <w:t xml:space="preserve">10 </w:t>
      </w:r>
      <w:r>
        <w:t xml:space="preserve">months of claims runout, an incurred but not paid (IBNP) adjustment was applied to the base data period expenditures and is illustrated in Figure </w:t>
      </w:r>
      <w:r w:rsidR="008A5255">
        <w:t>6</w:t>
      </w:r>
      <w:r w:rsidR="008004A3">
        <w:t>.</w:t>
      </w:r>
    </w:p>
    <w:p w14:paraId="30E66015" w14:textId="6C48984A" w:rsidR="006A71B2" w:rsidRPr="00E86763" w:rsidRDefault="00CE2634">
      <w:pPr>
        <w:pStyle w:val="Heading5"/>
      </w:pPr>
      <w:bookmarkStart w:id="162" w:name="_Toc484701176"/>
      <w:bookmarkStart w:id="163" w:name="_Toc504389022"/>
      <w:r w:rsidRPr="00E86763">
        <w:t>Errors found in the dat</w:t>
      </w:r>
      <w:bookmarkEnd w:id="162"/>
      <w:bookmarkEnd w:id="163"/>
      <w:r w:rsidR="006A71B2" w:rsidRPr="00E86763">
        <w:t>a</w:t>
      </w:r>
    </w:p>
    <w:p w14:paraId="1B63D51E" w14:textId="53CE4348" w:rsidR="00BF50F2" w:rsidRPr="00BF50F2" w:rsidRDefault="00196973" w:rsidP="00210B59">
      <w:pPr>
        <w:pStyle w:val="RRBody"/>
      </w:pPr>
      <w:r>
        <w:t>We did not find significant errors in the data</w:t>
      </w:r>
      <w:r w:rsidR="00E86763">
        <w:t xml:space="preserve"> other than the issues previously described</w:t>
      </w:r>
      <w:r>
        <w:t>.</w:t>
      </w:r>
    </w:p>
    <w:p w14:paraId="5FF39DDD" w14:textId="77777777" w:rsidR="006A71B2" w:rsidRPr="006A71B2" w:rsidRDefault="006A71B2" w:rsidP="00D74FED">
      <w:pPr>
        <w:pStyle w:val="Heading5"/>
      </w:pPr>
      <w:r>
        <w:t>Program change adjustments</w:t>
      </w:r>
    </w:p>
    <w:p w14:paraId="68D0714F" w14:textId="1A37AB93" w:rsidR="0012609C" w:rsidRDefault="001A4DFA" w:rsidP="0012609C">
      <w:pPr>
        <w:pStyle w:val="RRBody"/>
        <w:rPr>
          <w:noProof/>
        </w:rPr>
      </w:pPr>
      <w:bookmarkStart w:id="164" w:name="_Toc484701177"/>
      <w:bookmarkStart w:id="165" w:name="_Toc504389023"/>
      <w:r>
        <w:t xml:space="preserve">Changes in the program between the base data and rating period are fully described in </w:t>
      </w:r>
      <w:r w:rsidR="003B07D6">
        <w:t>Section I.3.B.ii</w:t>
      </w:r>
      <w:r w:rsidR="00083E5A" w:rsidRPr="00CC223F">
        <w:t>.</w:t>
      </w:r>
      <w:bookmarkEnd w:id="164"/>
      <w:bookmarkEnd w:id="165"/>
    </w:p>
    <w:p w14:paraId="2C1C4D8F" w14:textId="1394D617" w:rsidR="00C57C2E" w:rsidRDefault="00C57C2E" w:rsidP="00D74FED">
      <w:pPr>
        <w:pStyle w:val="Heading5"/>
      </w:pPr>
      <w:r>
        <w:t>Exclusion of payments or services from the data</w:t>
      </w:r>
    </w:p>
    <w:p w14:paraId="1EBFDED5" w14:textId="653EAA14" w:rsidR="00FC3793" w:rsidRDefault="000F41B7" w:rsidP="0056705B">
      <w:r>
        <w:rPr>
          <w:rFonts w:eastAsia="Times New Roman" w:cstheme="minorHAnsi"/>
          <w:szCs w:val="18"/>
        </w:rPr>
        <w:t>SFY 2021</w:t>
      </w:r>
      <w:r w:rsidR="0075138B">
        <w:rPr>
          <w:rFonts w:eastAsia="Times New Roman" w:cstheme="minorHAnsi"/>
          <w:szCs w:val="18"/>
        </w:rPr>
        <w:t xml:space="preserve"> f</w:t>
      </w:r>
      <w:r w:rsidR="00110B5C">
        <w:rPr>
          <w:rFonts w:eastAsia="Times New Roman" w:cstheme="minorHAnsi"/>
          <w:szCs w:val="18"/>
        </w:rPr>
        <w:t xml:space="preserve">ee-for-service </w:t>
      </w:r>
      <w:r w:rsidR="00617FD5">
        <w:rPr>
          <w:rFonts w:eastAsia="Times New Roman" w:cstheme="minorHAnsi"/>
          <w:szCs w:val="18"/>
        </w:rPr>
        <w:t xml:space="preserve">experience was limited to members </w:t>
      </w:r>
      <w:r w:rsidR="005B7926">
        <w:rPr>
          <w:rFonts w:eastAsia="Times New Roman" w:cstheme="minorHAnsi"/>
          <w:szCs w:val="18"/>
        </w:rPr>
        <w:t xml:space="preserve">enrolled in the fee-for-service delivery system who were </w:t>
      </w:r>
      <w:r w:rsidR="00110B5C">
        <w:rPr>
          <w:rFonts w:eastAsia="Times New Roman" w:cstheme="minorHAnsi"/>
          <w:szCs w:val="18"/>
        </w:rPr>
        <w:t xml:space="preserve">identified by EOHHS </w:t>
      </w:r>
      <w:r w:rsidR="005B7926">
        <w:rPr>
          <w:rFonts w:eastAsia="Times New Roman" w:cstheme="minorHAnsi"/>
          <w:szCs w:val="18"/>
        </w:rPr>
        <w:t>as eligible for the MMP program</w:t>
      </w:r>
      <w:r w:rsidR="00DB79EC">
        <w:t>.</w:t>
      </w:r>
      <w:r w:rsidR="000F7ACF">
        <w:t xml:space="preserve"> </w:t>
      </w:r>
      <w:bookmarkStart w:id="166" w:name="_Toc475969312"/>
      <w:bookmarkStart w:id="167" w:name="_Toc504389025"/>
      <w:r w:rsidR="005E50F1">
        <w:t>A</w:t>
      </w:r>
      <w:r w:rsidR="00C4760C">
        <w:t xml:space="preserve">ll services </w:t>
      </w:r>
      <w:r w:rsidR="005B7926">
        <w:t xml:space="preserve">covered out-of-plan from the </w:t>
      </w:r>
      <w:r w:rsidR="00C4760C">
        <w:t>MMP program</w:t>
      </w:r>
      <w:r w:rsidR="005E50F1">
        <w:t xml:space="preserve"> were excluded from the base data</w:t>
      </w:r>
      <w:r w:rsidR="00C4760C" w:rsidRPr="000738B2">
        <w:t>.</w:t>
      </w:r>
      <w:r w:rsidR="005E50F1" w:rsidRPr="000738B2">
        <w:t xml:space="preserve"> </w:t>
      </w:r>
      <w:r w:rsidR="0056705B" w:rsidRPr="003B07D6">
        <w:t xml:space="preserve">Figure </w:t>
      </w:r>
      <w:r w:rsidR="00DC7441">
        <w:t xml:space="preserve">5 </w:t>
      </w:r>
      <w:r w:rsidR="0056705B">
        <w:t>illustrates the fee-for-service expenditures excluded from the base data</w:t>
      </w:r>
      <w:r w:rsidR="00871F28">
        <w:t xml:space="preserve"> used in rate development. In addition, </w:t>
      </w:r>
      <w:r w:rsidR="00056F68">
        <w:t>Appendix 2 provides further description of the excluded out-of-plan services.</w:t>
      </w:r>
    </w:p>
    <w:tbl>
      <w:tblPr>
        <w:tblW w:w="10005" w:type="dxa"/>
        <w:tblLook w:val="04A0" w:firstRow="1" w:lastRow="0" w:firstColumn="1" w:lastColumn="0" w:noHBand="0" w:noVBand="1"/>
      </w:tblPr>
      <w:tblGrid>
        <w:gridCol w:w="3150"/>
        <w:gridCol w:w="1107"/>
        <w:gridCol w:w="1041"/>
        <w:gridCol w:w="1091"/>
        <w:gridCol w:w="1324"/>
        <w:gridCol w:w="1091"/>
        <w:gridCol w:w="1201"/>
      </w:tblGrid>
      <w:tr w:rsidR="00421C68" w:rsidRPr="00421C68" w14:paraId="572CC414" w14:textId="77777777" w:rsidTr="00641FFF">
        <w:trPr>
          <w:trHeight w:val="173"/>
        </w:trPr>
        <w:tc>
          <w:tcPr>
            <w:tcW w:w="5298" w:type="dxa"/>
            <w:gridSpan w:val="3"/>
            <w:tcBorders>
              <w:top w:val="nil"/>
              <w:left w:val="nil"/>
              <w:bottom w:val="nil"/>
              <w:right w:val="nil"/>
            </w:tcBorders>
            <w:shd w:val="clear" w:color="auto" w:fill="auto"/>
            <w:noWrap/>
            <w:vAlign w:val="center"/>
            <w:hideMark/>
          </w:tcPr>
          <w:p w14:paraId="782CF004" w14:textId="77A63062" w:rsidR="00421C68" w:rsidRPr="00421C68" w:rsidRDefault="00421C68" w:rsidP="00421C68">
            <w:pPr>
              <w:spacing w:after="0" w:line="240" w:lineRule="auto"/>
              <w:rPr>
                <w:rFonts w:ascii="Arial" w:eastAsia="Times New Roman" w:hAnsi="Arial" w:cs="Arial"/>
                <w:b/>
                <w:bCs/>
                <w:color w:val="0081E3"/>
                <w:szCs w:val="18"/>
              </w:rPr>
            </w:pPr>
            <w:r w:rsidRPr="00421C68">
              <w:rPr>
                <w:rFonts w:ascii="Arial" w:eastAsia="Times New Roman" w:hAnsi="Arial" w:cs="Arial"/>
                <w:b/>
                <w:bCs/>
                <w:color w:val="0081E3"/>
                <w:szCs w:val="18"/>
              </w:rPr>
              <w:t xml:space="preserve">FIGURE </w:t>
            </w:r>
            <w:r>
              <w:rPr>
                <w:rFonts w:ascii="Arial" w:eastAsia="Times New Roman" w:hAnsi="Arial" w:cs="Arial"/>
                <w:b/>
                <w:bCs/>
                <w:color w:val="0081E3"/>
                <w:szCs w:val="18"/>
              </w:rPr>
              <w:t>5</w:t>
            </w:r>
            <w:r w:rsidRPr="00421C68">
              <w:rPr>
                <w:rFonts w:ascii="Arial" w:eastAsia="Times New Roman" w:hAnsi="Arial" w:cs="Arial"/>
                <w:b/>
                <w:bCs/>
                <w:color w:val="0081E3"/>
                <w:szCs w:val="18"/>
              </w:rPr>
              <w:t>: IMPACT OF DATA ADJUSTMENTS</w:t>
            </w:r>
          </w:p>
        </w:tc>
        <w:tc>
          <w:tcPr>
            <w:tcW w:w="1091" w:type="dxa"/>
            <w:tcBorders>
              <w:top w:val="nil"/>
              <w:left w:val="nil"/>
              <w:bottom w:val="nil"/>
              <w:right w:val="nil"/>
            </w:tcBorders>
            <w:shd w:val="clear" w:color="auto" w:fill="auto"/>
            <w:noWrap/>
            <w:vAlign w:val="center"/>
            <w:hideMark/>
          </w:tcPr>
          <w:p w14:paraId="6F00B86B" w14:textId="77777777" w:rsidR="00421C68" w:rsidRPr="00421C68" w:rsidRDefault="00421C68" w:rsidP="00421C68">
            <w:pPr>
              <w:spacing w:after="0" w:line="240" w:lineRule="auto"/>
              <w:rPr>
                <w:rFonts w:ascii="Arial" w:eastAsia="Times New Roman" w:hAnsi="Arial" w:cs="Arial"/>
                <w:b/>
                <w:bCs/>
                <w:color w:val="0081E3"/>
                <w:szCs w:val="18"/>
              </w:rPr>
            </w:pPr>
          </w:p>
        </w:tc>
        <w:tc>
          <w:tcPr>
            <w:tcW w:w="1324" w:type="dxa"/>
            <w:tcBorders>
              <w:top w:val="nil"/>
              <w:left w:val="nil"/>
              <w:bottom w:val="nil"/>
              <w:right w:val="nil"/>
            </w:tcBorders>
            <w:shd w:val="clear" w:color="auto" w:fill="auto"/>
            <w:noWrap/>
            <w:vAlign w:val="bottom"/>
            <w:hideMark/>
          </w:tcPr>
          <w:p w14:paraId="09AFE187" w14:textId="77777777" w:rsidR="00421C68" w:rsidRPr="00421C68" w:rsidRDefault="00421C68" w:rsidP="00421C68">
            <w:pPr>
              <w:spacing w:after="0" w:line="240" w:lineRule="auto"/>
              <w:rPr>
                <w:rFonts w:ascii="Times New Roman" w:eastAsia="Times New Roman" w:hAnsi="Times New Roman" w:cs="Times New Roman"/>
                <w:sz w:val="20"/>
                <w:szCs w:val="20"/>
              </w:rPr>
            </w:pPr>
          </w:p>
        </w:tc>
        <w:tc>
          <w:tcPr>
            <w:tcW w:w="1091" w:type="dxa"/>
            <w:tcBorders>
              <w:top w:val="nil"/>
              <w:left w:val="nil"/>
              <w:bottom w:val="nil"/>
              <w:right w:val="nil"/>
            </w:tcBorders>
            <w:shd w:val="clear" w:color="auto" w:fill="auto"/>
            <w:noWrap/>
            <w:vAlign w:val="bottom"/>
            <w:hideMark/>
          </w:tcPr>
          <w:p w14:paraId="3B6BA6E0" w14:textId="77777777" w:rsidR="00421C68" w:rsidRPr="00421C68" w:rsidRDefault="00421C68" w:rsidP="00421C68">
            <w:pPr>
              <w:spacing w:after="0" w:line="240" w:lineRule="auto"/>
              <w:rPr>
                <w:rFonts w:ascii="Times New Roman" w:eastAsia="Times New Roman" w:hAnsi="Times New Roman" w:cs="Times New Roman"/>
                <w:sz w:val="20"/>
                <w:szCs w:val="20"/>
              </w:rPr>
            </w:pPr>
          </w:p>
        </w:tc>
        <w:tc>
          <w:tcPr>
            <w:tcW w:w="1201" w:type="dxa"/>
            <w:tcBorders>
              <w:top w:val="nil"/>
              <w:left w:val="nil"/>
              <w:bottom w:val="nil"/>
              <w:right w:val="nil"/>
            </w:tcBorders>
            <w:shd w:val="clear" w:color="auto" w:fill="auto"/>
            <w:noWrap/>
            <w:vAlign w:val="bottom"/>
            <w:hideMark/>
          </w:tcPr>
          <w:p w14:paraId="2BEDA702" w14:textId="77777777" w:rsidR="00421C68" w:rsidRPr="00421C68" w:rsidRDefault="00421C68" w:rsidP="00421C68">
            <w:pPr>
              <w:spacing w:after="0" w:line="240" w:lineRule="auto"/>
              <w:rPr>
                <w:rFonts w:ascii="Times New Roman" w:eastAsia="Times New Roman" w:hAnsi="Times New Roman" w:cs="Times New Roman"/>
                <w:sz w:val="20"/>
                <w:szCs w:val="20"/>
              </w:rPr>
            </w:pPr>
          </w:p>
        </w:tc>
      </w:tr>
      <w:tr w:rsidR="00421C68" w:rsidRPr="00421C68" w14:paraId="238A97FD" w14:textId="77777777" w:rsidTr="00641FFF">
        <w:trPr>
          <w:trHeight w:val="488"/>
        </w:trPr>
        <w:tc>
          <w:tcPr>
            <w:tcW w:w="3150" w:type="dxa"/>
            <w:tcBorders>
              <w:top w:val="nil"/>
              <w:left w:val="nil"/>
              <w:bottom w:val="single" w:sz="4" w:space="0" w:color="C6C9CA"/>
              <w:right w:val="nil"/>
            </w:tcBorders>
            <w:shd w:val="clear" w:color="auto" w:fill="auto"/>
            <w:vAlign w:val="center"/>
            <w:hideMark/>
          </w:tcPr>
          <w:p w14:paraId="6B6B10A0" w14:textId="77777777" w:rsidR="00421C68" w:rsidRPr="00421C68" w:rsidRDefault="00421C68" w:rsidP="00421C68">
            <w:pPr>
              <w:spacing w:after="0" w:line="240" w:lineRule="auto"/>
              <w:rPr>
                <w:rFonts w:ascii="Arial" w:eastAsia="Times New Roman" w:hAnsi="Arial" w:cs="Arial"/>
                <w:b/>
                <w:bCs/>
                <w:color w:val="39414D"/>
                <w:szCs w:val="18"/>
              </w:rPr>
            </w:pPr>
            <w:r w:rsidRPr="00421C68">
              <w:rPr>
                <w:rFonts w:ascii="Arial" w:eastAsia="Times New Roman" w:hAnsi="Arial" w:cs="Arial"/>
                <w:b/>
                <w:bCs/>
                <w:color w:val="39414D"/>
                <w:szCs w:val="18"/>
              </w:rPr>
              <w:t>Rate Cell</w:t>
            </w:r>
          </w:p>
        </w:tc>
        <w:tc>
          <w:tcPr>
            <w:tcW w:w="1107" w:type="dxa"/>
            <w:tcBorders>
              <w:top w:val="nil"/>
              <w:left w:val="nil"/>
              <w:bottom w:val="single" w:sz="4" w:space="0" w:color="C6C9CA"/>
              <w:right w:val="nil"/>
            </w:tcBorders>
            <w:shd w:val="clear" w:color="auto" w:fill="auto"/>
            <w:vAlign w:val="center"/>
            <w:hideMark/>
          </w:tcPr>
          <w:p w14:paraId="0569B068" w14:textId="77777777" w:rsidR="00421C68" w:rsidRPr="00421C68" w:rsidRDefault="00421C68" w:rsidP="00421C68">
            <w:pPr>
              <w:spacing w:after="0" w:line="240" w:lineRule="auto"/>
              <w:jc w:val="center"/>
              <w:rPr>
                <w:rFonts w:ascii="Arial" w:eastAsia="Times New Roman" w:hAnsi="Arial" w:cs="Arial"/>
                <w:b/>
                <w:bCs/>
                <w:color w:val="39414D"/>
                <w:szCs w:val="18"/>
              </w:rPr>
            </w:pPr>
            <w:r w:rsidRPr="00421C68">
              <w:rPr>
                <w:rFonts w:ascii="Arial" w:eastAsia="Times New Roman" w:hAnsi="Arial" w:cs="Arial"/>
                <w:b/>
                <w:bCs/>
                <w:color w:val="39414D"/>
                <w:szCs w:val="18"/>
              </w:rPr>
              <w:t>AVERAGE SFY 2021 FFS MM</w:t>
            </w:r>
          </w:p>
        </w:tc>
        <w:tc>
          <w:tcPr>
            <w:tcW w:w="1041" w:type="dxa"/>
            <w:tcBorders>
              <w:top w:val="nil"/>
              <w:left w:val="nil"/>
              <w:bottom w:val="single" w:sz="4" w:space="0" w:color="C6C9CA"/>
              <w:right w:val="nil"/>
            </w:tcBorders>
            <w:shd w:val="clear" w:color="auto" w:fill="auto"/>
            <w:vAlign w:val="center"/>
            <w:hideMark/>
          </w:tcPr>
          <w:p w14:paraId="42A13702" w14:textId="77777777" w:rsidR="00421C68" w:rsidRPr="00421C68" w:rsidRDefault="00421C68" w:rsidP="00421C68">
            <w:pPr>
              <w:spacing w:after="0" w:line="240" w:lineRule="auto"/>
              <w:jc w:val="center"/>
              <w:rPr>
                <w:rFonts w:ascii="Arial" w:eastAsia="Times New Roman" w:hAnsi="Arial" w:cs="Arial"/>
                <w:b/>
                <w:bCs/>
                <w:color w:val="39414D"/>
                <w:szCs w:val="18"/>
              </w:rPr>
            </w:pPr>
            <w:r w:rsidRPr="00421C68">
              <w:rPr>
                <w:rFonts w:ascii="Arial" w:eastAsia="Times New Roman" w:hAnsi="Arial" w:cs="Arial"/>
                <w:b/>
                <w:bCs/>
                <w:color w:val="39414D"/>
                <w:szCs w:val="18"/>
              </w:rPr>
              <w:t>SFY 2021 FFS PMPM</w:t>
            </w:r>
          </w:p>
        </w:tc>
        <w:tc>
          <w:tcPr>
            <w:tcW w:w="1091" w:type="dxa"/>
            <w:tcBorders>
              <w:top w:val="nil"/>
              <w:left w:val="nil"/>
              <w:bottom w:val="single" w:sz="4" w:space="0" w:color="C6C9CA"/>
              <w:right w:val="nil"/>
            </w:tcBorders>
            <w:shd w:val="clear" w:color="auto" w:fill="auto"/>
            <w:vAlign w:val="center"/>
            <w:hideMark/>
          </w:tcPr>
          <w:p w14:paraId="3DC82E87" w14:textId="77777777" w:rsidR="00421C68" w:rsidRPr="00421C68" w:rsidRDefault="00421C68" w:rsidP="00421C68">
            <w:pPr>
              <w:spacing w:after="0" w:line="240" w:lineRule="auto"/>
              <w:jc w:val="center"/>
              <w:rPr>
                <w:rFonts w:ascii="Arial" w:eastAsia="Times New Roman" w:hAnsi="Arial" w:cs="Arial"/>
                <w:b/>
                <w:bCs/>
                <w:color w:val="39414D"/>
                <w:szCs w:val="18"/>
              </w:rPr>
            </w:pPr>
            <w:r w:rsidRPr="00421C68">
              <w:rPr>
                <w:rFonts w:ascii="Arial" w:eastAsia="Times New Roman" w:hAnsi="Arial" w:cs="Arial"/>
                <w:b/>
                <w:bCs/>
                <w:color w:val="39414D"/>
                <w:szCs w:val="18"/>
              </w:rPr>
              <w:t>Facility Removals</w:t>
            </w:r>
          </w:p>
        </w:tc>
        <w:tc>
          <w:tcPr>
            <w:tcW w:w="1324" w:type="dxa"/>
            <w:tcBorders>
              <w:top w:val="nil"/>
              <w:left w:val="nil"/>
              <w:bottom w:val="single" w:sz="4" w:space="0" w:color="C6C9CA"/>
              <w:right w:val="nil"/>
            </w:tcBorders>
            <w:shd w:val="clear" w:color="auto" w:fill="auto"/>
            <w:vAlign w:val="center"/>
            <w:hideMark/>
          </w:tcPr>
          <w:p w14:paraId="43ADD2F9" w14:textId="77777777" w:rsidR="00421C68" w:rsidRPr="00421C68" w:rsidRDefault="00421C68" w:rsidP="00421C68">
            <w:pPr>
              <w:spacing w:after="0" w:line="240" w:lineRule="auto"/>
              <w:jc w:val="center"/>
              <w:rPr>
                <w:rFonts w:ascii="Arial" w:eastAsia="Times New Roman" w:hAnsi="Arial" w:cs="Arial"/>
                <w:b/>
                <w:bCs/>
                <w:color w:val="39414D"/>
                <w:szCs w:val="18"/>
              </w:rPr>
            </w:pPr>
            <w:r w:rsidRPr="00421C68">
              <w:rPr>
                <w:rFonts w:ascii="Arial" w:eastAsia="Times New Roman" w:hAnsi="Arial" w:cs="Arial"/>
                <w:b/>
                <w:bCs/>
                <w:color w:val="39414D"/>
                <w:szCs w:val="18"/>
              </w:rPr>
              <w:t>Professional Removals</w:t>
            </w:r>
          </w:p>
        </w:tc>
        <w:tc>
          <w:tcPr>
            <w:tcW w:w="1091" w:type="dxa"/>
            <w:tcBorders>
              <w:top w:val="nil"/>
              <w:left w:val="nil"/>
              <w:bottom w:val="single" w:sz="4" w:space="0" w:color="C6C9CA"/>
              <w:right w:val="nil"/>
            </w:tcBorders>
            <w:shd w:val="clear" w:color="auto" w:fill="auto"/>
            <w:vAlign w:val="center"/>
            <w:hideMark/>
          </w:tcPr>
          <w:p w14:paraId="7E8383CD" w14:textId="77777777" w:rsidR="00421C68" w:rsidRPr="00421C68" w:rsidRDefault="00421C68" w:rsidP="00421C68">
            <w:pPr>
              <w:spacing w:after="0" w:line="240" w:lineRule="auto"/>
              <w:jc w:val="center"/>
              <w:rPr>
                <w:rFonts w:ascii="Arial" w:eastAsia="Times New Roman" w:hAnsi="Arial" w:cs="Arial"/>
                <w:b/>
                <w:bCs/>
                <w:color w:val="39414D"/>
                <w:szCs w:val="18"/>
              </w:rPr>
            </w:pPr>
            <w:r w:rsidRPr="00421C68">
              <w:rPr>
                <w:rFonts w:ascii="Arial" w:eastAsia="Times New Roman" w:hAnsi="Arial" w:cs="Arial"/>
                <w:b/>
                <w:bCs/>
                <w:color w:val="39414D"/>
                <w:szCs w:val="18"/>
              </w:rPr>
              <w:t>Ancillary Removals</w:t>
            </w:r>
          </w:p>
        </w:tc>
        <w:tc>
          <w:tcPr>
            <w:tcW w:w="1201" w:type="dxa"/>
            <w:tcBorders>
              <w:top w:val="nil"/>
              <w:left w:val="nil"/>
              <w:bottom w:val="single" w:sz="4" w:space="0" w:color="C6C9CA"/>
              <w:right w:val="nil"/>
            </w:tcBorders>
            <w:shd w:val="clear" w:color="auto" w:fill="auto"/>
            <w:vAlign w:val="center"/>
            <w:hideMark/>
          </w:tcPr>
          <w:p w14:paraId="16645E83" w14:textId="77777777" w:rsidR="00421C68" w:rsidRPr="00421C68" w:rsidRDefault="00421C68" w:rsidP="00421C68">
            <w:pPr>
              <w:spacing w:after="0" w:line="240" w:lineRule="auto"/>
              <w:jc w:val="center"/>
              <w:rPr>
                <w:rFonts w:ascii="Arial" w:eastAsia="Times New Roman" w:hAnsi="Arial" w:cs="Arial"/>
                <w:b/>
                <w:bCs/>
                <w:color w:val="39414D"/>
                <w:szCs w:val="18"/>
              </w:rPr>
            </w:pPr>
            <w:r w:rsidRPr="00421C68">
              <w:rPr>
                <w:rFonts w:ascii="Arial" w:eastAsia="Times New Roman" w:hAnsi="Arial" w:cs="Arial"/>
                <w:b/>
                <w:bCs/>
                <w:color w:val="39414D"/>
                <w:szCs w:val="18"/>
              </w:rPr>
              <w:t>SFY 2021 Base Data PMPM</w:t>
            </w:r>
          </w:p>
        </w:tc>
      </w:tr>
      <w:tr w:rsidR="00641FFF" w:rsidRPr="00421C68" w14:paraId="37405048" w14:textId="77777777" w:rsidTr="00641FFF">
        <w:trPr>
          <w:trHeight w:val="193"/>
        </w:trPr>
        <w:tc>
          <w:tcPr>
            <w:tcW w:w="3150" w:type="dxa"/>
            <w:tcBorders>
              <w:top w:val="nil"/>
              <w:left w:val="nil"/>
              <w:bottom w:val="nil"/>
              <w:right w:val="nil"/>
            </w:tcBorders>
            <w:shd w:val="clear" w:color="auto" w:fill="auto"/>
            <w:noWrap/>
            <w:vAlign w:val="center"/>
            <w:hideMark/>
          </w:tcPr>
          <w:p w14:paraId="16F59AEE" w14:textId="77777777" w:rsidR="00641FFF" w:rsidRPr="00421C68" w:rsidRDefault="00641FFF" w:rsidP="00641FFF">
            <w:pPr>
              <w:spacing w:after="0" w:line="240" w:lineRule="auto"/>
              <w:rPr>
                <w:rFonts w:ascii="Arial" w:eastAsia="Times New Roman" w:hAnsi="Arial" w:cs="Arial"/>
                <w:color w:val="39414D"/>
                <w:szCs w:val="18"/>
              </w:rPr>
            </w:pPr>
            <w:r w:rsidRPr="00421C68">
              <w:rPr>
                <w:rFonts w:ascii="Arial" w:eastAsia="Times New Roman" w:hAnsi="Arial" w:cs="Arial"/>
                <w:color w:val="39414D"/>
                <w:szCs w:val="18"/>
              </w:rPr>
              <w:t>IC30: MMP - SPMI</w:t>
            </w:r>
          </w:p>
        </w:tc>
        <w:tc>
          <w:tcPr>
            <w:tcW w:w="1107" w:type="dxa"/>
            <w:tcBorders>
              <w:top w:val="nil"/>
              <w:left w:val="nil"/>
              <w:bottom w:val="nil"/>
              <w:right w:val="nil"/>
            </w:tcBorders>
            <w:shd w:val="clear" w:color="auto" w:fill="auto"/>
            <w:noWrap/>
            <w:vAlign w:val="center"/>
          </w:tcPr>
          <w:p w14:paraId="67456404" w14:textId="4FB19B99"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1,038</w:t>
            </w:r>
          </w:p>
        </w:tc>
        <w:tc>
          <w:tcPr>
            <w:tcW w:w="1041" w:type="dxa"/>
            <w:tcBorders>
              <w:top w:val="nil"/>
              <w:left w:val="nil"/>
              <w:bottom w:val="nil"/>
              <w:right w:val="nil"/>
            </w:tcBorders>
            <w:shd w:val="clear" w:color="auto" w:fill="auto"/>
            <w:noWrap/>
            <w:vAlign w:val="center"/>
          </w:tcPr>
          <w:p w14:paraId="6C1AD933" w14:textId="6BAB191E"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$1,143.88</w:t>
            </w:r>
          </w:p>
        </w:tc>
        <w:tc>
          <w:tcPr>
            <w:tcW w:w="1091" w:type="dxa"/>
            <w:tcBorders>
              <w:top w:val="nil"/>
              <w:left w:val="nil"/>
              <w:bottom w:val="nil"/>
              <w:right w:val="nil"/>
            </w:tcBorders>
            <w:shd w:val="clear" w:color="auto" w:fill="auto"/>
            <w:noWrap/>
            <w:vAlign w:val="center"/>
          </w:tcPr>
          <w:p w14:paraId="5D0B5B02" w14:textId="1DEF7A41"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$34.77</w:t>
            </w:r>
          </w:p>
        </w:tc>
        <w:tc>
          <w:tcPr>
            <w:tcW w:w="1324" w:type="dxa"/>
            <w:tcBorders>
              <w:top w:val="nil"/>
              <w:left w:val="nil"/>
              <w:bottom w:val="nil"/>
              <w:right w:val="nil"/>
            </w:tcBorders>
            <w:shd w:val="clear" w:color="auto" w:fill="auto"/>
            <w:noWrap/>
            <w:vAlign w:val="center"/>
          </w:tcPr>
          <w:p w14:paraId="17AF41B5" w14:textId="0731C7E3"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$124.74</w:t>
            </w:r>
          </w:p>
        </w:tc>
        <w:tc>
          <w:tcPr>
            <w:tcW w:w="1091" w:type="dxa"/>
            <w:tcBorders>
              <w:top w:val="nil"/>
              <w:left w:val="nil"/>
              <w:bottom w:val="nil"/>
              <w:right w:val="nil"/>
            </w:tcBorders>
            <w:shd w:val="clear" w:color="auto" w:fill="auto"/>
            <w:noWrap/>
            <w:vAlign w:val="center"/>
          </w:tcPr>
          <w:p w14:paraId="39787866" w14:textId="1BCE12C1"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$3.03</w:t>
            </w:r>
          </w:p>
        </w:tc>
        <w:tc>
          <w:tcPr>
            <w:tcW w:w="1201" w:type="dxa"/>
            <w:tcBorders>
              <w:top w:val="nil"/>
              <w:left w:val="nil"/>
              <w:bottom w:val="nil"/>
              <w:right w:val="nil"/>
            </w:tcBorders>
            <w:shd w:val="clear" w:color="auto" w:fill="auto"/>
            <w:noWrap/>
            <w:vAlign w:val="center"/>
          </w:tcPr>
          <w:p w14:paraId="5DAFAB02" w14:textId="4BB22DEF"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$981.34</w:t>
            </w:r>
          </w:p>
        </w:tc>
      </w:tr>
      <w:tr w:rsidR="00641FFF" w:rsidRPr="00421C68" w14:paraId="3BB260A3" w14:textId="77777777" w:rsidTr="00641FFF">
        <w:trPr>
          <w:trHeight w:val="193"/>
        </w:trPr>
        <w:tc>
          <w:tcPr>
            <w:tcW w:w="3150" w:type="dxa"/>
            <w:tcBorders>
              <w:top w:val="nil"/>
              <w:left w:val="nil"/>
              <w:bottom w:val="nil"/>
              <w:right w:val="nil"/>
            </w:tcBorders>
            <w:shd w:val="clear" w:color="000000" w:fill="E8E9E9"/>
            <w:noWrap/>
            <w:vAlign w:val="center"/>
            <w:hideMark/>
          </w:tcPr>
          <w:p w14:paraId="3954AADB" w14:textId="77777777" w:rsidR="00641FFF" w:rsidRPr="00421C68" w:rsidRDefault="00641FFF" w:rsidP="00641FFF">
            <w:pPr>
              <w:spacing w:after="0" w:line="240" w:lineRule="auto"/>
              <w:rPr>
                <w:rFonts w:ascii="Arial" w:eastAsia="Times New Roman" w:hAnsi="Arial" w:cs="Arial"/>
                <w:color w:val="39414D"/>
                <w:szCs w:val="18"/>
              </w:rPr>
            </w:pPr>
            <w:r w:rsidRPr="00421C68">
              <w:rPr>
                <w:rFonts w:ascii="Arial" w:eastAsia="Times New Roman" w:hAnsi="Arial" w:cs="Arial"/>
                <w:color w:val="39414D"/>
                <w:szCs w:val="18"/>
              </w:rPr>
              <w:t>IC40: MMP - ID</w:t>
            </w:r>
          </w:p>
        </w:tc>
        <w:tc>
          <w:tcPr>
            <w:tcW w:w="1107" w:type="dxa"/>
            <w:tcBorders>
              <w:top w:val="nil"/>
              <w:left w:val="nil"/>
              <w:bottom w:val="nil"/>
              <w:right w:val="nil"/>
            </w:tcBorders>
            <w:shd w:val="clear" w:color="000000" w:fill="E8E9E9"/>
            <w:noWrap/>
            <w:vAlign w:val="center"/>
          </w:tcPr>
          <w:p w14:paraId="002B5F17" w14:textId="0D991008"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975</w:t>
            </w:r>
          </w:p>
        </w:tc>
        <w:tc>
          <w:tcPr>
            <w:tcW w:w="1041" w:type="dxa"/>
            <w:tcBorders>
              <w:top w:val="nil"/>
              <w:left w:val="nil"/>
              <w:bottom w:val="nil"/>
              <w:right w:val="nil"/>
            </w:tcBorders>
            <w:shd w:val="clear" w:color="000000" w:fill="E8E9E9"/>
            <w:noWrap/>
            <w:vAlign w:val="center"/>
          </w:tcPr>
          <w:p w14:paraId="1AEBAC6E" w14:textId="4408AD17"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4,535.74</w:t>
            </w:r>
          </w:p>
        </w:tc>
        <w:tc>
          <w:tcPr>
            <w:tcW w:w="1091" w:type="dxa"/>
            <w:tcBorders>
              <w:top w:val="nil"/>
              <w:left w:val="nil"/>
              <w:bottom w:val="nil"/>
              <w:right w:val="nil"/>
            </w:tcBorders>
            <w:shd w:val="clear" w:color="000000" w:fill="E8E9E9"/>
            <w:noWrap/>
            <w:vAlign w:val="center"/>
          </w:tcPr>
          <w:p w14:paraId="5E42BED8" w14:textId="1BE52F50"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207.87</w:t>
            </w:r>
          </w:p>
        </w:tc>
        <w:tc>
          <w:tcPr>
            <w:tcW w:w="1324" w:type="dxa"/>
            <w:tcBorders>
              <w:top w:val="nil"/>
              <w:left w:val="nil"/>
              <w:bottom w:val="nil"/>
              <w:right w:val="nil"/>
            </w:tcBorders>
            <w:shd w:val="clear" w:color="000000" w:fill="E8E9E9"/>
            <w:noWrap/>
            <w:vAlign w:val="center"/>
          </w:tcPr>
          <w:p w14:paraId="41A04640" w14:textId="4254CF61"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4,152.27</w:t>
            </w:r>
          </w:p>
        </w:tc>
        <w:tc>
          <w:tcPr>
            <w:tcW w:w="1091" w:type="dxa"/>
            <w:tcBorders>
              <w:top w:val="nil"/>
              <w:left w:val="nil"/>
              <w:bottom w:val="nil"/>
              <w:right w:val="nil"/>
            </w:tcBorders>
            <w:shd w:val="clear" w:color="000000" w:fill="E8E9E9"/>
            <w:noWrap/>
            <w:vAlign w:val="center"/>
          </w:tcPr>
          <w:p w14:paraId="3CB3E0AA" w14:textId="4AA4825F"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98.38</w:t>
            </w:r>
          </w:p>
        </w:tc>
        <w:tc>
          <w:tcPr>
            <w:tcW w:w="1201" w:type="dxa"/>
            <w:tcBorders>
              <w:top w:val="nil"/>
              <w:left w:val="nil"/>
              <w:bottom w:val="nil"/>
              <w:right w:val="nil"/>
            </w:tcBorders>
            <w:shd w:val="clear" w:color="000000" w:fill="E8E9E9"/>
            <w:noWrap/>
            <w:vAlign w:val="center"/>
          </w:tcPr>
          <w:p w14:paraId="5BBEA44F" w14:textId="242A50F4"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$77.22</w:t>
            </w:r>
          </w:p>
        </w:tc>
      </w:tr>
      <w:tr w:rsidR="00641FFF" w:rsidRPr="00421C68" w14:paraId="1D0AED67" w14:textId="77777777" w:rsidTr="00641FFF">
        <w:trPr>
          <w:trHeight w:val="193"/>
        </w:trPr>
        <w:tc>
          <w:tcPr>
            <w:tcW w:w="3150" w:type="dxa"/>
            <w:tcBorders>
              <w:top w:val="nil"/>
              <w:left w:val="nil"/>
              <w:bottom w:val="nil"/>
              <w:right w:val="nil"/>
            </w:tcBorders>
            <w:shd w:val="clear" w:color="auto" w:fill="auto"/>
            <w:noWrap/>
            <w:vAlign w:val="center"/>
            <w:hideMark/>
          </w:tcPr>
          <w:p w14:paraId="4532234F" w14:textId="77777777" w:rsidR="00641FFF" w:rsidRPr="00421C68" w:rsidRDefault="00641FFF" w:rsidP="00641FFF">
            <w:pPr>
              <w:spacing w:after="0" w:line="240" w:lineRule="auto"/>
              <w:rPr>
                <w:rFonts w:ascii="Arial" w:eastAsia="Times New Roman" w:hAnsi="Arial" w:cs="Arial"/>
                <w:color w:val="39414D"/>
                <w:szCs w:val="18"/>
              </w:rPr>
            </w:pPr>
            <w:r w:rsidRPr="00421C68">
              <w:rPr>
                <w:rFonts w:ascii="Arial" w:eastAsia="Times New Roman" w:hAnsi="Arial" w:cs="Arial"/>
                <w:color w:val="39414D"/>
                <w:szCs w:val="18"/>
              </w:rPr>
              <w:t>IC50: MMP - Community LTSS</w:t>
            </w:r>
          </w:p>
        </w:tc>
        <w:tc>
          <w:tcPr>
            <w:tcW w:w="1107" w:type="dxa"/>
            <w:tcBorders>
              <w:top w:val="nil"/>
              <w:left w:val="nil"/>
              <w:bottom w:val="nil"/>
              <w:right w:val="nil"/>
            </w:tcBorders>
            <w:shd w:val="clear" w:color="auto" w:fill="auto"/>
            <w:noWrap/>
            <w:vAlign w:val="center"/>
          </w:tcPr>
          <w:p w14:paraId="2F815C3A" w14:textId="06705D56"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1,656</w:t>
            </w:r>
          </w:p>
        </w:tc>
        <w:tc>
          <w:tcPr>
            <w:tcW w:w="1041" w:type="dxa"/>
            <w:tcBorders>
              <w:top w:val="nil"/>
              <w:left w:val="nil"/>
              <w:bottom w:val="nil"/>
              <w:right w:val="nil"/>
            </w:tcBorders>
            <w:shd w:val="clear" w:color="auto" w:fill="auto"/>
            <w:noWrap/>
            <w:vAlign w:val="center"/>
          </w:tcPr>
          <w:p w14:paraId="10BBDE56" w14:textId="1FB964AA"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2,055.18</w:t>
            </w:r>
          </w:p>
        </w:tc>
        <w:tc>
          <w:tcPr>
            <w:tcW w:w="1091" w:type="dxa"/>
            <w:tcBorders>
              <w:top w:val="nil"/>
              <w:left w:val="nil"/>
              <w:bottom w:val="nil"/>
              <w:right w:val="nil"/>
            </w:tcBorders>
            <w:shd w:val="clear" w:color="auto" w:fill="auto"/>
            <w:noWrap/>
            <w:vAlign w:val="center"/>
          </w:tcPr>
          <w:p w14:paraId="124D44BD" w14:textId="26579EFB"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7.78</w:t>
            </w:r>
          </w:p>
        </w:tc>
        <w:tc>
          <w:tcPr>
            <w:tcW w:w="1324" w:type="dxa"/>
            <w:tcBorders>
              <w:top w:val="nil"/>
              <w:left w:val="nil"/>
              <w:bottom w:val="nil"/>
              <w:right w:val="nil"/>
            </w:tcBorders>
            <w:shd w:val="clear" w:color="auto" w:fill="auto"/>
            <w:noWrap/>
            <w:vAlign w:val="center"/>
          </w:tcPr>
          <w:p w14:paraId="3952C2AE" w14:textId="0A7AD921"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22.74</w:t>
            </w:r>
          </w:p>
        </w:tc>
        <w:tc>
          <w:tcPr>
            <w:tcW w:w="1091" w:type="dxa"/>
            <w:tcBorders>
              <w:top w:val="nil"/>
              <w:left w:val="nil"/>
              <w:bottom w:val="nil"/>
              <w:right w:val="nil"/>
            </w:tcBorders>
            <w:shd w:val="clear" w:color="auto" w:fill="auto"/>
            <w:noWrap/>
            <w:vAlign w:val="center"/>
          </w:tcPr>
          <w:p w14:paraId="370353A5" w14:textId="25E88794"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0.28</w:t>
            </w:r>
          </w:p>
        </w:tc>
        <w:tc>
          <w:tcPr>
            <w:tcW w:w="1201" w:type="dxa"/>
            <w:tcBorders>
              <w:top w:val="nil"/>
              <w:left w:val="nil"/>
              <w:bottom w:val="nil"/>
              <w:right w:val="nil"/>
            </w:tcBorders>
            <w:shd w:val="clear" w:color="auto" w:fill="auto"/>
            <w:noWrap/>
            <w:vAlign w:val="center"/>
          </w:tcPr>
          <w:p w14:paraId="15ACB0E5" w14:textId="64A60245"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$2,024.38</w:t>
            </w:r>
          </w:p>
        </w:tc>
      </w:tr>
      <w:tr w:rsidR="00641FFF" w:rsidRPr="00421C68" w14:paraId="799ED993" w14:textId="77777777" w:rsidTr="00641FFF">
        <w:trPr>
          <w:trHeight w:val="193"/>
        </w:trPr>
        <w:tc>
          <w:tcPr>
            <w:tcW w:w="3150" w:type="dxa"/>
            <w:tcBorders>
              <w:top w:val="nil"/>
              <w:left w:val="nil"/>
              <w:bottom w:val="nil"/>
              <w:right w:val="nil"/>
            </w:tcBorders>
            <w:shd w:val="clear" w:color="000000" w:fill="E8E9E9"/>
            <w:noWrap/>
            <w:vAlign w:val="center"/>
            <w:hideMark/>
          </w:tcPr>
          <w:p w14:paraId="47424256" w14:textId="77777777" w:rsidR="00641FFF" w:rsidRPr="00421C68" w:rsidRDefault="00641FFF" w:rsidP="00641FFF">
            <w:pPr>
              <w:spacing w:after="0" w:line="240" w:lineRule="auto"/>
              <w:rPr>
                <w:rFonts w:ascii="Arial" w:eastAsia="Times New Roman" w:hAnsi="Arial" w:cs="Arial"/>
                <w:color w:val="39414D"/>
                <w:szCs w:val="18"/>
              </w:rPr>
            </w:pPr>
            <w:r w:rsidRPr="00421C68">
              <w:rPr>
                <w:rFonts w:ascii="Arial" w:eastAsia="Times New Roman" w:hAnsi="Arial" w:cs="Arial"/>
                <w:color w:val="39414D"/>
                <w:szCs w:val="18"/>
              </w:rPr>
              <w:t>IC60: MMP - Nursing Home</w:t>
            </w:r>
          </w:p>
        </w:tc>
        <w:tc>
          <w:tcPr>
            <w:tcW w:w="1107" w:type="dxa"/>
            <w:tcBorders>
              <w:top w:val="nil"/>
              <w:left w:val="nil"/>
              <w:bottom w:val="nil"/>
              <w:right w:val="nil"/>
            </w:tcBorders>
            <w:shd w:val="clear" w:color="000000" w:fill="E8E9E9"/>
            <w:noWrap/>
            <w:vAlign w:val="center"/>
          </w:tcPr>
          <w:p w14:paraId="53F7C6BE" w14:textId="4FB1F22C"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2,775</w:t>
            </w:r>
          </w:p>
        </w:tc>
        <w:tc>
          <w:tcPr>
            <w:tcW w:w="1041" w:type="dxa"/>
            <w:tcBorders>
              <w:top w:val="nil"/>
              <w:left w:val="nil"/>
              <w:bottom w:val="nil"/>
              <w:right w:val="nil"/>
            </w:tcBorders>
            <w:shd w:val="clear" w:color="000000" w:fill="E8E9E9"/>
            <w:noWrap/>
            <w:vAlign w:val="center"/>
          </w:tcPr>
          <w:p w14:paraId="63903745" w14:textId="78A46B68"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5,839.63</w:t>
            </w:r>
          </w:p>
        </w:tc>
        <w:tc>
          <w:tcPr>
            <w:tcW w:w="1091" w:type="dxa"/>
            <w:tcBorders>
              <w:top w:val="nil"/>
              <w:left w:val="nil"/>
              <w:bottom w:val="nil"/>
              <w:right w:val="nil"/>
            </w:tcBorders>
            <w:shd w:val="clear" w:color="000000" w:fill="E8E9E9"/>
            <w:noWrap/>
            <w:vAlign w:val="center"/>
          </w:tcPr>
          <w:p w14:paraId="2EA54083" w14:textId="56B9646C"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37.33</w:t>
            </w:r>
          </w:p>
        </w:tc>
        <w:tc>
          <w:tcPr>
            <w:tcW w:w="1324" w:type="dxa"/>
            <w:tcBorders>
              <w:top w:val="nil"/>
              <w:left w:val="nil"/>
              <w:bottom w:val="nil"/>
              <w:right w:val="nil"/>
            </w:tcBorders>
            <w:shd w:val="clear" w:color="000000" w:fill="E8E9E9"/>
            <w:noWrap/>
            <w:vAlign w:val="center"/>
          </w:tcPr>
          <w:p w14:paraId="14A8B164" w14:textId="214E75F4"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5.51</w:t>
            </w:r>
          </w:p>
        </w:tc>
        <w:tc>
          <w:tcPr>
            <w:tcW w:w="1091" w:type="dxa"/>
            <w:tcBorders>
              <w:top w:val="nil"/>
              <w:left w:val="nil"/>
              <w:bottom w:val="nil"/>
              <w:right w:val="nil"/>
            </w:tcBorders>
            <w:shd w:val="clear" w:color="000000" w:fill="E8E9E9"/>
            <w:noWrap/>
            <w:vAlign w:val="center"/>
          </w:tcPr>
          <w:p w14:paraId="26AA0DF7" w14:textId="5A0FC8A3"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0.01</w:t>
            </w:r>
          </w:p>
        </w:tc>
        <w:tc>
          <w:tcPr>
            <w:tcW w:w="1201" w:type="dxa"/>
            <w:tcBorders>
              <w:top w:val="nil"/>
              <w:left w:val="nil"/>
              <w:bottom w:val="nil"/>
              <w:right w:val="nil"/>
            </w:tcBorders>
            <w:shd w:val="clear" w:color="000000" w:fill="E8E9E9"/>
            <w:noWrap/>
            <w:vAlign w:val="center"/>
          </w:tcPr>
          <w:p w14:paraId="64E67EE4" w14:textId="2A90FB7E"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$5,796.78</w:t>
            </w:r>
          </w:p>
        </w:tc>
      </w:tr>
      <w:tr w:rsidR="00641FFF" w:rsidRPr="00421C68" w14:paraId="7BA6E3E3" w14:textId="77777777" w:rsidTr="00641FFF">
        <w:trPr>
          <w:trHeight w:val="193"/>
        </w:trPr>
        <w:tc>
          <w:tcPr>
            <w:tcW w:w="3150" w:type="dxa"/>
            <w:tcBorders>
              <w:top w:val="nil"/>
              <w:left w:val="nil"/>
              <w:bottom w:val="nil"/>
              <w:right w:val="nil"/>
            </w:tcBorders>
            <w:shd w:val="clear" w:color="auto" w:fill="auto"/>
            <w:noWrap/>
            <w:vAlign w:val="center"/>
            <w:hideMark/>
          </w:tcPr>
          <w:p w14:paraId="5E0DDA0E" w14:textId="77777777" w:rsidR="00641FFF" w:rsidRPr="00421C68" w:rsidRDefault="00641FFF" w:rsidP="00641FFF">
            <w:pPr>
              <w:spacing w:after="0" w:line="240" w:lineRule="auto"/>
              <w:rPr>
                <w:rFonts w:ascii="Arial" w:eastAsia="Times New Roman" w:hAnsi="Arial" w:cs="Arial"/>
                <w:color w:val="39414D"/>
                <w:szCs w:val="18"/>
              </w:rPr>
            </w:pPr>
            <w:r w:rsidRPr="00421C68">
              <w:rPr>
                <w:rFonts w:ascii="Arial" w:eastAsia="Times New Roman" w:hAnsi="Arial" w:cs="Arial"/>
                <w:color w:val="39414D"/>
                <w:szCs w:val="18"/>
              </w:rPr>
              <w:t>IC70: MMP - Community Non-LTSS</w:t>
            </w:r>
          </w:p>
        </w:tc>
        <w:tc>
          <w:tcPr>
            <w:tcW w:w="1107" w:type="dxa"/>
            <w:tcBorders>
              <w:top w:val="nil"/>
              <w:left w:val="nil"/>
              <w:bottom w:val="nil"/>
              <w:right w:val="nil"/>
            </w:tcBorders>
            <w:shd w:val="clear" w:color="auto" w:fill="auto"/>
            <w:noWrap/>
            <w:vAlign w:val="center"/>
          </w:tcPr>
          <w:p w14:paraId="54733C74" w14:textId="170CE84B"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8,864</w:t>
            </w:r>
          </w:p>
        </w:tc>
        <w:tc>
          <w:tcPr>
            <w:tcW w:w="1041" w:type="dxa"/>
            <w:tcBorders>
              <w:top w:val="nil"/>
              <w:left w:val="nil"/>
              <w:bottom w:val="nil"/>
              <w:right w:val="nil"/>
            </w:tcBorders>
            <w:shd w:val="clear" w:color="auto" w:fill="auto"/>
            <w:noWrap/>
            <w:vAlign w:val="center"/>
          </w:tcPr>
          <w:p w14:paraId="63E30129" w14:textId="65383EB7"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127.07</w:t>
            </w:r>
          </w:p>
        </w:tc>
        <w:tc>
          <w:tcPr>
            <w:tcW w:w="1091" w:type="dxa"/>
            <w:tcBorders>
              <w:top w:val="nil"/>
              <w:left w:val="nil"/>
              <w:bottom w:val="nil"/>
              <w:right w:val="nil"/>
            </w:tcBorders>
            <w:shd w:val="clear" w:color="auto" w:fill="auto"/>
            <w:noWrap/>
            <w:vAlign w:val="center"/>
          </w:tcPr>
          <w:p w14:paraId="16B065A0" w14:textId="39CAD889"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13.29</w:t>
            </w:r>
          </w:p>
        </w:tc>
        <w:tc>
          <w:tcPr>
            <w:tcW w:w="1324" w:type="dxa"/>
            <w:tcBorders>
              <w:top w:val="nil"/>
              <w:left w:val="nil"/>
              <w:bottom w:val="nil"/>
              <w:right w:val="nil"/>
            </w:tcBorders>
            <w:shd w:val="clear" w:color="auto" w:fill="auto"/>
            <w:noWrap/>
            <w:vAlign w:val="center"/>
          </w:tcPr>
          <w:p w14:paraId="08377BE7" w14:textId="35E1C262"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10.32</w:t>
            </w:r>
          </w:p>
        </w:tc>
        <w:tc>
          <w:tcPr>
            <w:tcW w:w="1091" w:type="dxa"/>
            <w:tcBorders>
              <w:top w:val="nil"/>
              <w:left w:val="nil"/>
              <w:bottom w:val="nil"/>
              <w:right w:val="nil"/>
            </w:tcBorders>
            <w:shd w:val="clear" w:color="auto" w:fill="auto"/>
            <w:noWrap/>
            <w:vAlign w:val="center"/>
          </w:tcPr>
          <w:p w14:paraId="5398F90D" w14:textId="30EAEF70"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0.16</w:t>
            </w:r>
          </w:p>
        </w:tc>
        <w:tc>
          <w:tcPr>
            <w:tcW w:w="1201" w:type="dxa"/>
            <w:tcBorders>
              <w:top w:val="nil"/>
              <w:left w:val="nil"/>
              <w:bottom w:val="nil"/>
              <w:right w:val="nil"/>
            </w:tcBorders>
            <w:shd w:val="clear" w:color="auto" w:fill="auto"/>
            <w:noWrap/>
            <w:vAlign w:val="center"/>
          </w:tcPr>
          <w:p w14:paraId="2E97410A" w14:textId="3FF05A41" w:rsidR="00641FFF" w:rsidRPr="00421C68" w:rsidRDefault="00641FFF" w:rsidP="00641FFF">
            <w:pPr>
              <w:spacing w:after="0" w:line="240" w:lineRule="auto"/>
              <w:jc w:val="right"/>
              <w:rPr>
                <w:rFonts w:ascii="Arial" w:eastAsia="Times New Roman" w:hAnsi="Arial" w:cs="Arial"/>
                <w:color w:val="39414D"/>
                <w:szCs w:val="18"/>
              </w:rPr>
            </w:pPr>
            <w:r>
              <w:rPr>
                <w:rFonts w:ascii="Arial" w:hAnsi="Arial" w:cs="Arial"/>
                <w:color w:val="39414D"/>
                <w:szCs w:val="18"/>
              </w:rPr>
              <w:t>$103.30</w:t>
            </w:r>
          </w:p>
        </w:tc>
      </w:tr>
      <w:tr w:rsidR="00641FFF" w:rsidRPr="00421C68" w14:paraId="453DC0F8" w14:textId="77777777" w:rsidTr="00641FFF">
        <w:trPr>
          <w:trHeight w:val="193"/>
        </w:trPr>
        <w:tc>
          <w:tcPr>
            <w:tcW w:w="3150" w:type="dxa"/>
            <w:tcBorders>
              <w:top w:val="nil"/>
              <w:left w:val="nil"/>
              <w:bottom w:val="nil"/>
              <w:right w:val="nil"/>
            </w:tcBorders>
            <w:shd w:val="clear" w:color="000000" w:fill="E8E9E9"/>
            <w:noWrap/>
            <w:vAlign w:val="center"/>
            <w:hideMark/>
          </w:tcPr>
          <w:p w14:paraId="4C8171B4" w14:textId="77777777" w:rsidR="00641FFF" w:rsidRPr="00421C68" w:rsidRDefault="00641FFF" w:rsidP="00641FFF">
            <w:pPr>
              <w:spacing w:after="0" w:line="240" w:lineRule="auto"/>
              <w:rPr>
                <w:rFonts w:ascii="Arial" w:eastAsia="Times New Roman" w:hAnsi="Arial" w:cs="Arial"/>
                <w:b/>
                <w:bCs/>
                <w:color w:val="39414D"/>
                <w:szCs w:val="18"/>
              </w:rPr>
            </w:pPr>
            <w:r w:rsidRPr="00421C68">
              <w:rPr>
                <w:rFonts w:ascii="Arial" w:eastAsia="Times New Roman" w:hAnsi="Arial" w:cs="Arial"/>
                <w:b/>
                <w:bCs/>
                <w:color w:val="39414D"/>
                <w:szCs w:val="18"/>
              </w:rPr>
              <w:t>Composite</w:t>
            </w:r>
          </w:p>
        </w:tc>
        <w:tc>
          <w:tcPr>
            <w:tcW w:w="1107" w:type="dxa"/>
            <w:tcBorders>
              <w:top w:val="nil"/>
              <w:left w:val="nil"/>
              <w:bottom w:val="nil"/>
              <w:right w:val="nil"/>
            </w:tcBorders>
            <w:shd w:val="clear" w:color="000000" w:fill="E8E9E9"/>
            <w:noWrap/>
            <w:vAlign w:val="center"/>
          </w:tcPr>
          <w:p w14:paraId="1CF3D225" w14:textId="02C33CCB" w:rsidR="00641FFF" w:rsidRPr="00421C68" w:rsidRDefault="00641FFF" w:rsidP="00641FFF">
            <w:pPr>
              <w:spacing w:after="0" w:line="240" w:lineRule="auto"/>
              <w:jc w:val="right"/>
              <w:rPr>
                <w:rFonts w:ascii="Arial" w:eastAsia="Times New Roman" w:hAnsi="Arial" w:cs="Arial"/>
                <w:b/>
                <w:bCs/>
                <w:color w:val="39414D"/>
                <w:szCs w:val="18"/>
              </w:rPr>
            </w:pPr>
            <w:r>
              <w:rPr>
                <w:rFonts w:ascii="Arial" w:hAnsi="Arial" w:cs="Arial"/>
                <w:b/>
                <w:bCs/>
                <w:color w:val="39414D"/>
                <w:szCs w:val="18"/>
              </w:rPr>
              <w:t>15,308</w:t>
            </w:r>
          </w:p>
        </w:tc>
        <w:tc>
          <w:tcPr>
            <w:tcW w:w="1041" w:type="dxa"/>
            <w:tcBorders>
              <w:top w:val="nil"/>
              <w:left w:val="nil"/>
              <w:bottom w:val="nil"/>
              <w:right w:val="nil"/>
            </w:tcBorders>
            <w:shd w:val="clear" w:color="000000" w:fill="E8E9E9"/>
            <w:noWrap/>
            <w:vAlign w:val="center"/>
          </w:tcPr>
          <w:p w14:paraId="50D1A16B" w14:textId="16FFEEAC" w:rsidR="00641FFF" w:rsidRPr="00421C68" w:rsidRDefault="00641FFF" w:rsidP="00641FFF">
            <w:pPr>
              <w:spacing w:after="0" w:line="240" w:lineRule="auto"/>
              <w:jc w:val="right"/>
              <w:rPr>
                <w:rFonts w:ascii="Arial" w:eastAsia="Times New Roman" w:hAnsi="Arial" w:cs="Arial"/>
                <w:b/>
                <w:bCs/>
                <w:color w:val="39414D"/>
                <w:szCs w:val="18"/>
              </w:rPr>
            </w:pPr>
            <w:r>
              <w:rPr>
                <w:rFonts w:ascii="Arial" w:hAnsi="Arial" w:cs="Arial"/>
                <w:b/>
                <w:bCs/>
                <w:color w:val="39414D"/>
                <w:szCs w:val="18"/>
              </w:rPr>
              <w:t>$1,720.74</w:t>
            </w:r>
          </w:p>
        </w:tc>
        <w:tc>
          <w:tcPr>
            <w:tcW w:w="1091" w:type="dxa"/>
            <w:tcBorders>
              <w:top w:val="nil"/>
              <w:left w:val="nil"/>
              <w:bottom w:val="nil"/>
              <w:right w:val="nil"/>
            </w:tcBorders>
            <w:shd w:val="clear" w:color="000000" w:fill="E8E9E9"/>
            <w:noWrap/>
            <w:vAlign w:val="center"/>
          </w:tcPr>
          <w:p w14:paraId="152A66C2" w14:textId="7373F56E" w:rsidR="00641FFF" w:rsidRPr="00421C68" w:rsidRDefault="00641FFF" w:rsidP="00641FFF">
            <w:pPr>
              <w:spacing w:after="0" w:line="240" w:lineRule="auto"/>
              <w:jc w:val="right"/>
              <w:rPr>
                <w:rFonts w:ascii="Arial" w:eastAsia="Times New Roman" w:hAnsi="Arial" w:cs="Arial"/>
                <w:b/>
                <w:bCs/>
                <w:color w:val="39414D"/>
                <w:szCs w:val="18"/>
              </w:rPr>
            </w:pPr>
            <w:r>
              <w:rPr>
                <w:rFonts w:ascii="Arial" w:hAnsi="Arial" w:cs="Arial"/>
                <w:b/>
                <w:bCs/>
                <w:color w:val="39414D"/>
                <w:szCs w:val="18"/>
              </w:rPr>
              <w:t>$30.90</w:t>
            </w:r>
          </w:p>
        </w:tc>
        <w:tc>
          <w:tcPr>
            <w:tcW w:w="1324" w:type="dxa"/>
            <w:tcBorders>
              <w:top w:val="nil"/>
              <w:left w:val="nil"/>
              <w:bottom w:val="nil"/>
              <w:right w:val="nil"/>
            </w:tcBorders>
            <w:shd w:val="clear" w:color="000000" w:fill="E8E9E9"/>
            <w:noWrap/>
            <w:vAlign w:val="center"/>
          </w:tcPr>
          <w:p w14:paraId="16B4CEA3" w14:textId="429B6F9A" w:rsidR="00641FFF" w:rsidRPr="00421C68" w:rsidRDefault="00641FFF" w:rsidP="00641FFF">
            <w:pPr>
              <w:spacing w:after="0" w:line="240" w:lineRule="auto"/>
              <w:jc w:val="right"/>
              <w:rPr>
                <w:rFonts w:ascii="Arial" w:eastAsia="Times New Roman" w:hAnsi="Arial" w:cs="Arial"/>
                <w:b/>
                <w:bCs/>
                <w:color w:val="39414D"/>
                <w:szCs w:val="18"/>
              </w:rPr>
            </w:pPr>
            <w:r>
              <w:rPr>
                <w:rFonts w:ascii="Arial" w:hAnsi="Arial" w:cs="Arial"/>
                <w:b/>
                <w:bCs/>
                <w:color w:val="39414D"/>
                <w:szCs w:val="18"/>
              </w:rPr>
              <w:t>$282.35</w:t>
            </w:r>
          </w:p>
        </w:tc>
        <w:tc>
          <w:tcPr>
            <w:tcW w:w="1091" w:type="dxa"/>
            <w:tcBorders>
              <w:top w:val="nil"/>
              <w:left w:val="nil"/>
              <w:bottom w:val="nil"/>
              <w:right w:val="nil"/>
            </w:tcBorders>
            <w:shd w:val="clear" w:color="000000" w:fill="E8E9E9"/>
            <w:noWrap/>
            <w:vAlign w:val="center"/>
          </w:tcPr>
          <w:p w14:paraId="3167F27F" w14:textId="60153D7C" w:rsidR="00641FFF" w:rsidRPr="00421C68" w:rsidRDefault="00641FFF" w:rsidP="00641FFF">
            <w:pPr>
              <w:spacing w:after="0" w:line="240" w:lineRule="auto"/>
              <w:jc w:val="right"/>
              <w:rPr>
                <w:rFonts w:ascii="Arial" w:eastAsia="Times New Roman" w:hAnsi="Arial" w:cs="Arial"/>
                <w:b/>
                <w:bCs/>
                <w:color w:val="39414D"/>
                <w:szCs w:val="18"/>
              </w:rPr>
            </w:pPr>
            <w:r>
              <w:rPr>
                <w:rFonts w:ascii="Arial" w:hAnsi="Arial" w:cs="Arial"/>
                <w:b/>
                <w:bCs/>
                <w:color w:val="39414D"/>
                <w:szCs w:val="18"/>
              </w:rPr>
              <w:t>$6.60</w:t>
            </w:r>
          </w:p>
        </w:tc>
        <w:tc>
          <w:tcPr>
            <w:tcW w:w="1201" w:type="dxa"/>
            <w:tcBorders>
              <w:top w:val="nil"/>
              <w:left w:val="nil"/>
              <w:bottom w:val="nil"/>
              <w:right w:val="nil"/>
            </w:tcBorders>
            <w:shd w:val="clear" w:color="000000" w:fill="E8E9E9"/>
            <w:noWrap/>
            <w:vAlign w:val="center"/>
          </w:tcPr>
          <w:p w14:paraId="7BCEBD36" w14:textId="29E4B662" w:rsidR="00641FFF" w:rsidRPr="00421C68" w:rsidRDefault="00641FFF" w:rsidP="00641FFF">
            <w:pPr>
              <w:spacing w:after="0" w:line="240" w:lineRule="auto"/>
              <w:jc w:val="right"/>
              <w:rPr>
                <w:rFonts w:ascii="Arial" w:eastAsia="Times New Roman" w:hAnsi="Arial" w:cs="Arial"/>
                <w:b/>
                <w:bCs/>
                <w:color w:val="39414D"/>
                <w:szCs w:val="18"/>
              </w:rPr>
            </w:pPr>
            <w:r>
              <w:rPr>
                <w:rFonts w:ascii="Arial" w:hAnsi="Arial" w:cs="Arial"/>
                <w:b/>
                <w:bCs/>
                <w:color w:val="39414D"/>
                <w:szCs w:val="18"/>
              </w:rPr>
              <w:t>$1,400.90</w:t>
            </w:r>
          </w:p>
        </w:tc>
      </w:tr>
    </w:tbl>
    <w:p w14:paraId="274FA078" w14:textId="3DFE5646" w:rsidR="00BA5F73" w:rsidRPr="006B42A9" w:rsidRDefault="0056705B" w:rsidP="005C7434">
      <w:pPr>
        <w:pStyle w:val="RRBullet1"/>
        <w:numPr>
          <w:ilvl w:val="0"/>
          <w:numId w:val="0"/>
        </w:numPr>
        <w:spacing w:after="0"/>
        <w:rPr>
          <w:rFonts w:ascii="Arial" w:eastAsia="Times New Roman" w:hAnsi="Arial" w:cs="Arial"/>
          <w:color w:val="727A7D"/>
          <w:sz w:val="16"/>
          <w:szCs w:val="16"/>
        </w:rPr>
      </w:pPr>
      <w:r w:rsidRPr="006B42A9">
        <w:rPr>
          <w:rFonts w:ascii="Arial" w:eastAsia="Times New Roman" w:hAnsi="Arial" w:cs="Arial"/>
          <w:color w:val="727A7D"/>
          <w:sz w:val="16"/>
          <w:szCs w:val="16"/>
        </w:rPr>
        <w:t>Note</w:t>
      </w:r>
      <w:r w:rsidR="00056F68" w:rsidRPr="006B42A9">
        <w:rPr>
          <w:rFonts w:ascii="Arial" w:eastAsia="Times New Roman" w:hAnsi="Arial" w:cs="Arial"/>
          <w:color w:val="727A7D"/>
          <w:sz w:val="16"/>
          <w:szCs w:val="16"/>
        </w:rPr>
        <w:t>s</w:t>
      </w:r>
      <w:r w:rsidRPr="006B42A9">
        <w:rPr>
          <w:rFonts w:ascii="Arial" w:eastAsia="Times New Roman" w:hAnsi="Arial" w:cs="Arial"/>
          <w:color w:val="727A7D"/>
          <w:sz w:val="16"/>
          <w:szCs w:val="16"/>
        </w:rPr>
        <w:t xml:space="preserve">: </w:t>
      </w:r>
    </w:p>
    <w:p w14:paraId="03D59C84" w14:textId="6625EB88" w:rsidR="0085565F" w:rsidRPr="006B42A9" w:rsidRDefault="00BA5F73" w:rsidP="005C7434">
      <w:pPr>
        <w:pStyle w:val="RRBullet1"/>
        <w:numPr>
          <w:ilvl w:val="0"/>
          <w:numId w:val="0"/>
        </w:numPr>
        <w:spacing w:after="0"/>
        <w:rPr>
          <w:rFonts w:ascii="Arial" w:eastAsia="Times New Roman" w:hAnsi="Arial" w:cs="Arial"/>
          <w:color w:val="727A7D"/>
          <w:sz w:val="16"/>
          <w:szCs w:val="16"/>
        </w:rPr>
      </w:pPr>
      <w:r w:rsidRPr="006B42A9">
        <w:rPr>
          <w:rFonts w:ascii="Arial" w:eastAsia="Times New Roman" w:hAnsi="Arial" w:cs="Arial"/>
          <w:color w:val="727A7D"/>
          <w:sz w:val="16"/>
          <w:szCs w:val="16"/>
        </w:rPr>
        <w:t>1. Non-emergency medical transportation services are capitated and not included in the quantified fee-for-service</w:t>
      </w:r>
      <w:r w:rsidR="00056F68" w:rsidRPr="006B42A9">
        <w:rPr>
          <w:rFonts w:ascii="Arial" w:eastAsia="Times New Roman" w:hAnsi="Arial" w:cs="Arial"/>
          <w:color w:val="727A7D"/>
          <w:sz w:val="16"/>
          <w:szCs w:val="16"/>
        </w:rPr>
        <w:t xml:space="preserve"> claim exclusions.</w:t>
      </w:r>
      <w:r w:rsidR="0056705B" w:rsidRPr="006B42A9">
        <w:rPr>
          <w:rFonts w:ascii="Arial" w:eastAsia="Times New Roman" w:hAnsi="Arial" w:cs="Arial"/>
          <w:color w:val="727A7D"/>
          <w:sz w:val="16"/>
          <w:szCs w:val="16"/>
        </w:rPr>
        <w:tab/>
      </w:r>
      <w:r w:rsidR="0085565F" w:rsidRPr="006B42A9">
        <w:rPr>
          <w:rFonts w:ascii="Arial" w:eastAsia="Times New Roman" w:hAnsi="Arial" w:cs="Arial"/>
          <w:color w:val="727A7D"/>
          <w:sz w:val="16"/>
          <w:szCs w:val="16"/>
        </w:rPr>
        <w:t xml:space="preserve"> </w:t>
      </w:r>
    </w:p>
    <w:p w14:paraId="01DC75E8" w14:textId="710DDF83" w:rsidR="0085565F" w:rsidRPr="006B42A9" w:rsidRDefault="009F4E8B" w:rsidP="005C7434">
      <w:pPr>
        <w:pStyle w:val="RRBullet1"/>
        <w:numPr>
          <w:ilvl w:val="0"/>
          <w:numId w:val="0"/>
        </w:numPr>
        <w:spacing w:after="0"/>
        <w:rPr>
          <w:rFonts w:ascii="Arial" w:eastAsia="Times New Roman" w:hAnsi="Arial" w:cs="Arial"/>
          <w:color w:val="727A7D"/>
          <w:sz w:val="16"/>
          <w:szCs w:val="16"/>
        </w:rPr>
      </w:pPr>
      <w:r>
        <w:rPr>
          <w:rFonts w:ascii="Arial" w:eastAsia="Times New Roman" w:hAnsi="Arial" w:cs="Arial"/>
          <w:color w:val="727A7D"/>
          <w:sz w:val="16"/>
          <w:szCs w:val="16"/>
        </w:rPr>
        <w:t>2</w:t>
      </w:r>
      <w:r w:rsidR="00056F68" w:rsidRPr="006B42A9">
        <w:rPr>
          <w:rFonts w:ascii="Arial" w:eastAsia="Times New Roman" w:hAnsi="Arial" w:cs="Arial"/>
          <w:color w:val="727A7D"/>
          <w:sz w:val="16"/>
          <w:szCs w:val="16"/>
        </w:rPr>
        <w:t xml:space="preserve">. </w:t>
      </w:r>
      <w:r w:rsidR="0085565F" w:rsidRPr="006B42A9">
        <w:rPr>
          <w:rFonts w:ascii="Arial" w:eastAsia="Times New Roman" w:hAnsi="Arial" w:cs="Arial"/>
          <w:color w:val="727A7D"/>
          <w:sz w:val="16"/>
          <w:szCs w:val="16"/>
        </w:rPr>
        <w:t xml:space="preserve">Inpatient, Outpatient, Nursing Home, and Hospice </w:t>
      </w:r>
      <w:r w:rsidR="00056F68" w:rsidRPr="006B42A9">
        <w:rPr>
          <w:rFonts w:ascii="Arial" w:eastAsia="Times New Roman" w:hAnsi="Arial" w:cs="Arial"/>
          <w:color w:val="727A7D"/>
          <w:sz w:val="16"/>
          <w:szCs w:val="16"/>
        </w:rPr>
        <w:t xml:space="preserve">services are summarized in the ‘Facility </w:t>
      </w:r>
      <w:r w:rsidR="00292769">
        <w:rPr>
          <w:rFonts w:ascii="Arial" w:eastAsia="Times New Roman" w:hAnsi="Arial" w:cs="Arial"/>
          <w:color w:val="727A7D"/>
          <w:sz w:val="16"/>
          <w:szCs w:val="16"/>
        </w:rPr>
        <w:t>Removals</w:t>
      </w:r>
      <w:r w:rsidR="00292769" w:rsidRPr="006B42A9">
        <w:rPr>
          <w:rFonts w:ascii="Arial" w:eastAsia="Times New Roman" w:hAnsi="Arial" w:cs="Arial"/>
          <w:color w:val="727A7D"/>
          <w:sz w:val="16"/>
          <w:szCs w:val="16"/>
        </w:rPr>
        <w:t xml:space="preserve">’ </w:t>
      </w:r>
      <w:r w:rsidR="00056F68" w:rsidRPr="006B42A9">
        <w:rPr>
          <w:rFonts w:ascii="Arial" w:eastAsia="Times New Roman" w:hAnsi="Arial" w:cs="Arial"/>
          <w:color w:val="727A7D"/>
          <w:sz w:val="16"/>
          <w:szCs w:val="16"/>
        </w:rPr>
        <w:t>category</w:t>
      </w:r>
      <w:r w:rsidR="0085565F" w:rsidRPr="006B42A9">
        <w:rPr>
          <w:rFonts w:ascii="Arial" w:eastAsia="Times New Roman" w:hAnsi="Arial" w:cs="Arial"/>
          <w:color w:val="727A7D"/>
          <w:sz w:val="16"/>
          <w:szCs w:val="16"/>
        </w:rPr>
        <w:t xml:space="preserve">. Professional, HCBS, and Care Management </w:t>
      </w:r>
      <w:r w:rsidR="00056F68" w:rsidRPr="006B42A9">
        <w:rPr>
          <w:rFonts w:ascii="Arial" w:eastAsia="Times New Roman" w:hAnsi="Arial" w:cs="Arial"/>
          <w:color w:val="727A7D"/>
          <w:sz w:val="16"/>
          <w:szCs w:val="16"/>
        </w:rPr>
        <w:t>services are summarized in the ‘Prof</w:t>
      </w:r>
      <w:r w:rsidR="00292769">
        <w:rPr>
          <w:rFonts w:ascii="Arial" w:eastAsia="Times New Roman" w:hAnsi="Arial" w:cs="Arial"/>
          <w:color w:val="727A7D"/>
          <w:sz w:val="16"/>
          <w:szCs w:val="16"/>
        </w:rPr>
        <w:t>.</w:t>
      </w:r>
      <w:r w:rsidR="00056F68" w:rsidRPr="006B42A9">
        <w:rPr>
          <w:rFonts w:ascii="Arial" w:eastAsia="Times New Roman" w:hAnsi="Arial" w:cs="Arial"/>
          <w:color w:val="727A7D"/>
          <w:sz w:val="16"/>
          <w:szCs w:val="16"/>
        </w:rPr>
        <w:t xml:space="preserve"> </w:t>
      </w:r>
      <w:r w:rsidR="00292769">
        <w:rPr>
          <w:rFonts w:ascii="Arial" w:eastAsia="Times New Roman" w:hAnsi="Arial" w:cs="Arial"/>
          <w:color w:val="727A7D"/>
          <w:sz w:val="16"/>
          <w:szCs w:val="16"/>
        </w:rPr>
        <w:t>Removals</w:t>
      </w:r>
      <w:r w:rsidR="00292769" w:rsidRPr="006B42A9">
        <w:rPr>
          <w:rFonts w:ascii="Arial" w:eastAsia="Times New Roman" w:hAnsi="Arial" w:cs="Arial"/>
          <w:color w:val="727A7D"/>
          <w:sz w:val="16"/>
          <w:szCs w:val="16"/>
        </w:rPr>
        <w:t xml:space="preserve">’ </w:t>
      </w:r>
      <w:r w:rsidR="00056F68" w:rsidRPr="006B42A9">
        <w:rPr>
          <w:rFonts w:ascii="Arial" w:eastAsia="Times New Roman" w:hAnsi="Arial" w:cs="Arial"/>
          <w:color w:val="727A7D"/>
          <w:sz w:val="16"/>
          <w:szCs w:val="16"/>
        </w:rPr>
        <w:t>category</w:t>
      </w:r>
      <w:r w:rsidR="0085565F" w:rsidRPr="006B42A9">
        <w:rPr>
          <w:rFonts w:ascii="Arial" w:eastAsia="Times New Roman" w:hAnsi="Arial" w:cs="Arial"/>
          <w:color w:val="727A7D"/>
          <w:sz w:val="16"/>
          <w:szCs w:val="16"/>
        </w:rPr>
        <w:t xml:space="preserve">. </w:t>
      </w:r>
    </w:p>
    <w:p w14:paraId="25E935BC" w14:textId="5C08B60B" w:rsidR="00FC3793" w:rsidRDefault="00FC3793"/>
    <w:p w14:paraId="6C64DBD8" w14:textId="30B8037A" w:rsidR="0056705B" w:rsidRDefault="0056705B">
      <w:pPr>
        <w:spacing w:line="264" w:lineRule="auto"/>
      </w:pPr>
      <w:r>
        <w:br w:type="page"/>
      </w:r>
    </w:p>
    <w:p w14:paraId="5EEC1DDF" w14:textId="62780589" w:rsidR="00CE2634" w:rsidRPr="001D7F4A" w:rsidRDefault="00CE2634" w:rsidP="00210B59">
      <w:pPr>
        <w:pStyle w:val="Heading2"/>
      </w:pPr>
      <w:bookmarkStart w:id="168" w:name="_Toc80132136"/>
      <w:bookmarkStart w:id="169" w:name="_Toc8985007"/>
      <w:bookmarkStart w:id="170" w:name="_Toc109295502"/>
      <w:bookmarkEnd w:id="168"/>
      <w:r w:rsidRPr="001D7F4A">
        <w:lastRenderedPageBreak/>
        <w:t>Projected benefit cost and trends</w:t>
      </w:r>
      <w:bookmarkEnd w:id="166"/>
      <w:bookmarkEnd w:id="167"/>
      <w:bookmarkEnd w:id="169"/>
      <w:bookmarkEnd w:id="170"/>
    </w:p>
    <w:p w14:paraId="2342CAB5" w14:textId="334C5320" w:rsidR="00CE2634" w:rsidRPr="00541C09" w:rsidRDefault="00ED0297" w:rsidP="00210B59">
      <w:r>
        <w:t>This</w:t>
      </w:r>
      <w:r w:rsidRPr="00ED0297">
        <w:t xml:space="preserve"> section provides information on the development of projected benefit costs in the capitation rates.</w:t>
      </w:r>
      <w:r w:rsidR="00CE2634" w:rsidRPr="00541C09">
        <w:t xml:space="preserve"> </w:t>
      </w:r>
      <w:r w:rsidR="00907850">
        <w:t xml:space="preserve">The development of the projected benefit costs </w:t>
      </w:r>
      <w:r w:rsidR="004404B1">
        <w:t>is</w:t>
      </w:r>
      <w:r w:rsidR="00907850">
        <w:t xml:space="preserve"> illustrated in Appendix </w:t>
      </w:r>
      <w:r w:rsidR="00674B53">
        <w:t>4</w:t>
      </w:r>
      <w:r w:rsidR="00907850">
        <w:t>.</w:t>
      </w:r>
    </w:p>
    <w:p w14:paraId="54673B4C" w14:textId="77777777" w:rsidR="00CE2634" w:rsidRPr="00D705D5" w:rsidRDefault="00CE2634" w:rsidP="005570C2">
      <w:pPr>
        <w:pStyle w:val="Heading3"/>
        <w:numPr>
          <w:ilvl w:val="1"/>
          <w:numId w:val="21"/>
        </w:numPr>
      </w:pPr>
      <w:bookmarkStart w:id="171" w:name="_Toc484701180"/>
      <w:bookmarkStart w:id="172" w:name="_Toc504389026"/>
      <w:bookmarkStart w:id="173" w:name="_Toc8985008"/>
      <w:bookmarkStart w:id="174" w:name="_Toc109295503"/>
      <w:bookmarkStart w:id="175" w:name="_Toc466028068"/>
      <w:r w:rsidRPr="00D705D5">
        <w:t>Rate Development Standards</w:t>
      </w:r>
      <w:bookmarkEnd w:id="171"/>
      <w:bookmarkEnd w:id="172"/>
      <w:bookmarkEnd w:id="173"/>
      <w:bookmarkEnd w:id="174"/>
    </w:p>
    <w:p w14:paraId="175ABFA2" w14:textId="22304828" w:rsidR="00CE2634" w:rsidRPr="0027065D" w:rsidRDefault="00CE2634" w:rsidP="00D74FED">
      <w:pPr>
        <w:pStyle w:val="Heading4"/>
      </w:pPr>
      <w:bookmarkStart w:id="176" w:name="_Toc484701181"/>
      <w:bookmarkStart w:id="177" w:name="_Toc504389027"/>
      <w:bookmarkStart w:id="178" w:name="_Toc8985009"/>
      <w:bookmarkStart w:id="179" w:name="_Toc109295504"/>
      <w:r w:rsidRPr="0027065D">
        <w:t xml:space="preserve">Final </w:t>
      </w:r>
      <w:r w:rsidR="00743F0F">
        <w:t>c</w:t>
      </w:r>
      <w:r w:rsidR="00743F0F" w:rsidRPr="0027065D">
        <w:t xml:space="preserve">apitation </w:t>
      </w:r>
      <w:r w:rsidR="00743F0F">
        <w:t>r</w:t>
      </w:r>
      <w:r w:rsidR="00743F0F" w:rsidRPr="0027065D">
        <w:t xml:space="preserve">ate </w:t>
      </w:r>
      <w:bookmarkEnd w:id="175"/>
      <w:bookmarkEnd w:id="176"/>
      <w:bookmarkEnd w:id="177"/>
      <w:bookmarkEnd w:id="178"/>
      <w:r w:rsidR="00743F0F">
        <w:t>c</w:t>
      </w:r>
      <w:r w:rsidR="00743F0F" w:rsidRPr="0027065D">
        <w:t>ompliance</w:t>
      </w:r>
      <w:bookmarkEnd w:id="179"/>
      <w:r w:rsidR="00743F0F" w:rsidRPr="0027065D">
        <w:t xml:space="preserve"> </w:t>
      </w:r>
    </w:p>
    <w:p w14:paraId="0F766858" w14:textId="6E425EFC" w:rsidR="00CE2634" w:rsidRPr="001E21B5" w:rsidRDefault="007C2BF1" w:rsidP="00210B59">
      <w:pPr>
        <w:pStyle w:val="RRBody"/>
        <w:rPr>
          <w:rFonts w:cs="Times New Roman"/>
          <w:szCs w:val="18"/>
        </w:rPr>
      </w:pPr>
      <w:r w:rsidRPr="0076558C">
        <w:t xml:space="preserve">The final capitation rates are in compliance with 42 CFR 438.4(b)(6) and are only based on services outlined in 42 CFR 438.3(c)(1)(ii) and 438.3(e). </w:t>
      </w:r>
    </w:p>
    <w:p w14:paraId="4C8DBE2D" w14:textId="6961D7CB" w:rsidR="00CE2634" w:rsidRPr="00883B06" w:rsidRDefault="006708EF" w:rsidP="00D74FED">
      <w:pPr>
        <w:pStyle w:val="Heading4"/>
      </w:pPr>
      <w:bookmarkStart w:id="180" w:name="_Toc109295505"/>
      <w:r>
        <w:t>Benefit cost trend assumptions</w:t>
      </w:r>
      <w:bookmarkEnd w:id="180"/>
    </w:p>
    <w:p w14:paraId="74C5A5C0" w14:textId="7249E8B8" w:rsidR="001E21B5" w:rsidRPr="0076558C" w:rsidRDefault="006708EF" w:rsidP="00210B59">
      <w:pPr>
        <w:pStyle w:val="RRBody"/>
      </w:pPr>
      <w:bookmarkStart w:id="181" w:name="_Toc484701183"/>
      <w:bookmarkStart w:id="182" w:name="_Toc504389029"/>
      <w:r>
        <w:t xml:space="preserve">Projected benefit cost trend assumptions are developed in accordance with generally accepted actuarial principles and practices. </w:t>
      </w:r>
      <w:r w:rsidRPr="0076558C">
        <w:t xml:space="preserve">The primary data used to develop benefit cost trends is historical claims and </w:t>
      </w:r>
      <w:r>
        <w:t>enrollment</w:t>
      </w:r>
      <w:r w:rsidRPr="0076558C">
        <w:t xml:space="preserve"> from the covered populations</w:t>
      </w:r>
      <w:r>
        <w:t xml:space="preserve">. </w:t>
      </w:r>
      <w:r w:rsidR="000909A2">
        <w:t>In addition</w:t>
      </w:r>
      <w:r>
        <w:t>, consideration of other factors and data sources appropriate for benefit cost trend development is further documented in Section I, item 3.B.iii</w:t>
      </w:r>
      <w:r w:rsidRPr="00ED0297">
        <w:t>.</w:t>
      </w:r>
    </w:p>
    <w:p w14:paraId="704D56E3" w14:textId="648F83FE" w:rsidR="00CE2634" w:rsidRPr="00883B06" w:rsidRDefault="00CE2634" w:rsidP="00D74FED">
      <w:pPr>
        <w:pStyle w:val="Heading4"/>
      </w:pPr>
      <w:bookmarkStart w:id="183" w:name="_Toc78555721"/>
      <w:bookmarkStart w:id="184" w:name="_Toc80132141"/>
      <w:bookmarkStart w:id="185" w:name="_Toc78555722"/>
      <w:bookmarkStart w:id="186" w:name="_Toc80132142"/>
      <w:bookmarkStart w:id="187" w:name="_Toc484701184"/>
      <w:bookmarkStart w:id="188" w:name="_Toc504389030"/>
      <w:bookmarkStart w:id="189" w:name="_Toc8985012"/>
      <w:bookmarkStart w:id="190" w:name="_Toc109295506"/>
      <w:bookmarkEnd w:id="181"/>
      <w:bookmarkEnd w:id="182"/>
      <w:bookmarkEnd w:id="183"/>
      <w:bookmarkEnd w:id="184"/>
      <w:bookmarkEnd w:id="185"/>
      <w:bookmarkEnd w:id="186"/>
      <w:r w:rsidRPr="00883B06">
        <w:t>In</w:t>
      </w:r>
      <w:r w:rsidR="00FB6775">
        <w:t xml:space="preserve"> </w:t>
      </w:r>
      <w:r w:rsidR="000865BE">
        <w:t>l</w:t>
      </w:r>
      <w:r w:rsidR="000865BE" w:rsidRPr="00883B06">
        <w:t>ieu</w:t>
      </w:r>
      <w:r w:rsidR="000865BE">
        <w:t xml:space="preserve"> o</w:t>
      </w:r>
      <w:r w:rsidR="000865BE" w:rsidRPr="00883B06">
        <w:t xml:space="preserve">f </w:t>
      </w:r>
      <w:bookmarkEnd w:id="187"/>
      <w:bookmarkEnd w:id="188"/>
      <w:bookmarkEnd w:id="189"/>
      <w:r w:rsidR="000865BE">
        <w:t>s</w:t>
      </w:r>
      <w:r w:rsidR="000865BE" w:rsidRPr="00883B06">
        <w:t>ervices</w:t>
      </w:r>
      <w:bookmarkEnd w:id="190"/>
    </w:p>
    <w:p w14:paraId="099968A2" w14:textId="6C16B590" w:rsidR="00CF0B4D" w:rsidRPr="00541C09" w:rsidRDefault="00674B53" w:rsidP="00210B59">
      <w:pPr>
        <w:pStyle w:val="RRBody"/>
        <w:rPr>
          <w:rFonts w:cstheme="minorHAnsi"/>
          <w:szCs w:val="18"/>
        </w:rPr>
      </w:pPr>
      <w:bookmarkStart w:id="191" w:name="_Toc484701186"/>
      <w:r>
        <w:t>I</w:t>
      </w:r>
      <w:r w:rsidR="00717289">
        <w:t xml:space="preserve">n-lieu-of services </w:t>
      </w:r>
      <w:r>
        <w:t xml:space="preserve">are not </w:t>
      </w:r>
      <w:r w:rsidR="00717289">
        <w:t xml:space="preserve">provided in </w:t>
      </w:r>
      <w:r w:rsidR="000F41B7">
        <w:t>SFY 2021</w:t>
      </w:r>
      <w:r>
        <w:t xml:space="preserve"> fee-for-service experience</w:t>
      </w:r>
      <w:r w:rsidR="00717289">
        <w:t>. No adjustment was made to the base data for the provision of in-lieu-of services.</w:t>
      </w:r>
    </w:p>
    <w:p w14:paraId="286A01C6" w14:textId="45390A6A" w:rsidR="00CE2634" w:rsidRPr="00883B06" w:rsidRDefault="00CE2634" w:rsidP="00D74FED">
      <w:pPr>
        <w:pStyle w:val="Heading4"/>
      </w:pPr>
      <w:bookmarkStart w:id="192" w:name="_Toc504389032"/>
      <w:bookmarkStart w:id="193" w:name="_Toc8985013"/>
      <w:bookmarkStart w:id="194" w:name="_Toc109295507"/>
      <w:r w:rsidRPr="00883B06">
        <w:t>IMDs as an in</w:t>
      </w:r>
      <w:r w:rsidR="00717289">
        <w:t>-</w:t>
      </w:r>
      <w:r w:rsidRPr="00883B06">
        <w:t>lieu</w:t>
      </w:r>
      <w:r w:rsidR="00717289">
        <w:t>-</w:t>
      </w:r>
      <w:r w:rsidRPr="00883B06">
        <w:t>of service provider</w:t>
      </w:r>
      <w:bookmarkEnd w:id="191"/>
      <w:bookmarkEnd w:id="192"/>
      <w:bookmarkEnd w:id="193"/>
      <w:bookmarkEnd w:id="194"/>
    </w:p>
    <w:p w14:paraId="25B19E7F" w14:textId="3E4037EB" w:rsidR="00717289" w:rsidRDefault="00674B53" w:rsidP="00717289">
      <w:pPr>
        <w:pStyle w:val="RRBody"/>
      </w:pPr>
      <w:r>
        <w:t xml:space="preserve">IMDs were not used as in-lieu-of service providers in the </w:t>
      </w:r>
      <w:r w:rsidR="009C0A96">
        <w:t>SFY 2021</w:t>
      </w:r>
      <w:r>
        <w:t xml:space="preserve"> fee-for-service experience.</w:t>
      </w:r>
    </w:p>
    <w:p w14:paraId="299559FF" w14:textId="0012994B" w:rsidR="00CE2634" w:rsidRPr="00D705D5" w:rsidRDefault="00CE2634" w:rsidP="007B536F">
      <w:pPr>
        <w:pStyle w:val="Heading3"/>
      </w:pPr>
      <w:bookmarkStart w:id="195" w:name="_Toc80132145"/>
      <w:bookmarkStart w:id="196" w:name="_Toc80132146"/>
      <w:bookmarkStart w:id="197" w:name="_Toc80132147"/>
      <w:bookmarkStart w:id="198" w:name="_Toc80132148"/>
      <w:bookmarkStart w:id="199" w:name="_Toc484701187"/>
      <w:bookmarkStart w:id="200" w:name="_Toc504389033"/>
      <w:bookmarkStart w:id="201" w:name="_Toc8985014"/>
      <w:bookmarkStart w:id="202" w:name="_Toc109295508"/>
      <w:bookmarkEnd w:id="195"/>
      <w:bookmarkEnd w:id="196"/>
      <w:bookmarkEnd w:id="197"/>
      <w:bookmarkEnd w:id="198"/>
      <w:r w:rsidRPr="00D705D5">
        <w:t>Appropriate Documentation</w:t>
      </w:r>
      <w:bookmarkEnd w:id="199"/>
      <w:bookmarkEnd w:id="200"/>
      <w:bookmarkEnd w:id="201"/>
      <w:bookmarkEnd w:id="202"/>
    </w:p>
    <w:p w14:paraId="61AA4914" w14:textId="77777777" w:rsidR="00CE2634" w:rsidRPr="00883B06" w:rsidRDefault="00CE2634" w:rsidP="007B536F">
      <w:pPr>
        <w:pStyle w:val="Heading4"/>
      </w:pPr>
      <w:bookmarkStart w:id="203" w:name="_Toc484701188"/>
      <w:bookmarkStart w:id="204" w:name="_Toc504389034"/>
      <w:bookmarkStart w:id="205" w:name="_Toc8985015"/>
      <w:bookmarkStart w:id="206" w:name="_Toc109295509"/>
      <w:r w:rsidRPr="00883B06">
        <w:t>Projected Benefit Costs</w:t>
      </w:r>
      <w:bookmarkEnd w:id="203"/>
      <w:bookmarkEnd w:id="204"/>
      <w:bookmarkEnd w:id="205"/>
      <w:bookmarkEnd w:id="206"/>
    </w:p>
    <w:p w14:paraId="735DD477" w14:textId="17CD35DC" w:rsidR="00266A18" w:rsidRDefault="00ED0297" w:rsidP="008A7BBF">
      <w:pPr>
        <w:pStyle w:val="RRBody"/>
      </w:pPr>
      <w:bookmarkStart w:id="207" w:name="_Toc484701189"/>
      <w:bookmarkStart w:id="208" w:name="_Toc504389035"/>
      <w:r w:rsidRPr="00ED0297">
        <w:t>This section provides the documentation of the methodology utilized to develop the benefit cost component of the capitation rates at the rate cell level.</w:t>
      </w:r>
    </w:p>
    <w:p w14:paraId="2750871A" w14:textId="654A4715" w:rsidR="00CE2634" w:rsidRPr="00883B06" w:rsidRDefault="00CE2634" w:rsidP="007B536F">
      <w:pPr>
        <w:pStyle w:val="Heading4"/>
      </w:pPr>
      <w:bookmarkStart w:id="209" w:name="_Toc9862076"/>
      <w:bookmarkStart w:id="210" w:name="_Toc8985016"/>
      <w:bookmarkStart w:id="211" w:name="_Toc109295510"/>
      <w:bookmarkEnd w:id="209"/>
      <w:r w:rsidRPr="00883B06">
        <w:t xml:space="preserve">Development of </w:t>
      </w:r>
      <w:r w:rsidR="000865BE">
        <w:t>p</w:t>
      </w:r>
      <w:r w:rsidR="000865BE" w:rsidRPr="00883B06">
        <w:t xml:space="preserve">rojected </w:t>
      </w:r>
      <w:r w:rsidR="000865BE">
        <w:t>b</w:t>
      </w:r>
      <w:r w:rsidR="000865BE" w:rsidRPr="00883B06">
        <w:t xml:space="preserve">enefit </w:t>
      </w:r>
      <w:bookmarkEnd w:id="207"/>
      <w:bookmarkEnd w:id="208"/>
      <w:bookmarkEnd w:id="210"/>
      <w:r w:rsidR="000865BE">
        <w:t>c</w:t>
      </w:r>
      <w:r w:rsidR="000865BE" w:rsidRPr="00883B06">
        <w:t>osts</w:t>
      </w:r>
      <w:bookmarkEnd w:id="211"/>
    </w:p>
    <w:p w14:paraId="575BCA22" w14:textId="77777777" w:rsidR="00CE2634" w:rsidRPr="00DA62EE" w:rsidRDefault="00CE2634" w:rsidP="007B536F">
      <w:pPr>
        <w:pStyle w:val="Heading5"/>
      </w:pPr>
      <w:bookmarkStart w:id="212" w:name="_Toc466028071"/>
      <w:bookmarkStart w:id="213" w:name="_Toc484701190"/>
      <w:bookmarkStart w:id="214" w:name="_Toc504389036"/>
      <w:r w:rsidRPr="00DA62EE">
        <w:t>Description of the data, assumptions, and methodologies</w:t>
      </w:r>
      <w:bookmarkEnd w:id="212"/>
      <w:bookmarkEnd w:id="213"/>
      <w:bookmarkEnd w:id="214"/>
    </w:p>
    <w:p w14:paraId="77666472" w14:textId="1AF4DF5F" w:rsidR="00CE2634" w:rsidRDefault="00342DA6" w:rsidP="00E407F2">
      <w:pPr>
        <w:pStyle w:val="RRBody"/>
      </w:pPr>
      <w:r w:rsidRPr="00342DA6">
        <w:t>This section of the report outlines the data, assumptions, and methodology used to project the benefit costs to the rating period.</w:t>
      </w:r>
      <w:r w:rsidR="00E407F2">
        <w:t xml:space="preserve"> </w:t>
      </w:r>
      <w:r w:rsidRPr="00342DA6">
        <w:t>The baseline benefit costs were developed using the following steps:</w:t>
      </w:r>
    </w:p>
    <w:p w14:paraId="3D99BB29" w14:textId="77777777" w:rsidR="00B92939" w:rsidRPr="007414F2" w:rsidRDefault="00B92939" w:rsidP="00B92939">
      <w:pPr>
        <w:pStyle w:val="RRCalloutSmallMBlue"/>
        <w:spacing w:before="240"/>
        <w:rPr>
          <w:b/>
        </w:rPr>
      </w:pPr>
      <w:r w:rsidRPr="007414F2">
        <w:rPr>
          <w:b/>
        </w:rPr>
        <w:t xml:space="preserve">Step 1: Create per member per month (PMPM) cost summaries </w:t>
      </w:r>
    </w:p>
    <w:p w14:paraId="5C7618B9" w14:textId="08A18A23" w:rsidR="000F7ACF" w:rsidRDefault="006B6835">
      <w:r w:rsidRPr="003D0595">
        <w:t>The capitation rates w</w:t>
      </w:r>
      <w:r>
        <w:t>ere</w:t>
      </w:r>
      <w:r w:rsidRPr="003D0595">
        <w:t xml:space="preserve"> developed from historical claims and enrollment data from the </w:t>
      </w:r>
      <w:r w:rsidR="00311969">
        <w:t>fee-for-service</w:t>
      </w:r>
      <w:r w:rsidR="00C12183">
        <w:t xml:space="preserve"> population</w:t>
      </w:r>
      <w:r w:rsidR="00A558B4">
        <w:t xml:space="preserve"> as described in Section I.2.B.ii of this report. </w:t>
      </w:r>
    </w:p>
    <w:p w14:paraId="70465BF6" w14:textId="3EA008F5" w:rsidR="00B92939" w:rsidRPr="007414F2" w:rsidRDefault="00B92939" w:rsidP="00B507B6">
      <w:pPr>
        <w:pStyle w:val="RRCalloutSmallMBlue"/>
        <w:spacing w:before="0"/>
        <w:rPr>
          <w:b/>
        </w:rPr>
      </w:pPr>
      <w:r w:rsidRPr="007414F2">
        <w:rPr>
          <w:b/>
        </w:rPr>
        <w:t>Step 2: Apply data adjustments</w:t>
      </w:r>
    </w:p>
    <w:p w14:paraId="5642ED05" w14:textId="68D31124" w:rsidR="00B92939" w:rsidRDefault="004674D3" w:rsidP="00B92939">
      <w:pPr>
        <w:pStyle w:val="RRBody"/>
      </w:pPr>
      <w:bookmarkStart w:id="215" w:name="_Hlk4704524"/>
      <w:r>
        <w:t xml:space="preserve">We performed </w:t>
      </w:r>
      <w:bookmarkEnd w:id="215"/>
      <w:r>
        <w:t xml:space="preserve">fee-for-service exclusions discussed in </w:t>
      </w:r>
      <w:r w:rsidRPr="004674D3">
        <w:t xml:space="preserve">Section </w:t>
      </w:r>
      <w:r>
        <w:t>2</w:t>
      </w:r>
      <w:r w:rsidRPr="004674D3">
        <w:t>.B.ii</w:t>
      </w:r>
      <w:r>
        <w:t>i</w:t>
      </w:r>
      <w:r w:rsidRPr="004674D3">
        <w:t>.(</w:t>
      </w:r>
      <w:r>
        <w:t>e</w:t>
      </w:r>
      <w:r w:rsidRPr="004674D3">
        <w:t>).</w:t>
      </w:r>
    </w:p>
    <w:p w14:paraId="2C930D91" w14:textId="2188D468" w:rsidR="00860024" w:rsidRPr="00F4499C" w:rsidRDefault="00860024" w:rsidP="00860024">
      <w:pPr>
        <w:pStyle w:val="RRCalloutSmallMBlue"/>
        <w:rPr>
          <w:b/>
        </w:rPr>
      </w:pPr>
      <w:r w:rsidRPr="00F4499C">
        <w:rPr>
          <w:b/>
        </w:rPr>
        <w:t xml:space="preserve">Step 3: </w:t>
      </w:r>
      <w:r>
        <w:rPr>
          <w:b/>
        </w:rPr>
        <w:t>Apply retrospective adjustments</w:t>
      </w:r>
      <w:r w:rsidRPr="00F4499C">
        <w:rPr>
          <w:b/>
        </w:rPr>
        <w:t xml:space="preserve"> </w:t>
      </w:r>
    </w:p>
    <w:p w14:paraId="0EC81324" w14:textId="2979A4F5" w:rsidR="00860024" w:rsidRDefault="00860024" w:rsidP="00860024">
      <w:pPr>
        <w:pStyle w:val="RRBody"/>
      </w:pPr>
      <w:r>
        <w:t xml:space="preserve">The </w:t>
      </w:r>
      <w:r w:rsidR="00FF1F10">
        <w:t>SFY 2021</w:t>
      </w:r>
      <w:r w:rsidRPr="003D0595">
        <w:t xml:space="preserve"> base experience </w:t>
      </w:r>
      <w:r>
        <w:t>was</w:t>
      </w:r>
      <w:r w:rsidRPr="003D0595">
        <w:t xml:space="preserve"> </w:t>
      </w:r>
      <w:r>
        <w:t>retrospectively adjusted</w:t>
      </w:r>
      <w:r w:rsidRPr="003D0595">
        <w:t xml:space="preserve"> for</w:t>
      </w:r>
      <w:r w:rsidR="000A1530">
        <w:t xml:space="preserve"> </w:t>
      </w:r>
      <w:r w:rsidR="008A7BBF">
        <w:t xml:space="preserve">IBNP </w:t>
      </w:r>
      <w:r w:rsidR="000A1530">
        <w:t>claims</w:t>
      </w:r>
      <w:r w:rsidRPr="003D0595">
        <w:t xml:space="preserve">. </w:t>
      </w:r>
      <w:r w:rsidR="001E33D9">
        <w:t xml:space="preserve">Retrospective </w:t>
      </w:r>
      <w:r w:rsidR="00A87FD6">
        <w:t xml:space="preserve">completion </w:t>
      </w:r>
      <w:r w:rsidR="001E33D9">
        <w:t xml:space="preserve">adjustments to the </w:t>
      </w:r>
      <w:r w:rsidR="00FF1F10">
        <w:t>SFY 2021</w:t>
      </w:r>
      <w:r w:rsidR="001E33D9">
        <w:t xml:space="preserve"> base experience are </w:t>
      </w:r>
      <w:r w:rsidR="00A87FD6">
        <w:t xml:space="preserve">contained </w:t>
      </w:r>
      <w:r w:rsidR="001E33D9">
        <w:t>in Appendix 3</w:t>
      </w:r>
      <w:r w:rsidR="00A87FD6">
        <w:t xml:space="preserve"> and summarized in</w:t>
      </w:r>
      <w:r w:rsidR="001E33D9">
        <w:t xml:space="preserve"> </w:t>
      </w:r>
      <w:r w:rsidRPr="00CA2F57">
        <w:t xml:space="preserve">Figure </w:t>
      </w:r>
      <w:r w:rsidR="00DC7441">
        <w:t>6</w:t>
      </w:r>
      <w:r w:rsidRPr="00816BFF">
        <w:t>.</w:t>
      </w:r>
    </w:p>
    <w:p w14:paraId="3A99B779" w14:textId="362074D9" w:rsidR="00056F68" w:rsidRDefault="00056F68" w:rsidP="00860024">
      <w:pPr>
        <w:pStyle w:val="RRBody"/>
      </w:pPr>
    </w:p>
    <w:p w14:paraId="162F8526" w14:textId="3813ADE4" w:rsidR="00056F68" w:rsidRDefault="00056F68" w:rsidP="00860024">
      <w:pPr>
        <w:pStyle w:val="RRBody"/>
      </w:pPr>
    </w:p>
    <w:p w14:paraId="6602C850" w14:textId="13CB7FA7" w:rsidR="00056F68" w:rsidRDefault="00056F68" w:rsidP="00860024">
      <w:pPr>
        <w:pStyle w:val="RRBody"/>
      </w:pPr>
    </w:p>
    <w:p w14:paraId="00ECF44D" w14:textId="77777777" w:rsidR="00056F68" w:rsidRDefault="00056F68" w:rsidP="00860024">
      <w:pPr>
        <w:pStyle w:val="RRBody"/>
      </w:pPr>
    </w:p>
    <w:tbl>
      <w:tblPr>
        <w:tblW w:w="5522" w:type="dxa"/>
        <w:tblInd w:w="90" w:type="dxa"/>
        <w:tblLook w:val="04A0" w:firstRow="1" w:lastRow="0" w:firstColumn="1" w:lastColumn="0" w:noHBand="0" w:noVBand="1"/>
      </w:tblPr>
      <w:tblGrid>
        <w:gridCol w:w="3704"/>
        <w:gridCol w:w="1818"/>
      </w:tblGrid>
      <w:tr w:rsidR="00036A6D" w:rsidRPr="00036A6D" w14:paraId="2062AF60" w14:textId="77777777" w:rsidTr="00036A6D">
        <w:trPr>
          <w:trHeight w:val="250"/>
        </w:trPr>
        <w:tc>
          <w:tcPr>
            <w:tcW w:w="5522" w:type="dxa"/>
            <w:gridSpan w:val="2"/>
            <w:tcBorders>
              <w:top w:val="nil"/>
              <w:left w:val="nil"/>
              <w:bottom w:val="nil"/>
              <w:right w:val="nil"/>
            </w:tcBorders>
            <w:shd w:val="clear" w:color="auto" w:fill="auto"/>
            <w:noWrap/>
            <w:vAlign w:val="center"/>
            <w:hideMark/>
          </w:tcPr>
          <w:p w14:paraId="3269D023" w14:textId="3ABA084C" w:rsidR="00036A6D" w:rsidRPr="00036A6D" w:rsidRDefault="00036A6D" w:rsidP="00036A6D">
            <w:pPr>
              <w:spacing w:after="0" w:line="240" w:lineRule="auto"/>
              <w:rPr>
                <w:rFonts w:ascii="Arial" w:eastAsia="Times New Roman" w:hAnsi="Arial" w:cs="Arial"/>
                <w:b/>
                <w:bCs/>
                <w:color w:val="0081E3"/>
                <w:szCs w:val="18"/>
              </w:rPr>
            </w:pPr>
            <w:r w:rsidRPr="00036A6D">
              <w:rPr>
                <w:rFonts w:ascii="Arial" w:eastAsia="Times New Roman" w:hAnsi="Arial" w:cs="Arial"/>
                <w:b/>
                <w:bCs/>
                <w:color w:val="0081E3"/>
                <w:szCs w:val="18"/>
              </w:rPr>
              <w:t xml:space="preserve">FIGURE </w:t>
            </w:r>
            <w:r w:rsidR="00DC7441">
              <w:rPr>
                <w:rFonts w:ascii="Arial" w:eastAsia="Times New Roman" w:hAnsi="Arial" w:cs="Arial"/>
                <w:b/>
                <w:bCs/>
                <w:color w:val="0081E3"/>
                <w:szCs w:val="18"/>
              </w:rPr>
              <w:t>6</w:t>
            </w:r>
            <w:r w:rsidRPr="00036A6D">
              <w:rPr>
                <w:rFonts w:ascii="Arial" w:eastAsia="Times New Roman" w:hAnsi="Arial" w:cs="Arial"/>
                <w:b/>
                <w:bCs/>
                <w:color w:val="0081E3"/>
                <w:szCs w:val="18"/>
              </w:rPr>
              <w:t>: RETROSPECTIVE ADJUSTMENTS</w:t>
            </w:r>
            <w:r>
              <w:rPr>
                <w:rFonts w:ascii="Arial" w:eastAsia="Times New Roman" w:hAnsi="Arial" w:cs="Arial"/>
                <w:b/>
                <w:bCs/>
                <w:color w:val="0081E3"/>
                <w:szCs w:val="18"/>
              </w:rPr>
              <w:t xml:space="preserve"> – COMPLETION</w:t>
            </w:r>
          </w:p>
        </w:tc>
      </w:tr>
      <w:tr w:rsidR="00036A6D" w:rsidRPr="00036A6D" w14:paraId="4CF3F8D3" w14:textId="77777777" w:rsidTr="00036A6D">
        <w:trPr>
          <w:trHeight w:val="250"/>
        </w:trPr>
        <w:tc>
          <w:tcPr>
            <w:tcW w:w="3704" w:type="dxa"/>
            <w:tcBorders>
              <w:top w:val="nil"/>
              <w:left w:val="nil"/>
              <w:bottom w:val="single" w:sz="4" w:space="0" w:color="C6C9CA"/>
              <w:right w:val="nil"/>
            </w:tcBorders>
            <w:shd w:val="clear" w:color="auto" w:fill="auto"/>
            <w:vAlign w:val="center"/>
            <w:hideMark/>
          </w:tcPr>
          <w:p w14:paraId="04EEB57E" w14:textId="4D9D7D19" w:rsidR="00036A6D" w:rsidRPr="00036A6D" w:rsidRDefault="00036A6D" w:rsidP="00036A6D">
            <w:pPr>
              <w:spacing w:after="0" w:line="240" w:lineRule="auto"/>
              <w:rPr>
                <w:rFonts w:ascii="Arial" w:eastAsia="Times New Roman" w:hAnsi="Arial" w:cs="Arial"/>
                <w:b/>
                <w:bCs/>
                <w:color w:val="39414D"/>
                <w:szCs w:val="18"/>
              </w:rPr>
            </w:pPr>
            <w:r>
              <w:rPr>
                <w:rFonts w:ascii="Arial" w:eastAsia="Times New Roman" w:hAnsi="Arial" w:cs="Arial"/>
                <w:b/>
                <w:bCs/>
                <w:color w:val="39414D"/>
                <w:szCs w:val="18"/>
              </w:rPr>
              <w:t>Service Category</w:t>
            </w:r>
          </w:p>
        </w:tc>
        <w:tc>
          <w:tcPr>
            <w:tcW w:w="1818" w:type="dxa"/>
            <w:tcBorders>
              <w:top w:val="nil"/>
              <w:left w:val="nil"/>
              <w:bottom w:val="single" w:sz="4" w:space="0" w:color="C6C9CA"/>
              <w:right w:val="nil"/>
            </w:tcBorders>
            <w:shd w:val="clear" w:color="auto" w:fill="auto"/>
            <w:vAlign w:val="center"/>
            <w:hideMark/>
          </w:tcPr>
          <w:p w14:paraId="54B55E6A" w14:textId="4E519F06" w:rsidR="00036A6D" w:rsidRPr="00036A6D" w:rsidRDefault="00036A6D" w:rsidP="00036A6D">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IBNP Estimate</w:t>
            </w:r>
          </w:p>
        </w:tc>
      </w:tr>
      <w:tr w:rsidR="00036A6D" w:rsidRPr="00036A6D" w14:paraId="788F2C2A" w14:textId="77777777" w:rsidTr="00036A6D">
        <w:trPr>
          <w:trHeight w:val="250"/>
        </w:trPr>
        <w:tc>
          <w:tcPr>
            <w:tcW w:w="3704" w:type="dxa"/>
            <w:tcBorders>
              <w:top w:val="nil"/>
              <w:left w:val="nil"/>
              <w:bottom w:val="nil"/>
              <w:right w:val="nil"/>
            </w:tcBorders>
            <w:shd w:val="clear" w:color="000000" w:fill="E8E9E9"/>
            <w:vAlign w:val="center"/>
            <w:hideMark/>
          </w:tcPr>
          <w:p w14:paraId="469D9B35" w14:textId="77777777" w:rsidR="00036A6D" w:rsidRPr="00036A6D" w:rsidRDefault="00036A6D" w:rsidP="00036A6D">
            <w:pPr>
              <w:spacing w:after="0" w:line="240" w:lineRule="auto"/>
              <w:rPr>
                <w:rFonts w:ascii="Arial" w:eastAsia="Times New Roman" w:hAnsi="Arial" w:cs="Arial"/>
                <w:color w:val="39414D"/>
                <w:szCs w:val="18"/>
              </w:rPr>
            </w:pPr>
            <w:r w:rsidRPr="00036A6D">
              <w:rPr>
                <w:rFonts w:ascii="Arial" w:eastAsia="Times New Roman" w:hAnsi="Arial" w:cs="Arial"/>
                <w:color w:val="39414D"/>
                <w:szCs w:val="18"/>
              </w:rPr>
              <w:t>Inpatient Hospital</w:t>
            </w:r>
          </w:p>
        </w:tc>
        <w:tc>
          <w:tcPr>
            <w:tcW w:w="1818" w:type="dxa"/>
            <w:tcBorders>
              <w:top w:val="nil"/>
              <w:left w:val="nil"/>
              <w:bottom w:val="nil"/>
              <w:right w:val="nil"/>
            </w:tcBorders>
            <w:shd w:val="clear" w:color="000000" w:fill="E8E9E9"/>
            <w:noWrap/>
            <w:vAlign w:val="center"/>
            <w:hideMark/>
          </w:tcPr>
          <w:p w14:paraId="275810F4" w14:textId="77777777" w:rsidR="00036A6D" w:rsidRPr="00036A6D" w:rsidRDefault="00036A6D" w:rsidP="00036A6D">
            <w:pPr>
              <w:spacing w:after="0" w:line="240" w:lineRule="auto"/>
              <w:jc w:val="right"/>
              <w:rPr>
                <w:rFonts w:ascii="Arial" w:eastAsia="Times New Roman" w:hAnsi="Arial" w:cs="Arial"/>
                <w:color w:val="39414D"/>
                <w:szCs w:val="18"/>
              </w:rPr>
            </w:pPr>
            <w:r w:rsidRPr="00036A6D">
              <w:rPr>
                <w:rFonts w:ascii="Arial" w:eastAsia="Times New Roman" w:hAnsi="Arial" w:cs="Arial"/>
                <w:color w:val="39414D"/>
                <w:szCs w:val="18"/>
              </w:rPr>
              <w:t xml:space="preserve">1.6% </w:t>
            </w:r>
          </w:p>
        </w:tc>
      </w:tr>
      <w:tr w:rsidR="00036A6D" w:rsidRPr="00036A6D" w14:paraId="181D8126" w14:textId="77777777" w:rsidTr="00036A6D">
        <w:trPr>
          <w:trHeight w:val="250"/>
        </w:trPr>
        <w:tc>
          <w:tcPr>
            <w:tcW w:w="3704" w:type="dxa"/>
            <w:tcBorders>
              <w:top w:val="nil"/>
              <w:left w:val="nil"/>
              <w:bottom w:val="nil"/>
              <w:right w:val="nil"/>
            </w:tcBorders>
            <w:shd w:val="clear" w:color="auto" w:fill="auto"/>
            <w:noWrap/>
            <w:vAlign w:val="center"/>
            <w:hideMark/>
          </w:tcPr>
          <w:p w14:paraId="279E4B0F" w14:textId="77777777" w:rsidR="00036A6D" w:rsidRPr="00036A6D" w:rsidRDefault="00036A6D" w:rsidP="00036A6D">
            <w:pPr>
              <w:spacing w:after="0" w:line="240" w:lineRule="auto"/>
              <w:rPr>
                <w:rFonts w:ascii="Arial" w:eastAsia="Times New Roman" w:hAnsi="Arial" w:cs="Arial"/>
                <w:color w:val="39414D"/>
                <w:szCs w:val="18"/>
              </w:rPr>
            </w:pPr>
            <w:r w:rsidRPr="00036A6D">
              <w:rPr>
                <w:rFonts w:ascii="Arial" w:eastAsia="Times New Roman" w:hAnsi="Arial" w:cs="Arial"/>
                <w:color w:val="39414D"/>
                <w:szCs w:val="18"/>
              </w:rPr>
              <w:t>Outpatient Hospital</w:t>
            </w:r>
          </w:p>
        </w:tc>
        <w:tc>
          <w:tcPr>
            <w:tcW w:w="1818" w:type="dxa"/>
            <w:tcBorders>
              <w:top w:val="nil"/>
              <w:left w:val="nil"/>
              <w:bottom w:val="nil"/>
              <w:right w:val="nil"/>
            </w:tcBorders>
            <w:shd w:val="clear" w:color="auto" w:fill="auto"/>
            <w:noWrap/>
            <w:vAlign w:val="center"/>
            <w:hideMark/>
          </w:tcPr>
          <w:p w14:paraId="7EB24567" w14:textId="77777777" w:rsidR="00036A6D" w:rsidRPr="00036A6D" w:rsidRDefault="00036A6D" w:rsidP="00036A6D">
            <w:pPr>
              <w:spacing w:after="0" w:line="240" w:lineRule="auto"/>
              <w:jc w:val="right"/>
              <w:rPr>
                <w:rFonts w:ascii="Arial" w:eastAsia="Times New Roman" w:hAnsi="Arial" w:cs="Arial"/>
                <w:color w:val="39414D"/>
                <w:szCs w:val="18"/>
              </w:rPr>
            </w:pPr>
            <w:r w:rsidRPr="00036A6D">
              <w:rPr>
                <w:rFonts w:ascii="Arial" w:eastAsia="Times New Roman" w:hAnsi="Arial" w:cs="Arial"/>
                <w:color w:val="39414D"/>
                <w:szCs w:val="18"/>
              </w:rPr>
              <w:t xml:space="preserve">0.0% </w:t>
            </w:r>
          </w:p>
        </w:tc>
      </w:tr>
      <w:tr w:rsidR="00036A6D" w:rsidRPr="00036A6D" w14:paraId="45ECFBE8" w14:textId="77777777" w:rsidTr="00036A6D">
        <w:trPr>
          <w:trHeight w:val="250"/>
        </w:trPr>
        <w:tc>
          <w:tcPr>
            <w:tcW w:w="3704" w:type="dxa"/>
            <w:tcBorders>
              <w:top w:val="nil"/>
              <w:left w:val="nil"/>
              <w:bottom w:val="nil"/>
              <w:right w:val="nil"/>
            </w:tcBorders>
            <w:shd w:val="clear" w:color="000000" w:fill="E8E9E9"/>
            <w:vAlign w:val="center"/>
            <w:hideMark/>
          </w:tcPr>
          <w:p w14:paraId="3EF044AE" w14:textId="77777777" w:rsidR="00036A6D" w:rsidRPr="00036A6D" w:rsidRDefault="00036A6D" w:rsidP="00036A6D">
            <w:pPr>
              <w:spacing w:after="0" w:line="240" w:lineRule="auto"/>
              <w:rPr>
                <w:rFonts w:ascii="Arial" w:eastAsia="Times New Roman" w:hAnsi="Arial" w:cs="Arial"/>
                <w:color w:val="39414D"/>
                <w:szCs w:val="18"/>
              </w:rPr>
            </w:pPr>
            <w:r w:rsidRPr="00036A6D">
              <w:rPr>
                <w:rFonts w:ascii="Arial" w:eastAsia="Times New Roman" w:hAnsi="Arial" w:cs="Arial"/>
                <w:color w:val="39414D"/>
                <w:szCs w:val="18"/>
              </w:rPr>
              <w:t>Professional</w:t>
            </w:r>
          </w:p>
        </w:tc>
        <w:tc>
          <w:tcPr>
            <w:tcW w:w="1818" w:type="dxa"/>
            <w:tcBorders>
              <w:top w:val="nil"/>
              <w:left w:val="nil"/>
              <w:bottom w:val="nil"/>
              <w:right w:val="nil"/>
            </w:tcBorders>
            <w:shd w:val="clear" w:color="000000" w:fill="E8E9E9"/>
            <w:noWrap/>
            <w:vAlign w:val="center"/>
            <w:hideMark/>
          </w:tcPr>
          <w:p w14:paraId="228791B1" w14:textId="77777777" w:rsidR="00036A6D" w:rsidRPr="00036A6D" w:rsidRDefault="00036A6D" w:rsidP="00036A6D">
            <w:pPr>
              <w:spacing w:after="0" w:line="240" w:lineRule="auto"/>
              <w:jc w:val="right"/>
              <w:rPr>
                <w:rFonts w:ascii="Arial" w:eastAsia="Times New Roman" w:hAnsi="Arial" w:cs="Arial"/>
                <w:color w:val="39414D"/>
                <w:szCs w:val="18"/>
              </w:rPr>
            </w:pPr>
            <w:r w:rsidRPr="00036A6D">
              <w:rPr>
                <w:rFonts w:ascii="Arial" w:eastAsia="Times New Roman" w:hAnsi="Arial" w:cs="Arial"/>
                <w:color w:val="39414D"/>
                <w:szCs w:val="18"/>
              </w:rPr>
              <w:t xml:space="preserve">0.2% </w:t>
            </w:r>
          </w:p>
        </w:tc>
      </w:tr>
      <w:tr w:rsidR="00036A6D" w:rsidRPr="00036A6D" w14:paraId="742E8EAA" w14:textId="77777777" w:rsidTr="00036A6D">
        <w:trPr>
          <w:trHeight w:val="250"/>
        </w:trPr>
        <w:tc>
          <w:tcPr>
            <w:tcW w:w="3704" w:type="dxa"/>
            <w:tcBorders>
              <w:top w:val="nil"/>
              <w:left w:val="nil"/>
              <w:bottom w:val="nil"/>
              <w:right w:val="nil"/>
            </w:tcBorders>
            <w:shd w:val="clear" w:color="auto" w:fill="auto"/>
            <w:noWrap/>
            <w:vAlign w:val="center"/>
            <w:hideMark/>
          </w:tcPr>
          <w:p w14:paraId="2F88CD7F" w14:textId="77777777" w:rsidR="00036A6D" w:rsidRPr="00036A6D" w:rsidRDefault="00036A6D" w:rsidP="00036A6D">
            <w:pPr>
              <w:spacing w:after="0" w:line="240" w:lineRule="auto"/>
              <w:rPr>
                <w:rFonts w:ascii="Arial" w:eastAsia="Times New Roman" w:hAnsi="Arial" w:cs="Arial"/>
                <w:color w:val="39414D"/>
                <w:szCs w:val="18"/>
              </w:rPr>
            </w:pPr>
            <w:r w:rsidRPr="00036A6D">
              <w:rPr>
                <w:rFonts w:ascii="Arial" w:eastAsia="Times New Roman" w:hAnsi="Arial" w:cs="Arial"/>
                <w:color w:val="39414D"/>
                <w:szCs w:val="18"/>
              </w:rPr>
              <w:t>Retail Pharmacy</w:t>
            </w:r>
          </w:p>
        </w:tc>
        <w:tc>
          <w:tcPr>
            <w:tcW w:w="1818" w:type="dxa"/>
            <w:tcBorders>
              <w:top w:val="nil"/>
              <w:left w:val="nil"/>
              <w:bottom w:val="nil"/>
              <w:right w:val="nil"/>
            </w:tcBorders>
            <w:shd w:val="clear" w:color="auto" w:fill="auto"/>
            <w:noWrap/>
            <w:vAlign w:val="center"/>
            <w:hideMark/>
          </w:tcPr>
          <w:p w14:paraId="2E404F4A" w14:textId="77777777" w:rsidR="00036A6D" w:rsidRPr="00036A6D" w:rsidRDefault="00036A6D" w:rsidP="00036A6D">
            <w:pPr>
              <w:spacing w:after="0" w:line="240" w:lineRule="auto"/>
              <w:jc w:val="right"/>
              <w:rPr>
                <w:rFonts w:ascii="Arial" w:eastAsia="Times New Roman" w:hAnsi="Arial" w:cs="Arial"/>
                <w:color w:val="39414D"/>
                <w:szCs w:val="18"/>
              </w:rPr>
            </w:pPr>
            <w:r w:rsidRPr="00036A6D">
              <w:rPr>
                <w:rFonts w:ascii="Arial" w:eastAsia="Times New Roman" w:hAnsi="Arial" w:cs="Arial"/>
                <w:color w:val="39414D"/>
                <w:szCs w:val="18"/>
              </w:rPr>
              <w:t xml:space="preserve">0.0% </w:t>
            </w:r>
          </w:p>
        </w:tc>
      </w:tr>
      <w:tr w:rsidR="00036A6D" w:rsidRPr="00036A6D" w14:paraId="09B8CD1C" w14:textId="77777777" w:rsidTr="00036A6D">
        <w:trPr>
          <w:trHeight w:val="250"/>
        </w:trPr>
        <w:tc>
          <w:tcPr>
            <w:tcW w:w="3704" w:type="dxa"/>
            <w:tcBorders>
              <w:top w:val="nil"/>
              <w:left w:val="nil"/>
              <w:bottom w:val="nil"/>
              <w:right w:val="nil"/>
            </w:tcBorders>
            <w:shd w:val="clear" w:color="000000" w:fill="E8E9E9"/>
            <w:vAlign w:val="center"/>
            <w:hideMark/>
          </w:tcPr>
          <w:p w14:paraId="39240638" w14:textId="77777777" w:rsidR="00036A6D" w:rsidRPr="00036A6D" w:rsidRDefault="00036A6D" w:rsidP="00036A6D">
            <w:pPr>
              <w:spacing w:after="0" w:line="240" w:lineRule="auto"/>
              <w:rPr>
                <w:rFonts w:ascii="Arial" w:eastAsia="Times New Roman" w:hAnsi="Arial" w:cs="Arial"/>
                <w:color w:val="39414D"/>
                <w:szCs w:val="18"/>
              </w:rPr>
            </w:pPr>
            <w:r w:rsidRPr="00036A6D">
              <w:rPr>
                <w:rFonts w:ascii="Arial" w:eastAsia="Times New Roman" w:hAnsi="Arial" w:cs="Arial"/>
                <w:color w:val="39414D"/>
                <w:szCs w:val="18"/>
              </w:rPr>
              <w:t>Ancillary</w:t>
            </w:r>
          </w:p>
        </w:tc>
        <w:tc>
          <w:tcPr>
            <w:tcW w:w="1818" w:type="dxa"/>
            <w:tcBorders>
              <w:top w:val="nil"/>
              <w:left w:val="nil"/>
              <w:bottom w:val="nil"/>
              <w:right w:val="nil"/>
            </w:tcBorders>
            <w:shd w:val="clear" w:color="000000" w:fill="E8E9E9"/>
            <w:noWrap/>
            <w:vAlign w:val="center"/>
            <w:hideMark/>
          </w:tcPr>
          <w:p w14:paraId="360F72ED" w14:textId="77777777" w:rsidR="00036A6D" w:rsidRPr="00036A6D" w:rsidRDefault="00036A6D" w:rsidP="00036A6D">
            <w:pPr>
              <w:spacing w:after="0" w:line="240" w:lineRule="auto"/>
              <w:jc w:val="right"/>
              <w:rPr>
                <w:rFonts w:ascii="Arial" w:eastAsia="Times New Roman" w:hAnsi="Arial" w:cs="Arial"/>
                <w:color w:val="39414D"/>
                <w:szCs w:val="18"/>
              </w:rPr>
            </w:pPr>
            <w:r w:rsidRPr="00036A6D">
              <w:rPr>
                <w:rFonts w:ascii="Arial" w:eastAsia="Times New Roman" w:hAnsi="Arial" w:cs="Arial"/>
                <w:color w:val="39414D"/>
                <w:szCs w:val="18"/>
              </w:rPr>
              <w:t xml:space="preserve">0.0% </w:t>
            </w:r>
          </w:p>
        </w:tc>
      </w:tr>
      <w:tr w:rsidR="00036A6D" w:rsidRPr="00036A6D" w14:paraId="515E4147" w14:textId="77777777" w:rsidTr="00036A6D">
        <w:trPr>
          <w:trHeight w:val="250"/>
        </w:trPr>
        <w:tc>
          <w:tcPr>
            <w:tcW w:w="3704" w:type="dxa"/>
            <w:tcBorders>
              <w:top w:val="nil"/>
              <w:left w:val="nil"/>
              <w:bottom w:val="nil"/>
              <w:right w:val="nil"/>
            </w:tcBorders>
            <w:shd w:val="clear" w:color="auto" w:fill="auto"/>
            <w:noWrap/>
            <w:vAlign w:val="center"/>
            <w:hideMark/>
          </w:tcPr>
          <w:p w14:paraId="11A16AF0" w14:textId="77777777" w:rsidR="00036A6D" w:rsidRPr="00036A6D" w:rsidRDefault="00036A6D" w:rsidP="00036A6D">
            <w:pPr>
              <w:spacing w:after="0" w:line="240" w:lineRule="auto"/>
              <w:rPr>
                <w:rFonts w:ascii="Arial" w:eastAsia="Times New Roman" w:hAnsi="Arial" w:cs="Arial"/>
                <w:color w:val="39414D"/>
                <w:szCs w:val="18"/>
              </w:rPr>
            </w:pPr>
            <w:r w:rsidRPr="00036A6D">
              <w:rPr>
                <w:rFonts w:ascii="Arial" w:eastAsia="Times New Roman" w:hAnsi="Arial" w:cs="Arial"/>
                <w:color w:val="39414D"/>
                <w:szCs w:val="18"/>
              </w:rPr>
              <w:t>Nursing Home</w:t>
            </w:r>
          </w:p>
        </w:tc>
        <w:tc>
          <w:tcPr>
            <w:tcW w:w="1818" w:type="dxa"/>
            <w:tcBorders>
              <w:top w:val="nil"/>
              <w:left w:val="nil"/>
              <w:bottom w:val="nil"/>
              <w:right w:val="nil"/>
            </w:tcBorders>
            <w:shd w:val="clear" w:color="auto" w:fill="auto"/>
            <w:noWrap/>
            <w:vAlign w:val="center"/>
            <w:hideMark/>
          </w:tcPr>
          <w:p w14:paraId="789042C4" w14:textId="77777777" w:rsidR="00036A6D" w:rsidRPr="00036A6D" w:rsidRDefault="00036A6D" w:rsidP="00036A6D">
            <w:pPr>
              <w:spacing w:after="0" w:line="240" w:lineRule="auto"/>
              <w:jc w:val="right"/>
              <w:rPr>
                <w:rFonts w:ascii="Arial" w:eastAsia="Times New Roman" w:hAnsi="Arial" w:cs="Arial"/>
                <w:color w:val="39414D"/>
                <w:szCs w:val="18"/>
              </w:rPr>
            </w:pPr>
            <w:r w:rsidRPr="00036A6D">
              <w:rPr>
                <w:rFonts w:ascii="Arial" w:eastAsia="Times New Roman" w:hAnsi="Arial" w:cs="Arial"/>
                <w:color w:val="39414D"/>
                <w:szCs w:val="18"/>
              </w:rPr>
              <w:t xml:space="preserve">1.3% </w:t>
            </w:r>
          </w:p>
        </w:tc>
      </w:tr>
      <w:tr w:rsidR="00036A6D" w:rsidRPr="00036A6D" w14:paraId="7BDFC33A" w14:textId="77777777" w:rsidTr="00036A6D">
        <w:trPr>
          <w:trHeight w:val="250"/>
        </w:trPr>
        <w:tc>
          <w:tcPr>
            <w:tcW w:w="3704" w:type="dxa"/>
            <w:tcBorders>
              <w:top w:val="nil"/>
              <w:left w:val="nil"/>
              <w:bottom w:val="nil"/>
              <w:right w:val="nil"/>
            </w:tcBorders>
            <w:shd w:val="clear" w:color="000000" w:fill="E8E9E9"/>
            <w:vAlign w:val="center"/>
            <w:hideMark/>
          </w:tcPr>
          <w:p w14:paraId="27FB262C" w14:textId="77777777" w:rsidR="00036A6D" w:rsidRPr="00036A6D" w:rsidRDefault="00036A6D" w:rsidP="00036A6D">
            <w:pPr>
              <w:spacing w:after="0" w:line="240" w:lineRule="auto"/>
              <w:rPr>
                <w:rFonts w:ascii="Arial" w:eastAsia="Times New Roman" w:hAnsi="Arial" w:cs="Arial"/>
                <w:color w:val="39414D"/>
                <w:szCs w:val="18"/>
              </w:rPr>
            </w:pPr>
            <w:r w:rsidRPr="00036A6D">
              <w:rPr>
                <w:rFonts w:ascii="Arial" w:eastAsia="Times New Roman" w:hAnsi="Arial" w:cs="Arial"/>
                <w:color w:val="39414D"/>
                <w:szCs w:val="18"/>
              </w:rPr>
              <w:t>Other LTSS</w:t>
            </w:r>
          </w:p>
        </w:tc>
        <w:tc>
          <w:tcPr>
            <w:tcW w:w="1818" w:type="dxa"/>
            <w:tcBorders>
              <w:top w:val="nil"/>
              <w:left w:val="nil"/>
              <w:bottom w:val="nil"/>
              <w:right w:val="nil"/>
            </w:tcBorders>
            <w:shd w:val="clear" w:color="000000" w:fill="E8E9E9"/>
            <w:noWrap/>
            <w:vAlign w:val="center"/>
            <w:hideMark/>
          </w:tcPr>
          <w:p w14:paraId="68F4369B" w14:textId="77777777" w:rsidR="00036A6D" w:rsidRPr="00036A6D" w:rsidRDefault="00036A6D" w:rsidP="00036A6D">
            <w:pPr>
              <w:spacing w:after="0" w:line="240" w:lineRule="auto"/>
              <w:jc w:val="right"/>
              <w:rPr>
                <w:rFonts w:ascii="Arial" w:eastAsia="Times New Roman" w:hAnsi="Arial" w:cs="Arial"/>
                <w:color w:val="39414D"/>
                <w:szCs w:val="18"/>
              </w:rPr>
            </w:pPr>
            <w:r w:rsidRPr="00036A6D">
              <w:rPr>
                <w:rFonts w:ascii="Arial" w:eastAsia="Times New Roman" w:hAnsi="Arial" w:cs="Arial"/>
                <w:color w:val="39414D"/>
                <w:szCs w:val="18"/>
              </w:rPr>
              <w:t xml:space="preserve">0.5% </w:t>
            </w:r>
          </w:p>
        </w:tc>
      </w:tr>
    </w:tbl>
    <w:p w14:paraId="46D29892" w14:textId="1174F9A7" w:rsidR="00A87FD6" w:rsidRDefault="00B32232" w:rsidP="00B32232">
      <w:pPr>
        <w:pStyle w:val="RRBullet1"/>
        <w:numPr>
          <w:ilvl w:val="0"/>
          <w:numId w:val="0"/>
        </w:numPr>
        <w:spacing w:after="0"/>
        <w:rPr>
          <w:rFonts w:ascii="Arial" w:eastAsia="Times New Roman" w:hAnsi="Arial" w:cs="Arial"/>
          <w:color w:val="727A7D"/>
          <w:sz w:val="16"/>
          <w:szCs w:val="16"/>
        </w:rPr>
      </w:pPr>
      <w:r w:rsidRPr="006B42A9">
        <w:rPr>
          <w:rFonts w:ascii="Arial" w:eastAsia="Times New Roman" w:hAnsi="Arial" w:cs="Arial"/>
          <w:color w:val="727A7D"/>
          <w:sz w:val="16"/>
          <w:szCs w:val="16"/>
        </w:rPr>
        <w:t>Note</w:t>
      </w:r>
      <w:r w:rsidR="00A87FD6">
        <w:rPr>
          <w:rFonts w:ascii="Arial" w:eastAsia="Times New Roman" w:hAnsi="Arial" w:cs="Arial"/>
          <w:color w:val="727A7D"/>
          <w:sz w:val="16"/>
          <w:szCs w:val="16"/>
        </w:rPr>
        <w:t>s</w:t>
      </w:r>
      <w:r w:rsidRPr="006B42A9">
        <w:rPr>
          <w:rFonts w:ascii="Arial" w:eastAsia="Times New Roman" w:hAnsi="Arial" w:cs="Arial"/>
          <w:color w:val="727A7D"/>
          <w:sz w:val="16"/>
          <w:szCs w:val="16"/>
        </w:rPr>
        <w:t>:</w:t>
      </w:r>
      <w:r>
        <w:rPr>
          <w:rFonts w:ascii="Arial" w:eastAsia="Times New Roman" w:hAnsi="Arial" w:cs="Arial"/>
          <w:color w:val="727A7D"/>
          <w:sz w:val="16"/>
          <w:szCs w:val="16"/>
        </w:rPr>
        <w:t xml:space="preserve"> </w:t>
      </w:r>
    </w:p>
    <w:p w14:paraId="6B963303" w14:textId="2DA963F4" w:rsidR="00A87FD6" w:rsidRPr="006B42A9" w:rsidRDefault="00036A6D" w:rsidP="004E54E8">
      <w:pPr>
        <w:pStyle w:val="RRBullet1"/>
        <w:numPr>
          <w:ilvl w:val="6"/>
          <w:numId w:val="9"/>
        </w:numPr>
        <w:spacing w:after="0"/>
        <w:ind w:left="360"/>
        <w:rPr>
          <w:rFonts w:ascii="Arial" w:eastAsia="Times New Roman" w:hAnsi="Arial" w:cs="Arial"/>
          <w:color w:val="727A7D"/>
          <w:sz w:val="16"/>
          <w:szCs w:val="16"/>
        </w:rPr>
      </w:pPr>
      <w:r>
        <w:rPr>
          <w:rFonts w:ascii="Arial" w:eastAsia="Times New Roman" w:hAnsi="Arial" w:cs="Arial"/>
          <w:color w:val="727A7D"/>
          <w:sz w:val="16"/>
          <w:szCs w:val="16"/>
        </w:rPr>
        <w:t>The IBNP factors for each category of service were applied to all pay levels.</w:t>
      </w:r>
    </w:p>
    <w:p w14:paraId="063C8648" w14:textId="549585F5" w:rsidR="004051A2" w:rsidRDefault="00317C53" w:rsidP="004E54E8">
      <w:pPr>
        <w:pStyle w:val="RRCalloutSmallMBlue"/>
        <w:spacing w:before="120"/>
        <w:rPr>
          <w:b/>
        </w:rPr>
      </w:pPr>
      <w:r w:rsidRPr="007414F2">
        <w:rPr>
          <w:b/>
        </w:rPr>
        <w:t xml:space="preserve">Step </w:t>
      </w:r>
      <w:r>
        <w:rPr>
          <w:b/>
        </w:rPr>
        <w:t>4</w:t>
      </w:r>
      <w:r w:rsidRPr="007414F2">
        <w:rPr>
          <w:b/>
        </w:rPr>
        <w:t xml:space="preserve">: </w:t>
      </w:r>
      <w:r>
        <w:rPr>
          <w:b/>
        </w:rPr>
        <w:t>Prospective Program Adjustments</w:t>
      </w:r>
    </w:p>
    <w:p w14:paraId="6077677D" w14:textId="4617BF30" w:rsidR="004051A2" w:rsidRDefault="004051A2" w:rsidP="004051A2">
      <w:pPr>
        <w:pStyle w:val="RRBody"/>
      </w:pPr>
      <w:r>
        <w:t xml:space="preserve">The </w:t>
      </w:r>
      <w:r w:rsidR="00C36C54">
        <w:t>SFY 2021</w:t>
      </w:r>
      <w:r w:rsidRPr="003D0595">
        <w:t xml:space="preserve"> </w:t>
      </w:r>
      <w:r>
        <w:t>base</w:t>
      </w:r>
      <w:r w:rsidRPr="003D0595">
        <w:t xml:space="preserve"> experience </w:t>
      </w:r>
      <w:r>
        <w:t>was</w:t>
      </w:r>
      <w:r w:rsidRPr="003D0595">
        <w:t xml:space="preserve"> </w:t>
      </w:r>
      <w:r>
        <w:t>adjusted</w:t>
      </w:r>
      <w:r w:rsidRPr="003D0595">
        <w:t xml:space="preserve"> for</w:t>
      </w:r>
      <w:r>
        <w:t xml:space="preserve"> </w:t>
      </w:r>
      <w:r w:rsidR="00292769">
        <w:t xml:space="preserve">program </w:t>
      </w:r>
      <w:r w:rsidR="00EE0356">
        <w:t>changes</w:t>
      </w:r>
      <w:r w:rsidR="00292769">
        <w:t xml:space="preserve"> effective </w:t>
      </w:r>
      <w:r w:rsidR="00C36C54">
        <w:t xml:space="preserve">after SFY 2021 </w:t>
      </w:r>
      <w:r w:rsidR="00292769">
        <w:t xml:space="preserve">including the </w:t>
      </w:r>
      <w:r>
        <w:t>HCBS maintenance of need</w:t>
      </w:r>
      <w:r w:rsidR="00292769">
        <w:t>s</w:t>
      </w:r>
      <w:r>
        <w:t xml:space="preserve"> allowance increase, shared living increase, assisted living tiers, HCBS shift differential increase, behavioral healthcare certification rate enhancement</w:t>
      </w:r>
      <w:r w:rsidR="00A9240D">
        <w:t xml:space="preserve">, and </w:t>
      </w:r>
      <w:r w:rsidR="00955D03">
        <w:t xml:space="preserve">LTSS </w:t>
      </w:r>
      <w:r w:rsidR="00A9240D">
        <w:t>alternative payment methodology</w:t>
      </w:r>
      <w:r w:rsidR="00955D03">
        <w:t xml:space="preserve"> (APM)</w:t>
      </w:r>
      <w:r w:rsidRPr="003D0595">
        <w:t xml:space="preserve">. </w:t>
      </w:r>
      <w:r>
        <w:t xml:space="preserve">Prospective adjustments to the </w:t>
      </w:r>
      <w:r w:rsidR="00C36C54">
        <w:t>SFY 2021</w:t>
      </w:r>
      <w:r>
        <w:t xml:space="preserve"> base experience are illustrated in Appendix 4</w:t>
      </w:r>
      <w:r w:rsidR="00955D03">
        <w:t>, except for the LTSS APM which is included in Appendix 5</w:t>
      </w:r>
      <w:r>
        <w:t xml:space="preserve">. </w:t>
      </w:r>
      <w:r w:rsidRPr="00CA2F57">
        <w:t xml:space="preserve">Figure </w:t>
      </w:r>
      <w:r w:rsidR="00DC7441">
        <w:t xml:space="preserve">7 </w:t>
      </w:r>
      <w:r>
        <w:t xml:space="preserve">summarizes the estimated fiscal impact of the </w:t>
      </w:r>
      <w:r w:rsidR="00564B0E">
        <w:t>prospective</w:t>
      </w:r>
      <w:r>
        <w:t xml:space="preserve"> adjustments </w:t>
      </w:r>
      <w:r w:rsidR="00955D03">
        <w:t xml:space="preserve">contained in Appendix 4 </w:t>
      </w:r>
      <w:r>
        <w:t>by rate cell</w:t>
      </w:r>
      <w:r w:rsidRPr="00816BFF">
        <w:t>.</w:t>
      </w:r>
    </w:p>
    <w:tbl>
      <w:tblPr>
        <w:tblW w:w="9450" w:type="dxa"/>
        <w:tblLook w:val="04A0" w:firstRow="1" w:lastRow="0" w:firstColumn="1" w:lastColumn="0" w:noHBand="0" w:noVBand="1"/>
      </w:tblPr>
      <w:tblGrid>
        <w:gridCol w:w="3690"/>
        <w:gridCol w:w="990"/>
        <w:gridCol w:w="601"/>
        <w:gridCol w:w="389"/>
        <w:gridCol w:w="909"/>
        <w:gridCol w:w="351"/>
        <w:gridCol w:w="1260"/>
        <w:gridCol w:w="1260"/>
      </w:tblGrid>
      <w:tr w:rsidR="00EE0356" w:rsidRPr="004051A2" w14:paraId="4636B858" w14:textId="77777777" w:rsidTr="00036A6D">
        <w:trPr>
          <w:gridAfter w:val="3"/>
          <w:wAfter w:w="2871" w:type="dxa"/>
          <w:trHeight w:val="206"/>
        </w:trPr>
        <w:tc>
          <w:tcPr>
            <w:tcW w:w="5281" w:type="dxa"/>
            <w:gridSpan w:val="3"/>
            <w:tcBorders>
              <w:top w:val="nil"/>
              <w:left w:val="nil"/>
              <w:bottom w:val="nil"/>
              <w:right w:val="nil"/>
            </w:tcBorders>
            <w:shd w:val="clear" w:color="auto" w:fill="auto"/>
            <w:noWrap/>
            <w:vAlign w:val="center"/>
            <w:hideMark/>
          </w:tcPr>
          <w:p w14:paraId="7D8E65AB" w14:textId="180E6C08" w:rsidR="00EE0356" w:rsidRPr="004051A2" w:rsidRDefault="00EE0356" w:rsidP="004051A2">
            <w:pPr>
              <w:spacing w:after="0" w:line="240" w:lineRule="auto"/>
              <w:rPr>
                <w:rFonts w:ascii="Times New Roman" w:eastAsia="Times New Roman" w:hAnsi="Times New Roman" w:cs="Times New Roman"/>
                <w:sz w:val="20"/>
                <w:szCs w:val="20"/>
              </w:rPr>
            </w:pPr>
            <w:r w:rsidRPr="004051A2">
              <w:rPr>
                <w:rFonts w:ascii="Arial" w:eastAsia="Times New Roman" w:hAnsi="Arial" w:cs="Arial"/>
                <w:b/>
                <w:bCs/>
                <w:color w:val="0081E3"/>
                <w:szCs w:val="18"/>
              </w:rPr>
              <w:t xml:space="preserve">FIGURE </w:t>
            </w:r>
            <w:r w:rsidR="00DC7441">
              <w:rPr>
                <w:rFonts w:ascii="Arial" w:eastAsia="Times New Roman" w:hAnsi="Arial" w:cs="Arial"/>
                <w:b/>
                <w:bCs/>
                <w:color w:val="0081E3"/>
                <w:szCs w:val="18"/>
              </w:rPr>
              <w:t>7</w:t>
            </w:r>
            <w:r w:rsidRPr="004051A2">
              <w:rPr>
                <w:rFonts w:ascii="Arial" w:eastAsia="Times New Roman" w:hAnsi="Arial" w:cs="Arial"/>
                <w:b/>
                <w:bCs/>
                <w:color w:val="0081E3"/>
                <w:szCs w:val="18"/>
              </w:rPr>
              <w:t xml:space="preserve">: </w:t>
            </w:r>
            <w:r w:rsidRPr="00F0656A">
              <w:rPr>
                <w:rFonts w:ascii="Arial" w:eastAsia="Times New Roman" w:hAnsi="Arial" w:cs="Arial"/>
                <w:b/>
                <w:bCs/>
                <w:caps/>
                <w:color w:val="0081E3"/>
                <w:szCs w:val="18"/>
              </w:rPr>
              <w:t>Program Changes</w:t>
            </w:r>
          </w:p>
        </w:tc>
        <w:tc>
          <w:tcPr>
            <w:tcW w:w="1298" w:type="dxa"/>
            <w:gridSpan w:val="2"/>
            <w:tcBorders>
              <w:top w:val="nil"/>
              <w:left w:val="nil"/>
              <w:bottom w:val="nil"/>
              <w:right w:val="nil"/>
            </w:tcBorders>
            <w:shd w:val="clear" w:color="auto" w:fill="auto"/>
            <w:noWrap/>
            <w:vAlign w:val="center"/>
            <w:hideMark/>
          </w:tcPr>
          <w:p w14:paraId="5ADF5E6F" w14:textId="77777777" w:rsidR="00EE0356" w:rsidRPr="004051A2" w:rsidRDefault="00EE0356" w:rsidP="004051A2">
            <w:pPr>
              <w:spacing w:after="0" w:line="240" w:lineRule="auto"/>
              <w:rPr>
                <w:rFonts w:ascii="Times New Roman" w:eastAsia="Times New Roman" w:hAnsi="Times New Roman" w:cs="Times New Roman"/>
                <w:sz w:val="20"/>
                <w:szCs w:val="20"/>
              </w:rPr>
            </w:pPr>
          </w:p>
        </w:tc>
      </w:tr>
      <w:tr w:rsidR="00E85F5F" w:rsidRPr="004051A2" w14:paraId="11966218" w14:textId="77777777" w:rsidTr="00E5043F">
        <w:trPr>
          <w:trHeight w:val="581"/>
        </w:trPr>
        <w:tc>
          <w:tcPr>
            <w:tcW w:w="3690" w:type="dxa"/>
            <w:tcBorders>
              <w:top w:val="nil"/>
              <w:left w:val="nil"/>
              <w:bottom w:val="single" w:sz="4" w:space="0" w:color="C6C9CA"/>
              <w:right w:val="nil"/>
            </w:tcBorders>
            <w:shd w:val="clear" w:color="auto" w:fill="auto"/>
            <w:vAlign w:val="bottom"/>
            <w:hideMark/>
          </w:tcPr>
          <w:p w14:paraId="3C4AD0A6" w14:textId="2D386498" w:rsidR="00E85F5F" w:rsidRPr="004051A2" w:rsidRDefault="00E85F5F" w:rsidP="00E85F5F">
            <w:pPr>
              <w:spacing w:after="0" w:line="240" w:lineRule="auto"/>
              <w:rPr>
                <w:rFonts w:ascii="Arial" w:eastAsia="Times New Roman" w:hAnsi="Arial" w:cs="Arial"/>
                <w:b/>
                <w:bCs/>
                <w:color w:val="39414D"/>
                <w:szCs w:val="18"/>
              </w:rPr>
            </w:pPr>
            <w:r>
              <w:rPr>
                <w:rFonts w:ascii="Arial" w:eastAsia="Times New Roman" w:hAnsi="Arial" w:cs="Arial"/>
                <w:b/>
                <w:bCs/>
                <w:color w:val="39414D"/>
                <w:szCs w:val="18"/>
              </w:rPr>
              <w:t>SFY 2023 Program Change</w:t>
            </w:r>
          </w:p>
        </w:tc>
        <w:tc>
          <w:tcPr>
            <w:tcW w:w="990" w:type="dxa"/>
            <w:tcBorders>
              <w:top w:val="nil"/>
              <w:left w:val="nil"/>
              <w:bottom w:val="single" w:sz="4" w:space="0" w:color="C6C9CA"/>
              <w:right w:val="nil"/>
            </w:tcBorders>
            <w:shd w:val="clear" w:color="auto" w:fill="auto"/>
          </w:tcPr>
          <w:p w14:paraId="1D33517D" w14:textId="20F05CE9" w:rsidR="00E85F5F" w:rsidRPr="00E85F5F" w:rsidRDefault="00E85F5F" w:rsidP="00E85F5F">
            <w:pPr>
              <w:spacing w:after="0" w:line="240" w:lineRule="auto"/>
              <w:jc w:val="center"/>
              <w:rPr>
                <w:rFonts w:ascii="Arial" w:eastAsia="Times New Roman" w:hAnsi="Arial" w:cs="Arial"/>
                <w:b/>
                <w:bCs/>
                <w:color w:val="39414D"/>
                <w:szCs w:val="18"/>
              </w:rPr>
            </w:pPr>
            <w:r w:rsidRPr="00E85F5F">
              <w:rPr>
                <w:b/>
                <w:bCs/>
                <w:color w:val="39414D"/>
              </w:rPr>
              <w:t>IC30: MMP - SPMI</w:t>
            </w:r>
          </w:p>
        </w:tc>
        <w:tc>
          <w:tcPr>
            <w:tcW w:w="990" w:type="dxa"/>
            <w:gridSpan w:val="2"/>
            <w:tcBorders>
              <w:top w:val="nil"/>
              <w:left w:val="nil"/>
              <w:bottom w:val="single" w:sz="4" w:space="0" w:color="C6C9CA"/>
              <w:right w:val="nil"/>
            </w:tcBorders>
            <w:shd w:val="clear" w:color="auto" w:fill="auto"/>
          </w:tcPr>
          <w:p w14:paraId="54C9F270" w14:textId="40292731" w:rsidR="00E85F5F" w:rsidRPr="00E85F5F" w:rsidRDefault="00E85F5F" w:rsidP="00E85F5F">
            <w:pPr>
              <w:spacing w:after="0" w:line="240" w:lineRule="auto"/>
              <w:jc w:val="center"/>
              <w:rPr>
                <w:rFonts w:ascii="Arial" w:eastAsia="Times New Roman" w:hAnsi="Arial" w:cs="Arial"/>
                <w:b/>
                <w:bCs/>
                <w:color w:val="39414D"/>
                <w:szCs w:val="18"/>
              </w:rPr>
            </w:pPr>
            <w:r w:rsidRPr="00E85F5F">
              <w:rPr>
                <w:b/>
                <w:bCs/>
                <w:color w:val="39414D"/>
              </w:rPr>
              <w:t>IC40: MMP - ID</w:t>
            </w:r>
          </w:p>
        </w:tc>
        <w:tc>
          <w:tcPr>
            <w:tcW w:w="1260" w:type="dxa"/>
            <w:gridSpan w:val="2"/>
            <w:tcBorders>
              <w:top w:val="nil"/>
              <w:left w:val="nil"/>
              <w:bottom w:val="single" w:sz="4" w:space="0" w:color="C6C9CA"/>
              <w:right w:val="nil"/>
            </w:tcBorders>
            <w:shd w:val="clear" w:color="auto" w:fill="auto"/>
          </w:tcPr>
          <w:p w14:paraId="62669E35" w14:textId="05D166C2" w:rsidR="00E85F5F" w:rsidRPr="00E85F5F" w:rsidRDefault="00E85F5F" w:rsidP="00E85F5F">
            <w:pPr>
              <w:spacing w:after="0" w:line="240" w:lineRule="auto"/>
              <w:jc w:val="center"/>
              <w:rPr>
                <w:rFonts w:ascii="Arial" w:eastAsia="Times New Roman" w:hAnsi="Arial" w:cs="Arial"/>
                <w:b/>
                <w:bCs/>
                <w:color w:val="39414D"/>
                <w:szCs w:val="18"/>
              </w:rPr>
            </w:pPr>
            <w:r w:rsidRPr="00E85F5F">
              <w:rPr>
                <w:b/>
                <w:bCs/>
                <w:color w:val="39414D"/>
              </w:rPr>
              <w:t>IC50: MMP - Community LTSS</w:t>
            </w:r>
          </w:p>
        </w:tc>
        <w:tc>
          <w:tcPr>
            <w:tcW w:w="1260" w:type="dxa"/>
            <w:tcBorders>
              <w:top w:val="nil"/>
              <w:left w:val="nil"/>
              <w:bottom w:val="single" w:sz="4" w:space="0" w:color="C6C9CA"/>
              <w:right w:val="nil"/>
            </w:tcBorders>
            <w:shd w:val="clear" w:color="auto" w:fill="auto"/>
          </w:tcPr>
          <w:p w14:paraId="15D04A32" w14:textId="4D5FDFCA" w:rsidR="00E85F5F" w:rsidRPr="00E85F5F" w:rsidRDefault="00E85F5F" w:rsidP="00E85F5F">
            <w:pPr>
              <w:spacing w:after="0" w:line="240" w:lineRule="auto"/>
              <w:jc w:val="center"/>
              <w:rPr>
                <w:rFonts w:ascii="Arial" w:eastAsia="Times New Roman" w:hAnsi="Arial" w:cs="Arial"/>
                <w:b/>
                <w:bCs/>
                <w:color w:val="39414D"/>
                <w:szCs w:val="18"/>
              </w:rPr>
            </w:pPr>
            <w:r w:rsidRPr="00E85F5F">
              <w:rPr>
                <w:b/>
                <w:bCs/>
                <w:color w:val="39414D"/>
              </w:rPr>
              <w:t>IC60: MMP - Nursing Home</w:t>
            </w:r>
          </w:p>
        </w:tc>
        <w:tc>
          <w:tcPr>
            <w:tcW w:w="1260" w:type="dxa"/>
            <w:tcBorders>
              <w:top w:val="nil"/>
              <w:left w:val="nil"/>
              <w:bottom w:val="single" w:sz="4" w:space="0" w:color="C6C9CA"/>
              <w:right w:val="nil"/>
            </w:tcBorders>
            <w:shd w:val="clear" w:color="auto" w:fill="auto"/>
          </w:tcPr>
          <w:p w14:paraId="72BB2C10" w14:textId="721934E0" w:rsidR="00E85F5F" w:rsidRPr="00E85F5F" w:rsidRDefault="00E85F5F" w:rsidP="00E85F5F">
            <w:pPr>
              <w:spacing w:after="0" w:line="240" w:lineRule="auto"/>
              <w:jc w:val="center"/>
              <w:rPr>
                <w:rFonts w:ascii="Arial" w:eastAsia="Times New Roman" w:hAnsi="Arial" w:cs="Arial"/>
                <w:b/>
                <w:bCs/>
                <w:color w:val="39414D"/>
                <w:szCs w:val="18"/>
              </w:rPr>
            </w:pPr>
            <w:r w:rsidRPr="00E85F5F">
              <w:rPr>
                <w:b/>
                <w:bCs/>
                <w:color w:val="39414D"/>
              </w:rPr>
              <w:t>IC70: MMP - Community Non-LTSS</w:t>
            </w:r>
          </w:p>
        </w:tc>
      </w:tr>
      <w:tr w:rsidR="0045362E" w:rsidRPr="004051A2" w14:paraId="249520A9" w14:textId="77777777" w:rsidTr="005832BF">
        <w:trPr>
          <w:trHeight w:val="195"/>
        </w:trPr>
        <w:tc>
          <w:tcPr>
            <w:tcW w:w="3690" w:type="dxa"/>
            <w:tcBorders>
              <w:top w:val="nil"/>
              <w:left w:val="nil"/>
              <w:bottom w:val="nil"/>
              <w:right w:val="nil"/>
            </w:tcBorders>
            <w:shd w:val="clear" w:color="auto" w:fill="E8E9E9"/>
            <w:vAlign w:val="center"/>
            <w:hideMark/>
          </w:tcPr>
          <w:p w14:paraId="513DE4FF" w14:textId="0678FAEC" w:rsidR="0045362E" w:rsidRPr="004051A2" w:rsidRDefault="0045362E" w:rsidP="0045362E">
            <w:pPr>
              <w:spacing w:after="0" w:line="240" w:lineRule="auto"/>
              <w:rPr>
                <w:rFonts w:ascii="Arial" w:eastAsia="Times New Roman" w:hAnsi="Arial" w:cs="Arial"/>
                <w:color w:val="39414D"/>
                <w:szCs w:val="18"/>
              </w:rPr>
            </w:pPr>
            <w:r>
              <w:rPr>
                <w:rFonts w:ascii="Arial" w:hAnsi="Arial" w:cs="Arial"/>
                <w:color w:val="39414D"/>
                <w:szCs w:val="18"/>
              </w:rPr>
              <w:t>HCBS Maintenance of Needs Allowance</w:t>
            </w:r>
          </w:p>
        </w:tc>
        <w:tc>
          <w:tcPr>
            <w:tcW w:w="990" w:type="dxa"/>
            <w:tcBorders>
              <w:top w:val="nil"/>
              <w:left w:val="nil"/>
              <w:bottom w:val="nil"/>
              <w:right w:val="nil"/>
            </w:tcBorders>
            <w:shd w:val="clear" w:color="auto" w:fill="E8E9E9"/>
            <w:noWrap/>
            <w:vAlign w:val="center"/>
          </w:tcPr>
          <w:p w14:paraId="4E86DFE8" w14:textId="0EFCF253"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990" w:type="dxa"/>
            <w:gridSpan w:val="2"/>
            <w:tcBorders>
              <w:top w:val="nil"/>
              <w:left w:val="nil"/>
              <w:bottom w:val="nil"/>
              <w:right w:val="nil"/>
            </w:tcBorders>
            <w:shd w:val="clear" w:color="auto" w:fill="E8E9E9"/>
            <w:noWrap/>
            <w:vAlign w:val="center"/>
          </w:tcPr>
          <w:p w14:paraId="274895E2" w14:textId="18E91DBE"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gridSpan w:val="2"/>
            <w:tcBorders>
              <w:top w:val="nil"/>
              <w:left w:val="nil"/>
              <w:bottom w:val="nil"/>
              <w:right w:val="nil"/>
            </w:tcBorders>
            <w:shd w:val="clear" w:color="auto" w:fill="E8E9E9"/>
            <w:noWrap/>
            <w:vAlign w:val="center"/>
          </w:tcPr>
          <w:p w14:paraId="26AAC756" w14:textId="4226AF5B"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1.2% </w:t>
            </w:r>
          </w:p>
        </w:tc>
        <w:tc>
          <w:tcPr>
            <w:tcW w:w="1260" w:type="dxa"/>
            <w:tcBorders>
              <w:top w:val="nil"/>
              <w:left w:val="nil"/>
              <w:bottom w:val="nil"/>
              <w:right w:val="nil"/>
            </w:tcBorders>
            <w:shd w:val="clear" w:color="auto" w:fill="E8E9E9"/>
            <w:noWrap/>
            <w:vAlign w:val="center"/>
          </w:tcPr>
          <w:p w14:paraId="00ADE59E" w14:textId="61220BC6"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tcBorders>
              <w:top w:val="nil"/>
              <w:left w:val="nil"/>
              <w:bottom w:val="nil"/>
              <w:right w:val="nil"/>
            </w:tcBorders>
            <w:shd w:val="clear" w:color="auto" w:fill="E8E9E9"/>
            <w:noWrap/>
            <w:vAlign w:val="center"/>
          </w:tcPr>
          <w:p w14:paraId="2A4E9ACB" w14:textId="722AA356"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r>
      <w:tr w:rsidR="0045362E" w:rsidRPr="004051A2" w14:paraId="09E363DA" w14:textId="77777777" w:rsidTr="005832BF">
        <w:trPr>
          <w:trHeight w:val="206"/>
        </w:trPr>
        <w:tc>
          <w:tcPr>
            <w:tcW w:w="3690" w:type="dxa"/>
            <w:tcBorders>
              <w:top w:val="nil"/>
              <w:left w:val="nil"/>
              <w:bottom w:val="nil"/>
              <w:right w:val="nil"/>
            </w:tcBorders>
            <w:shd w:val="clear" w:color="auto" w:fill="auto"/>
            <w:noWrap/>
            <w:vAlign w:val="center"/>
            <w:hideMark/>
          </w:tcPr>
          <w:p w14:paraId="0812BA3E" w14:textId="47AD6767" w:rsidR="0045362E" w:rsidRPr="004051A2" w:rsidRDefault="0045362E" w:rsidP="0045362E">
            <w:pPr>
              <w:spacing w:after="0" w:line="240" w:lineRule="auto"/>
              <w:rPr>
                <w:rFonts w:ascii="Arial" w:eastAsia="Times New Roman" w:hAnsi="Arial" w:cs="Arial"/>
                <w:color w:val="39414D"/>
                <w:szCs w:val="18"/>
              </w:rPr>
            </w:pPr>
            <w:r>
              <w:rPr>
                <w:rFonts w:ascii="Arial" w:hAnsi="Arial" w:cs="Arial"/>
                <w:color w:val="39414D"/>
                <w:szCs w:val="18"/>
              </w:rPr>
              <w:t>Shared Living Increase</w:t>
            </w:r>
          </w:p>
        </w:tc>
        <w:tc>
          <w:tcPr>
            <w:tcW w:w="990" w:type="dxa"/>
            <w:tcBorders>
              <w:top w:val="nil"/>
              <w:left w:val="nil"/>
              <w:bottom w:val="nil"/>
              <w:right w:val="nil"/>
            </w:tcBorders>
            <w:shd w:val="clear" w:color="auto" w:fill="auto"/>
            <w:noWrap/>
            <w:vAlign w:val="center"/>
          </w:tcPr>
          <w:p w14:paraId="517F9941" w14:textId="68C91679"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990" w:type="dxa"/>
            <w:gridSpan w:val="2"/>
            <w:tcBorders>
              <w:top w:val="nil"/>
              <w:left w:val="nil"/>
              <w:bottom w:val="nil"/>
              <w:right w:val="nil"/>
            </w:tcBorders>
            <w:shd w:val="clear" w:color="auto" w:fill="auto"/>
            <w:noWrap/>
            <w:vAlign w:val="center"/>
          </w:tcPr>
          <w:p w14:paraId="272721B4" w14:textId="05700018"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gridSpan w:val="2"/>
            <w:tcBorders>
              <w:top w:val="nil"/>
              <w:left w:val="nil"/>
              <w:bottom w:val="nil"/>
              <w:right w:val="nil"/>
            </w:tcBorders>
            <w:shd w:val="clear" w:color="auto" w:fill="auto"/>
            <w:noWrap/>
            <w:vAlign w:val="center"/>
          </w:tcPr>
          <w:p w14:paraId="2344B256" w14:textId="34C04DEB"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0.2% </w:t>
            </w:r>
          </w:p>
        </w:tc>
        <w:tc>
          <w:tcPr>
            <w:tcW w:w="1260" w:type="dxa"/>
            <w:tcBorders>
              <w:top w:val="nil"/>
              <w:left w:val="nil"/>
              <w:bottom w:val="nil"/>
              <w:right w:val="nil"/>
            </w:tcBorders>
            <w:shd w:val="clear" w:color="auto" w:fill="auto"/>
            <w:noWrap/>
            <w:vAlign w:val="center"/>
          </w:tcPr>
          <w:p w14:paraId="1D7A4CB5" w14:textId="507A08DC"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tcBorders>
              <w:top w:val="nil"/>
              <w:left w:val="nil"/>
              <w:bottom w:val="nil"/>
              <w:right w:val="nil"/>
            </w:tcBorders>
            <w:shd w:val="clear" w:color="auto" w:fill="auto"/>
            <w:noWrap/>
            <w:vAlign w:val="center"/>
          </w:tcPr>
          <w:p w14:paraId="77DD8FD2" w14:textId="74B2CD9D"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r>
      <w:tr w:rsidR="0045362E" w:rsidRPr="004051A2" w14:paraId="5799BABD" w14:textId="77777777" w:rsidTr="005832BF">
        <w:trPr>
          <w:trHeight w:val="206"/>
        </w:trPr>
        <w:tc>
          <w:tcPr>
            <w:tcW w:w="3690" w:type="dxa"/>
            <w:tcBorders>
              <w:top w:val="nil"/>
              <w:left w:val="nil"/>
              <w:bottom w:val="nil"/>
              <w:right w:val="nil"/>
            </w:tcBorders>
            <w:shd w:val="clear" w:color="000000" w:fill="E8E9E9"/>
            <w:noWrap/>
            <w:vAlign w:val="center"/>
            <w:hideMark/>
          </w:tcPr>
          <w:p w14:paraId="737A5FB5" w14:textId="3FAD0A62" w:rsidR="0045362E" w:rsidRPr="004051A2" w:rsidRDefault="0045362E" w:rsidP="0045362E">
            <w:pPr>
              <w:spacing w:after="0" w:line="240" w:lineRule="auto"/>
              <w:rPr>
                <w:rFonts w:ascii="Arial" w:eastAsia="Times New Roman" w:hAnsi="Arial" w:cs="Arial"/>
                <w:color w:val="39414D"/>
                <w:szCs w:val="18"/>
              </w:rPr>
            </w:pPr>
            <w:r>
              <w:rPr>
                <w:rFonts w:ascii="Arial" w:hAnsi="Arial" w:cs="Arial"/>
                <w:color w:val="39414D"/>
                <w:szCs w:val="18"/>
              </w:rPr>
              <w:t>Assisted Living Tiers</w:t>
            </w:r>
          </w:p>
        </w:tc>
        <w:tc>
          <w:tcPr>
            <w:tcW w:w="990" w:type="dxa"/>
            <w:tcBorders>
              <w:top w:val="nil"/>
              <w:left w:val="nil"/>
              <w:bottom w:val="nil"/>
              <w:right w:val="nil"/>
            </w:tcBorders>
            <w:shd w:val="clear" w:color="000000" w:fill="E8E9E9"/>
            <w:noWrap/>
            <w:vAlign w:val="center"/>
          </w:tcPr>
          <w:p w14:paraId="38B6A7D4" w14:textId="0A86FD3E"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990" w:type="dxa"/>
            <w:gridSpan w:val="2"/>
            <w:tcBorders>
              <w:top w:val="nil"/>
              <w:left w:val="nil"/>
              <w:bottom w:val="nil"/>
              <w:right w:val="nil"/>
            </w:tcBorders>
            <w:shd w:val="clear" w:color="000000" w:fill="E8E9E9"/>
            <w:noWrap/>
            <w:vAlign w:val="center"/>
          </w:tcPr>
          <w:p w14:paraId="52513A45" w14:textId="77ADFB14"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2.9% </w:t>
            </w:r>
          </w:p>
        </w:tc>
        <w:tc>
          <w:tcPr>
            <w:tcW w:w="1260" w:type="dxa"/>
            <w:gridSpan w:val="2"/>
            <w:tcBorders>
              <w:top w:val="nil"/>
              <w:left w:val="nil"/>
              <w:bottom w:val="nil"/>
              <w:right w:val="nil"/>
            </w:tcBorders>
            <w:shd w:val="clear" w:color="000000" w:fill="E8E9E9"/>
            <w:noWrap/>
            <w:vAlign w:val="center"/>
          </w:tcPr>
          <w:p w14:paraId="11354322" w14:textId="68861A03"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4.0% </w:t>
            </w:r>
          </w:p>
        </w:tc>
        <w:tc>
          <w:tcPr>
            <w:tcW w:w="1260" w:type="dxa"/>
            <w:tcBorders>
              <w:top w:val="nil"/>
              <w:left w:val="nil"/>
              <w:bottom w:val="nil"/>
              <w:right w:val="nil"/>
            </w:tcBorders>
            <w:shd w:val="clear" w:color="000000" w:fill="E8E9E9"/>
            <w:noWrap/>
            <w:vAlign w:val="center"/>
          </w:tcPr>
          <w:p w14:paraId="435D2F91" w14:textId="7BA0C6B8"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tcBorders>
              <w:top w:val="nil"/>
              <w:left w:val="nil"/>
              <w:bottom w:val="nil"/>
              <w:right w:val="nil"/>
            </w:tcBorders>
            <w:shd w:val="clear" w:color="000000" w:fill="E8E9E9"/>
            <w:noWrap/>
            <w:vAlign w:val="center"/>
          </w:tcPr>
          <w:p w14:paraId="68F69AB3" w14:textId="61F474AE"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0.2% </w:t>
            </w:r>
          </w:p>
        </w:tc>
      </w:tr>
      <w:tr w:rsidR="0045362E" w:rsidRPr="004051A2" w14:paraId="0157FF04" w14:textId="77777777" w:rsidTr="005832BF">
        <w:trPr>
          <w:trHeight w:val="206"/>
        </w:trPr>
        <w:tc>
          <w:tcPr>
            <w:tcW w:w="3690" w:type="dxa"/>
            <w:tcBorders>
              <w:top w:val="nil"/>
              <w:left w:val="nil"/>
              <w:bottom w:val="nil"/>
              <w:right w:val="nil"/>
            </w:tcBorders>
            <w:shd w:val="clear" w:color="auto" w:fill="auto"/>
            <w:noWrap/>
            <w:vAlign w:val="center"/>
            <w:hideMark/>
          </w:tcPr>
          <w:p w14:paraId="3F9DCC36" w14:textId="623A9900" w:rsidR="0045362E" w:rsidRPr="004051A2" w:rsidRDefault="0045362E" w:rsidP="0045362E">
            <w:pPr>
              <w:spacing w:after="0" w:line="240" w:lineRule="auto"/>
              <w:rPr>
                <w:rFonts w:ascii="Arial" w:eastAsia="Times New Roman" w:hAnsi="Arial" w:cs="Arial"/>
                <w:color w:val="39414D"/>
                <w:szCs w:val="18"/>
              </w:rPr>
            </w:pPr>
            <w:r>
              <w:rPr>
                <w:rFonts w:ascii="Arial" w:hAnsi="Arial" w:cs="Arial"/>
                <w:color w:val="39414D"/>
                <w:szCs w:val="18"/>
              </w:rPr>
              <w:t>HCBS Shift Differential Increase</w:t>
            </w:r>
          </w:p>
        </w:tc>
        <w:tc>
          <w:tcPr>
            <w:tcW w:w="990" w:type="dxa"/>
            <w:tcBorders>
              <w:top w:val="nil"/>
              <w:left w:val="nil"/>
              <w:bottom w:val="nil"/>
              <w:right w:val="nil"/>
            </w:tcBorders>
            <w:shd w:val="clear" w:color="auto" w:fill="auto"/>
            <w:noWrap/>
            <w:vAlign w:val="center"/>
          </w:tcPr>
          <w:p w14:paraId="23B00E82" w14:textId="7A2D3084"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990" w:type="dxa"/>
            <w:gridSpan w:val="2"/>
            <w:tcBorders>
              <w:top w:val="nil"/>
              <w:left w:val="nil"/>
              <w:bottom w:val="nil"/>
              <w:right w:val="nil"/>
            </w:tcBorders>
            <w:shd w:val="clear" w:color="auto" w:fill="auto"/>
            <w:noWrap/>
            <w:vAlign w:val="center"/>
          </w:tcPr>
          <w:p w14:paraId="3429515E" w14:textId="32AB3B14"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gridSpan w:val="2"/>
            <w:tcBorders>
              <w:top w:val="nil"/>
              <w:left w:val="nil"/>
              <w:bottom w:val="nil"/>
              <w:right w:val="nil"/>
            </w:tcBorders>
            <w:shd w:val="clear" w:color="auto" w:fill="auto"/>
            <w:noWrap/>
            <w:vAlign w:val="center"/>
          </w:tcPr>
          <w:p w14:paraId="30234935" w14:textId="6E06434F"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0.5% </w:t>
            </w:r>
          </w:p>
        </w:tc>
        <w:tc>
          <w:tcPr>
            <w:tcW w:w="1260" w:type="dxa"/>
            <w:tcBorders>
              <w:top w:val="nil"/>
              <w:left w:val="nil"/>
              <w:bottom w:val="nil"/>
              <w:right w:val="nil"/>
            </w:tcBorders>
            <w:shd w:val="clear" w:color="auto" w:fill="auto"/>
            <w:noWrap/>
            <w:vAlign w:val="center"/>
          </w:tcPr>
          <w:p w14:paraId="54BC49B9" w14:textId="01510DC3"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tcBorders>
              <w:top w:val="nil"/>
              <w:left w:val="nil"/>
              <w:bottom w:val="nil"/>
              <w:right w:val="nil"/>
            </w:tcBorders>
            <w:shd w:val="clear" w:color="auto" w:fill="auto"/>
            <w:noWrap/>
            <w:vAlign w:val="center"/>
          </w:tcPr>
          <w:p w14:paraId="56652562" w14:textId="1D89A039"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r>
      <w:tr w:rsidR="0045362E" w:rsidRPr="004051A2" w14:paraId="4A1F5F10" w14:textId="77777777" w:rsidTr="005832BF">
        <w:trPr>
          <w:trHeight w:val="206"/>
        </w:trPr>
        <w:tc>
          <w:tcPr>
            <w:tcW w:w="3690" w:type="dxa"/>
            <w:tcBorders>
              <w:top w:val="nil"/>
              <w:left w:val="nil"/>
              <w:bottom w:val="nil"/>
              <w:right w:val="nil"/>
            </w:tcBorders>
            <w:shd w:val="clear" w:color="000000" w:fill="E8E9E9"/>
            <w:noWrap/>
            <w:vAlign w:val="center"/>
            <w:hideMark/>
          </w:tcPr>
          <w:p w14:paraId="27DEEAD6" w14:textId="1B6C16E8" w:rsidR="0045362E" w:rsidRPr="004051A2" w:rsidRDefault="0045362E" w:rsidP="0045362E">
            <w:pPr>
              <w:spacing w:after="0" w:line="240" w:lineRule="auto"/>
              <w:rPr>
                <w:rFonts w:ascii="Arial" w:eastAsia="Times New Roman" w:hAnsi="Arial" w:cs="Arial"/>
                <w:color w:val="39414D"/>
                <w:szCs w:val="18"/>
              </w:rPr>
            </w:pPr>
            <w:r>
              <w:rPr>
                <w:rFonts w:ascii="Arial" w:hAnsi="Arial" w:cs="Arial"/>
                <w:color w:val="39414D"/>
                <w:szCs w:val="18"/>
              </w:rPr>
              <w:t>Behavioral Health Cert Rate Enhancement</w:t>
            </w:r>
          </w:p>
        </w:tc>
        <w:tc>
          <w:tcPr>
            <w:tcW w:w="990" w:type="dxa"/>
            <w:tcBorders>
              <w:top w:val="nil"/>
              <w:left w:val="nil"/>
              <w:bottom w:val="nil"/>
              <w:right w:val="nil"/>
            </w:tcBorders>
            <w:shd w:val="clear" w:color="000000" w:fill="E8E9E9"/>
            <w:noWrap/>
            <w:vAlign w:val="center"/>
          </w:tcPr>
          <w:p w14:paraId="2DE3D7EE" w14:textId="43D46EE5"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990" w:type="dxa"/>
            <w:gridSpan w:val="2"/>
            <w:tcBorders>
              <w:top w:val="nil"/>
              <w:left w:val="nil"/>
              <w:bottom w:val="nil"/>
              <w:right w:val="nil"/>
            </w:tcBorders>
            <w:shd w:val="clear" w:color="000000" w:fill="E8E9E9"/>
            <w:noWrap/>
            <w:vAlign w:val="center"/>
          </w:tcPr>
          <w:p w14:paraId="18DF8FAE" w14:textId="47AF1168"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gridSpan w:val="2"/>
            <w:tcBorders>
              <w:top w:val="nil"/>
              <w:left w:val="nil"/>
              <w:bottom w:val="nil"/>
              <w:right w:val="nil"/>
            </w:tcBorders>
            <w:shd w:val="clear" w:color="000000" w:fill="E8E9E9"/>
            <w:noWrap/>
            <w:vAlign w:val="center"/>
          </w:tcPr>
          <w:p w14:paraId="5397C99C" w14:textId="223BAC95"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0.5% </w:t>
            </w:r>
          </w:p>
        </w:tc>
        <w:tc>
          <w:tcPr>
            <w:tcW w:w="1260" w:type="dxa"/>
            <w:tcBorders>
              <w:top w:val="nil"/>
              <w:left w:val="nil"/>
              <w:bottom w:val="nil"/>
              <w:right w:val="nil"/>
            </w:tcBorders>
            <w:shd w:val="clear" w:color="000000" w:fill="E8E9E9"/>
            <w:noWrap/>
            <w:vAlign w:val="center"/>
          </w:tcPr>
          <w:p w14:paraId="011E3B22" w14:textId="665895E3"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c>
          <w:tcPr>
            <w:tcW w:w="1260" w:type="dxa"/>
            <w:tcBorders>
              <w:top w:val="nil"/>
              <w:left w:val="nil"/>
              <w:bottom w:val="nil"/>
              <w:right w:val="nil"/>
            </w:tcBorders>
            <w:shd w:val="clear" w:color="000000" w:fill="E8E9E9"/>
            <w:noWrap/>
            <w:vAlign w:val="center"/>
          </w:tcPr>
          <w:p w14:paraId="7FCF2DDC" w14:textId="6F7B036C" w:rsidR="0045362E" w:rsidRPr="00E85F5F"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0.0% </w:t>
            </w:r>
          </w:p>
        </w:tc>
      </w:tr>
    </w:tbl>
    <w:p w14:paraId="3286B0EB" w14:textId="06268FCE" w:rsidR="00292769" w:rsidRPr="006B42A9" w:rsidRDefault="00292769" w:rsidP="00292769">
      <w:pPr>
        <w:pStyle w:val="RRBullet1"/>
        <w:numPr>
          <w:ilvl w:val="0"/>
          <w:numId w:val="0"/>
        </w:numPr>
        <w:spacing w:after="0"/>
        <w:rPr>
          <w:rFonts w:ascii="Arial" w:eastAsia="Times New Roman" w:hAnsi="Arial" w:cs="Arial"/>
          <w:color w:val="727A7D"/>
          <w:sz w:val="16"/>
          <w:szCs w:val="16"/>
        </w:rPr>
      </w:pPr>
      <w:r w:rsidRPr="00292769">
        <w:rPr>
          <w:rFonts w:ascii="Arial" w:eastAsia="Times New Roman" w:hAnsi="Arial" w:cs="Arial"/>
          <w:color w:val="727A7D"/>
          <w:sz w:val="16"/>
          <w:szCs w:val="16"/>
        </w:rPr>
        <w:t xml:space="preserve"> </w:t>
      </w:r>
      <w:r w:rsidRPr="006B42A9">
        <w:rPr>
          <w:rFonts w:ascii="Arial" w:eastAsia="Times New Roman" w:hAnsi="Arial" w:cs="Arial"/>
          <w:color w:val="727A7D"/>
          <w:sz w:val="16"/>
          <w:szCs w:val="16"/>
        </w:rPr>
        <w:t>Note:</w:t>
      </w:r>
      <w:r>
        <w:rPr>
          <w:rFonts w:ascii="Arial" w:eastAsia="Times New Roman" w:hAnsi="Arial" w:cs="Arial"/>
          <w:color w:val="727A7D"/>
          <w:sz w:val="16"/>
          <w:szCs w:val="16"/>
        </w:rPr>
        <w:t xml:space="preserve"> Percentage illustrated represents the percent impact to total costs for the rate cell.</w:t>
      </w:r>
    </w:p>
    <w:p w14:paraId="6753202C" w14:textId="5B50AD33" w:rsidR="00E7083F" w:rsidRDefault="00E7083F" w:rsidP="006B7609">
      <w:pPr>
        <w:pStyle w:val="RRNumberedBullet1"/>
        <w:numPr>
          <w:ilvl w:val="0"/>
          <w:numId w:val="30"/>
        </w:numPr>
        <w:spacing w:before="120"/>
      </w:pPr>
      <w:r w:rsidRPr="00F0656A">
        <w:rPr>
          <w:b/>
          <w:bCs/>
        </w:rPr>
        <w:t>HCBS Maintenance of Need</w:t>
      </w:r>
      <w:r w:rsidR="00EE0356">
        <w:rPr>
          <w:b/>
          <w:bCs/>
        </w:rPr>
        <w:t>s</w:t>
      </w:r>
      <w:r w:rsidRPr="00F0656A">
        <w:rPr>
          <w:b/>
          <w:bCs/>
        </w:rPr>
        <w:t xml:space="preserve"> Allowance Increase:</w:t>
      </w:r>
      <w:r>
        <w:t xml:space="preserve"> Effective September 1, 2021, the maintenance of need allowance for HCBS was increased from 100% of the Federal Poverty Line (FPL) plus twenty dollars to 300% of the Federal </w:t>
      </w:r>
      <w:r w:rsidR="00EE0356">
        <w:t>Supplemental</w:t>
      </w:r>
      <w:r>
        <w:t xml:space="preserve"> Security Income (SSI) standard. This allows individuals living in the community receiving HCBS to keep more of their income for living expenses. </w:t>
      </w:r>
      <w:r w:rsidR="007A5BCB">
        <w:t>Based on discussion with EOHHS, w</w:t>
      </w:r>
      <w:r>
        <w:t xml:space="preserve">e assumed elimination of </w:t>
      </w:r>
      <w:r w:rsidR="00294248">
        <w:t xml:space="preserve">HCBS </w:t>
      </w:r>
      <w:r>
        <w:t xml:space="preserve">patient share </w:t>
      </w:r>
      <w:r w:rsidR="009A0CD9">
        <w:t xml:space="preserve">for the SFY </w:t>
      </w:r>
      <w:r w:rsidR="00C36C54">
        <w:t xml:space="preserve">2023 </w:t>
      </w:r>
      <w:r w:rsidR="009A0CD9">
        <w:t>rating period</w:t>
      </w:r>
      <w:r>
        <w:t>.</w:t>
      </w:r>
    </w:p>
    <w:p w14:paraId="0699B9B1" w14:textId="3E769BA9" w:rsidR="00294248" w:rsidRPr="00F0656A" w:rsidRDefault="00E7083F" w:rsidP="00E7083F">
      <w:pPr>
        <w:pStyle w:val="RRNumberedBullet1"/>
        <w:numPr>
          <w:ilvl w:val="0"/>
          <w:numId w:val="30"/>
        </w:numPr>
        <w:spacing w:before="120"/>
        <w:rPr>
          <w:b/>
        </w:rPr>
      </w:pPr>
      <w:r>
        <w:rPr>
          <w:b/>
        </w:rPr>
        <w:t xml:space="preserve">Shared Living Increase: </w:t>
      </w:r>
      <w:r>
        <w:rPr>
          <w:bCs/>
        </w:rPr>
        <w:t>Effective July 1, 2021</w:t>
      </w:r>
      <w:r w:rsidR="00294248">
        <w:rPr>
          <w:bCs/>
        </w:rPr>
        <w:t>,</w:t>
      </w:r>
      <w:r>
        <w:rPr>
          <w:bCs/>
        </w:rPr>
        <w:t xml:space="preserve"> </w:t>
      </w:r>
      <w:r w:rsidR="00294248" w:rsidRPr="00294248">
        <w:rPr>
          <w:bCs/>
        </w:rPr>
        <w:t xml:space="preserve">adult companion care (procedure code S5136) reimbursement in shared living settings </w:t>
      </w:r>
      <w:r w:rsidR="00294248">
        <w:rPr>
          <w:bCs/>
        </w:rPr>
        <w:t>was</w:t>
      </w:r>
      <w:r w:rsidR="00294248" w:rsidRPr="00294248">
        <w:rPr>
          <w:bCs/>
        </w:rPr>
        <w:t xml:space="preserve"> increased by 10%</w:t>
      </w:r>
      <w:r w:rsidR="00294248">
        <w:rPr>
          <w:bCs/>
        </w:rPr>
        <w:t>.</w:t>
      </w:r>
      <w:r w:rsidR="00294248" w:rsidRPr="00294248">
        <w:rPr>
          <w:bCs/>
        </w:rPr>
        <w:t xml:space="preserve"> </w:t>
      </w:r>
      <w:r w:rsidR="00F12BB8">
        <w:t>We estimated the fiscal impact of the reimbursement increase based on historical utilization for this code.</w:t>
      </w:r>
    </w:p>
    <w:p w14:paraId="5437F142" w14:textId="1FB054F2" w:rsidR="00F12BB8" w:rsidRPr="00F0656A" w:rsidRDefault="00E7083F">
      <w:pPr>
        <w:pStyle w:val="RRNumberedBullet1"/>
        <w:numPr>
          <w:ilvl w:val="0"/>
          <w:numId w:val="30"/>
        </w:numPr>
        <w:spacing w:before="120"/>
        <w:rPr>
          <w:b/>
        </w:rPr>
      </w:pPr>
      <w:r>
        <w:rPr>
          <w:b/>
        </w:rPr>
        <w:t xml:space="preserve">Assisted Living Tiers: </w:t>
      </w:r>
      <w:r w:rsidR="00294248" w:rsidRPr="00F0656A">
        <w:rPr>
          <w:bCs/>
        </w:rPr>
        <w:t xml:space="preserve">Effective November 1, 2021, assisted living services </w:t>
      </w:r>
      <w:r w:rsidR="00294248">
        <w:rPr>
          <w:bCs/>
        </w:rPr>
        <w:t>was</w:t>
      </w:r>
      <w:r w:rsidR="00294248" w:rsidRPr="00F0656A">
        <w:rPr>
          <w:bCs/>
        </w:rPr>
        <w:t xml:space="preserve"> reimbursed under a tiered rating system. Tiers A and B (Basic and Enhanced, respectively) </w:t>
      </w:r>
      <w:r w:rsidR="00294248">
        <w:rPr>
          <w:bCs/>
        </w:rPr>
        <w:t>were</w:t>
      </w:r>
      <w:r w:rsidR="00294248" w:rsidRPr="00F0656A">
        <w:rPr>
          <w:bCs/>
        </w:rPr>
        <w:t xml:space="preserve"> effective November 1, 2021, with a third tier (Tier C: Intensive/Highly Specialized) expected to be effective January 1, 2022. The tiered reimbursement replaces the current assisted living reimbursement under procedure code T2031</w:t>
      </w:r>
      <w:r w:rsidRPr="00294248">
        <w:rPr>
          <w:bCs/>
        </w:rPr>
        <w:t>.</w:t>
      </w:r>
      <w:r w:rsidR="00294248" w:rsidRPr="00294248">
        <w:rPr>
          <w:bCs/>
        </w:rPr>
        <w:t xml:space="preserve"> </w:t>
      </w:r>
    </w:p>
    <w:p w14:paraId="2E958A58" w14:textId="367A443D" w:rsidR="00E7083F" w:rsidRDefault="00F12BB8" w:rsidP="00F0656A">
      <w:pPr>
        <w:pStyle w:val="RRNumberedBullet1"/>
        <w:numPr>
          <w:ilvl w:val="0"/>
          <w:numId w:val="0"/>
        </w:numPr>
        <w:spacing w:before="120"/>
        <w:ind w:left="360"/>
        <w:rPr>
          <w:bCs/>
        </w:rPr>
      </w:pPr>
      <w:r>
        <w:rPr>
          <w:bCs/>
        </w:rPr>
        <w:t>The fiscal impact of this program was developed by comparing the estimated composite cost per diem for the tiered rates (approximately $96) to the current assisted living per diem ($69.00) for the effective periods. In addition, we estimated a composite reduction of other Medicaid services of approximately $2.50 attributable to the enhanced services that will be provided in the Tier B and Tier C benefit based on discussions with EOHHS.</w:t>
      </w:r>
    </w:p>
    <w:p w14:paraId="0B98972E" w14:textId="74808D15" w:rsidR="00DC1BCB" w:rsidRDefault="00DC1BCB" w:rsidP="00F0656A">
      <w:pPr>
        <w:pStyle w:val="RRNumberedBullet1"/>
        <w:numPr>
          <w:ilvl w:val="0"/>
          <w:numId w:val="0"/>
        </w:numPr>
        <w:spacing w:before="120"/>
        <w:ind w:left="360"/>
        <w:rPr>
          <w:bCs/>
        </w:rPr>
      </w:pPr>
    </w:p>
    <w:p w14:paraId="02B15279" w14:textId="77777777" w:rsidR="00DC1BCB" w:rsidRPr="00E7083F" w:rsidRDefault="00DC1BCB" w:rsidP="00F0656A">
      <w:pPr>
        <w:pStyle w:val="RRNumberedBullet1"/>
        <w:numPr>
          <w:ilvl w:val="0"/>
          <w:numId w:val="0"/>
        </w:numPr>
        <w:spacing w:before="120"/>
        <w:ind w:left="360"/>
        <w:rPr>
          <w:b/>
        </w:rPr>
      </w:pPr>
    </w:p>
    <w:p w14:paraId="5E5BC9A5" w14:textId="6A3074FA" w:rsidR="006B7609" w:rsidRDefault="007B2F29" w:rsidP="006B7609">
      <w:pPr>
        <w:pStyle w:val="RRNumberedBullet1"/>
        <w:numPr>
          <w:ilvl w:val="0"/>
          <w:numId w:val="30"/>
        </w:numPr>
        <w:spacing w:before="120"/>
      </w:pPr>
      <w:r>
        <w:rPr>
          <w:b/>
        </w:rPr>
        <w:lastRenderedPageBreak/>
        <w:t>HCBS Shift Differential Increase</w:t>
      </w:r>
      <w:r w:rsidR="006B7609">
        <w:rPr>
          <w:b/>
        </w:rPr>
        <w:t>:</w:t>
      </w:r>
      <w:r w:rsidR="006B7609">
        <w:t xml:space="preserve"> </w:t>
      </w:r>
      <w:r w:rsidR="00294248" w:rsidRPr="00294248">
        <w:t xml:space="preserve">Effective July 1, 2021, the </w:t>
      </w:r>
      <w:r w:rsidR="00E862B9">
        <w:t xml:space="preserve">managed care </w:t>
      </w:r>
      <w:r w:rsidR="00294248" w:rsidRPr="00294248">
        <w:t xml:space="preserve">shift differential rate enhancement for Personal Care and Combined Personal Care/Homemaker services increased </w:t>
      </w:r>
      <w:r w:rsidR="00C36C54">
        <w:t>by $0.19</w:t>
      </w:r>
      <w:r w:rsidR="00294248" w:rsidRPr="00294248">
        <w:t>. The shift differential applies to services provided on an evening, night, or weekend/holiday (as indicated by procedure code modifiers UH, UJ, or TV)</w:t>
      </w:r>
      <w:r w:rsidR="006B7609">
        <w:t>.</w:t>
      </w:r>
      <w:r w:rsidR="00F12BB8">
        <w:t xml:space="preserve"> We estimated the fiscal impact of the reimbursement increase based on historical utilization for these codes.</w:t>
      </w:r>
    </w:p>
    <w:p w14:paraId="0253A4EC" w14:textId="0471B5E9" w:rsidR="006B7609" w:rsidRPr="004E54E8" w:rsidRDefault="00E7083F" w:rsidP="006B7609">
      <w:pPr>
        <w:pStyle w:val="RRNumberedBullet1"/>
        <w:numPr>
          <w:ilvl w:val="0"/>
          <w:numId w:val="30"/>
        </w:numPr>
        <w:spacing w:before="120"/>
        <w:rPr>
          <w:b/>
        </w:rPr>
      </w:pPr>
      <w:r>
        <w:rPr>
          <w:b/>
        </w:rPr>
        <w:t>Behavioral Healthcare Certification Rate Enhancement</w:t>
      </w:r>
      <w:r w:rsidR="006B7609">
        <w:rPr>
          <w:b/>
        </w:rPr>
        <w:t>:</w:t>
      </w:r>
      <w:r w:rsidR="006B7609">
        <w:t xml:space="preserve"> </w:t>
      </w:r>
      <w:r w:rsidR="00D61D96" w:rsidRPr="00D61D96">
        <w:t>Effective January 1, 2022, Personal Care, Combined Personal Care/Homemaker, and Homemaker only services performed by providers with 30% of direct care workers certified in behavioral health care training receive a base rate enhancement of $0.39 per fifteen minutes</w:t>
      </w:r>
      <w:r w:rsidR="00A551CA">
        <w:t>.</w:t>
      </w:r>
      <w:r w:rsidR="00130609">
        <w:t xml:space="preserve"> </w:t>
      </w:r>
      <w:r w:rsidR="00D61D96">
        <w:t xml:space="preserve">We assumed </w:t>
      </w:r>
      <w:r w:rsidR="00C36C54">
        <w:t xml:space="preserve">fifteen </w:t>
      </w:r>
      <w:r w:rsidR="00130609">
        <w:t>percent (</w:t>
      </w:r>
      <w:r w:rsidR="00C36C54">
        <w:t>15</w:t>
      </w:r>
      <w:r w:rsidR="00130609">
        <w:t xml:space="preserve">%) of providers performing services under procedure codes S5125 or S5130 </w:t>
      </w:r>
      <w:r w:rsidR="00D61D96">
        <w:t>met</w:t>
      </w:r>
      <w:r w:rsidR="00130609">
        <w:t xml:space="preserve"> this threshold</w:t>
      </w:r>
      <w:r w:rsidR="00D61D96">
        <w:t xml:space="preserve"> based on discussions with EOHHS</w:t>
      </w:r>
      <w:r w:rsidR="00130609">
        <w:t>.</w:t>
      </w:r>
      <w:r w:rsidR="00D61D96" w:rsidRPr="00D61D96">
        <w:t xml:space="preserve"> </w:t>
      </w:r>
      <w:r w:rsidR="00D61D96">
        <w:t>We estimated the fiscal impact of the reimbursement increase based on this assumption</w:t>
      </w:r>
      <w:r w:rsidR="00D07453">
        <w:t xml:space="preserve"> and</w:t>
      </w:r>
      <w:r w:rsidR="00D61D96">
        <w:t xml:space="preserve"> historical utilization for these codes.</w:t>
      </w:r>
    </w:p>
    <w:p w14:paraId="2879FF30" w14:textId="5B6F29B2" w:rsidR="00A9240D" w:rsidRPr="00F0656A" w:rsidRDefault="00A9240D" w:rsidP="006B7609">
      <w:pPr>
        <w:pStyle w:val="RRNumberedBullet1"/>
        <w:numPr>
          <w:ilvl w:val="0"/>
          <w:numId w:val="30"/>
        </w:numPr>
        <w:spacing w:before="120"/>
        <w:rPr>
          <w:b/>
        </w:rPr>
      </w:pPr>
      <w:r>
        <w:rPr>
          <w:b/>
        </w:rPr>
        <w:t>Long-Term Services and Supports Alternative Payment Methodology:</w:t>
      </w:r>
      <w:r>
        <w:rPr>
          <w:bCs/>
        </w:rPr>
        <w:t xml:space="preserve"> Beginning July 1, 2022, </w:t>
      </w:r>
      <w:r w:rsidR="00CF2F19">
        <w:rPr>
          <w:bCs/>
        </w:rPr>
        <w:t xml:space="preserve">Rhode Island will be piloting a program to provide funding to home care agencies for building capacity to participate in this measurement-based incentive program. The program consists of three phases: Phase 1 readiness period from July 1, 2022 through December 31, 2022, Phase 2 pay for reporting period </w:t>
      </w:r>
      <w:r w:rsidR="005E7BB3">
        <w:rPr>
          <w:bCs/>
        </w:rPr>
        <w:t>in</w:t>
      </w:r>
      <w:r w:rsidR="00CF2F19">
        <w:rPr>
          <w:bCs/>
        </w:rPr>
        <w:t xml:space="preserve"> calendar year 2023, and Phase 3 pay for performance period </w:t>
      </w:r>
      <w:r w:rsidR="005E7BB3">
        <w:rPr>
          <w:bCs/>
        </w:rPr>
        <w:t xml:space="preserve">in </w:t>
      </w:r>
      <w:r w:rsidR="00CF2F19">
        <w:rPr>
          <w:bCs/>
        </w:rPr>
        <w:t>calendar years 2024 through 2027. We utilized home care utilization experience to allocate the defined funding for Phase 1 ($2.5 million) and the first half of Phase 2 ($1.875 million)</w:t>
      </w:r>
      <w:r w:rsidR="00E047C2">
        <w:rPr>
          <w:bCs/>
        </w:rPr>
        <w:t xml:space="preserve"> by population.</w:t>
      </w:r>
      <w:r w:rsidR="005E7BB3">
        <w:rPr>
          <w:bCs/>
        </w:rPr>
        <w:t xml:space="preserve">  The resulting PMPM adjustments are illustrated in Appendix 5. The operational requirements of the state directed payment are described further in Section 4.D.</w:t>
      </w:r>
    </w:p>
    <w:p w14:paraId="1A652F04" w14:textId="07AC5B48" w:rsidR="00B92939" w:rsidRPr="00F4499C" w:rsidRDefault="00B92939" w:rsidP="004944A8">
      <w:pPr>
        <w:pStyle w:val="RRCalloutSmallMBlue"/>
        <w:spacing w:before="120"/>
        <w:rPr>
          <w:b/>
        </w:rPr>
      </w:pPr>
      <w:r w:rsidRPr="00F4499C">
        <w:rPr>
          <w:b/>
        </w:rPr>
        <w:t xml:space="preserve">Step </w:t>
      </w:r>
      <w:r w:rsidR="00317C53">
        <w:rPr>
          <w:b/>
        </w:rPr>
        <w:t>5</w:t>
      </w:r>
      <w:r w:rsidRPr="00F4499C">
        <w:rPr>
          <w:b/>
        </w:rPr>
        <w:t xml:space="preserve">: Adjust for prospective </w:t>
      </w:r>
      <w:r w:rsidR="003E6A95" w:rsidRPr="00F4499C">
        <w:rPr>
          <w:b/>
        </w:rPr>
        <w:t>acuity</w:t>
      </w:r>
      <w:r w:rsidRPr="00F4499C">
        <w:rPr>
          <w:b/>
        </w:rPr>
        <w:t xml:space="preserve"> </w:t>
      </w:r>
      <w:r w:rsidR="004E55FE">
        <w:rPr>
          <w:b/>
        </w:rPr>
        <w:t xml:space="preserve">and emerging experience </w:t>
      </w:r>
      <w:r w:rsidRPr="00F4499C">
        <w:rPr>
          <w:b/>
        </w:rPr>
        <w:t>changes</w:t>
      </w:r>
      <w:r w:rsidR="004414B9" w:rsidRPr="00F4499C">
        <w:rPr>
          <w:b/>
        </w:rPr>
        <w:t xml:space="preserve"> </w:t>
      </w:r>
    </w:p>
    <w:p w14:paraId="3D6E6E63" w14:textId="1B6C118B" w:rsidR="00F07584" w:rsidRDefault="00B92939" w:rsidP="00B94738">
      <w:pPr>
        <w:pStyle w:val="RRBody"/>
      </w:pPr>
      <w:bookmarkStart w:id="216" w:name="_Hlk80081144"/>
      <w:bookmarkStart w:id="217" w:name="_Hlk80081157"/>
      <w:r>
        <w:t xml:space="preserve">The </w:t>
      </w:r>
      <w:r w:rsidR="00C36C54">
        <w:t>SFY 2021</w:t>
      </w:r>
      <w:r w:rsidRPr="003D0595">
        <w:t xml:space="preserve"> </w:t>
      </w:r>
      <w:bookmarkEnd w:id="216"/>
      <w:r w:rsidRPr="003D0595">
        <w:t xml:space="preserve">base experience </w:t>
      </w:r>
      <w:r w:rsidR="0040703E">
        <w:t>was</w:t>
      </w:r>
      <w:r w:rsidRPr="003D0595">
        <w:t xml:space="preserve"> adjusted for </w:t>
      </w:r>
      <w:r w:rsidR="00C3237F">
        <w:t xml:space="preserve">population mix differences between the </w:t>
      </w:r>
      <w:r w:rsidR="00C86015">
        <w:t>fee-for-service experience</w:t>
      </w:r>
      <w:r w:rsidR="00C3237F">
        <w:t xml:space="preserve"> and </w:t>
      </w:r>
      <w:r w:rsidR="00F172A5">
        <w:t>MMP</w:t>
      </w:r>
      <w:r w:rsidR="00C3237F">
        <w:t xml:space="preserve"> populations</w:t>
      </w:r>
      <w:r w:rsidRPr="003D0595">
        <w:t xml:space="preserve">. </w:t>
      </w:r>
      <w:r w:rsidR="00C3237F" w:rsidRPr="00CA2F57">
        <w:t xml:space="preserve">Figure </w:t>
      </w:r>
      <w:r w:rsidR="00DC7441">
        <w:t>8</w:t>
      </w:r>
      <w:r w:rsidR="00DC7441" w:rsidRPr="00CA2F57">
        <w:t xml:space="preserve"> </w:t>
      </w:r>
      <w:r w:rsidR="004414B9" w:rsidRPr="00CA2F57">
        <w:t>ill</w:t>
      </w:r>
      <w:r w:rsidR="004414B9">
        <w:t xml:space="preserve">ustrates the </w:t>
      </w:r>
      <w:r w:rsidR="00F746F4">
        <w:t>estimated impact</w:t>
      </w:r>
      <w:r w:rsidR="004414B9">
        <w:t xml:space="preserve"> of the </w:t>
      </w:r>
      <w:r w:rsidR="003E6A95">
        <w:t>acuity</w:t>
      </w:r>
      <w:r w:rsidR="003E6A95" w:rsidRPr="00816BFF">
        <w:t xml:space="preserve"> </w:t>
      </w:r>
      <w:r w:rsidR="00F746F4">
        <w:t xml:space="preserve">differences between the </w:t>
      </w:r>
      <w:r w:rsidR="00C86015">
        <w:t>fee-for-service experience</w:t>
      </w:r>
      <w:r w:rsidR="00F746F4">
        <w:t xml:space="preserve"> and </w:t>
      </w:r>
      <w:r w:rsidR="00F172A5">
        <w:t>MMP</w:t>
      </w:r>
      <w:r w:rsidR="00F746F4">
        <w:t xml:space="preserve"> populations </w:t>
      </w:r>
      <w:r w:rsidR="004414B9" w:rsidRPr="008F293C">
        <w:t xml:space="preserve">by </w:t>
      </w:r>
      <w:r w:rsidR="003E6A95">
        <w:t xml:space="preserve">rate cell </w:t>
      </w:r>
      <w:r w:rsidR="004414B9">
        <w:t xml:space="preserve">and </w:t>
      </w:r>
      <w:r w:rsidR="00F746F4">
        <w:t>service category</w:t>
      </w:r>
      <w:r w:rsidR="004414B9" w:rsidRPr="00816BFF">
        <w:t>.</w:t>
      </w:r>
      <w:r w:rsidR="004414B9">
        <w:t xml:space="preserve"> </w:t>
      </w:r>
      <w:bookmarkEnd w:id="217"/>
    </w:p>
    <w:tbl>
      <w:tblPr>
        <w:tblW w:w="9620" w:type="dxa"/>
        <w:tblInd w:w="-90" w:type="dxa"/>
        <w:tblLook w:val="04A0" w:firstRow="1" w:lastRow="0" w:firstColumn="1" w:lastColumn="0" w:noHBand="0" w:noVBand="1"/>
      </w:tblPr>
      <w:tblGrid>
        <w:gridCol w:w="1620"/>
        <w:gridCol w:w="1736"/>
        <w:gridCol w:w="1281"/>
        <w:gridCol w:w="797"/>
        <w:gridCol w:w="827"/>
        <w:gridCol w:w="1206"/>
        <w:gridCol w:w="897"/>
        <w:gridCol w:w="1206"/>
        <w:gridCol w:w="50"/>
      </w:tblGrid>
      <w:tr w:rsidR="00305EE8" w:rsidRPr="007A3AE0" w14:paraId="223B5BDE" w14:textId="77777777" w:rsidTr="00305EE8">
        <w:trPr>
          <w:trHeight w:val="227"/>
        </w:trPr>
        <w:tc>
          <w:tcPr>
            <w:tcW w:w="9620" w:type="dxa"/>
            <w:gridSpan w:val="9"/>
            <w:tcBorders>
              <w:top w:val="nil"/>
              <w:left w:val="nil"/>
              <w:bottom w:val="nil"/>
              <w:right w:val="nil"/>
            </w:tcBorders>
          </w:tcPr>
          <w:p w14:paraId="269E4EA2" w14:textId="50751435" w:rsidR="00305EE8" w:rsidRPr="007A3AE0" w:rsidRDefault="00305EE8" w:rsidP="007A3AE0">
            <w:pPr>
              <w:spacing w:after="0" w:line="240" w:lineRule="auto"/>
              <w:rPr>
                <w:rFonts w:ascii="Times New Roman" w:eastAsia="Times New Roman" w:hAnsi="Times New Roman" w:cs="Times New Roman"/>
                <w:sz w:val="20"/>
                <w:szCs w:val="20"/>
              </w:rPr>
            </w:pPr>
            <w:r w:rsidRPr="00CA2F57">
              <w:rPr>
                <w:rFonts w:ascii="Arial" w:eastAsia="Times New Roman" w:hAnsi="Arial" w:cs="Arial"/>
                <w:b/>
                <w:bCs/>
                <w:color w:val="0081E3"/>
                <w:szCs w:val="18"/>
              </w:rPr>
              <w:t xml:space="preserve">FIGURE </w:t>
            </w:r>
            <w:r>
              <w:rPr>
                <w:rFonts w:ascii="Arial" w:eastAsia="Times New Roman" w:hAnsi="Arial" w:cs="Arial"/>
                <w:b/>
                <w:bCs/>
                <w:color w:val="0081E3"/>
                <w:szCs w:val="18"/>
              </w:rPr>
              <w:t>8: PROSPECTIVE ACUITY AND EMERGING EXPERIENCE ADJUSTMENTS</w:t>
            </w:r>
          </w:p>
        </w:tc>
      </w:tr>
      <w:tr w:rsidR="00305EE8" w:rsidRPr="007A3AE0" w14:paraId="2A4C2BD9" w14:textId="77777777" w:rsidTr="00305EE8">
        <w:trPr>
          <w:gridAfter w:val="1"/>
          <w:wAfter w:w="52" w:type="dxa"/>
          <w:trHeight w:val="243"/>
        </w:trPr>
        <w:tc>
          <w:tcPr>
            <w:tcW w:w="1620" w:type="dxa"/>
            <w:tcBorders>
              <w:top w:val="nil"/>
              <w:left w:val="nil"/>
              <w:bottom w:val="single" w:sz="4" w:space="0" w:color="C6C9CA"/>
              <w:right w:val="nil"/>
            </w:tcBorders>
            <w:shd w:val="clear" w:color="auto" w:fill="auto"/>
            <w:vAlign w:val="bottom"/>
            <w:hideMark/>
          </w:tcPr>
          <w:p w14:paraId="5A402445" w14:textId="7B75CD26" w:rsidR="00305EE8" w:rsidRPr="007A3AE0" w:rsidRDefault="00305EE8" w:rsidP="00305EE8">
            <w:pPr>
              <w:spacing w:after="0" w:line="240" w:lineRule="auto"/>
              <w:rPr>
                <w:rFonts w:ascii="Arial" w:eastAsia="Times New Roman" w:hAnsi="Arial" w:cs="Arial"/>
                <w:b/>
                <w:bCs/>
                <w:color w:val="39414D"/>
                <w:szCs w:val="18"/>
              </w:rPr>
            </w:pPr>
            <w:r>
              <w:rPr>
                <w:rFonts w:ascii="Arial" w:eastAsia="Times New Roman" w:hAnsi="Arial" w:cs="Arial"/>
                <w:b/>
                <w:bCs/>
                <w:color w:val="39414D"/>
                <w:szCs w:val="18"/>
              </w:rPr>
              <w:t>Adjustment</w:t>
            </w:r>
          </w:p>
        </w:tc>
        <w:tc>
          <w:tcPr>
            <w:tcW w:w="1757" w:type="dxa"/>
            <w:tcBorders>
              <w:top w:val="nil"/>
              <w:left w:val="nil"/>
              <w:bottom w:val="single" w:sz="4" w:space="0" w:color="C6C9CA"/>
              <w:right w:val="nil"/>
            </w:tcBorders>
            <w:vAlign w:val="bottom"/>
          </w:tcPr>
          <w:p w14:paraId="1B5D4AF0" w14:textId="62EBDD21" w:rsidR="00305EE8" w:rsidRDefault="00305EE8" w:rsidP="00305EE8">
            <w:pPr>
              <w:spacing w:after="0" w:line="240" w:lineRule="auto"/>
              <w:ind w:left="-14"/>
              <w:rPr>
                <w:rFonts w:ascii="Arial" w:eastAsia="Times New Roman" w:hAnsi="Arial" w:cs="Arial"/>
                <w:b/>
                <w:bCs/>
                <w:color w:val="39414D"/>
                <w:szCs w:val="18"/>
              </w:rPr>
            </w:pPr>
            <w:r>
              <w:rPr>
                <w:rFonts w:ascii="Arial" w:eastAsia="Times New Roman" w:hAnsi="Arial" w:cs="Arial"/>
                <w:b/>
                <w:bCs/>
                <w:color w:val="39414D"/>
                <w:szCs w:val="18"/>
              </w:rPr>
              <w:t>Service Category</w:t>
            </w:r>
          </w:p>
        </w:tc>
        <w:tc>
          <w:tcPr>
            <w:tcW w:w="1288" w:type="dxa"/>
            <w:tcBorders>
              <w:top w:val="nil"/>
              <w:left w:val="nil"/>
              <w:bottom w:val="single" w:sz="4" w:space="0" w:color="C6C9CA"/>
              <w:right w:val="nil"/>
            </w:tcBorders>
            <w:vAlign w:val="bottom"/>
          </w:tcPr>
          <w:p w14:paraId="2BCA9E49" w14:textId="0F6B1DA7" w:rsidR="00305EE8" w:rsidRPr="003E6A95" w:rsidRDefault="00305EE8" w:rsidP="00305EE8">
            <w:pPr>
              <w:spacing w:after="0" w:line="240" w:lineRule="auto"/>
              <w:ind w:left="-14"/>
              <w:rPr>
                <w:rFonts w:ascii="Arial" w:eastAsia="Times New Roman" w:hAnsi="Arial" w:cs="Arial"/>
                <w:b/>
                <w:bCs/>
                <w:color w:val="39414D"/>
                <w:szCs w:val="18"/>
              </w:rPr>
            </w:pPr>
            <w:r>
              <w:rPr>
                <w:rFonts w:ascii="Arial" w:eastAsia="Times New Roman" w:hAnsi="Arial" w:cs="Arial"/>
                <w:b/>
                <w:bCs/>
                <w:color w:val="39414D"/>
                <w:szCs w:val="18"/>
              </w:rPr>
              <w:t>Population</w:t>
            </w:r>
          </w:p>
        </w:tc>
        <w:tc>
          <w:tcPr>
            <w:tcW w:w="797" w:type="dxa"/>
            <w:tcBorders>
              <w:top w:val="nil"/>
              <w:left w:val="nil"/>
              <w:bottom w:val="single" w:sz="4" w:space="0" w:color="C6C9CA"/>
              <w:right w:val="nil"/>
            </w:tcBorders>
            <w:shd w:val="clear" w:color="auto" w:fill="auto"/>
            <w:vAlign w:val="bottom"/>
            <w:hideMark/>
          </w:tcPr>
          <w:p w14:paraId="69BC55FD" w14:textId="0A486535" w:rsidR="00305EE8" w:rsidRPr="007A3AE0" w:rsidRDefault="00305EE8" w:rsidP="00305EE8">
            <w:pPr>
              <w:spacing w:after="0" w:line="240" w:lineRule="auto"/>
              <w:jc w:val="center"/>
              <w:rPr>
                <w:rFonts w:ascii="Arial" w:eastAsia="Times New Roman" w:hAnsi="Arial" w:cs="Arial"/>
                <w:b/>
                <w:bCs/>
                <w:color w:val="39414D"/>
                <w:szCs w:val="18"/>
              </w:rPr>
            </w:pPr>
            <w:r w:rsidRPr="003E6A95">
              <w:rPr>
                <w:rFonts w:ascii="Arial" w:eastAsia="Times New Roman" w:hAnsi="Arial" w:cs="Arial"/>
                <w:b/>
                <w:bCs/>
                <w:color w:val="39414D"/>
                <w:szCs w:val="18"/>
              </w:rPr>
              <w:t>%</w:t>
            </w:r>
            <w:r w:rsidRPr="003E6A95">
              <w:rPr>
                <w:rFonts w:ascii="Arial" w:eastAsia="Times New Roman" w:hAnsi="Arial" w:cs="Arial"/>
                <w:b/>
                <w:bCs/>
                <w:color w:val="39414D"/>
                <w:szCs w:val="18"/>
              </w:rPr>
              <w:br/>
              <w:t>Impact</w:t>
            </w:r>
            <w:r w:rsidRPr="003E6A95">
              <w:rPr>
                <w:rFonts w:ascii="Arial" w:eastAsia="Times New Roman" w:hAnsi="Arial" w:cs="Arial"/>
                <w:b/>
                <w:bCs/>
                <w:color w:val="39414D"/>
                <w:szCs w:val="18"/>
              </w:rPr>
              <w:br/>
            </w:r>
            <w:r w:rsidR="000D74E1">
              <w:rPr>
                <w:rFonts w:ascii="Arial" w:eastAsia="Times New Roman" w:hAnsi="Arial" w:cs="Arial"/>
                <w:b/>
                <w:bCs/>
                <w:color w:val="39414D"/>
                <w:szCs w:val="18"/>
              </w:rPr>
              <w:t>SPMI</w:t>
            </w:r>
          </w:p>
        </w:tc>
        <w:tc>
          <w:tcPr>
            <w:tcW w:w="797" w:type="dxa"/>
            <w:tcBorders>
              <w:top w:val="nil"/>
              <w:left w:val="nil"/>
              <w:bottom w:val="single" w:sz="4" w:space="0" w:color="C6C9CA"/>
              <w:right w:val="nil"/>
            </w:tcBorders>
            <w:shd w:val="clear" w:color="auto" w:fill="auto"/>
            <w:vAlign w:val="bottom"/>
            <w:hideMark/>
          </w:tcPr>
          <w:p w14:paraId="793BAC77" w14:textId="4AA74FBC" w:rsidR="00305EE8" w:rsidRPr="007A3AE0" w:rsidRDefault="00305EE8" w:rsidP="00305EE8">
            <w:pPr>
              <w:spacing w:after="0" w:line="240" w:lineRule="auto"/>
              <w:jc w:val="center"/>
              <w:rPr>
                <w:rFonts w:ascii="Arial" w:eastAsia="Times New Roman" w:hAnsi="Arial" w:cs="Arial"/>
                <w:b/>
                <w:bCs/>
                <w:color w:val="39414D"/>
                <w:szCs w:val="18"/>
              </w:rPr>
            </w:pPr>
            <w:r w:rsidRPr="003E6A95">
              <w:rPr>
                <w:rFonts w:ascii="Arial" w:eastAsia="Times New Roman" w:hAnsi="Arial" w:cs="Arial"/>
                <w:b/>
                <w:bCs/>
                <w:color w:val="39414D"/>
                <w:szCs w:val="18"/>
              </w:rPr>
              <w:t>%</w:t>
            </w:r>
            <w:r w:rsidRPr="003E6A95">
              <w:rPr>
                <w:rFonts w:ascii="Arial" w:eastAsia="Times New Roman" w:hAnsi="Arial" w:cs="Arial"/>
                <w:b/>
                <w:bCs/>
                <w:color w:val="39414D"/>
                <w:szCs w:val="18"/>
              </w:rPr>
              <w:br/>
              <w:t>Impact</w:t>
            </w:r>
            <w:r w:rsidRPr="003E6A95">
              <w:rPr>
                <w:rFonts w:ascii="Arial" w:eastAsia="Times New Roman" w:hAnsi="Arial" w:cs="Arial"/>
                <w:b/>
                <w:bCs/>
                <w:color w:val="39414D"/>
                <w:szCs w:val="18"/>
              </w:rPr>
              <w:br/>
            </w:r>
            <w:r w:rsidR="000D74E1">
              <w:rPr>
                <w:rFonts w:ascii="Arial" w:eastAsia="Times New Roman" w:hAnsi="Arial" w:cs="Arial"/>
                <w:b/>
                <w:bCs/>
                <w:color w:val="39414D"/>
                <w:szCs w:val="18"/>
              </w:rPr>
              <w:t>ID</w:t>
            </w:r>
          </w:p>
        </w:tc>
        <w:tc>
          <w:tcPr>
            <w:tcW w:w="1206" w:type="dxa"/>
            <w:tcBorders>
              <w:top w:val="nil"/>
              <w:left w:val="nil"/>
              <w:bottom w:val="single" w:sz="4" w:space="0" w:color="C6C9CA"/>
              <w:right w:val="nil"/>
            </w:tcBorders>
            <w:shd w:val="clear" w:color="auto" w:fill="auto"/>
            <w:vAlign w:val="bottom"/>
            <w:hideMark/>
          </w:tcPr>
          <w:p w14:paraId="01543E1B" w14:textId="0FAABDDC" w:rsidR="00305EE8" w:rsidRPr="007A3AE0" w:rsidRDefault="00305EE8" w:rsidP="00305EE8">
            <w:pPr>
              <w:spacing w:after="0" w:line="240" w:lineRule="auto"/>
              <w:jc w:val="center"/>
              <w:rPr>
                <w:rFonts w:ascii="Arial" w:eastAsia="Times New Roman" w:hAnsi="Arial" w:cs="Arial"/>
                <w:b/>
                <w:bCs/>
                <w:color w:val="39414D"/>
                <w:szCs w:val="18"/>
              </w:rPr>
            </w:pPr>
            <w:r w:rsidRPr="003E6A95">
              <w:rPr>
                <w:rFonts w:ascii="Arial" w:eastAsia="Times New Roman" w:hAnsi="Arial" w:cs="Arial"/>
                <w:b/>
                <w:bCs/>
                <w:color w:val="39414D"/>
                <w:szCs w:val="18"/>
              </w:rPr>
              <w:t>%</w:t>
            </w:r>
            <w:r w:rsidRPr="003E6A95">
              <w:rPr>
                <w:rFonts w:ascii="Arial" w:eastAsia="Times New Roman" w:hAnsi="Arial" w:cs="Arial"/>
                <w:b/>
                <w:bCs/>
                <w:color w:val="39414D"/>
                <w:szCs w:val="18"/>
              </w:rPr>
              <w:br/>
              <w:t>Impact</w:t>
            </w:r>
            <w:r w:rsidRPr="003E6A95">
              <w:rPr>
                <w:rFonts w:ascii="Arial" w:eastAsia="Times New Roman" w:hAnsi="Arial" w:cs="Arial"/>
                <w:b/>
                <w:bCs/>
                <w:color w:val="39414D"/>
                <w:szCs w:val="18"/>
              </w:rPr>
              <w:br/>
              <w:t>Community LTSS</w:t>
            </w:r>
          </w:p>
        </w:tc>
        <w:tc>
          <w:tcPr>
            <w:tcW w:w="897" w:type="dxa"/>
            <w:tcBorders>
              <w:top w:val="nil"/>
              <w:left w:val="nil"/>
              <w:bottom w:val="single" w:sz="4" w:space="0" w:color="C6C9CA"/>
              <w:right w:val="nil"/>
            </w:tcBorders>
            <w:shd w:val="clear" w:color="auto" w:fill="auto"/>
            <w:vAlign w:val="bottom"/>
            <w:hideMark/>
          </w:tcPr>
          <w:p w14:paraId="17DF4271" w14:textId="3A642CD8" w:rsidR="00305EE8" w:rsidRPr="007A3AE0" w:rsidRDefault="00305EE8" w:rsidP="00305EE8">
            <w:pPr>
              <w:spacing w:after="0" w:line="240" w:lineRule="auto"/>
              <w:jc w:val="center"/>
              <w:rPr>
                <w:rFonts w:ascii="Arial" w:eastAsia="Times New Roman" w:hAnsi="Arial" w:cs="Arial"/>
                <w:b/>
                <w:bCs/>
                <w:color w:val="39414D"/>
                <w:szCs w:val="18"/>
              </w:rPr>
            </w:pPr>
            <w:r w:rsidRPr="003E6A95">
              <w:rPr>
                <w:rFonts w:ascii="Arial" w:eastAsia="Times New Roman" w:hAnsi="Arial" w:cs="Arial"/>
                <w:b/>
                <w:bCs/>
                <w:color w:val="39414D"/>
                <w:szCs w:val="18"/>
              </w:rPr>
              <w:t>%</w:t>
            </w:r>
            <w:r w:rsidRPr="003E6A95">
              <w:rPr>
                <w:rFonts w:ascii="Arial" w:eastAsia="Times New Roman" w:hAnsi="Arial" w:cs="Arial"/>
                <w:b/>
                <w:bCs/>
                <w:color w:val="39414D"/>
                <w:szCs w:val="18"/>
              </w:rPr>
              <w:br/>
              <w:t>Impact</w:t>
            </w:r>
            <w:r w:rsidRPr="003E6A95">
              <w:rPr>
                <w:rFonts w:ascii="Arial" w:eastAsia="Times New Roman" w:hAnsi="Arial" w:cs="Arial"/>
                <w:b/>
                <w:bCs/>
                <w:color w:val="39414D"/>
                <w:szCs w:val="18"/>
              </w:rPr>
              <w:br/>
              <w:t>Nursing Home</w:t>
            </w:r>
          </w:p>
        </w:tc>
        <w:tc>
          <w:tcPr>
            <w:tcW w:w="1206" w:type="dxa"/>
            <w:tcBorders>
              <w:top w:val="nil"/>
              <w:left w:val="nil"/>
              <w:bottom w:val="single" w:sz="4" w:space="0" w:color="C6C9CA"/>
              <w:right w:val="nil"/>
            </w:tcBorders>
            <w:shd w:val="clear" w:color="auto" w:fill="auto"/>
            <w:vAlign w:val="bottom"/>
            <w:hideMark/>
          </w:tcPr>
          <w:p w14:paraId="6B04981B" w14:textId="3AA78985" w:rsidR="00305EE8" w:rsidRPr="007A3AE0" w:rsidRDefault="00305EE8" w:rsidP="00305EE8">
            <w:pPr>
              <w:spacing w:after="0" w:line="240" w:lineRule="auto"/>
              <w:jc w:val="center"/>
              <w:rPr>
                <w:rFonts w:ascii="Arial" w:eastAsia="Times New Roman" w:hAnsi="Arial" w:cs="Arial"/>
                <w:b/>
                <w:bCs/>
                <w:color w:val="39414D"/>
                <w:szCs w:val="18"/>
              </w:rPr>
            </w:pPr>
            <w:r w:rsidRPr="003E6A95">
              <w:rPr>
                <w:rFonts w:ascii="Arial" w:eastAsia="Times New Roman" w:hAnsi="Arial" w:cs="Arial"/>
                <w:b/>
                <w:bCs/>
                <w:color w:val="39414D"/>
                <w:szCs w:val="18"/>
              </w:rPr>
              <w:t>%</w:t>
            </w:r>
            <w:r w:rsidRPr="003E6A95">
              <w:rPr>
                <w:rFonts w:ascii="Arial" w:eastAsia="Times New Roman" w:hAnsi="Arial" w:cs="Arial"/>
                <w:b/>
                <w:bCs/>
                <w:color w:val="39414D"/>
                <w:szCs w:val="18"/>
              </w:rPr>
              <w:br/>
              <w:t>Impact</w:t>
            </w:r>
            <w:r w:rsidRPr="003E6A95">
              <w:rPr>
                <w:rFonts w:ascii="Arial" w:eastAsia="Times New Roman" w:hAnsi="Arial" w:cs="Arial"/>
                <w:b/>
                <w:bCs/>
                <w:color w:val="39414D"/>
                <w:szCs w:val="18"/>
              </w:rPr>
              <w:br/>
              <w:t xml:space="preserve">Community </w:t>
            </w:r>
            <w:r w:rsidR="000D74E1">
              <w:rPr>
                <w:rFonts w:ascii="Arial" w:eastAsia="Times New Roman" w:hAnsi="Arial" w:cs="Arial"/>
                <w:b/>
                <w:bCs/>
                <w:color w:val="39414D"/>
                <w:szCs w:val="18"/>
              </w:rPr>
              <w:t>Non-</w:t>
            </w:r>
            <w:r w:rsidRPr="003E6A95">
              <w:rPr>
                <w:rFonts w:ascii="Arial" w:eastAsia="Times New Roman" w:hAnsi="Arial" w:cs="Arial"/>
                <w:b/>
                <w:bCs/>
                <w:color w:val="39414D"/>
                <w:szCs w:val="18"/>
              </w:rPr>
              <w:t>LTSS</w:t>
            </w:r>
          </w:p>
        </w:tc>
      </w:tr>
      <w:tr w:rsidR="0094562F" w:rsidRPr="007A3AE0" w14:paraId="410E772F" w14:textId="77777777" w:rsidTr="004C634B">
        <w:trPr>
          <w:gridAfter w:val="1"/>
          <w:wAfter w:w="52" w:type="dxa"/>
          <w:trHeight w:val="227"/>
        </w:trPr>
        <w:tc>
          <w:tcPr>
            <w:tcW w:w="1620" w:type="dxa"/>
            <w:tcBorders>
              <w:top w:val="nil"/>
              <w:left w:val="nil"/>
              <w:bottom w:val="nil"/>
              <w:right w:val="nil"/>
            </w:tcBorders>
            <w:shd w:val="clear" w:color="auto" w:fill="auto"/>
            <w:noWrap/>
            <w:vAlign w:val="center"/>
            <w:hideMark/>
          </w:tcPr>
          <w:p w14:paraId="473AF295" w14:textId="75A6EAA1" w:rsidR="0094562F" w:rsidRPr="007A3AE0" w:rsidRDefault="0094562F" w:rsidP="0094562F">
            <w:pPr>
              <w:spacing w:after="0" w:line="240" w:lineRule="auto"/>
              <w:rPr>
                <w:rFonts w:ascii="Arial" w:eastAsia="Times New Roman" w:hAnsi="Arial" w:cs="Arial"/>
                <w:color w:val="39414D"/>
                <w:szCs w:val="18"/>
              </w:rPr>
            </w:pPr>
            <w:r>
              <w:rPr>
                <w:rFonts w:ascii="Arial" w:hAnsi="Arial" w:cs="Arial"/>
                <w:color w:val="39414D"/>
                <w:szCs w:val="18"/>
              </w:rPr>
              <w:t>Nursing Home Cost</w:t>
            </w:r>
          </w:p>
        </w:tc>
        <w:tc>
          <w:tcPr>
            <w:tcW w:w="1757" w:type="dxa"/>
            <w:tcBorders>
              <w:top w:val="nil"/>
              <w:left w:val="nil"/>
              <w:bottom w:val="nil"/>
              <w:right w:val="nil"/>
            </w:tcBorders>
            <w:vAlign w:val="center"/>
          </w:tcPr>
          <w:p w14:paraId="4AD69A8E" w14:textId="0D8F282A" w:rsidR="0094562F" w:rsidRDefault="0094562F" w:rsidP="0094562F">
            <w:pPr>
              <w:spacing w:after="0" w:line="240" w:lineRule="auto"/>
              <w:rPr>
                <w:rFonts w:ascii="Arial" w:hAnsi="Arial" w:cs="Arial"/>
                <w:color w:val="39414D"/>
                <w:szCs w:val="18"/>
              </w:rPr>
            </w:pPr>
            <w:r>
              <w:rPr>
                <w:rFonts w:ascii="Arial" w:hAnsi="Arial" w:cs="Arial"/>
                <w:color w:val="39414D"/>
                <w:szCs w:val="18"/>
              </w:rPr>
              <w:t>Nursing Home</w:t>
            </w:r>
          </w:p>
        </w:tc>
        <w:tc>
          <w:tcPr>
            <w:tcW w:w="1288" w:type="dxa"/>
            <w:tcBorders>
              <w:top w:val="nil"/>
              <w:left w:val="nil"/>
              <w:bottom w:val="nil"/>
              <w:right w:val="nil"/>
            </w:tcBorders>
            <w:vAlign w:val="center"/>
          </w:tcPr>
          <w:p w14:paraId="51C275C5" w14:textId="6510A6A9" w:rsidR="0094562F" w:rsidRDefault="0094562F" w:rsidP="0094562F">
            <w:pPr>
              <w:spacing w:after="0" w:line="240" w:lineRule="auto"/>
              <w:rPr>
                <w:rFonts w:ascii="Arial" w:hAnsi="Arial" w:cs="Arial"/>
                <w:color w:val="39414D"/>
                <w:szCs w:val="18"/>
              </w:rPr>
            </w:pPr>
            <w:r>
              <w:rPr>
                <w:rFonts w:ascii="Arial" w:hAnsi="Arial" w:cs="Arial"/>
                <w:color w:val="39414D"/>
                <w:szCs w:val="18"/>
              </w:rPr>
              <w:t>Nursing Home</w:t>
            </w:r>
          </w:p>
        </w:tc>
        <w:tc>
          <w:tcPr>
            <w:tcW w:w="797" w:type="dxa"/>
            <w:tcBorders>
              <w:top w:val="nil"/>
              <w:left w:val="nil"/>
              <w:bottom w:val="nil"/>
              <w:right w:val="nil"/>
            </w:tcBorders>
            <w:shd w:val="clear" w:color="auto" w:fill="auto"/>
            <w:noWrap/>
            <w:vAlign w:val="center"/>
          </w:tcPr>
          <w:p w14:paraId="3B79144C" w14:textId="1E62D3B0" w:rsidR="0094562F" w:rsidRPr="000D74E1" w:rsidRDefault="0094562F" w:rsidP="0094562F">
            <w:pPr>
              <w:spacing w:after="0" w:line="240" w:lineRule="auto"/>
              <w:jc w:val="center"/>
              <w:rPr>
                <w:rFonts w:ascii="Arial" w:eastAsia="Times New Roman" w:hAnsi="Arial" w:cs="Arial"/>
                <w:color w:val="39414D"/>
                <w:szCs w:val="18"/>
              </w:rPr>
            </w:pPr>
            <w:r>
              <w:rPr>
                <w:rFonts w:ascii="Arial" w:hAnsi="Arial" w:cs="Arial"/>
                <w:color w:val="39414D"/>
                <w:szCs w:val="18"/>
              </w:rPr>
              <w:t>N/A</w:t>
            </w:r>
          </w:p>
        </w:tc>
        <w:tc>
          <w:tcPr>
            <w:tcW w:w="797" w:type="dxa"/>
            <w:tcBorders>
              <w:top w:val="nil"/>
              <w:left w:val="nil"/>
              <w:bottom w:val="nil"/>
              <w:right w:val="nil"/>
            </w:tcBorders>
            <w:shd w:val="clear" w:color="auto" w:fill="auto"/>
            <w:noWrap/>
            <w:vAlign w:val="center"/>
          </w:tcPr>
          <w:p w14:paraId="2F0C7D1B" w14:textId="505FD5FC" w:rsidR="0094562F" w:rsidRPr="000D74E1" w:rsidRDefault="0094562F" w:rsidP="0094562F">
            <w:pPr>
              <w:spacing w:after="0" w:line="240" w:lineRule="auto"/>
              <w:jc w:val="center"/>
              <w:rPr>
                <w:rFonts w:ascii="Arial" w:eastAsia="Times New Roman" w:hAnsi="Arial" w:cs="Arial"/>
                <w:color w:val="39414D"/>
                <w:szCs w:val="18"/>
              </w:rPr>
            </w:pPr>
            <w:r>
              <w:rPr>
                <w:rFonts w:ascii="Arial" w:hAnsi="Arial" w:cs="Arial"/>
                <w:color w:val="39414D"/>
                <w:szCs w:val="18"/>
              </w:rPr>
              <w:t>N/A</w:t>
            </w:r>
          </w:p>
        </w:tc>
        <w:tc>
          <w:tcPr>
            <w:tcW w:w="1206" w:type="dxa"/>
            <w:tcBorders>
              <w:top w:val="nil"/>
              <w:left w:val="nil"/>
              <w:bottom w:val="nil"/>
              <w:right w:val="nil"/>
            </w:tcBorders>
            <w:shd w:val="clear" w:color="auto" w:fill="auto"/>
            <w:noWrap/>
            <w:vAlign w:val="center"/>
          </w:tcPr>
          <w:p w14:paraId="0D2831F4" w14:textId="07A11697" w:rsidR="0094562F" w:rsidRPr="000D74E1" w:rsidRDefault="0094562F" w:rsidP="0094562F">
            <w:pPr>
              <w:spacing w:after="0" w:line="240" w:lineRule="auto"/>
              <w:jc w:val="center"/>
              <w:rPr>
                <w:rFonts w:ascii="Arial" w:eastAsia="Times New Roman" w:hAnsi="Arial" w:cs="Arial"/>
                <w:color w:val="39414D"/>
                <w:szCs w:val="18"/>
              </w:rPr>
            </w:pPr>
            <w:r>
              <w:rPr>
                <w:rFonts w:ascii="Arial" w:hAnsi="Arial" w:cs="Arial"/>
                <w:color w:val="39414D"/>
                <w:szCs w:val="18"/>
              </w:rPr>
              <w:t>N/A</w:t>
            </w:r>
          </w:p>
        </w:tc>
        <w:tc>
          <w:tcPr>
            <w:tcW w:w="897" w:type="dxa"/>
            <w:tcBorders>
              <w:top w:val="nil"/>
              <w:left w:val="nil"/>
              <w:bottom w:val="nil"/>
              <w:right w:val="nil"/>
            </w:tcBorders>
            <w:shd w:val="clear" w:color="auto" w:fill="auto"/>
            <w:noWrap/>
            <w:vAlign w:val="center"/>
          </w:tcPr>
          <w:p w14:paraId="5A111982" w14:textId="49EC63DD" w:rsidR="0094562F" w:rsidRPr="000D74E1" w:rsidRDefault="0094562F" w:rsidP="0094562F">
            <w:pPr>
              <w:spacing w:after="0" w:line="240" w:lineRule="auto"/>
              <w:jc w:val="center"/>
              <w:rPr>
                <w:rFonts w:ascii="Arial" w:eastAsia="Times New Roman" w:hAnsi="Arial" w:cs="Arial"/>
                <w:color w:val="39414D"/>
                <w:szCs w:val="18"/>
              </w:rPr>
            </w:pPr>
            <w:r>
              <w:rPr>
                <w:rFonts w:ascii="Arial" w:hAnsi="Arial" w:cs="Arial"/>
                <w:color w:val="39414D"/>
                <w:szCs w:val="18"/>
              </w:rPr>
              <w:t xml:space="preserve">3.7% </w:t>
            </w:r>
          </w:p>
        </w:tc>
        <w:tc>
          <w:tcPr>
            <w:tcW w:w="1206" w:type="dxa"/>
            <w:tcBorders>
              <w:top w:val="nil"/>
              <w:left w:val="nil"/>
              <w:bottom w:val="nil"/>
              <w:right w:val="nil"/>
            </w:tcBorders>
            <w:shd w:val="clear" w:color="auto" w:fill="auto"/>
            <w:noWrap/>
            <w:vAlign w:val="center"/>
          </w:tcPr>
          <w:p w14:paraId="5D0C6F16" w14:textId="0CBFFA4B" w:rsidR="0094562F" w:rsidRPr="000D74E1" w:rsidRDefault="0094562F" w:rsidP="0094562F">
            <w:pPr>
              <w:spacing w:after="0" w:line="240" w:lineRule="auto"/>
              <w:jc w:val="center"/>
              <w:rPr>
                <w:rFonts w:ascii="Arial" w:eastAsia="Times New Roman" w:hAnsi="Arial" w:cs="Arial"/>
                <w:color w:val="39414D"/>
                <w:szCs w:val="18"/>
              </w:rPr>
            </w:pPr>
            <w:r>
              <w:rPr>
                <w:rFonts w:ascii="Arial" w:hAnsi="Arial" w:cs="Arial"/>
                <w:color w:val="39414D"/>
                <w:szCs w:val="18"/>
              </w:rPr>
              <w:t>N/A</w:t>
            </w:r>
          </w:p>
        </w:tc>
      </w:tr>
      <w:tr w:rsidR="0094562F" w:rsidRPr="007A3AE0" w14:paraId="422F55B8" w14:textId="77777777" w:rsidTr="004C634B">
        <w:trPr>
          <w:gridAfter w:val="1"/>
          <w:wAfter w:w="52" w:type="dxa"/>
          <w:trHeight w:val="227"/>
        </w:trPr>
        <w:tc>
          <w:tcPr>
            <w:tcW w:w="1620" w:type="dxa"/>
            <w:tcBorders>
              <w:top w:val="nil"/>
              <w:left w:val="nil"/>
              <w:bottom w:val="nil"/>
              <w:right w:val="nil"/>
            </w:tcBorders>
            <w:shd w:val="clear" w:color="000000" w:fill="E8E9E9"/>
            <w:noWrap/>
            <w:vAlign w:val="center"/>
            <w:hideMark/>
          </w:tcPr>
          <w:p w14:paraId="62FF17E5" w14:textId="73B8298C" w:rsidR="0094562F" w:rsidRPr="007A3AE0" w:rsidRDefault="0094562F" w:rsidP="0094562F">
            <w:pPr>
              <w:spacing w:after="0" w:line="240" w:lineRule="auto"/>
              <w:rPr>
                <w:rFonts w:ascii="Arial" w:eastAsia="Times New Roman" w:hAnsi="Arial" w:cs="Arial"/>
                <w:color w:val="39414D"/>
                <w:szCs w:val="18"/>
              </w:rPr>
            </w:pPr>
            <w:r>
              <w:rPr>
                <w:rFonts w:ascii="Arial" w:hAnsi="Arial" w:cs="Arial"/>
                <w:color w:val="39414D"/>
                <w:szCs w:val="18"/>
              </w:rPr>
              <w:t>HCBS Waiver Acuity</w:t>
            </w:r>
          </w:p>
        </w:tc>
        <w:tc>
          <w:tcPr>
            <w:tcW w:w="1757" w:type="dxa"/>
            <w:tcBorders>
              <w:top w:val="nil"/>
              <w:left w:val="nil"/>
              <w:bottom w:val="nil"/>
              <w:right w:val="nil"/>
            </w:tcBorders>
            <w:shd w:val="clear" w:color="000000" w:fill="E8E9E9"/>
            <w:vAlign w:val="center"/>
          </w:tcPr>
          <w:p w14:paraId="1DF38148" w14:textId="48047952" w:rsidR="0094562F" w:rsidRDefault="0094562F" w:rsidP="0094562F">
            <w:pPr>
              <w:spacing w:after="0" w:line="240" w:lineRule="auto"/>
              <w:rPr>
                <w:rFonts w:ascii="Arial" w:hAnsi="Arial" w:cs="Arial"/>
                <w:color w:val="39414D"/>
                <w:szCs w:val="18"/>
              </w:rPr>
            </w:pPr>
            <w:r>
              <w:rPr>
                <w:rFonts w:ascii="Arial" w:hAnsi="Arial" w:cs="Arial"/>
                <w:color w:val="39414D"/>
                <w:szCs w:val="18"/>
              </w:rPr>
              <w:t>HCBS and Case Management</w:t>
            </w:r>
          </w:p>
        </w:tc>
        <w:tc>
          <w:tcPr>
            <w:tcW w:w="1288" w:type="dxa"/>
            <w:tcBorders>
              <w:top w:val="nil"/>
              <w:left w:val="nil"/>
              <w:bottom w:val="nil"/>
              <w:right w:val="nil"/>
            </w:tcBorders>
            <w:shd w:val="clear" w:color="000000" w:fill="E8E9E9"/>
            <w:vAlign w:val="center"/>
          </w:tcPr>
          <w:p w14:paraId="532DAA7C" w14:textId="25F4086A" w:rsidR="0094562F" w:rsidRDefault="0094562F" w:rsidP="0094562F">
            <w:pPr>
              <w:spacing w:after="0" w:line="240" w:lineRule="auto"/>
              <w:rPr>
                <w:rFonts w:ascii="Arial" w:hAnsi="Arial" w:cs="Arial"/>
                <w:color w:val="39414D"/>
                <w:szCs w:val="18"/>
              </w:rPr>
            </w:pPr>
            <w:r>
              <w:rPr>
                <w:rFonts w:ascii="Arial" w:hAnsi="Arial" w:cs="Arial"/>
                <w:color w:val="39414D"/>
                <w:szCs w:val="18"/>
              </w:rPr>
              <w:t>Community LTSS</w:t>
            </w:r>
          </w:p>
        </w:tc>
        <w:tc>
          <w:tcPr>
            <w:tcW w:w="797" w:type="dxa"/>
            <w:tcBorders>
              <w:top w:val="nil"/>
              <w:left w:val="nil"/>
              <w:bottom w:val="nil"/>
              <w:right w:val="nil"/>
            </w:tcBorders>
            <w:shd w:val="clear" w:color="000000" w:fill="E8E9E9"/>
            <w:noWrap/>
            <w:vAlign w:val="center"/>
          </w:tcPr>
          <w:p w14:paraId="6F449384" w14:textId="3BF1BD07" w:rsidR="0094562F" w:rsidRPr="000D74E1" w:rsidRDefault="0094562F" w:rsidP="0094562F">
            <w:pPr>
              <w:spacing w:after="0" w:line="240" w:lineRule="auto"/>
              <w:jc w:val="center"/>
              <w:rPr>
                <w:rFonts w:ascii="Arial" w:eastAsia="Times New Roman" w:hAnsi="Arial" w:cs="Arial"/>
                <w:color w:val="39414D"/>
                <w:szCs w:val="18"/>
              </w:rPr>
            </w:pPr>
            <w:r>
              <w:rPr>
                <w:rFonts w:ascii="Arial" w:hAnsi="Arial" w:cs="Arial"/>
                <w:color w:val="39414D"/>
                <w:szCs w:val="18"/>
              </w:rPr>
              <w:t>N/A</w:t>
            </w:r>
          </w:p>
        </w:tc>
        <w:tc>
          <w:tcPr>
            <w:tcW w:w="797" w:type="dxa"/>
            <w:tcBorders>
              <w:top w:val="nil"/>
              <w:left w:val="nil"/>
              <w:bottom w:val="nil"/>
              <w:right w:val="nil"/>
            </w:tcBorders>
            <w:shd w:val="clear" w:color="000000" w:fill="E8E9E9"/>
            <w:noWrap/>
            <w:vAlign w:val="center"/>
          </w:tcPr>
          <w:p w14:paraId="34DC1B4D" w14:textId="43ED8EB5" w:rsidR="0094562F" w:rsidRPr="000D74E1" w:rsidRDefault="0094562F" w:rsidP="0094562F">
            <w:pPr>
              <w:spacing w:after="0" w:line="240" w:lineRule="auto"/>
              <w:jc w:val="center"/>
              <w:rPr>
                <w:rFonts w:ascii="Arial" w:eastAsia="Times New Roman" w:hAnsi="Arial" w:cs="Arial"/>
                <w:color w:val="39414D"/>
                <w:szCs w:val="18"/>
              </w:rPr>
            </w:pPr>
            <w:r>
              <w:rPr>
                <w:rFonts w:ascii="Arial" w:hAnsi="Arial" w:cs="Arial"/>
                <w:color w:val="39414D"/>
                <w:szCs w:val="18"/>
              </w:rPr>
              <w:t>N/A</w:t>
            </w:r>
          </w:p>
        </w:tc>
        <w:tc>
          <w:tcPr>
            <w:tcW w:w="1206" w:type="dxa"/>
            <w:tcBorders>
              <w:top w:val="nil"/>
              <w:left w:val="nil"/>
              <w:bottom w:val="nil"/>
              <w:right w:val="nil"/>
            </w:tcBorders>
            <w:shd w:val="clear" w:color="000000" w:fill="E8E9E9"/>
            <w:noWrap/>
            <w:vAlign w:val="center"/>
          </w:tcPr>
          <w:p w14:paraId="7B10259F" w14:textId="0B889571" w:rsidR="0094562F" w:rsidRPr="000D74E1" w:rsidRDefault="0094562F" w:rsidP="0094562F">
            <w:pPr>
              <w:spacing w:after="0" w:line="240" w:lineRule="auto"/>
              <w:jc w:val="center"/>
              <w:rPr>
                <w:rFonts w:ascii="Arial" w:eastAsia="Times New Roman" w:hAnsi="Arial" w:cs="Arial"/>
                <w:color w:val="39414D"/>
                <w:szCs w:val="18"/>
              </w:rPr>
            </w:pPr>
            <w:r>
              <w:rPr>
                <w:rFonts w:ascii="Arial" w:hAnsi="Arial" w:cs="Arial"/>
                <w:color w:val="39414D"/>
                <w:szCs w:val="18"/>
              </w:rPr>
              <w:t>(1.5%)</w:t>
            </w:r>
          </w:p>
        </w:tc>
        <w:tc>
          <w:tcPr>
            <w:tcW w:w="897" w:type="dxa"/>
            <w:tcBorders>
              <w:top w:val="nil"/>
              <w:left w:val="nil"/>
              <w:bottom w:val="nil"/>
              <w:right w:val="nil"/>
            </w:tcBorders>
            <w:shd w:val="clear" w:color="000000" w:fill="E8E9E9"/>
            <w:noWrap/>
            <w:vAlign w:val="center"/>
          </w:tcPr>
          <w:p w14:paraId="35803DFF" w14:textId="11D9C1CE" w:rsidR="0094562F" w:rsidRPr="000D74E1" w:rsidRDefault="0094562F" w:rsidP="0094562F">
            <w:pPr>
              <w:spacing w:after="0" w:line="240" w:lineRule="auto"/>
              <w:jc w:val="center"/>
              <w:rPr>
                <w:rFonts w:ascii="Arial" w:eastAsia="Times New Roman" w:hAnsi="Arial" w:cs="Arial"/>
                <w:color w:val="39414D"/>
                <w:szCs w:val="18"/>
              </w:rPr>
            </w:pPr>
            <w:r>
              <w:rPr>
                <w:rFonts w:ascii="Arial" w:hAnsi="Arial" w:cs="Arial"/>
                <w:color w:val="39414D"/>
                <w:szCs w:val="18"/>
              </w:rPr>
              <w:t>N/A</w:t>
            </w:r>
          </w:p>
        </w:tc>
        <w:tc>
          <w:tcPr>
            <w:tcW w:w="1206" w:type="dxa"/>
            <w:tcBorders>
              <w:top w:val="nil"/>
              <w:left w:val="nil"/>
              <w:bottom w:val="nil"/>
              <w:right w:val="nil"/>
            </w:tcBorders>
            <w:shd w:val="clear" w:color="000000" w:fill="E8E9E9"/>
            <w:noWrap/>
            <w:vAlign w:val="center"/>
          </w:tcPr>
          <w:p w14:paraId="13D73595" w14:textId="69ECC6B0" w:rsidR="0094562F" w:rsidRPr="000D74E1" w:rsidRDefault="0094562F" w:rsidP="0094562F">
            <w:pPr>
              <w:spacing w:after="0" w:line="240" w:lineRule="auto"/>
              <w:jc w:val="center"/>
              <w:rPr>
                <w:rFonts w:ascii="Arial" w:eastAsia="Times New Roman" w:hAnsi="Arial" w:cs="Arial"/>
                <w:color w:val="39414D"/>
                <w:szCs w:val="18"/>
              </w:rPr>
            </w:pPr>
            <w:r>
              <w:rPr>
                <w:rFonts w:ascii="Arial" w:hAnsi="Arial" w:cs="Arial"/>
                <w:color w:val="39414D"/>
                <w:szCs w:val="18"/>
              </w:rPr>
              <w:t>N/A</w:t>
            </w:r>
          </w:p>
        </w:tc>
      </w:tr>
      <w:tr w:rsidR="0094562F" w:rsidRPr="007A3AE0" w14:paraId="1F2CE9EB" w14:textId="77777777" w:rsidTr="004C634B">
        <w:trPr>
          <w:gridAfter w:val="1"/>
          <w:wAfter w:w="52" w:type="dxa"/>
          <w:trHeight w:val="227"/>
        </w:trPr>
        <w:tc>
          <w:tcPr>
            <w:tcW w:w="1620" w:type="dxa"/>
            <w:tcBorders>
              <w:top w:val="nil"/>
              <w:left w:val="nil"/>
              <w:bottom w:val="nil"/>
              <w:right w:val="nil"/>
            </w:tcBorders>
            <w:shd w:val="clear" w:color="auto" w:fill="auto"/>
            <w:noWrap/>
            <w:vAlign w:val="center"/>
          </w:tcPr>
          <w:p w14:paraId="0B2BFA62" w14:textId="2F5B43DC" w:rsidR="0094562F" w:rsidRDefault="0094562F" w:rsidP="0094562F">
            <w:pPr>
              <w:spacing w:after="0" w:line="240" w:lineRule="auto"/>
              <w:rPr>
                <w:rFonts w:ascii="Arial" w:hAnsi="Arial" w:cs="Arial"/>
                <w:color w:val="39414D"/>
                <w:szCs w:val="18"/>
              </w:rPr>
            </w:pPr>
            <w:r>
              <w:rPr>
                <w:rFonts w:ascii="Arial" w:hAnsi="Arial" w:cs="Arial"/>
                <w:color w:val="39414D"/>
                <w:szCs w:val="18"/>
              </w:rPr>
              <w:t>Age/Gender</w:t>
            </w:r>
          </w:p>
        </w:tc>
        <w:tc>
          <w:tcPr>
            <w:tcW w:w="1757" w:type="dxa"/>
            <w:tcBorders>
              <w:top w:val="nil"/>
              <w:left w:val="nil"/>
              <w:bottom w:val="nil"/>
              <w:right w:val="nil"/>
            </w:tcBorders>
            <w:vAlign w:val="center"/>
          </w:tcPr>
          <w:p w14:paraId="7D23B6EB" w14:textId="6EAF231E" w:rsidR="0094562F" w:rsidRDefault="0094562F" w:rsidP="0094562F">
            <w:pPr>
              <w:spacing w:after="0" w:line="240" w:lineRule="auto"/>
              <w:rPr>
                <w:rFonts w:ascii="Arial" w:hAnsi="Arial" w:cs="Arial"/>
                <w:color w:val="39414D"/>
                <w:szCs w:val="18"/>
              </w:rPr>
            </w:pPr>
            <w:r>
              <w:rPr>
                <w:rFonts w:ascii="Arial" w:hAnsi="Arial" w:cs="Arial"/>
                <w:color w:val="39414D"/>
                <w:szCs w:val="18"/>
              </w:rPr>
              <w:t>Non-LTSS Service Categories</w:t>
            </w:r>
          </w:p>
        </w:tc>
        <w:tc>
          <w:tcPr>
            <w:tcW w:w="1288" w:type="dxa"/>
            <w:tcBorders>
              <w:top w:val="nil"/>
              <w:left w:val="nil"/>
              <w:bottom w:val="nil"/>
              <w:right w:val="nil"/>
            </w:tcBorders>
            <w:shd w:val="clear" w:color="auto" w:fill="auto"/>
            <w:vAlign w:val="center"/>
          </w:tcPr>
          <w:p w14:paraId="31312EA2" w14:textId="71868E53" w:rsidR="0094562F" w:rsidRDefault="0094562F" w:rsidP="0094562F">
            <w:pPr>
              <w:spacing w:after="0" w:line="240" w:lineRule="auto"/>
              <w:rPr>
                <w:rFonts w:ascii="Arial" w:hAnsi="Arial" w:cs="Arial"/>
                <w:color w:val="39414D"/>
                <w:szCs w:val="18"/>
              </w:rPr>
            </w:pPr>
            <w:r>
              <w:rPr>
                <w:rFonts w:ascii="Arial" w:hAnsi="Arial" w:cs="Arial"/>
                <w:color w:val="39414D"/>
                <w:szCs w:val="18"/>
              </w:rPr>
              <w:t>All Rate Cells</w:t>
            </w:r>
          </w:p>
        </w:tc>
        <w:tc>
          <w:tcPr>
            <w:tcW w:w="797" w:type="dxa"/>
            <w:tcBorders>
              <w:top w:val="nil"/>
              <w:left w:val="nil"/>
              <w:bottom w:val="nil"/>
              <w:right w:val="nil"/>
            </w:tcBorders>
            <w:shd w:val="clear" w:color="auto" w:fill="auto"/>
            <w:noWrap/>
            <w:vAlign w:val="center"/>
          </w:tcPr>
          <w:p w14:paraId="46D6DD0F" w14:textId="3B8F3963"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 xml:space="preserve">0.1% </w:t>
            </w:r>
          </w:p>
        </w:tc>
        <w:tc>
          <w:tcPr>
            <w:tcW w:w="797" w:type="dxa"/>
            <w:tcBorders>
              <w:top w:val="nil"/>
              <w:left w:val="nil"/>
              <w:bottom w:val="nil"/>
              <w:right w:val="nil"/>
            </w:tcBorders>
            <w:shd w:val="clear" w:color="auto" w:fill="auto"/>
            <w:noWrap/>
            <w:vAlign w:val="center"/>
          </w:tcPr>
          <w:p w14:paraId="3BEB6AFB" w14:textId="00995094"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 xml:space="preserve">4.7% </w:t>
            </w:r>
          </w:p>
        </w:tc>
        <w:tc>
          <w:tcPr>
            <w:tcW w:w="1206" w:type="dxa"/>
            <w:tcBorders>
              <w:top w:val="nil"/>
              <w:left w:val="nil"/>
              <w:bottom w:val="nil"/>
              <w:right w:val="nil"/>
            </w:tcBorders>
            <w:shd w:val="clear" w:color="auto" w:fill="auto"/>
            <w:noWrap/>
            <w:vAlign w:val="center"/>
          </w:tcPr>
          <w:p w14:paraId="5173F38D" w14:textId="14B4E76E"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 xml:space="preserve">1.2% </w:t>
            </w:r>
          </w:p>
        </w:tc>
        <w:tc>
          <w:tcPr>
            <w:tcW w:w="897" w:type="dxa"/>
            <w:tcBorders>
              <w:top w:val="nil"/>
              <w:left w:val="nil"/>
              <w:bottom w:val="nil"/>
              <w:right w:val="nil"/>
            </w:tcBorders>
            <w:shd w:val="clear" w:color="auto" w:fill="auto"/>
            <w:noWrap/>
            <w:vAlign w:val="center"/>
          </w:tcPr>
          <w:p w14:paraId="6853564A" w14:textId="7B1F1A23"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 xml:space="preserve">18.2% </w:t>
            </w:r>
          </w:p>
        </w:tc>
        <w:tc>
          <w:tcPr>
            <w:tcW w:w="1206" w:type="dxa"/>
            <w:tcBorders>
              <w:top w:val="nil"/>
              <w:left w:val="nil"/>
              <w:bottom w:val="nil"/>
              <w:right w:val="nil"/>
            </w:tcBorders>
            <w:shd w:val="clear" w:color="auto" w:fill="auto"/>
            <w:noWrap/>
            <w:vAlign w:val="center"/>
          </w:tcPr>
          <w:p w14:paraId="60224E91" w14:textId="733A9860"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 xml:space="preserve">5.5% </w:t>
            </w:r>
          </w:p>
        </w:tc>
      </w:tr>
      <w:tr w:rsidR="0094562F" w:rsidRPr="007A3AE0" w14:paraId="44201AA5" w14:textId="77777777" w:rsidTr="004C634B">
        <w:trPr>
          <w:gridAfter w:val="1"/>
          <w:wAfter w:w="52" w:type="dxa"/>
          <w:trHeight w:val="227"/>
        </w:trPr>
        <w:tc>
          <w:tcPr>
            <w:tcW w:w="1620" w:type="dxa"/>
            <w:tcBorders>
              <w:top w:val="nil"/>
              <w:left w:val="nil"/>
              <w:bottom w:val="nil"/>
              <w:right w:val="nil"/>
            </w:tcBorders>
            <w:shd w:val="clear" w:color="000000" w:fill="E8E9E9"/>
            <w:noWrap/>
            <w:vAlign w:val="center"/>
          </w:tcPr>
          <w:p w14:paraId="4D566FA2" w14:textId="0FA9AE0F" w:rsidR="0094562F" w:rsidRDefault="0094562F" w:rsidP="0094562F">
            <w:pPr>
              <w:spacing w:after="0" w:line="240" w:lineRule="auto"/>
              <w:rPr>
                <w:rFonts w:ascii="Arial" w:hAnsi="Arial" w:cs="Arial"/>
                <w:color w:val="39414D"/>
                <w:szCs w:val="18"/>
              </w:rPr>
            </w:pPr>
            <w:r>
              <w:rPr>
                <w:rFonts w:ascii="Arial" w:hAnsi="Arial" w:cs="Arial"/>
                <w:color w:val="39414D"/>
                <w:szCs w:val="18"/>
              </w:rPr>
              <w:t>Community Non-LTSS Acuity</w:t>
            </w:r>
          </w:p>
        </w:tc>
        <w:tc>
          <w:tcPr>
            <w:tcW w:w="1757" w:type="dxa"/>
            <w:tcBorders>
              <w:top w:val="nil"/>
              <w:left w:val="nil"/>
              <w:bottom w:val="nil"/>
              <w:right w:val="nil"/>
            </w:tcBorders>
            <w:shd w:val="clear" w:color="000000" w:fill="E8E9E9"/>
            <w:vAlign w:val="center"/>
          </w:tcPr>
          <w:p w14:paraId="0CF391AC" w14:textId="4FE3180E" w:rsidR="0094562F" w:rsidRDefault="0094562F" w:rsidP="0094562F">
            <w:pPr>
              <w:spacing w:after="0" w:line="240" w:lineRule="auto"/>
              <w:rPr>
                <w:rFonts w:ascii="Arial" w:hAnsi="Arial" w:cs="Arial"/>
                <w:color w:val="39414D"/>
                <w:szCs w:val="18"/>
              </w:rPr>
            </w:pPr>
            <w:r>
              <w:rPr>
                <w:rFonts w:ascii="Arial" w:hAnsi="Arial" w:cs="Arial"/>
                <w:color w:val="39414D"/>
                <w:szCs w:val="18"/>
              </w:rPr>
              <w:t>All Service Categories</w:t>
            </w:r>
          </w:p>
        </w:tc>
        <w:tc>
          <w:tcPr>
            <w:tcW w:w="1288" w:type="dxa"/>
            <w:tcBorders>
              <w:top w:val="nil"/>
              <w:left w:val="nil"/>
              <w:bottom w:val="nil"/>
              <w:right w:val="nil"/>
            </w:tcBorders>
            <w:shd w:val="clear" w:color="000000" w:fill="E8E9E9"/>
            <w:vAlign w:val="center"/>
          </w:tcPr>
          <w:p w14:paraId="08056EE6" w14:textId="5E2D5A71" w:rsidR="0094562F" w:rsidRDefault="0094562F" w:rsidP="0094562F">
            <w:pPr>
              <w:spacing w:after="0" w:line="240" w:lineRule="auto"/>
              <w:rPr>
                <w:rFonts w:ascii="Arial" w:hAnsi="Arial" w:cs="Arial"/>
                <w:color w:val="39414D"/>
                <w:szCs w:val="18"/>
              </w:rPr>
            </w:pPr>
            <w:r>
              <w:rPr>
                <w:rFonts w:ascii="Arial" w:hAnsi="Arial" w:cs="Arial"/>
                <w:color w:val="39414D"/>
                <w:szCs w:val="18"/>
              </w:rPr>
              <w:t>Community Non-LTSS</w:t>
            </w:r>
          </w:p>
        </w:tc>
        <w:tc>
          <w:tcPr>
            <w:tcW w:w="797" w:type="dxa"/>
            <w:tcBorders>
              <w:top w:val="nil"/>
              <w:left w:val="nil"/>
              <w:bottom w:val="nil"/>
              <w:right w:val="nil"/>
            </w:tcBorders>
            <w:shd w:val="clear" w:color="000000" w:fill="E8E9E9"/>
            <w:noWrap/>
            <w:vAlign w:val="center"/>
          </w:tcPr>
          <w:p w14:paraId="537C2740" w14:textId="29F49370"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N/A</w:t>
            </w:r>
          </w:p>
        </w:tc>
        <w:tc>
          <w:tcPr>
            <w:tcW w:w="797" w:type="dxa"/>
            <w:tcBorders>
              <w:top w:val="nil"/>
              <w:left w:val="nil"/>
              <w:bottom w:val="nil"/>
              <w:right w:val="nil"/>
            </w:tcBorders>
            <w:shd w:val="clear" w:color="000000" w:fill="E8E9E9"/>
            <w:noWrap/>
            <w:vAlign w:val="center"/>
          </w:tcPr>
          <w:p w14:paraId="5CFA96D8" w14:textId="26C8ED35"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N/A</w:t>
            </w:r>
          </w:p>
        </w:tc>
        <w:tc>
          <w:tcPr>
            <w:tcW w:w="1206" w:type="dxa"/>
            <w:tcBorders>
              <w:top w:val="nil"/>
              <w:left w:val="nil"/>
              <w:bottom w:val="nil"/>
              <w:right w:val="nil"/>
            </w:tcBorders>
            <w:shd w:val="clear" w:color="000000" w:fill="E8E9E9"/>
            <w:noWrap/>
            <w:vAlign w:val="center"/>
          </w:tcPr>
          <w:p w14:paraId="1479B915" w14:textId="0540C29B"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N/A</w:t>
            </w:r>
          </w:p>
        </w:tc>
        <w:tc>
          <w:tcPr>
            <w:tcW w:w="897" w:type="dxa"/>
            <w:tcBorders>
              <w:top w:val="nil"/>
              <w:left w:val="nil"/>
              <w:bottom w:val="nil"/>
              <w:right w:val="nil"/>
            </w:tcBorders>
            <w:shd w:val="clear" w:color="000000" w:fill="E8E9E9"/>
            <w:noWrap/>
            <w:vAlign w:val="center"/>
          </w:tcPr>
          <w:p w14:paraId="1CBE2197" w14:textId="20765834"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N/A</w:t>
            </w:r>
          </w:p>
        </w:tc>
        <w:tc>
          <w:tcPr>
            <w:tcW w:w="1206" w:type="dxa"/>
            <w:tcBorders>
              <w:top w:val="nil"/>
              <w:left w:val="nil"/>
              <w:bottom w:val="nil"/>
              <w:right w:val="nil"/>
            </w:tcBorders>
            <w:shd w:val="clear" w:color="000000" w:fill="E8E9E9"/>
            <w:noWrap/>
            <w:vAlign w:val="center"/>
          </w:tcPr>
          <w:p w14:paraId="451B51DB" w14:textId="77227697"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 xml:space="preserve">34.2% </w:t>
            </w:r>
          </w:p>
        </w:tc>
      </w:tr>
      <w:tr w:rsidR="0094562F" w:rsidRPr="007A3AE0" w14:paraId="31EED34E" w14:textId="77777777" w:rsidTr="004C634B">
        <w:trPr>
          <w:gridAfter w:val="1"/>
          <w:wAfter w:w="52" w:type="dxa"/>
          <w:trHeight w:val="227"/>
        </w:trPr>
        <w:tc>
          <w:tcPr>
            <w:tcW w:w="1620" w:type="dxa"/>
            <w:tcBorders>
              <w:top w:val="nil"/>
              <w:left w:val="nil"/>
              <w:bottom w:val="nil"/>
              <w:right w:val="nil"/>
            </w:tcBorders>
            <w:shd w:val="clear" w:color="auto" w:fill="auto"/>
            <w:noWrap/>
            <w:vAlign w:val="center"/>
          </w:tcPr>
          <w:p w14:paraId="2649C8F9" w14:textId="32FF8865" w:rsidR="0094562F" w:rsidRDefault="0094562F" w:rsidP="0094562F">
            <w:pPr>
              <w:spacing w:after="0" w:line="240" w:lineRule="auto"/>
              <w:rPr>
                <w:rFonts w:ascii="Arial" w:hAnsi="Arial" w:cs="Arial"/>
                <w:color w:val="39414D"/>
                <w:szCs w:val="18"/>
              </w:rPr>
            </w:pPr>
            <w:r>
              <w:rPr>
                <w:rFonts w:ascii="Arial" w:hAnsi="Arial" w:cs="Arial"/>
                <w:color w:val="39414D"/>
                <w:szCs w:val="18"/>
              </w:rPr>
              <w:t>Emerging Experience</w:t>
            </w:r>
          </w:p>
        </w:tc>
        <w:tc>
          <w:tcPr>
            <w:tcW w:w="1757" w:type="dxa"/>
            <w:tcBorders>
              <w:top w:val="nil"/>
              <w:left w:val="nil"/>
              <w:bottom w:val="nil"/>
              <w:right w:val="nil"/>
            </w:tcBorders>
            <w:vAlign w:val="center"/>
          </w:tcPr>
          <w:p w14:paraId="5A741CA6" w14:textId="57B2AB12" w:rsidR="0094562F" w:rsidRDefault="0094562F" w:rsidP="0094562F">
            <w:pPr>
              <w:spacing w:after="0" w:line="240" w:lineRule="auto"/>
              <w:rPr>
                <w:rFonts w:ascii="Arial" w:hAnsi="Arial" w:cs="Arial"/>
                <w:color w:val="39414D"/>
                <w:szCs w:val="18"/>
              </w:rPr>
            </w:pPr>
            <w:r>
              <w:rPr>
                <w:rFonts w:ascii="Arial" w:hAnsi="Arial" w:cs="Arial"/>
                <w:color w:val="39414D"/>
                <w:szCs w:val="18"/>
              </w:rPr>
              <w:t>HCBS and Nursing Home</w:t>
            </w:r>
          </w:p>
        </w:tc>
        <w:tc>
          <w:tcPr>
            <w:tcW w:w="1288" w:type="dxa"/>
            <w:tcBorders>
              <w:top w:val="nil"/>
              <w:left w:val="nil"/>
              <w:bottom w:val="nil"/>
              <w:right w:val="nil"/>
            </w:tcBorders>
            <w:shd w:val="clear" w:color="auto" w:fill="auto"/>
            <w:vAlign w:val="center"/>
          </w:tcPr>
          <w:p w14:paraId="77AFBC6A" w14:textId="1DA6499B" w:rsidR="0094562F" w:rsidRDefault="0094562F" w:rsidP="0094562F">
            <w:pPr>
              <w:spacing w:after="0" w:line="240" w:lineRule="auto"/>
              <w:rPr>
                <w:rFonts w:ascii="Arial" w:hAnsi="Arial" w:cs="Arial"/>
                <w:color w:val="39414D"/>
                <w:szCs w:val="18"/>
              </w:rPr>
            </w:pPr>
            <w:r>
              <w:rPr>
                <w:rFonts w:ascii="Arial" w:hAnsi="Arial" w:cs="Arial"/>
                <w:color w:val="39414D"/>
                <w:szCs w:val="18"/>
              </w:rPr>
              <w:t>All Non-NH Rate Cells</w:t>
            </w:r>
          </w:p>
        </w:tc>
        <w:tc>
          <w:tcPr>
            <w:tcW w:w="797" w:type="dxa"/>
            <w:tcBorders>
              <w:top w:val="nil"/>
              <w:left w:val="nil"/>
              <w:bottom w:val="nil"/>
              <w:right w:val="nil"/>
            </w:tcBorders>
            <w:shd w:val="clear" w:color="auto" w:fill="auto"/>
            <w:noWrap/>
            <w:vAlign w:val="center"/>
          </w:tcPr>
          <w:p w14:paraId="2BDC250C" w14:textId="002C6570"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 xml:space="preserve">40.2% </w:t>
            </w:r>
          </w:p>
        </w:tc>
        <w:tc>
          <w:tcPr>
            <w:tcW w:w="797" w:type="dxa"/>
            <w:tcBorders>
              <w:top w:val="nil"/>
              <w:left w:val="nil"/>
              <w:bottom w:val="nil"/>
              <w:right w:val="nil"/>
            </w:tcBorders>
            <w:shd w:val="clear" w:color="auto" w:fill="auto"/>
            <w:noWrap/>
            <w:vAlign w:val="center"/>
          </w:tcPr>
          <w:p w14:paraId="3785FE9F" w14:textId="423C206D"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 xml:space="preserve">116.4% </w:t>
            </w:r>
          </w:p>
        </w:tc>
        <w:tc>
          <w:tcPr>
            <w:tcW w:w="1206" w:type="dxa"/>
            <w:tcBorders>
              <w:top w:val="nil"/>
              <w:left w:val="nil"/>
              <w:bottom w:val="nil"/>
              <w:right w:val="nil"/>
            </w:tcBorders>
            <w:shd w:val="clear" w:color="auto" w:fill="auto"/>
            <w:noWrap/>
            <w:vAlign w:val="center"/>
          </w:tcPr>
          <w:p w14:paraId="2A85FB9F" w14:textId="17B4CBEB"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 xml:space="preserve">9.9% </w:t>
            </w:r>
          </w:p>
        </w:tc>
        <w:tc>
          <w:tcPr>
            <w:tcW w:w="897" w:type="dxa"/>
            <w:tcBorders>
              <w:top w:val="nil"/>
              <w:left w:val="nil"/>
              <w:bottom w:val="nil"/>
              <w:right w:val="nil"/>
            </w:tcBorders>
            <w:shd w:val="clear" w:color="auto" w:fill="auto"/>
            <w:noWrap/>
            <w:vAlign w:val="center"/>
          </w:tcPr>
          <w:p w14:paraId="7112BEC7" w14:textId="0DFFC1D4"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N/A</w:t>
            </w:r>
          </w:p>
        </w:tc>
        <w:tc>
          <w:tcPr>
            <w:tcW w:w="1206" w:type="dxa"/>
            <w:tcBorders>
              <w:top w:val="nil"/>
              <w:left w:val="nil"/>
              <w:bottom w:val="nil"/>
              <w:right w:val="nil"/>
            </w:tcBorders>
            <w:shd w:val="clear" w:color="auto" w:fill="auto"/>
            <w:noWrap/>
            <w:vAlign w:val="center"/>
          </w:tcPr>
          <w:p w14:paraId="772DC516" w14:textId="27BB921F" w:rsidR="0094562F" w:rsidRPr="000D74E1" w:rsidRDefault="0094562F" w:rsidP="0094562F">
            <w:pPr>
              <w:spacing w:after="0" w:line="240" w:lineRule="auto"/>
              <w:jc w:val="center"/>
              <w:rPr>
                <w:rFonts w:ascii="Arial" w:hAnsi="Arial" w:cs="Arial"/>
                <w:color w:val="39414D"/>
                <w:szCs w:val="18"/>
              </w:rPr>
            </w:pPr>
            <w:r>
              <w:rPr>
                <w:rFonts w:ascii="Arial" w:hAnsi="Arial" w:cs="Arial"/>
                <w:color w:val="39414D"/>
                <w:szCs w:val="18"/>
              </w:rPr>
              <w:t xml:space="preserve">47.6% </w:t>
            </w:r>
          </w:p>
        </w:tc>
      </w:tr>
    </w:tbl>
    <w:p w14:paraId="7B7FC570" w14:textId="662A3C81" w:rsidR="00E54936" w:rsidRPr="006B42A9" w:rsidRDefault="00E54936" w:rsidP="00E54936">
      <w:pPr>
        <w:pStyle w:val="RRBullet1"/>
        <w:numPr>
          <w:ilvl w:val="0"/>
          <w:numId w:val="0"/>
        </w:numPr>
        <w:spacing w:after="0"/>
        <w:rPr>
          <w:rFonts w:ascii="Arial" w:eastAsia="Times New Roman" w:hAnsi="Arial" w:cs="Arial"/>
          <w:color w:val="727A7D"/>
          <w:sz w:val="16"/>
          <w:szCs w:val="16"/>
        </w:rPr>
      </w:pPr>
      <w:r w:rsidRPr="006B42A9">
        <w:rPr>
          <w:rFonts w:ascii="Arial" w:eastAsia="Times New Roman" w:hAnsi="Arial" w:cs="Arial"/>
          <w:color w:val="727A7D"/>
          <w:sz w:val="16"/>
          <w:szCs w:val="16"/>
        </w:rPr>
        <w:t>Note:</w:t>
      </w:r>
      <w:r>
        <w:rPr>
          <w:rFonts w:ascii="Arial" w:eastAsia="Times New Roman" w:hAnsi="Arial" w:cs="Arial"/>
          <w:color w:val="727A7D"/>
          <w:sz w:val="16"/>
          <w:szCs w:val="16"/>
        </w:rPr>
        <w:t xml:space="preserve"> Percentage illustrated represents the percent impact to the affected service categories.</w:t>
      </w:r>
    </w:p>
    <w:p w14:paraId="3C601524" w14:textId="6B9E2CF6" w:rsidR="0009183D" w:rsidRDefault="00F746F4" w:rsidP="0009183D">
      <w:pPr>
        <w:pStyle w:val="RRNumberedBullet1"/>
        <w:numPr>
          <w:ilvl w:val="0"/>
          <w:numId w:val="30"/>
        </w:numPr>
        <w:spacing w:before="120"/>
      </w:pPr>
      <w:r>
        <w:rPr>
          <w:b/>
        </w:rPr>
        <w:t>Nursing Home</w:t>
      </w:r>
      <w:r w:rsidR="00305EE8">
        <w:rPr>
          <w:b/>
        </w:rPr>
        <w:t xml:space="preserve"> Cost</w:t>
      </w:r>
      <w:r>
        <w:rPr>
          <w:b/>
        </w:rPr>
        <w:t>:</w:t>
      </w:r>
      <w:r>
        <w:t xml:space="preserve"> The nursing home</w:t>
      </w:r>
      <w:r w:rsidR="0088206D">
        <w:t xml:space="preserve"> cost</w:t>
      </w:r>
      <w:r>
        <w:t xml:space="preserve"> adjustment reflects nursing home </w:t>
      </w:r>
      <w:r w:rsidR="005C117A">
        <w:t>cost differences</w:t>
      </w:r>
      <w:r>
        <w:t xml:space="preserve"> </w:t>
      </w:r>
      <w:r w:rsidR="005C117A">
        <w:t xml:space="preserve">between </w:t>
      </w:r>
      <w:r w:rsidR="00592158">
        <w:t>fee-for-service</w:t>
      </w:r>
      <w:r w:rsidR="005C117A">
        <w:t xml:space="preserve"> and </w:t>
      </w:r>
      <w:r w:rsidR="00F172A5">
        <w:t>MMP</w:t>
      </w:r>
      <w:r w:rsidR="005C117A">
        <w:t xml:space="preserve"> populations </w:t>
      </w:r>
      <w:r>
        <w:t>such as facility per diem cost, member acuity, and patient share</w:t>
      </w:r>
      <w:r w:rsidR="004E55FE">
        <w:t xml:space="preserve"> for the nursing home rate cell</w:t>
      </w:r>
      <w:r>
        <w:t xml:space="preserve">. </w:t>
      </w:r>
      <w:r w:rsidRPr="00F4499C">
        <w:t>The adjustm</w:t>
      </w:r>
      <w:r>
        <w:t xml:space="preserve">ent was developed by comparing the nursing home cost per day for members </w:t>
      </w:r>
      <w:r w:rsidR="00735A42">
        <w:t xml:space="preserve">in </w:t>
      </w:r>
      <w:r>
        <w:t xml:space="preserve">the </w:t>
      </w:r>
      <w:r w:rsidR="00592158">
        <w:t>fee-for-service</w:t>
      </w:r>
      <w:r>
        <w:t xml:space="preserve"> experience compared to the </w:t>
      </w:r>
      <w:r w:rsidR="00F172A5">
        <w:t>MMP</w:t>
      </w:r>
      <w:r>
        <w:t xml:space="preserve"> experience.</w:t>
      </w:r>
    </w:p>
    <w:p w14:paraId="1922E8B2" w14:textId="67B5988A" w:rsidR="001124F1" w:rsidRPr="00DC1BCB" w:rsidRDefault="005C117A" w:rsidP="004E54E8">
      <w:pPr>
        <w:pStyle w:val="RRNumberedBullet1"/>
        <w:numPr>
          <w:ilvl w:val="0"/>
          <w:numId w:val="30"/>
        </w:numPr>
        <w:spacing w:before="120"/>
        <w:rPr>
          <w:b/>
        </w:rPr>
      </w:pPr>
      <w:r w:rsidRPr="0009183D">
        <w:rPr>
          <w:b/>
        </w:rPr>
        <w:t xml:space="preserve">HCBS </w:t>
      </w:r>
      <w:r w:rsidR="00305EE8">
        <w:rPr>
          <w:b/>
        </w:rPr>
        <w:t>Waiver Acuity</w:t>
      </w:r>
      <w:r w:rsidR="00F746F4" w:rsidRPr="0009183D">
        <w:rPr>
          <w:b/>
        </w:rPr>
        <w:t>:</w:t>
      </w:r>
      <w:r w:rsidR="00F746F4">
        <w:t xml:space="preserve"> </w:t>
      </w:r>
      <w:r>
        <w:t xml:space="preserve">HCBS and case management services were adjusted for population </w:t>
      </w:r>
      <w:r w:rsidR="00F746F4">
        <w:t xml:space="preserve">waiver mix </w:t>
      </w:r>
      <w:r>
        <w:t>differences</w:t>
      </w:r>
      <w:r w:rsidR="004E55FE">
        <w:t xml:space="preserve"> in the community LTSS rate cell</w:t>
      </w:r>
      <w:r>
        <w:t xml:space="preserve">. The cost relativities between waiver types </w:t>
      </w:r>
      <w:r w:rsidR="00EE0167">
        <w:t xml:space="preserve">were </w:t>
      </w:r>
      <w:r>
        <w:t xml:space="preserve">estimated using </w:t>
      </w:r>
      <w:r w:rsidR="00592158">
        <w:t>fee-for-service</w:t>
      </w:r>
      <w:r>
        <w:t xml:space="preserve"> experience. </w:t>
      </w:r>
      <w:r w:rsidR="00E94F40">
        <w:t xml:space="preserve">The enrollment distribution </w:t>
      </w:r>
      <w:r w:rsidR="009B7540">
        <w:t xml:space="preserve">for the MMP program was estimated </w:t>
      </w:r>
      <w:r w:rsidR="00735A42">
        <w:t xml:space="preserve">using </w:t>
      </w:r>
      <w:r w:rsidR="00B74489">
        <w:t>the average of April 2022 and May 2022</w:t>
      </w:r>
      <w:r w:rsidR="00735A42">
        <w:t xml:space="preserve"> enrollment</w:t>
      </w:r>
      <w:r w:rsidR="009B7540">
        <w:t xml:space="preserve">. This </w:t>
      </w:r>
      <w:r w:rsidR="00735A42">
        <w:t xml:space="preserve">enrollment distribution </w:t>
      </w:r>
      <w:r w:rsidR="00E94F40">
        <w:t xml:space="preserve">was compared to the </w:t>
      </w:r>
      <w:r w:rsidR="00C36C54">
        <w:t>SFY 2021</w:t>
      </w:r>
      <w:r w:rsidR="00592158">
        <w:t xml:space="preserve"> fee-for-service</w:t>
      </w:r>
      <w:r w:rsidR="00E94F40">
        <w:t xml:space="preserve"> </w:t>
      </w:r>
      <w:r w:rsidR="00735A42">
        <w:t xml:space="preserve">enrollment </w:t>
      </w:r>
      <w:r w:rsidR="00E94F40">
        <w:t xml:space="preserve">distribution </w:t>
      </w:r>
      <w:r>
        <w:t xml:space="preserve">to estimate the waiver mix acuity difference </w:t>
      </w:r>
      <w:r w:rsidR="00E94F40">
        <w:t>for</w:t>
      </w:r>
      <w:r>
        <w:t xml:space="preserve"> HCBS and case management services. </w:t>
      </w:r>
    </w:p>
    <w:p w14:paraId="3CA9C2E6" w14:textId="77777777" w:rsidR="00DC1BCB" w:rsidRPr="001E7A33" w:rsidRDefault="00DC1BCB" w:rsidP="00DC1BCB">
      <w:pPr>
        <w:pStyle w:val="RRNumberedBullet1"/>
        <w:numPr>
          <w:ilvl w:val="0"/>
          <w:numId w:val="0"/>
        </w:numPr>
        <w:spacing w:before="120"/>
        <w:ind w:left="360" w:hanging="360"/>
        <w:rPr>
          <w:b/>
        </w:rPr>
      </w:pPr>
    </w:p>
    <w:p w14:paraId="6AEEC4F5" w14:textId="648B826F" w:rsidR="004051A2" w:rsidRDefault="00305EE8">
      <w:pPr>
        <w:pStyle w:val="RRNumberedBullet1"/>
        <w:numPr>
          <w:ilvl w:val="0"/>
          <w:numId w:val="30"/>
        </w:numPr>
        <w:spacing w:before="60"/>
      </w:pPr>
      <w:r>
        <w:rPr>
          <w:b/>
        </w:rPr>
        <w:lastRenderedPageBreak/>
        <w:t>Age/Gender</w:t>
      </w:r>
      <w:r w:rsidR="003E6A95" w:rsidRPr="00E94F40">
        <w:rPr>
          <w:b/>
        </w:rPr>
        <w:t>:</w:t>
      </w:r>
      <w:r w:rsidR="003E6A95">
        <w:t xml:space="preserve"> </w:t>
      </w:r>
      <w:r w:rsidR="00E94F40">
        <w:t>An age adjustment was developed for all non-LTSS service categories</w:t>
      </w:r>
      <w:r w:rsidR="004E55FE">
        <w:t xml:space="preserve"> for all rate cells</w:t>
      </w:r>
      <w:r w:rsidR="00E94F40">
        <w:t>. Non-LTSS service categories were adjusted based on the percentage of members above and below age 65.</w:t>
      </w:r>
      <w:r w:rsidR="00E94F40" w:rsidRPr="00E94F40">
        <w:t xml:space="preserve"> </w:t>
      </w:r>
      <w:r w:rsidR="00E94F40">
        <w:t>Similar to the HCBS and case management waiver mix adjustment,</w:t>
      </w:r>
      <w:r w:rsidR="00E94F40" w:rsidRPr="00E94F40">
        <w:t xml:space="preserve"> </w:t>
      </w:r>
      <w:r w:rsidR="00E94F40">
        <w:t xml:space="preserve">the </w:t>
      </w:r>
      <w:r w:rsidR="00B74489">
        <w:t xml:space="preserve">average </w:t>
      </w:r>
      <w:r w:rsidR="00E94F40">
        <w:t xml:space="preserve">enrollment distribution </w:t>
      </w:r>
      <w:r w:rsidR="00B74489">
        <w:t>for April 2022 and May 2022</w:t>
      </w:r>
      <w:r w:rsidR="003C360C">
        <w:t xml:space="preserve"> for the</w:t>
      </w:r>
      <w:r w:rsidR="00E407F2">
        <w:t xml:space="preserve"> </w:t>
      </w:r>
      <w:r w:rsidR="00F172A5">
        <w:t>MMP</w:t>
      </w:r>
      <w:r w:rsidR="00E94F40">
        <w:t xml:space="preserve"> program was compared to the </w:t>
      </w:r>
      <w:r w:rsidR="00D37536">
        <w:t>SFY 2021</w:t>
      </w:r>
      <w:r w:rsidR="00197DFF">
        <w:t xml:space="preserve"> fee-for-service</w:t>
      </w:r>
      <w:r w:rsidR="00E94F40">
        <w:t xml:space="preserve"> membership distribution. T</w:t>
      </w:r>
      <w:r w:rsidR="003E6A95">
        <w:t xml:space="preserve">he age adjustment </w:t>
      </w:r>
      <w:r w:rsidR="00E94F40">
        <w:t xml:space="preserve">was developed using the </w:t>
      </w:r>
      <w:r w:rsidR="00D37536">
        <w:t>SF</w:t>
      </w:r>
      <w:r w:rsidR="00A655F9">
        <w:t>Y</w:t>
      </w:r>
      <w:r w:rsidR="00D37536">
        <w:t xml:space="preserve"> 2021</w:t>
      </w:r>
      <w:r w:rsidR="00197DFF">
        <w:t xml:space="preserve"> fee-for-service experience</w:t>
      </w:r>
      <w:r w:rsidR="00E94F40">
        <w:t xml:space="preserve"> to develop the age </w:t>
      </w:r>
      <w:r w:rsidR="003F03E6">
        <w:t xml:space="preserve">acuity </w:t>
      </w:r>
      <w:r w:rsidR="00E94F40">
        <w:t xml:space="preserve">relativities. </w:t>
      </w:r>
      <w:r w:rsidR="00A27858">
        <w:t xml:space="preserve">The </w:t>
      </w:r>
      <w:r w:rsidR="003C360C">
        <w:t xml:space="preserve">material </w:t>
      </w:r>
      <w:r w:rsidR="00A27858">
        <w:t xml:space="preserve">nursing home rate cell age acuity adjustment for non-LTSS service categories is attributable to the MMP program </w:t>
      </w:r>
      <w:r w:rsidR="004F22A0">
        <w:t>covering</w:t>
      </w:r>
      <w:r w:rsidR="00A27858">
        <w:t xml:space="preserve"> a higher proportion of nursing home members under age 65, who are estimated to have a higher acuity for non-LTSS services than those over age 65.</w:t>
      </w:r>
    </w:p>
    <w:p w14:paraId="2B32A894" w14:textId="6A816157" w:rsidR="004E55FE" w:rsidRDefault="004051A2" w:rsidP="004E55FE">
      <w:pPr>
        <w:pStyle w:val="RRNumberedBullet1"/>
        <w:numPr>
          <w:ilvl w:val="0"/>
          <w:numId w:val="30"/>
        </w:numPr>
        <w:spacing w:before="120"/>
      </w:pPr>
      <w:r>
        <w:rPr>
          <w:b/>
        </w:rPr>
        <w:t xml:space="preserve">Community Non-LTSS Acuity: </w:t>
      </w:r>
      <w:r w:rsidR="00075A9F">
        <w:rPr>
          <w:bCs/>
        </w:rPr>
        <w:t xml:space="preserve">While the prior three adjustments reflect acuity differences for specific service categories, the </w:t>
      </w:r>
      <w:r w:rsidR="00E21EA7">
        <w:t>c</w:t>
      </w:r>
      <w:r>
        <w:t xml:space="preserve">ommunity </w:t>
      </w:r>
      <w:r w:rsidR="00E21EA7">
        <w:t>n</w:t>
      </w:r>
      <w:r>
        <w:t xml:space="preserve">on-LTSS utilization adjustment reflects </w:t>
      </w:r>
      <w:r w:rsidR="00075A9F">
        <w:t xml:space="preserve">differences observed between members in the community non-LTSS rate cell who utilize </w:t>
      </w:r>
      <w:r w:rsidR="004E55FE">
        <w:t>HCBS services and members who</w:t>
      </w:r>
      <w:r w:rsidR="00075A9F">
        <w:t xml:space="preserve"> do not utilize HCBS services. </w:t>
      </w:r>
      <w:r w:rsidRPr="00F4499C">
        <w:t>The adjustm</w:t>
      </w:r>
      <w:r>
        <w:t xml:space="preserve">ent was developed by comparing </w:t>
      </w:r>
      <w:r w:rsidR="003C360C" w:rsidRPr="003C360C">
        <w:t xml:space="preserve">the relative morbidity of HCBS-utilizers </w:t>
      </w:r>
      <w:r w:rsidR="00E21EA7">
        <w:t>v</w:t>
      </w:r>
      <w:r w:rsidR="00A002F8">
        <w:t>er</w:t>
      </w:r>
      <w:r w:rsidR="00E21EA7">
        <w:t>s</w:t>
      </w:r>
      <w:r w:rsidR="00A002F8">
        <w:t>us</w:t>
      </w:r>
      <w:r w:rsidR="00E21EA7">
        <w:t xml:space="preserve"> non HCBS-utilizers </w:t>
      </w:r>
      <w:r w:rsidR="003C360C" w:rsidRPr="003C360C">
        <w:t>and the proportion of HCBS utilizers in the fee-for-service and MMP-enrolled members</w:t>
      </w:r>
      <w:r>
        <w:t>.</w:t>
      </w:r>
      <w:r w:rsidR="003C360C">
        <w:t xml:space="preserve"> </w:t>
      </w:r>
      <w:bookmarkStart w:id="218" w:name="_Hlk107405667"/>
      <w:r w:rsidR="004E41C4">
        <w:t>We observed more HCBS-utilizers in the MMP-enrolled population, resulting in a higher estimated acuity in the MMP program</w:t>
      </w:r>
      <w:bookmarkEnd w:id="218"/>
      <w:r w:rsidR="004E41C4">
        <w:t xml:space="preserve">. </w:t>
      </w:r>
      <w:r w:rsidR="00A002F8">
        <w:t xml:space="preserve">The adjustment was applied separately to the HCBS service category and all other service categories. </w:t>
      </w:r>
      <w:r w:rsidR="003C360C">
        <w:t xml:space="preserve">We reviewed the </w:t>
      </w:r>
      <w:r w:rsidR="00E21EA7">
        <w:t>relative morbidity by age and determined the adjustment was materially independent of the age adjustment previously described</w:t>
      </w:r>
      <w:r w:rsidR="004E55FE">
        <w:t xml:space="preserve"> and applied to this rate cell</w:t>
      </w:r>
      <w:r w:rsidR="00E21EA7">
        <w:t>.</w:t>
      </w:r>
    </w:p>
    <w:p w14:paraId="375FCE4A" w14:textId="7A789618" w:rsidR="00201009" w:rsidRDefault="004E55FE" w:rsidP="004E55FE">
      <w:pPr>
        <w:pStyle w:val="RRNumberedBullet1"/>
        <w:numPr>
          <w:ilvl w:val="0"/>
          <w:numId w:val="30"/>
        </w:numPr>
        <w:spacing w:before="120"/>
      </w:pPr>
      <w:r>
        <w:rPr>
          <w:b/>
        </w:rPr>
        <w:t xml:space="preserve">Emerging Experience: </w:t>
      </w:r>
      <w:r w:rsidR="00305EE8" w:rsidRPr="00A10085">
        <w:t>W</w:t>
      </w:r>
      <w:r w:rsidR="00305EE8">
        <w:t xml:space="preserve">e observed evidence of dampened levels </w:t>
      </w:r>
      <w:r w:rsidR="004350B4">
        <w:t xml:space="preserve">of </w:t>
      </w:r>
      <w:r w:rsidR="00201009">
        <w:t>HCBS and nursing home</w:t>
      </w:r>
      <w:r w:rsidR="00305EE8">
        <w:t xml:space="preserve"> service utilization</w:t>
      </w:r>
      <w:r w:rsidR="00201009">
        <w:t xml:space="preserve"> </w:t>
      </w:r>
      <w:r w:rsidR="00305EE8">
        <w:t xml:space="preserve">for </w:t>
      </w:r>
      <w:r w:rsidR="00201009">
        <w:t xml:space="preserve">certain rate cells </w:t>
      </w:r>
      <w:r w:rsidR="00305EE8">
        <w:t xml:space="preserve">during the SFY 2021 base data period. </w:t>
      </w:r>
      <w:r w:rsidR="00201009">
        <w:t xml:space="preserve">SFY 2021 experience was compared to calendar year </w:t>
      </w:r>
      <w:r w:rsidR="004350B4">
        <w:t>2019 pre-pandemic experience and emerging experience through December 31, 2021 to estimate utilization increases in SFY 2023 relative to the SFY 2021 base data period. Based on our review of the pre-pandemic and emerging experience, we did not estimate suppressed utilization in other service categories to materially affect the SFY 2021 base data relative to the SFY 2023 rating period.</w:t>
      </w:r>
      <w:r w:rsidR="004350B4" w:rsidRPr="004350B4">
        <w:t xml:space="preserve"> We note that there continues to be material uncertainty around the potential impact of COVID-19 on service utilization in SFY 2023</w:t>
      </w:r>
      <w:r w:rsidR="004350B4">
        <w:t>.</w:t>
      </w:r>
    </w:p>
    <w:p w14:paraId="10088082" w14:textId="7AC9291D" w:rsidR="00735A42" w:rsidRPr="007414F2" w:rsidRDefault="00735A42" w:rsidP="004944A8">
      <w:pPr>
        <w:pStyle w:val="RRCalloutSmallMBlue"/>
        <w:spacing w:before="0"/>
        <w:rPr>
          <w:b/>
        </w:rPr>
      </w:pPr>
      <w:r>
        <w:rPr>
          <w:b/>
        </w:rPr>
        <w:t xml:space="preserve">Step </w:t>
      </w:r>
      <w:r w:rsidR="00317C53">
        <w:rPr>
          <w:b/>
        </w:rPr>
        <w:t>6</w:t>
      </w:r>
      <w:r>
        <w:rPr>
          <w:b/>
        </w:rPr>
        <w:t>:</w:t>
      </w:r>
      <w:r w:rsidRPr="007414F2">
        <w:rPr>
          <w:b/>
        </w:rPr>
        <w:t xml:space="preserve"> </w:t>
      </w:r>
      <w:r>
        <w:rPr>
          <w:b/>
        </w:rPr>
        <w:t>Trend to rating period</w:t>
      </w:r>
    </w:p>
    <w:p w14:paraId="3136ADA8" w14:textId="0383ADFD" w:rsidR="00735A42" w:rsidRDefault="00735A42" w:rsidP="00983975">
      <w:pPr>
        <w:pStyle w:val="RRBody"/>
      </w:pPr>
      <w:r w:rsidRPr="003D0595">
        <w:t xml:space="preserve">The adjusted PMPM values from the base experience period </w:t>
      </w:r>
      <w:r>
        <w:t>were</w:t>
      </w:r>
      <w:r w:rsidRPr="003D0595">
        <w:t xml:space="preserve"> trended forward to the midpoint of t</w:t>
      </w:r>
      <w:r>
        <w:t>he contract period</w:t>
      </w:r>
      <w:r w:rsidRPr="003D0595">
        <w:t>.</w:t>
      </w:r>
      <w:r w:rsidRPr="0063749B">
        <w:t xml:space="preserve"> </w:t>
      </w:r>
      <w:r w:rsidRPr="003D0595">
        <w:t>The resulting PMPMs establish the adjusted claim cost by population rate cell for the contract period.</w:t>
      </w:r>
      <w:r>
        <w:t xml:space="preserve"> The projected benefit cost trend is discussed further below.</w:t>
      </w:r>
    </w:p>
    <w:p w14:paraId="06669D16" w14:textId="77777777" w:rsidR="00CE2634" w:rsidRPr="00DA62EE" w:rsidRDefault="00CE2634" w:rsidP="007B536F">
      <w:pPr>
        <w:pStyle w:val="Heading5"/>
      </w:pPr>
      <w:bookmarkStart w:id="219" w:name="_Toc466028076"/>
      <w:bookmarkStart w:id="220" w:name="_Toc484701191"/>
      <w:bookmarkStart w:id="221" w:name="_Toc504389037"/>
      <w:r w:rsidRPr="00DA62EE">
        <w:t>Material changes to the data, assumptions, and methodologies</w:t>
      </w:r>
      <w:bookmarkEnd w:id="219"/>
      <w:bookmarkEnd w:id="220"/>
      <w:bookmarkEnd w:id="221"/>
    </w:p>
    <w:p w14:paraId="74AB530D" w14:textId="0C545D4C" w:rsidR="00B165CC" w:rsidRDefault="00013454" w:rsidP="00210B59">
      <w:pPr>
        <w:pStyle w:val="RRBody"/>
      </w:pPr>
      <w:r>
        <w:t>The data sources</w:t>
      </w:r>
      <w:r w:rsidR="006B42A9">
        <w:t xml:space="preserve"> and methodology</w:t>
      </w:r>
      <w:r>
        <w:t xml:space="preserve"> utilized in the </w:t>
      </w:r>
      <w:r w:rsidR="009A1D02">
        <w:t xml:space="preserve">development of </w:t>
      </w:r>
      <w:r>
        <w:t xml:space="preserve">the projected benefit costs for the </w:t>
      </w:r>
      <w:r w:rsidR="00566B81">
        <w:t xml:space="preserve">SFY </w:t>
      </w:r>
      <w:r w:rsidR="00D37536">
        <w:t xml:space="preserve">2023 </w:t>
      </w:r>
      <w:r>
        <w:t xml:space="preserve">capitation rate setting </w:t>
      </w:r>
      <w:r w:rsidR="00D112E2">
        <w:t xml:space="preserve">are </w:t>
      </w:r>
      <w:r w:rsidR="00591CA8">
        <w:t xml:space="preserve">generally consistent with the SFY </w:t>
      </w:r>
      <w:r w:rsidR="00D37536">
        <w:t xml:space="preserve">2022 </w:t>
      </w:r>
      <w:r w:rsidR="00591CA8">
        <w:t xml:space="preserve">capitation rate development. Any changes relative to the SFY </w:t>
      </w:r>
      <w:r w:rsidR="00D37536">
        <w:t xml:space="preserve">2022 </w:t>
      </w:r>
      <w:r w:rsidR="00591CA8">
        <w:t xml:space="preserve">rate certification are described </w:t>
      </w:r>
      <w:r w:rsidR="00D112E2">
        <w:t xml:space="preserve">in </w:t>
      </w:r>
      <w:r w:rsidR="00591CA8">
        <w:t>this document</w:t>
      </w:r>
      <w:r>
        <w:t>.</w:t>
      </w:r>
    </w:p>
    <w:p w14:paraId="3A234233" w14:textId="77777777" w:rsidR="007B536F" w:rsidRDefault="007B536F" w:rsidP="007B536F">
      <w:pPr>
        <w:pStyle w:val="Heading5"/>
      </w:pPr>
      <w:r>
        <w:t>Overpayments to providers</w:t>
      </w:r>
    </w:p>
    <w:p w14:paraId="75AF6E06" w14:textId="1D275B33" w:rsidR="007B536F" w:rsidRPr="007B536F" w:rsidRDefault="00B21420" w:rsidP="007B536F">
      <w:r>
        <w:t>We did not observe nor are we aware of any overpayments to providers.</w:t>
      </w:r>
    </w:p>
    <w:p w14:paraId="661CD1AA" w14:textId="4D7CD23B" w:rsidR="0088012E" w:rsidRPr="00013033" w:rsidRDefault="0088012E" w:rsidP="007B536F">
      <w:pPr>
        <w:pStyle w:val="Heading4"/>
      </w:pPr>
      <w:bookmarkStart w:id="222" w:name="_Toc466028077"/>
      <w:bookmarkStart w:id="223" w:name="_Toc484701192"/>
      <w:bookmarkStart w:id="224" w:name="_Toc504389038"/>
      <w:bookmarkStart w:id="225" w:name="_Toc8985017"/>
      <w:bookmarkStart w:id="226" w:name="_Toc109295511"/>
      <w:bookmarkStart w:id="227" w:name="_Toc484701200"/>
      <w:bookmarkStart w:id="228" w:name="_Toc504389046"/>
      <w:r w:rsidRPr="00013033">
        <w:t xml:space="preserve">Projected </w:t>
      </w:r>
      <w:r w:rsidR="000865BE">
        <w:t>b</w:t>
      </w:r>
      <w:r w:rsidR="000865BE" w:rsidRPr="00013033">
        <w:t xml:space="preserve">enefit </w:t>
      </w:r>
      <w:r w:rsidR="000865BE">
        <w:t>c</w:t>
      </w:r>
      <w:r w:rsidR="000865BE" w:rsidRPr="00013033">
        <w:t xml:space="preserve">ost </w:t>
      </w:r>
      <w:bookmarkEnd w:id="222"/>
      <w:bookmarkEnd w:id="223"/>
      <w:bookmarkEnd w:id="224"/>
      <w:bookmarkEnd w:id="225"/>
      <w:r w:rsidR="000865BE">
        <w:t>t</w:t>
      </w:r>
      <w:r w:rsidR="000865BE" w:rsidRPr="00013033">
        <w:t>rends</w:t>
      </w:r>
      <w:bookmarkEnd w:id="226"/>
    </w:p>
    <w:p w14:paraId="7AA45FC4" w14:textId="66A3FB87" w:rsidR="009F0460" w:rsidRDefault="0088012E" w:rsidP="00210B59">
      <w:pPr>
        <w:pStyle w:val="RRBody"/>
        <w:rPr>
          <w:rFonts w:cstheme="minorHAnsi"/>
          <w:b/>
          <w:color w:val="555B5D" w:themeColor="accent3" w:themeShade="BF"/>
          <w:sz w:val="20"/>
          <w:szCs w:val="20"/>
        </w:rPr>
      </w:pPr>
      <w:r w:rsidRPr="0076558C">
        <w:t>This section discusses the data, assumptions, and methodologies used to develop the benefit cost trends, i.e., the annualized projected change in benefit costs from the historical base period (</w:t>
      </w:r>
      <w:r w:rsidR="00D37536">
        <w:t>SFY 2021</w:t>
      </w:r>
      <w:r w:rsidRPr="0076558C">
        <w:t xml:space="preserve">) to the </w:t>
      </w:r>
      <w:r w:rsidR="009D24DD">
        <w:t xml:space="preserve">SFY </w:t>
      </w:r>
      <w:r w:rsidR="00D37536">
        <w:t>2023</w:t>
      </w:r>
      <w:r w:rsidR="00D37536" w:rsidRPr="0076558C">
        <w:t xml:space="preserve"> </w:t>
      </w:r>
      <w:r w:rsidRPr="0076558C">
        <w:t>rating period of this certification. We evaluated prospective trend rates using historical experience for the</w:t>
      </w:r>
      <w:r w:rsidR="00C07983" w:rsidDel="00F4499C">
        <w:t xml:space="preserve"> </w:t>
      </w:r>
      <w:r w:rsidR="00F4499C">
        <w:t>RHO Phase 1 program</w:t>
      </w:r>
      <w:r w:rsidRPr="0076558C">
        <w:t xml:space="preserve">, </w:t>
      </w:r>
      <w:r w:rsidR="00574E04">
        <w:t xml:space="preserve">experience for the fee-for-service population, and </w:t>
      </w:r>
      <w:r w:rsidRPr="0076558C">
        <w:t>external data sources</w:t>
      </w:r>
      <w:r>
        <w:t>.</w:t>
      </w:r>
      <w:bookmarkStart w:id="229" w:name="_Toc484701193"/>
      <w:bookmarkStart w:id="230" w:name="_Toc504389039"/>
      <w:bookmarkStart w:id="231" w:name="_Toc466028078"/>
      <w:r w:rsidR="0040703E">
        <w:t xml:space="preserve"> </w:t>
      </w:r>
    </w:p>
    <w:p w14:paraId="0EFAC975" w14:textId="77777777" w:rsidR="0088012E" w:rsidRPr="008013FB" w:rsidRDefault="0088012E" w:rsidP="007B536F">
      <w:pPr>
        <w:pStyle w:val="Heading5"/>
      </w:pPr>
      <w:r w:rsidRPr="008013FB">
        <w:t>Required elements</w:t>
      </w:r>
      <w:bookmarkEnd w:id="229"/>
      <w:bookmarkEnd w:id="230"/>
    </w:p>
    <w:p w14:paraId="460F4CAB" w14:textId="77777777" w:rsidR="0088012E" w:rsidRPr="008013FB" w:rsidRDefault="0088012E">
      <w:pPr>
        <w:pStyle w:val="Heading6"/>
        <w:numPr>
          <w:ilvl w:val="0"/>
          <w:numId w:val="22"/>
        </w:numPr>
      </w:pPr>
      <w:bookmarkStart w:id="232" w:name="_Toc454354193"/>
      <w:bookmarkStart w:id="233" w:name="_Toc484701194"/>
      <w:bookmarkStart w:id="234" w:name="_Toc504389040"/>
      <w:r w:rsidRPr="008013FB">
        <w:t>Data</w:t>
      </w:r>
      <w:bookmarkEnd w:id="232"/>
      <w:bookmarkEnd w:id="233"/>
      <w:bookmarkEnd w:id="234"/>
    </w:p>
    <w:p w14:paraId="1B2BB87B" w14:textId="57A6B716" w:rsidR="0022132B" w:rsidRDefault="002843D7" w:rsidP="002843D7">
      <w:pPr>
        <w:pStyle w:val="RRBody"/>
      </w:pPr>
      <w:bookmarkStart w:id="235" w:name="_Toc454354194"/>
      <w:bookmarkStart w:id="236" w:name="_Toc484701195"/>
      <w:bookmarkStart w:id="237" w:name="_Toc504389041"/>
      <w:bookmarkEnd w:id="231"/>
      <w:r>
        <w:t xml:space="preserve">RHO Phase 1 </w:t>
      </w:r>
      <w:r w:rsidR="002A11D9">
        <w:t>encounter d</w:t>
      </w:r>
      <w:r w:rsidR="0022132B" w:rsidRPr="0076558C">
        <w:t xml:space="preserve">ata used for trend development included cost and utilization experience from </w:t>
      </w:r>
      <w:r w:rsidR="00FA3C24">
        <w:t>July 1, 2016</w:t>
      </w:r>
      <w:r w:rsidR="00C01762" w:rsidRPr="0076558C">
        <w:t xml:space="preserve"> </w:t>
      </w:r>
      <w:r w:rsidR="0022132B" w:rsidRPr="004C11F5">
        <w:t>through</w:t>
      </w:r>
      <w:r w:rsidR="0022132B" w:rsidRPr="0076558C">
        <w:t xml:space="preserve"> the</w:t>
      </w:r>
      <w:r w:rsidR="00FA3C24">
        <w:t xml:space="preserve"> end of the RHO Phase 1 program, September 30, 2018</w:t>
      </w:r>
      <w:r w:rsidR="0022132B" w:rsidRPr="0076558C">
        <w:t>.</w:t>
      </w:r>
      <w:r w:rsidR="0022132B">
        <w:t xml:space="preserve"> </w:t>
      </w:r>
      <w:r w:rsidR="002A11D9">
        <w:t xml:space="preserve">In addition to this historical trend information, we also reviewed fee-for-service experience between January 1, 2019 and December 31, </w:t>
      </w:r>
      <w:r w:rsidR="00D37536">
        <w:t>2021</w:t>
      </w:r>
      <w:r w:rsidR="008F4E52">
        <w:t>.</w:t>
      </w:r>
    </w:p>
    <w:p w14:paraId="31CAB669" w14:textId="77777777" w:rsidR="00DC1BCB" w:rsidRDefault="00DC1BCB" w:rsidP="002843D7">
      <w:pPr>
        <w:pStyle w:val="RRBody"/>
      </w:pPr>
    </w:p>
    <w:p w14:paraId="77510240" w14:textId="51308C4C" w:rsidR="0022132B" w:rsidRPr="00580D0F" w:rsidRDefault="0022132B" w:rsidP="002843D7">
      <w:pPr>
        <w:pStyle w:val="RRBody"/>
        <w:rPr>
          <w:rFonts w:cstheme="minorHAnsi"/>
          <w:szCs w:val="18"/>
        </w:rPr>
      </w:pPr>
      <w:r w:rsidRPr="0076558C">
        <w:lastRenderedPageBreak/>
        <w:t xml:space="preserve">External data sources that were referenced </w:t>
      </w:r>
      <w:r>
        <w:t xml:space="preserve">for evaluating trend rates developed from the base data </w:t>
      </w:r>
      <w:r w:rsidRPr="0076558C">
        <w:t>include</w:t>
      </w:r>
      <w:r w:rsidRPr="00580D0F">
        <w:rPr>
          <w:rFonts w:cstheme="minorHAnsi"/>
          <w:szCs w:val="18"/>
        </w:rPr>
        <w:t>:</w:t>
      </w:r>
    </w:p>
    <w:p w14:paraId="313E4C06" w14:textId="3CC3807D" w:rsidR="001A12E8" w:rsidRPr="004C11F5" w:rsidRDefault="0022132B" w:rsidP="001E7A33">
      <w:pPr>
        <w:pStyle w:val="RRNumberedBullet1"/>
        <w:spacing w:line="240" w:lineRule="auto"/>
      </w:pPr>
      <w:r w:rsidRPr="002843D7">
        <w:t xml:space="preserve">National Health Expenditure (NHE) projections </w:t>
      </w:r>
      <w:r w:rsidRPr="004C11F5">
        <w:t>developed by the CMS office of the actuary</w:t>
      </w:r>
      <w:r w:rsidRPr="005211EA">
        <w:rPr>
          <w:vertAlign w:val="superscript"/>
        </w:rPr>
        <w:footnoteReference w:id="5"/>
      </w:r>
      <w:r w:rsidRPr="004C11F5">
        <w:t>, specifically those related to Medicaid.</w:t>
      </w:r>
    </w:p>
    <w:p w14:paraId="0F8D9B0A" w14:textId="3B781E65" w:rsidR="00C50AB6" w:rsidRDefault="0022132B" w:rsidP="001E7A33">
      <w:pPr>
        <w:pStyle w:val="RRNumberedBullet1"/>
        <w:spacing w:line="240" w:lineRule="auto"/>
      </w:pPr>
      <w:r w:rsidRPr="002843D7">
        <w:t>Other sources</w:t>
      </w:r>
      <w:r w:rsidRPr="004C11F5">
        <w:t>: We also reviewed internal sources that are not publicly available, such as historical experience</w:t>
      </w:r>
      <w:r w:rsidRPr="00916238">
        <w:t xml:space="preserve"> from other programs and trends used by other Milliman actuaries.</w:t>
      </w:r>
    </w:p>
    <w:p w14:paraId="2A91C10B" w14:textId="3F8BC614" w:rsidR="0088012E" w:rsidRDefault="0088012E">
      <w:pPr>
        <w:pStyle w:val="Heading6"/>
      </w:pPr>
      <w:r w:rsidRPr="00F13259">
        <w:t>Methodology</w:t>
      </w:r>
      <w:bookmarkEnd w:id="235"/>
      <w:bookmarkEnd w:id="236"/>
      <w:bookmarkEnd w:id="237"/>
    </w:p>
    <w:p w14:paraId="3274B32D" w14:textId="7A3AF304" w:rsidR="001A12E8" w:rsidRDefault="0040703E" w:rsidP="001E7A33">
      <w:pPr>
        <w:pStyle w:val="RRBody"/>
        <w:spacing w:line="240" w:lineRule="auto"/>
      </w:pPr>
      <w:bookmarkStart w:id="238" w:name="_Toc4837539"/>
      <w:r w:rsidRPr="003D0595">
        <w:t xml:space="preserve">The adjusted PMPM values from the base experience period </w:t>
      </w:r>
      <w:r w:rsidR="00130FF5">
        <w:t>were</w:t>
      </w:r>
      <w:r w:rsidRPr="003D0595">
        <w:t xml:space="preserve"> trended forward to the midpoint of t</w:t>
      </w:r>
      <w:r>
        <w:t>he contract period (</w:t>
      </w:r>
      <w:r w:rsidR="00726F5D">
        <w:t xml:space="preserve">January </w:t>
      </w:r>
      <w:r>
        <w:t>1, </w:t>
      </w:r>
      <w:r w:rsidR="00504CDF">
        <w:t>2023</w:t>
      </w:r>
      <w:r w:rsidRPr="003D0595">
        <w:t>).</w:t>
      </w:r>
      <w:r w:rsidR="009A1D02">
        <w:t xml:space="preserve"> </w:t>
      </w:r>
      <w:bookmarkEnd w:id="238"/>
      <w:r w:rsidR="009A1D02">
        <w:t>H</w:t>
      </w:r>
      <w:r w:rsidR="001A12E8" w:rsidRPr="00C07983">
        <w:t>istorical utilization and per member per month cost data was stratified by month, rate cell, and category of service</w:t>
      </w:r>
      <w:r w:rsidR="009A1D02">
        <w:t xml:space="preserve"> for purposes of trend development</w:t>
      </w:r>
      <w:r w:rsidR="001A12E8" w:rsidRPr="00C07983">
        <w:t>.</w:t>
      </w:r>
      <w:r w:rsidR="005178EA">
        <w:t xml:space="preserve"> </w:t>
      </w:r>
    </w:p>
    <w:p w14:paraId="5BD90891" w14:textId="434050D1" w:rsidR="001A12E8" w:rsidRDefault="001A12E8" w:rsidP="001E7A33">
      <w:pPr>
        <w:spacing w:line="240" w:lineRule="auto"/>
      </w:pPr>
      <w:r w:rsidRPr="00C07983">
        <w:t xml:space="preserve">We </w:t>
      </w:r>
      <w:r w:rsidR="00CD6891">
        <w:t xml:space="preserve">reviewed multiple </w:t>
      </w:r>
      <w:r w:rsidRPr="00C07983">
        <w:t xml:space="preserve">regression </w:t>
      </w:r>
      <w:r w:rsidR="00CD6891">
        <w:t>models</w:t>
      </w:r>
      <w:r w:rsidR="008A7EFA">
        <w:t xml:space="preserve">, month-over-month, and year-over year trends when developing the prospective trend estimates. </w:t>
      </w:r>
      <w:r w:rsidRPr="001A12E8">
        <w:t>The resulting utilization per 1,000 and PMPM data points were compared to historical experience, internal sources from other managed care programs, and federal Medicaid cost projections. We used the resulting analysis, along with actuarial judgment, to estimate the prospective trend rates for the period from the midpoint of the base period to the midpoint of the rating period.</w:t>
      </w:r>
      <w:r w:rsidR="00FB3E81">
        <w:t xml:space="preserve"> Consideration was given to the nature of the coordination of benefits with Medicare for the covered populations.</w:t>
      </w:r>
    </w:p>
    <w:p w14:paraId="17A37C07" w14:textId="60B7A908" w:rsidR="007C4009" w:rsidRDefault="007C4009" w:rsidP="001E7A33">
      <w:pPr>
        <w:spacing w:line="240" w:lineRule="auto"/>
      </w:pPr>
      <w:r>
        <w:t>Prospective trend adjustments include consideration</w:t>
      </w:r>
      <w:r w:rsidRPr="00D8739E">
        <w:t xml:space="preserve"> </w:t>
      </w:r>
      <w:r>
        <w:t xml:space="preserve">for </w:t>
      </w:r>
      <w:r w:rsidRPr="00F37240">
        <w:t>legislatively mandated</w:t>
      </w:r>
      <w:r>
        <w:t xml:space="preserve"> provider reimbursement trends</w:t>
      </w:r>
      <w:r w:rsidR="003A21FF">
        <w:t xml:space="preserve"> for the fee-for-service program</w:t>
      </w:r>
      <w:r w:rsidRPr="001D16B7">
        <w:t xml:space="preserve">. </w:t>
      </w:r>
      <w:r>
        <w:t xml:space="preserve">Hospital inpatient facility, hospital outpatient facility, </w:t>
      </w:r>
      <w:r w:rsidR="00C50AB6">
        <w:t xml:space="preserve">home care, </w:t>
      </w:r>
      <w:r>
        <w:t xml:space="preserve">and nursing home reimbursement trends are </w:t>
      </w:r>
      <w:r w:rsidRPr="0006277C">
        <w:rPr>
          <w:iCs/>
        </w:rPr>
        <w:t xml:space="preserve">legislatively mandated in the State of Rhode Island General Assembly </w:t>
      </w:r>
      <w:r>
        <w:rPr>
          <w:iCs/>
        </w:rPr>
        <w:t>B</w:t>
      </w:r>
      <w:r w:rsidRPr="0006277C">
        <w:rPr>
          <w:iCs/>
        </w:rPr>
        <w:t xml:space="preserve">udget </w:t>
      </w:r>
      <w:r>
        <w:rPr>
          <w:iCs/>
        </w:rPr>
        <w:t>A</w:t>
      </w:r>
      <w:r w:rsidRPr="0006277C">
        <w:rPr>
          <w:iCs/>
        </w:rPr>
        <w:t xml:space="preserve">rticle </w:t>
      </w:r>
      <w:r>
        <w:rPr>
          <w:iCs/>
        </w:rPr>
        <w:t>R</w:t>
      </w:r>
      <w:r w:rsidRPr="0006277C">
        <w:rPr>
          <w:iCs/>
        </w:rPr>
        <w:t xml:space="preserve">elating to </w:t>
      </w:r>
      <w:r>
        <w:rPr>
          <w:iCs/>
        </w:rPr>
        <w:t>H</w:t>
      </w:r>
      <w:r w:rsidRPr="0006277C">
        <w:rPr>
          <w:iCs/>
        </w:rPr>
        <w:t xml:space="preserve">uman </w:t>
      </w:r>
      <w:r>
        <w:rPr>
          <w:iCs/>
        </w:rPr>
        <w:t>S</w:t>
      </w:r>
      <w:r w:rsidRPr="0006277C">
        <w:rPr>
          <w:iCs/>
        </w:rPr>
        <w:t>ervices</w:t>
      </w:r>
      <w:r w:rsidR="002C3E81">
        <w:rPr>
          <w:iCs/>
        </w:rPr>
        <w:t xml:space="preserve">. </w:t>
      </w:r>
      <w:r w:rsidR="00903151">
        <w:rPr>
          <w:iCs/>
        </w:rPr>
        <w:t>A</w:t>
      </w:r>
      <w:r w:rsidR="006547CB">
        <w:rPr>
          <w:iCs/>
        </w:rPr>
        <w:t xml:space="preserve">dditional </w:t>
      </w:r>
      <w:r w:rsidR="00903151">
        <w:rPr>
          <w:iCs/>
        </w:rPr>
        <w:t xml:space="preserve">increases of </w:t>
      </w:r>
      <w:r w:rsidR="006547CB">
        <w:rPr>
          <w:iCs/>
        </w:rPr>
        <w:t>0.5% effective October 1, 2021</w:t>
      </w:r>
      <w:r w:rsidR="00903151">
        <w:rPr>
          <w:iCs/>
        </w:rPr>
        <w:t>,</w:t>
      </w:r>
      <w:r w:rsidR="006547CB">
        <w:rPr>
          <w:iCs/>
        </w:rPr>
        <w:t xml:space="preserve"> </w:t>
      </w:r>
      <w:r w:rsidR="00B30274">
        <w:rPr>
          <w:iCs/>
        </w:rPr>
        <w:t xml:space="preserve">and </w:t>
      </w:r>
      <w:r w:rsidR="00903151">
        <w:rPr>
          <w:iCs/>
        </w:rPr>
        <w:t>1</w:t>
      </w:r>
      <w:r w:rsidR="00B30274">
        <w:rPr>
          <w:iCs/>
        </w:rPr>
        <w:t>.</w:t>
      </w:r>
      <w:r w:rsidR="00903151">
        <w:rPr>
          <w:iCs/>
        </w:rPr>
        <w:t>0</w:t>
      </w:r>
      <w:r w:rsidR="00B30274">
        <w:rPr>
          <w:iCs/>
        </w:rPr>
        <w:t>% effective October 1, 2022</w:t>
      </w:r>
      <w:r w:rsidR="00903151">
        <w:rPr>
          <w:iCs/>
        </w:rPr>
        <w:t>,</w:t>
      </w:r>
      <w:r w:rsidR="00B30274">
        <w:rPr>
          <w:iCs/>
        </w:rPr>
        <w:t xml:space="preserve"> </w:t>
      </w:r>
      <w:r w:rsidR="00903151">
        <w:rPr>
          <w:iCs/>
        </w:rPr>
        <w:t xml:space="preserve">for the legislatively mandated nursing home staffing adjustments were </w:t>
      </w:r>
      <w:r w:rsidR="006547CB">
        <w:rPr>
          <w:iCs/>
        </w:rPr>
        <w:t xml:space="preserve">also applied to the nursing home and hospice service categories. </w:t>
      </w:r>
      <w:r w:rsidR="002C3E81">
        <w:rPr>
          <w:iCs/>
        </w:rPr>
        <w:t xml:space="preserve">Appendix 4 illustrates the prospective trend adjustment impact of these legislatively mandated trends </w:t>
      </w:r>
      <w:r w:rsidR="002C3E81">
        <w:t xml:space="preserve">by service category. </w:t>
      </w:r>
    </w:p>
    <w:p w14:paraId="47C4C492" w14:textId="776C976F" w:rsidR="0088012E" w:rsidRPr="00F13259" w:rsidRDefault="0088012E">
      <w:pPr>
        <w:pStyle w:val="Heading6"/>
      </w:pPr>
      <w:bookmarkStart w:id="239" w:name="_Toc454354195"/>
      <w:bookmarkStart w:id="240" w:name="_Toc484701196"/>
      <w:bookmarkStart w:id="241" w:name="_Toc504389042"/>
      <w:r w:rsidRPr="00F13259">
        <w:t>Comparisons</w:t>
      </w:r>
      <w:bookmarkEnd w:id="239"/>
      <w:bookmarkEnd w:id="240"/>
      <w:bookmarkEnd w:id="241"/>
    </w:p>
    <w:p w14:paraId="62B60115" w14:textId="66B1FE69" w:rsidR="007613B6" w:rsidRDefault="007613B6" w:rsidP="001E7A33">
      <w:pPr>
        <w:pStyle w:val="RRBody"/>
        <w:spacing w:line="240" w:lineRule="auto"/>
      </w:pPr>
      <w:bookmarkStart w:id="242" w:name="_Toc454354196"/>
      <w:bookmarkStart w:id="243" w:name="_Toc484701197"/>
      <w:bookmarkStart w:id="244" w:name="_Toc504389043"/>
      <w:r>
        <w:t xml:space="preserve">Historical trends should not be used in a simple formulaic manner to determine future trends; a great deal of actuarial judgment is also needed. We did not </w:t>
      </w:r>
      <w:r w:rsidR="0055788D">
        <w:t>solely</w:t>
      </w:r>
      <w:r>
        <w:t xml:space="preserve"> rely on the historical trend experience due to anomalies observed in the historical trend data. We referred to the sources listed in the prior section as well as considered changing practice patterns</w:t>
      </w:r>
      <w:r w:rsidR="0055788D">
        <w:t xml:space="preserve"> and</w:t>
      </w:r>
      <w:r>
        <w:t xml:space="preserve"> the impact of reimbursement changes on utilization.</w:t>
      </w:r>
      <w:r w:rsidR="005178EA">
        <w:t xml:space="preserve"> </w:t>
      </w:r>
    </w:p>
    <w:p w14:paraId="73BEBBF6" w14:textId="77777777" w:rsidR="007B536F" w:rsidRDefault="007B536F">
      <w:pPr>
        <w:pStyle w:val="Heading6"/>
      </w:pPr>
      <w:r>
        <w:t>Chosen trend rates</w:t>
      </w:r>
    </w:p>
    <w:p w14:paraId="3AED4586" w14:textId="4AFEC160" w:rsidR="005C0869" w:rsidRDefault="005C0869" w:rsidP="007B536F">
      <w:r>
        <w:t xml:space="preserve">The trend rates selected are illustrated </w:t>
      </w:r>
      <w:r w:rsidR="00241EBB">
        <w:t xml:space="preserve">below </w:t>
      </w:r>
      <w:r>
        <w:t>in Section I.3.B.iii.(b). There were no outlier trends or negative trends.</w:t>
      </w:r>
    </w:p>
    <w:p w14:paraId="19454A22" w14:textId="77777777" w:rsidR="0088012E" w:rsidRDefault="0088012E" w:rsidP="007B536F">
      <w:pPr>
        <w:pStyle w:val="Heading5"/>
      </w:pPr>
      <w:r w:rsidRPr="007533EB">
        <w:t>Benefit cost trend components</w:t>
      </w:r>
      <w:bookmarkEnd w:id="242"/>
      <w:bookmarkEnd w:id="243"/>
      <w:bookmarkEnd w:id="244"/>
    </w:p>
    <w:p w14:paraId="28E814C6" w14:textId="2774167D" w:rsidR="00667CCF" w:rsidRDefault="00FB3E81" w:rsidP="00F8171F">
      <w:r>
        <w:t>Figure</w:t>
      </w:r>
      <w:r w:rsidRPr="009D5CA5">
        <w:t xml:space="preserve"> </w:t>
      </w:r>
      <w:r w:rsidR="00DC7441">
        <w:t>9</w:t>
      </w:r>
      <w:r w:rsidR="00DC7441" w:rsidRPr="009D5CA5">
        <w:t xml:space="preserve"> </w:t>
      </w:r>
      <w:r w:rsidR="00F8171F" w:rsidRPr="009D5CA5">
        <w:t xml:space="preserve">illustrates the </w:t>
      </w:r>
      <w:r w:rsidR="00E96766">
        <w:t xml:space="preserve">utilization and unit cost </w:t>
      </w:r>
      <w:r w:rsidR="00F8171F" w:rsidRPr="009D5CA5">
        <w:t>component</w:t>
      </w:r>
      <w:r w:rsidR="00E96766">
        <w:t>s</w:t>
      </w:r>
      <w:r w:rsidR="00F8171F" w:rsidRPr="009D5CA5">
        <w:t xml:space="preserve"> of the trend by category of service</w:t>
      </w:r>
      <w:r w:rsidR="00530CAE">
        <w:t>.</w:t>
      </w:r>
      <w:r w:rsidR="00F8171F" w:rsidRPr="009D5CA5">
        <w:t xml:space="preserve"> </w:t>
      </w:r>
    </w:p>
    <w:tbl>
      <w:tblPr>
        <w:tblW w:w="5239" w:type="pct"/>
        <w:tblLayout w:type="fixed"/>
        <w:tblLook w:val="04A0" w:firstRow="1" w:lastRow="0" w:firstColumn="1" w:lastColumn="0" w:noHBand="0" w:noVBand="1"/>
      </w:tblPr>
      <w:tblGrid>
        <w:gridCol w:w="2611"/>
        <w:gridCol w:w="1710"/>
        <w:gridCol w:w="1801"/>
        <w:gridCol w:w="3685"/>
      </w:tblGrid>
      <w:tr w:rsidR="001126E5" w:rsidRPr="001126E5" w14:paraId="6E62F715" w14:textId="77777777" w:rsidTr="005013CD">
        <w:trPr>
          <w:trHeight w:val="240"/>
        </w:trPr>
        <w:tc>
          <w:tcPr>
            <w:tcW w:w="5000" w:type="pct"/>
            <w:gridSpan w:val="4"/>
            <w:tcBorders>
              <w:top w:val="nil"/>
              <w:left w:val="nil"/>
              <w:bottom w:val="nil"/>
              <w:right w:val="nil"/>
            </w:tcBorders>
            <w:shd w:val="clear" w:color="auto" w:fill="auto"/>
            <w:noWrap/>
            <w:vAlign w:val="bottom"/>
            <w:hideMark/>
          </w:tcPr>
          <w:p w14:paraId="0CECAAD9" w14:textId="42520377" w:rsidR="001126E5" w:rsidRPr="001126E5" w:rsidRDefault="00FB3E81" w:rsidP="0072307B">
            <w:pPr>
              <w:spacing w:after="0" w:line="240" w:lineRule="auto"/>
              <w:rPr>
                <w:rFonts w:asciiTheme="majorHAnsi" w:eastAsia="Times New Roman" w:hAnsiTheme="majorHAnsi" w:cstheme="majorHAnsi"/>
                <w:b/>
                <w:bCs/>
                <w:color w:val="0081E3"/>
                <w:szCs w:val="18"/>
              </w:rPr>
            </w:pPr>
            <w:r>
              <w:rPr>
                <w:rFonts w:asciiTheme="majorHAnsi" w:eastAsia="Times New Roman" w:hAnsiTheme="majorHAnsi" w:cstheme="majorHAnsi"/>
                <w:b/>
                <w:bCs/>
                <w:color w:val="0081E3"/>
                <w:szCs w:val="18"/>
              </w:rPr>
              <w:t>FIGUR</w:t>
            </w:r>
            <w:r w:rsidRPr="00F36F07">
              <w:rPr>
                <w:rFonts w:asciiTheme="majorHAnsi" w:eastAsia="Times New Roman" w:hAnsiTheme="majorHAnsi" w:cstheme="majorHAnsi"/>
                <w:b/>
                <w:bCs/>
                <w:color w:val="0081E3"/>
                <w:szCs w:val="18"/>
              </w:rPr>
              <w:t xml:space="preserve">E </w:t>
            </w:r>
            <w:r w:rsidR="00DC7441">
              <w:rPr>
                <w:rFonts w:asciiTheme="majorHAnsi" w:eastAsia="Times New Roman" w:hAnsiTheme="majorHAnsi" w:cstheme="majorHAnsi"/>
                <w:b/>
                <w:bCs/>
                <w:color w:val="0081E3"/>
                <w:szCs w:val="18"/>
              </w:rPr>
              <w:t>9</w:t>
            </w:r>
            <w:r w:rsidR="00274BD5">
              <w:rPr>
                <w:rFonts w:asciiTheme="majorHAnsi" w:eastAsia="Times New Roman" w:hAnsiTheme="majorHAnsi" w:cstheme="majorHAnsi"/>
                <w:b/>
                <w:bCs/>
                <w:color w:val="0081E3"/>
                <w:szCs w:val="18"/>
              </w:rPr>
              <w:t>:</w:t>
            </w:r>
            <w:r>
              <w:rPr>
                <w:rFonts w:asciiTheme="majorHAnsi" w:eastAsia="Times New Roman" w:hAnsiTheme="majorHAnsi" w:cstheme="majorHAnsi"/>
                <w:b/>
                <w:bCs/>
                <w:color w:val="0081E3"/>
                <w:szCs w:val="18"/>
              </w:rPr>
              <w:t xml:space="preserve"> ANNUALIZED </w:t>
            </w:r>
            <w:r w:rsidR="00010D5D">
              <w:rPr>
                <w:rFonts w:asciiTheme="majorHAnsi" w:eastAsia="Times New Roman" w:hAnsiTheme="majorHAnsi" w:cstheme="majorHAnsi"/>
                <w:b/>
                <w:bCs/>
                <w:color w:val="0081E3"/>
                <w:szCs w:val="18"/>
              </w:rPr>
              <w:t xml:space="preserve">PROSPECTIVE </w:t>
            </w:r>
            <w:r w:rsidR="00E96766">
              <w:rPr>
                <w:rFonts w:asciiTheme="majorHAnsi" w:eastAsia="Times New Roman" w:hAnsiTheme="majorHAnsi" w:cstheme="majorHAnsi"/>
                <w:b/>
                <w:bCs/>
                <w:color w:val="0081E3"/>
                <w:szCs w:val="18"/>
              </w:rPr>
              <w:t xml:space="preserve">UTILIZATION AND </w:t>
            </w:r>
            <w:r>
              <w:rPr>
                <w:rFonts w:asciiTheme="majorHAnsi" w:eastAsia="Times New Roman" w:hAnsiTheme="majorHAnsi" w:cstheme="majorHAnsi"/>
                <w:b/>
                <w:bCs/>
                <w:color w:val="0081E3"/>
                <w:szCs w:val="18"/>
              </w:rPr>
              <w:t>UNIT COST TREND ASSUMPTIONS</w:t>
            </w:r>
          </w:p>
        </w:tc>
      </w:tr>
      <w:tr w:rsidR="001D18BC" w:rsidRPr="001126E5" w14:paraId="317CC4A5" w14:textId="77777777" w:rsidTr="005013CD">
        <w:trPr>
          <w:gridAfter w:val="1"/>
          <w:wAfter w:w="1879" w:type="pct"/>
          <w:trHeight w:val="525"/>
        </w:trPr>
        <w:tc>
          <w:tcPr>
            <w:tcW w:w="1331" w:type="pct"/>
            <w:tcBorders>
              <w:top w:val="nil"/>
              <w:left w:val="nil"/>
              <w:bottom w:val="single" w:sz="4" w:space="0" w:color="C6C9CA"/>
              <w:right w:val="nil"/>
            </w:tcBorders>
            <w:shd w:val="clear" w:color="auto" w:fill="auto"/>
            <w:vAlign w:val="bottom"/>
            <w:hideMark/>
          </w:tcPr>
          <w:p w14:paraId="65ADDFEE" w14:textId="594DA397" w:rsidR="001D18BC" w:rsidRPr="001D18BC" w:rsidRDefault="001D18BC" w:rsidP="001D18BC">
            <w:pPr>
              <w:spacing w:after="0" w:line="240" w:lineRule="auto"/>
              <w:rPr>
                <w:rFonts w:asciiTheme="majorHAnsi" w:eastAsia="Times New Roman" w:hAnsiTheme="majorHAnsi" w:cstheme="majorHAnsi"/>
                <w:b/>
                <w:bCs/>
                <w:color w:val="39414D"/>
                <w:szCs w:val="18"/>
              </w:rPr>
            </w:pPr>
            <w:r w:rsidRPr="001D18BC">
              <w:rPr>
                <w:rFonts w:ascii="Arial" w:hAnsi="Arial" w:cs="Arial"/>
                <w:b/>
                <w:bCs/>
                <w:color w:val="39414D"/>
                <w:szCs w:val="18"/>
              </w:rPr>
              <w:t>Service Category</w:t>
            </w:r>
          </w:p>
        </w:tc>
        <w:tc>
          <w:tcPr>
            <w:tcW w:w="872" w:type="pct"/>
            <w:tcBorders>
              <w:top w:val="nil"/>
              <w:left w:val="nil"/>
              <w:bottom w:val="single" w:sz="4" w:space="0" w:color="C6C9CA"/>
              <w:right w:val="nil"/>
            </w:tcBorders>
            <w:shd w:val="clear" w:color="auto" w:fill="auto"/>
            <w:vAlign w:val="bottom"/>
            <w:hideMark/>
          </w:tcPr>
          <w:p w14:paraId="5A749EAD" w14:textId="0D9152DA" w:rsidR="001D18BC" w:rsidRPr="001D18BC" w:rsidRDefault="001D18BC" w:rsidP="001D18BC">
            <w:pPr>
              <w:spacing w:after="0" w:line="240" w:lineRule="auto"/>
              <w:jc w:val="center"/>
              <w:rPr>
                <w:rFonts w:asciiTheme="majorHAnsi" w:eastAsia="Times New Roman" w:hAnsiTheme="majorHAnsi" w:cstheme="majorHAnsi"/>
                <w:b/>
                <w:bCs/>
                <w:color w:val="39414D"/>
                <w:szCs w:val="18"/>
              </w:rPr>
            </w:pPr>
            <w:r w:rsidRPr="001D18BC">
              <w:rPr>
                <w:rFonts w:ascii="Arial" w:hAnsi="Arial" w:cs="Arial"/>
                <w:b/>
                <w:bCs/>
                <w:color w:val="39414D"/>
                <w:szCs w:val="18"/>
              </w:rPr>
              <w:t>Utilization Trend</w:t>
            </w:r>
          </w:p>
        </w:tc>
        <w:tc>
          <w:tcPr>
            <w:tcW w:w="918" w:type="pct"/>
            <w:tcBorders>
              <w:top w:val="nil"/>
              <w:left w:val="nil"/>
              <w:bottom w:val="single" w:sz="4" w:space="0" w:color="C6C9CA"/>
              <w:right w:val="nil"/>
            </w:tcBorders>
            <w:shd w:val="clear" w:color="auto" w:fill="auto"/>
            <w:vAlign w:val="bottom"/>
            <w:hideMark/>
          </w:tcPr>
          <w:p w14:paraId="46F83E4B" w14:textId="707BD2A9" w:rsidR="001D18BC" w:rsidRPr="001D18BC" w:rsidRDefault="001D18BC" w:rsidP="001D18BC">
            <w:pPr>
              <w:spacing w:after="0" w:line="240" w:lineRule="auto"/>
              <w:jc w:val="center"/>
              <w:rPr>
                <w:rFonts w:asciiTheme="majorHAnsi" w:eastAsia="Times New Roman" w:hAnsiTheme="majorHAnsi" w:cstheme="majorHAnsi"/>
                <w:b/>
                <w:bCs/>
                <w:color w:val="39414D"/>
                <w:szCs w:val="18"/>
              </w:rPr>
            </w:pPr>
            <w:r w:rsidRPr="001D18BC">
              <w:rPr>
                <w:rFonts w:ascii="Arial" w:hAnsi="Arial" w:cs="Arial"/>
                <w:b/>
                <w:bCs/>
                <w:color w:val="39414D"/>
                <w:szCs w:val="18"/>
              </w:rPr>
              <w:t>Unit Cost Trend</w:t>
            </w:r>
          </w:p>
        </w:tc>
      </w:tr>
      <w:tr w:rsidR="0045362E" w:rsidRPr="001126E5" w14:paraId="0D16ADAA" w14:textId="77777777" w:rsidTr="00B74489">
        <w:trPr>
          <w:gridAfter w:val="1"/>
          <w:wAfter w:w="1879" w:type="pct"/>
          <w:trHeight w:val="240"/>
        </w:trPr>
        <w:tc>
          <w:tcPr>
            <w:tcW w:w="1331" w:type="pct"/>
            <w:tcBorders>
              <w:top w:val="nil"/>
              <w:left w:val="nil"/>
              <w:bottom w:val="nil"/>
              <w:right w:val="nil"/>
            </w:tcBorders>
            <w:shd w:val="clear" w:color="auto" w:fill="auto"/>
            <w:noWrap/>
            <w:vAlign w:val="bottom"/>
            <w:hideMark/>
          </w:tcPr>
          <w:p w14:paraId="1A90BB7F" w14:textId="775048DB" w:rsidR="0045362E" w:rsidRPr="001D18BC" w:rsidRDefault="0045362E" w:rsidP="0045362E">
            <w:pPr>
              <w:spacing w:after="0" w:line="240" w:lineRule="auto"/>
              <w:rPr>
                <w:rFonts w:asciiTheme="majorHAnsi" w:eastAsia="Times New Roman" w:hAnsiTheme="majorHAnsi" w:cstheme="majorHAnsi"/>
                <w:color w:val="39414D"/>
                <w:szCs w:val="18"/>
              </w:rPr>
            </w:pPr>
            <w:r>
              <w:rPr>
                <w:rFonts w:ascii="Arial" w:hAnsi="Arial" w:cs="Arial"/>
                <w:color w:val="39414D"/>
                <w:szCs w:val="18"/>
              </w:rPr>
              <w:t>Inpatient</w:t>
            </w:r>
          </w:p>
        </w:tc>
        <w:tc>
          <w:tcPr>
            <w:tcW w:w="872" w:type="pct"/>
            <w:tcBorders>
              <w:top w:val="nil"/>
              <w:left w:val="nil"/>
              <w:bottom w:val="nil"/>
              <w:right w:val="nil"/>
            </w:tcBorders>
            <w:shd w:val="clear" w:color="auto" w:fill="auto"/>
            <w:noWrap/>
            <w:vAlign w:val="center"/>
          </w:tcPr>
          <w:p w14:paraId="3D75AA8A" w14:textId="1910CE9F" w:rsidR="0045362E" w:rsidRPr="001D18BC" w:rsidRDefault="0045362E" w:rsidP="0045362E">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1.5% </w:t>
            </w:r>
          </w:p>
        </w:tc>
        <w:tc>
          <w:tcPr>
            <w:tcW w:w="918" w:type="pct"/>
            <w:tcBorders>
              <w:top w:val="nil"/>
              <w:left w:val="nil"/>
              <w:bottom w:val="nil"/>
              <w:right w:val="nil"/>
            </w:tcBorders>
            <w:shd w:val="clear" w:color="auto" w:fill="auto"/>
            <w:noWrap/>
            <w:vAlign w:val="center"/>
          </w:tcPr>
          <w:p w14:paraId="661C3AD6" w14:textId="34D35A9E" w:rsidR="0045362E" w:rsidRPr="001D18BC" w:rsidRDefault="0045362E" w:rsidP="0045362E">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2.5% </w:t>
            </w:r>
          </w:p>
        </w:tc>
      </w:tr>
      <w:tr w:rsidR="0045362E" w:rsidRPr="001126E5" w14:paraId="176DABFE" w14:textId="77777777" w:rsidTr="00B74489">
        <w:trPr>
          <w:gridAfter w:val="1"/>
          <w:wAfter w:w="1879" w:type="pct"/>
          <w:trHeight w:val="240"/>
        </w:trPr>
        <w:tc>
          <w:tcPr>
            <w:tcW w:w="1331" w:type="pct"/>
            <w:tcBorders>
              <w:top w:val="nil"/>
              <w:left w:val="nil"/>
              <w:bottom w:val="nil"/>
              <w:right w:val="nil"/>
            </w:tcBorders>
            <w:shd w:val="clear" w:color="000000" w:fill="E8E9E9"/>
            <w:noWrap/>
            <w:vAlign w:val="bottom"/>
            <w:hideMark/>
          </w:tcPr>
          <w:p w14:paraId="3A110DCD" w14:textId="248873E5" w:rsidR="0045362E" w:rsidRPr="001D18BC" w:rsidRDefault="0045362E" w:rsidP="0045362E">
            <w:pPr>
              <w:spacing w:after="0" w:line="240" w:lineRule="auto"/>
              <w:rPr>
                <w:rFonts w:asciiTheme="majorHAnsi" w:eastAsia="Times New Roman" w:hAnsiTheme="majorHAnsi" w:cstheme="majorHAnsi"/>
                <w:color w:val="39414D"/>
                <w:szCs w:val="18"/>
              </w:rPr>
            </w:pPr>
            <w:r>
              <w:rPr>
                <w:rFonts w:ascii="Arial" w:hAnsi="Arial" w:cs="Arial"/>
                <w:color w:val="39414D"/>
                <w:szCs w:val="18"/>
              </w:rPr>
              <w:t>Outpatient</w:t>
            </w:r>
          </w:p>
        </w:tc>
        <w:tc>
          <w:tcPr>
            <w:tcW w:w="872" w:type="pct"/>
            <w:tcBorders>
              <w:top w:val="nil"/>
              <w:left w:val="nil"/>
              <w:bottom w:val="nil"/>
              <w:right w:val="nil"/>
            </w:tcBorders>
            <w:shd w:val="clear" w:color="000000" w:fill="E8E9E9"/>
            <w:noWrap/>
            <w:vAlign w:val="center"/>
          </w:tcPr>
          <w:p w14:paraId="3B4B5068" w14:textId="2B48235C" w:rsidR="0045362E" w:rsidRPr="001D18BC" w:rsidRDefault="0045362E" w:rsidP="0045362E">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1.5% </w:t>
            </w:r>
          </w:p>
        </w:tc>
        <w:tc>
          <w:tcPr>
            <w:tcW w:w="918" w:type="pct"/>
            <w:tcBorders>
              <w:top w:val="nil"/>
              <w:left w:val="nil"/>
              <w:bottom w:val="nil"/>
              <w:right w:val="nil"/>
            </w:tcBorders>
            <w:shd w:val="clear" w:color="000000" w:fill="E8E9E9"/>
            <w:noWrap/>
            <w:vAlign w:val="center"/>
          </w:tcPr>
          <w:p w14:paraId="535884F0" w14:textId="09815099" w:rsidR="0045362E" w:rsidRPr="001D18BC" w:rsidRDefault="0045362E" w:rsidP="0045362E">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2.5% </w:t>
            </w:r>
          </w:p>
        </w:tc>
      </w:tr>
      <w:tr w:rsidR="0045362E" w:rsidRPr="001126E5" w14:paraId="6D89B436" w14:textId="77777777" w:rsidTr="00B74489">
        <w:trPr>
          <w:gridAfter w:val="1"/>
          <w:wAfter w:w="1879" w:type="pct"/>
          <w:trHeight w:val="240"/>
        </w:trPr>
        <w:tc>
          <w:tcPr>
            <w:tcW w:w="1331" w:type="pct"/>
            <w:tcBorders>
              <w:top w:val="nil"/>
              <w:left w:val="nil"/>
              <w:bottom w:val="nil"/>
              <w:right w:val="nil"/>
            </w:tcBorders>
            <w:shd w:val="clear" w:color="auto" w:fill="auto"/>
            <w:noWrap/>
            <w:vAlign w:val="bottom"/>
            <w:hideMark/>
          </w:tcPr>
          <w:p w14:paraId="656BEB10" w14:textId="0D75D8DB" w:rsidR="0045362E" w:rsidRPr="001D18BC" w:rsidRDefault="0045362E" w:rsidP="0045362E">
            <w:pPr>
              <w:spacing w:after="0" w:line="240" w:lineRule="auto"/>
              <w:rPr>
                <w:rFonts w:asciiTheme="majorHAnsi" w:eastAsia="Times New Roman" w:hAnsiTheme="majorHAnsi" w:cstheme="majorHAnsi"/>
                <w:color w:val="39414D"/>
                <w:szCs w:val="18"/>
              </w:rPr>
            </w:pPr>
            <w:r>
              <w:rPr>
                <w:rFonts w:ascii="Arial" w:hAnsi="Arial" w:cs="Arial"/>
                <w:color w:val="39414D"/>
                <w:szCs w:val="18"/>
              </w:rPr>
              <w:t>Emergency Room</w:t>
            </w:r>
          </w:p>
        </w:tc>
        <w:tc>
          <w:tcPr>
            <w:tcW w:w="872" w:type="pct"/>
            <w:tcBorders>
              <w:top w:val="nil"/>
              <w:left w:val="nil"/>
              <w:bottom w:val="nil"/>
              <w:right w:val="nil"/>
            </w:tcBorders>
            <w:shd w:val="clear" w:color="auto" w:fill="auto"/>
            <w:noWrap/>
            <w:vAlign w:val="center"/>
          </w:tcPr>
          <w:p w14:paraId="7825C310" w14:textId="40FDBEB2" w:rsidR="0045362E" w:rsidRPr="001D18BC" w:rsidRDefault="0045362E" w:rsidP="0045362E">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0.5% </w:t>
            </w:r>
          </w:p>
        </w:tc>
        <w:tc>
          <w:tcPr>
            <w:tcW w:w="918" w:type="pct"/>
            <w:tcBorders>
              <w:top w:val="nil"/>
              <w:left w:val="nil"/>
              <w:bottom w:val="nil"/>
              <w:right w:val="nil"/>
            </w:tcBorders>
            <w:shd w:val="clear" w:color="auto" w:fill="auto"/>
            <w:noWrap/>
            <w:vAlign w:val="center"/>
          </w:tcPr>
          <w:p w14:paraId="5BB93F7C" w14:textId="61898695" w:rsidR="0045362E" w:rsidRPr="001D18BC" w:rsidRDefault="0045362E" w:rsidP="0045362E">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2.5% </w:t>
            </w:r>
          </w:p>
        </w:tc>
      </w:tr>
      <w:tr w:rsidR="0045362E" w:rsidRPr="001126E5" w14:paraId="2E5257BE" w14:textId="77777777" w:rsidTr="00B74489">
        <w:trPr>
          <w:gridAfter w:val="1"/>
          <w:wAfter w:w="1879" w:type="pct"/>
          <w:trHeight w:val="240"/>
        </w:trPr>
        <w:tc>
          <w:tcPr>
            <w:tcW w:w="1331" w:type="pct"/>
            <w:tcBorders>
              <w:top w:val="nil"/>
              <w:left w:val="nil"/>
              <w:bottom w:val="nil"/>
              <w:right w:val="nil"/>
            </w:tcBorders>
            <w:shd w:val="clear" w:color="000000" w:fill="E8E9E9"/>
            <w:noWrap/>
            <w:vAlign w:val="bottom"/>
            <w:hideMark/>
          </w:tcPr>
          <w:p w14:paraId="56D36052" w14:textId="51938A41" w:rsidR="0045362E" w:rsidRPr="001D18BC" w:rsidRDefault="0045362E" w:rsidP="0045362E">
            <w:pPr>
              <w:spacing w:after="0" w:line="240" w:lineRule="auto"/>
              <w:rPr>
                <w:rFonts w:asciiTheme="majorHAnsi" w:eastAsia="Times New Roman" w:hAnsiTheme="majorHAnsi" w:cstheme="majorHAnsi"/>
                <w:color w:val="39414D"/>
                <w:szCs w:val="18"/>
              </w:rPr>
            </w:pPr>
            <w:r>
              <w:rPr>
                <w:rFonts w:ascii="Arial" w:hAnsi="Arial" w:cs="Arial"/>
                <w:color w:val="39414D"/>
                <w:szCs w:val="18"/>
              </w:rPr>
              <w:t>Professional</w:t>
            </w:r>
          </w:p>
        </w:tc>
        <w:tc>
          <w:tcPr>
            <w:tcW w:w="872" w:type="pct"/>
            <w:tcBorders>
              <w:top w:val="nil"/>
              <w:left w:val="nil"/>
              <w:bottom w:val="nil"/>
              <w:right w:val="nil"/>
            </w:tcBorders>
            <w:shd w:val="clear" w:color="000000" w:fill="E8E9E9"/>
            <w:noWrap/>
            <w:vAlign w:val="center"/>
          </w:tcPr>
          <w:p w14:paraId="0623086D" w14:textId="73FCECC0" w:rsidR="0045362E" w:rsidRPr="001D18BC" w:rsidRDefault="0045362E" w:rsidP="0045362E">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2.0% </w:t>
            </w:r>
          </w:p>
        </w:tc>
        <w:tc>
          <w:tcPr>
            <w:tcW w:w="918" w:type="pct"/>
            <w:tcBorders>
              <w:top w:val="nil"/>
              <w:left w:val="nil"/>
              <w:bottom w:val="nil"/>
              <w:right w:val="nil"/>
            </w:tcBorders>
            <w:shd w:val="clear" w:color="000000" w:fill="E8E9E9"/>
            <w:noWrap/>
            <w:vAlign w:val="center"/>
          </w:tcPr>
          <w:p w14:paraId="090700E3" w14:textId="49136DCC" w:rsidR="0045362E" w:rsidRPr="001D18BC" w:rsidRDefault="0045362E" w:rsidP="0045362E">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2.0% </w:t>
            </w:r>
          </w:p>
        </w:tc>
      </w:tr>
      <w:tr w:rsidR="0045362E" w:rsidRPr="001126E5" w14:paraId="381AFCCD" w14:textId="77777777" w:rsidTr="00B74489">
        <w:trPr>
          <w:gridAfter w:val="1"/>
          <w:wAfter w:w="1879" w:type="pct"/>
          <w:trHeight w:val="240"/>
        </w:trPr>
        <w:tc>
          <w:tcPr>
            <w:tcW w:w="1331" w:type="pct"/>
            <w:tcBorders>
              <w:top w:val="nil"/>
              <w:left w:val="nil"/>
              <w:bottom w:val="nil"/>
              <w:right w:val="nil"/>
            </w:tcBorders>
            <w:shd w:val="clear" w:color="auto" w:fill="auto"/>
            <w:noWrap/>
            <w:vAlign w:val="bottom"/>
            <w:hideMark/>
          </w:tcPr>
          <w:p w14:paraId="27FCD0B8" w14:textId="305A3A05" w:rsidR="0045362E" w:rsidRPr="001D18BC" w:rsidRDefault="0045362E" w:rsidP="0045362E">
            <w:pPr>
              <w:spacing w:after="0" w:line="240" w:lineRule="auto"/>
              <w:rPr>
                <w:rFonts w:asciiTheme="majorHAnsi" w:eastAsia="Times New Roman" w:hAnsiTheme="majorHAnsi" w:cstheme="majorHAnsi"/>
                <w:color w:val="39414D"/>
                <w:szCs w:val="18"/>
              </w:rPr>
            </w:pPr>
            <w:r>
              <w:rPr>
                <w:rFonts w:ascii="Arial" w:hAnsi="Arial" w:cs="Arial"/>
                <w:color w:val="39414D"/>
                <w:szCs w:val="18"/>
              </w:rPr>
              <w:t>Retail Pharmacy</w:t>
            </w:r>
          </w:p>
        </w:tc>
        <w:tc>
          <w:tcPr>
            <w:tcW w:w="872" w:type="pct"/>
            <w:tcBorders>
              <w:top w:val="nil"/>
              <w:left w:val="nil"/>
              <w:bottom w:val="nil"/>
              <w:right w:val="nil"/>
            </w:tcBorders>
            <w:shd w:val="clear" w:color="auto" w:fill="auto"/>
            <w:noWrap/>
            <w:vAlign w:val="center"/>
          </w:tcPr>
          <w:p w14:paraId="28DFDB44" w14:textId="09680241" w:rsidR="0045362E" w:rsidRPr="001D18BC" w:rsidRDefault="0045362E" w:rsidP="0045362E">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2.0% </w:t>
            </w:r>
          </w:p>
        </w:tc>
        <w:tc>
          <w:tcPr>
            <w:tcW w:w="918" w:type="pct"/>
            <w:tcBorders>
              <w:top w:val="nil"/>
              <w:left w:val="nil"/>
              <w:bottom w:val="nil"/>
              <w:right w:val="nil"/>
            </w:tcBorders>
            <w:shd w:val="clear" w:color="auto" w:fill="auto"/>
            <w:noWrap/>
            <w:vAlign w:val="center"/>
          </w:tcPr>
          <w:p w14:paraId="2EEB90ED" w14:textId="762B349A" w:rsidR="0045362E" w:rsidRPr="001D18BC" w:rsidRDefault="0045362E" w:rsidP="0045362E">
            <w:pPr>
              <w:spacing w:after="0" w:line="240" w:lineRule="auto"/>
              <w:jc w:val="right"/>
              <w:rPr>
                <w:rFonts w:asciiTheme="majorHAnsi" w:eastAsia="Times New Roman" w:hAnsiTheme="majorHAnsi" w:cstheme="majorHAnsi"/>
                <w:color w:val="39414D"/>
                <w:szCs w:val="18"/>
              </w:rPr>
            </w:pPr>
            <w:r>
              <w:rPr>
                <w:rFonts w:ascii="Arial" w:hAnsi="Arial" w:cs="Arial"/>
                <w:color w:val="39414D"/>
                <w:szCs w:val="18"/>
              </w:rPr>
              <w:t xml:space="preserve">4.0% </w:t>
            </w:r>
          </w:p>
        </w:tc>
      </w:tr>
      <w:tr w:rsidR="0045362E" w:rsidRPr="001126E5" w14:paraId="624228B9" w14:textId="77777777" w:rsidTr="009E4E74">
        <w:trPr>
          <w:gridAfter w:val="1"/>
          <w:wAfter w:w="1879" w:type="pct"/>
          <w:trHeight w:val="240"/>
        </w:trPr>
        <w:tc>
          <w:tcPr>
            <w:tcW w:w="1331" w:type="pct"/>
            <w:tcBorders>
              <w:top w:val="nil"/>
              <w:left w:val="nil"/>
              <w:bottom w:val="nil"/>
              <w:right w:val="nil"/>
            </w:tcBorders>
            <w:shd w:val="clear" w:color="auto" w:fill="E8E9E9"/>
            <w:noWrap/>
            <w:vAlign w:val="bottom"/>
          </w:tcPr>
          <w:p w14:paraId="36D8E01E" w14:textId="0951B7D0" w:rsidR="0045362E" w:rsidRPr="001D18BC" w:rsidRDefault="0045362E" w:rsidP="0045362E">
            <w:pPr>
              <w:spacing w:after="0" w:line="240" w:lineRule="auto"/>
              <w:rPr>
                <w:rFonts w:ascii="Arial" w:hAnsi="Arial" w:cs="Arial"/>
                <w:color w:val="39414D"/>
                <w:szCs w:val="18"/>
              </w:rPr>
            </w:pPr>
            <w:r>
              <w:rPr>
                <w:rFonts w:ascii="Arial" w:hAnsi="Arial" w:cs="Arial"/>
                <w:color w:val="39414D"/>
                <w:szCs w:val="18"/>
              </w:rPr>
              <w:t>Ancillary (Non-Hospice)</w:t>
            </w:r>
          </w:p>
        </w:tc>
        <w:tc>
          <w:tcPr>
            <w:tcW w:w="872" w:type="pct"/>
            <w:tcBorders>
              <w:top w:val="nil"/>
              <w:left w:val="nil"/>
              <w:bottom w:val="nil"/>
              <w:right w:val="nil"/>
            </w:tcBorders>
            <w:shd w:val="clear" w:color="auto" w:fill="E8E9E9"/>
            <w:noWrap/>
            <w:vAlign w:val="center"/>
          </w:tcPr>
          <w:p w14:paraId="391AB777" w14:textId="728DF29A" w:rsidR="0045362E" w:rsidRPr="001D18BC" w:rsidRDefault="0045362E" w:rsidP="0045362E">
            <w:pPr>
              <w:spacing w:after="0" w:line="240" w:lineRule="auto"/>
              <w:jc w:val="right"/>
              <w:rPr>
                <w:rFonts w:ascii="Arial" w:hAnsi="Arial" w:cs="Arial"/>
                <w:color w:val="39414D"/>
                <w:szCs w:val="18"/>
              </w:rPr>
            </w:pPr>
            <w:r>
              <w:rPr>
                <w:rFonts w:ascii="Arial" w:hAnsi="Arial" w:cs="Arial"/>
                <w:color w:val="39414D"/>
                <w:szCs w:val="18"/>
              </w:rPr>
              <w:t xml:space="preserve">1.0% </w:t>
            </w:r>
          </w:p>
        </w:tc>
        <w:tc>
          <w:tcPr>
            <w:tcW w:w="918" w:type="pct"/>
            <w:tcBorders>
              <w:top w:val="nil"/>
              <w:left w:val="nil"/>
              <w:bottom w:val="nil"/>
              <w:right w:val="nil"/>
            </w:tcBorders>
            <w:shd w:val="clear" w:color="auto" w:fill="E8E9E9"/>
            <w:noWrap/>
            <w:vAlign w:val="center"/>
          </w:tcPr>
          <w:p w14:paraId="50FD1E88" w14:textId="4AA0E51F" w:rsidR="0045362E" w:rsidRPr="001D18BC" w:rsidRDefault="0045362E" w:rsidP="0045362E">
            <w:pPr>
              <w:spacing w:after="0" w:line="240" w:lineRule="auto"/>
              <w:jc w:val="right"/>
              <w:rPr>
                <w:rFonts w:ascii="Arial" w:hAnsi="Arial" w:cs="Arial"/>
                <w:color w:val="39414D"/>
                <w:szCs w:val="18"/>
              </w:rPr>
            </w:pPr>
            <w:r>
              <w:rPr>
                <w:rFonts w:ascii="Arial" w:hAnsi="Arial" w:cs="Arial"/>
                <w:color w:val="39414D"/>
                <w:szCs w:val="18"/>
              </w:rPr>
              <w:t xml:space="preserve">2.5% </w:t>
            </w:r>
          </w:p>
        </w:tc>
      </w:tr>
      <w:tr w:rsidR="0045362E" w:rsidRPr="001126E5" w14:paraId="0BD344A8" w14:textId="77777777" w:rsidTr="009E4E74">
        <w:trPr>
          <w:gridAfter w:val="1"/>
          <w:wAfter w:w="1879" w:type="pct"/>
          <w:trHeight w:val="240"/>
        </w:trPr>
        <w:tc>
          <w:tcPr>
            <w:tcW w:w="1331" w:type="pct"/>
            <w:tcBorders>
              <w:top w:val="nil"/>
              <w:left w:val="nil"/>
              <w:bottom w:val="nil"/>
              <w:right w:val="nil"/>
            </w:tcBorders>
            <w:shd w:val="clear" w:color="auto" w:fill="auto"/>
            <w:noWrap/>
            <w:vAlign w:val="bottom"/>
          </w:tcPr>
          <w:p w14:paraId="76EB861E" w14:textId="56EC1780" w:rsidR="0045362E" w:rsidRPr="001D18BC" w:rsidRDefault="0045362E" w:rsidP="0045362E">
            <w:pPr>
              <w:spacing w:after="0" w:line="240" w:lineRule="auto"/>
              <w:rPr>
                <w:rFonts w:ascii="Arial" w:hAnsi="Arial" w:cs="Arial"/>
                <w:color w:val="39414D"/>
                <w:szCs w:val="18"/>
              </w:rPr>
            </w:pPr>
            <w:r>
              <w:rPr>
                <w:rFonts w:ascii="Arial" w:hAnsi="Arial" w:cs="Arial"/>
                <w:color w:val="39414D"/>
                <w:szCs w:val="18"/>
              </w:rPr>
              <w:t>Nursing Home and Hospice</w:t>
            </w:r>
          </w:p>
        </w:tc>
        <w:tc>
          <w:tcPr>
            <w:tcW w:w="872" w:type="pct"/>
            <w:tcBorders>
              <w:top w:val="nil"/>
              <w:left w:val="nil"/>
              <w:bottom w:val="nil"/>
              <w:right w:val="nil"/>
            </w:tcBorders>
            <w:shd w:val="clear" w:color="auto" w:fill="auto"/>
            <w:noWrap/>
            <w:vAlign w:val="center"/>
          </w:tcPr>
          <w:p w14:paraId="448523A9" w14:textId="1982B4C0" w:rsidR="0045362E" w:rsidRPr="001D18BC" w:rsidRDefault="0045362E" w:rsidP="0045362E">
            <w:pPr>
              <w:spacing w:after="0" w:line="240" w:lineRule="auto"/>
              <w:jc w:val="right"/>
              <w:rPr>
                <w:rFonts w:ascii="Arial" w:hAnsi="Arial" w:cs="Arial"/>
                <w:color w:val="39414D"/>
                <w:szCs w:val="18"/>
              </w:rPr>
            </w:pPr>
            <w:r>
              <w:rPr>
                <w:rFonts w:ascii="Arial" w:hAnsi="Arial" w:cs="Arial"/>
                <w:color w:val="39414D"/>
                <w:szCs w:val="18"/>
              </w:rPr>
              <w:t xml:space="preserve">0.5% </w:t>
            </w:r>
          </w:p>
        </w:tc>
        <w:tc>
          <w:tcPr>
            <w:tcW w:w="918" w:type="pct"/>
            <w:tcBorders>
              <w:top w:val="nil"/>
              <w:left w:val="nil"/>
              <w:bottom w:val="nil"/>
              <w:right w:val="nil"/>
            </w:tcBorders>
            <w:shd w:val="clear" w:color="auto" w:fill="auto"/>
            <w:noWrap/>
            <w:vAlign w:val="center"/>
          </w:tcPr>
          <w:p w14:paraId="42B5E07D" w14:textId="465CDF19" w:rsidR="0045362E" w:rsidRPr="001D18BC" w:rsidRDefault="0045362E" w:rsidP="0045362E">
            <w:pPr>
              <w:spacing w:after="0" w:line="240" w:lineRule="auto"/>
              <w:jc w:val="right"/>
              <w:rPr>
                <w:rFonts w:ascii="Arial" w:hAnsi="Arial" w:cs="Arial"/>
                <w:color w:val="39414D"/>
                <w:szCs w:val="18"/>
              </w:rPr>
            </w:pPr>
            <w:r>
              <w:rPr>
                <w:rFonts w:ascii="Arial" w:hAnsi="Arial" w:cs="Arial"/>
                <w:color w:val="39414D"/>
                <w:szCs w:val="18"/>
              </w:rPr>
              <w:t xml:space="preserve">2.8% </w:t>
            </w:r>
          </w:p>
        </w:tc>
      </w:tr>
      <w:tr w:rsidR="0045362E" w:rsidRPr="001126E5" w14:paraId="73DBBC8A" w14:textId="77777777" w:rsidTr="009E4E74">
        <w:trPr>
          <w:gridAfter w:val="1"/>
          <w:wAfter w:w="1879" w:type="pct"/>
          <w:trHeight w:val="240"/>
        </w:trPr>
        <w:tc>
          <w:tcPr>
            <w:tcW w:w="1331" w:type="pct"/>
            <w:tcBorders>
              <w:top w:val="nil"/>
              <w:left w:val="nil"/>
              <w:bottom w:val="nil"/>
              <w:right w:val="nil"/>
            </w:tcBorders>
            <w:shd w:val="clear" w:color="auto" w:fill="E8E9E9"/>
            <w:noWrap/>
            <w:vAlign w:val="bottom"/>
          </w:tcPr>
          <w:p w14:paraId="0AD6EFFB" w14:textId="4DCE639C" w:rsidR="0045362E" w:rsidRPr="001D18BC" w:rsidRDefault="0045362E" w:rsidP="0045362E">
            <w:pPr>
              <w:spacing w:after="0" w:line="240" w:lineRule="auto"/>
              <w:rPr>
                <w:rFonts w:ascii="Arial" w:hAnsi="Arial" w:cs="Arial"/>
                <w:color w:val="39414D"/>
                <w:szCs w:val="18"/>
              </w:rPr>
            </w:pPr>
            <w:r>
              <w:rPr>
                <w:rFonts w:ascii="Arial" w:hAnsi="Arial" w:cs="Arial"/>
                <w:color w:val="39414D"/>
                <w:szCs w:val="18"/>
              </w:rPr>
              <w:t>HCBS</w:t>
            </w:r>
          </w:p>
        </w:tc>
        <w:tc>
          <w:tcPr>
            <w:tcW w:w="872" w:type="pct"/>
            <w:tcBorders>
              <w:top w:val="nil"/>
              <w:left w:val="nil"/>
              <w:bottom w:val="nil"/>
              <w:right w:val="nil"/>
            </w:tcBorders>
            <w:shd w:val="clear" w:color="auto" w:fill="E8E9E9"/>
            <w:noWrap/>
            <w:vAlign w:val="center"/>
          </w:tcPr>
          <w:p w14:paraId="72C133FE" w14:textId="73E7A882" w:rsidR="0045362E" w:rsidRPr="001D18BC" w:rsidRDefault="0045362E" w:rsidP="0045362E">
            <w:pPr>
              <w:spacing w:after="0" w:line="240" w:lineRule="auto"/>
              <w:jc w:val="right"/>
              <w:rPr>
                <w:rFonts w:ascii="Arial" w:hAnsi="Arial" w:cs="Arial"/>
                <w:color w:val="39414D"/>
                <w:szCs w:val="18"/>
              </w:rPr>
            </w:pPr>
            <w:r>
              <w:rPr>
                <w:rFonts w:ascii="Arial" w:hAnsi="Arial" w:cs="Arial"/>
                <w:color w:val="39414D"/>
                <w:szCs w:val="18"/>
              </w:rPr>
              <w:t xml:space="preserve">2.0% </w:t>
            </w:r>
          </w:p>
        </w:tc>
        <w:tc>
          <w:tcPr>
            <w:tcW w:w="918" w:type="pct"/>
            <w:tcBorders>
              <w:top w:val="nil"/>
              <w:left w:val="nil"/>
              <w:bottom w:val="nil"/>
              <w:right w:val="nil"/>
            </w:tcBorders>
            <w:shd w:val="clear" w:color="auto" w:fill="E8E9E9"/>
            <w:noWrap/>
            <w:vAlign w:val="center"/>
          </w:tcPr>
          <w:p w14:paraId="78F47FDF" w14:textId="193868AF" w:rsidR="0045362E" w:rsidRPr="001D18BC" w:rsidRDefault="0045362E" w:rsidP="0045362E">
            <w:pPr>
              <w:spacing w:after="0" w:line="240" w:lineRule="auto"/>
              <w:jc w:val="right"/>
              <w:rPr>
                <w:rFonts w:ascii="Arial" w:hAnsi="Arial" w:cs="Arial"/>
                <w:color w:val="39414D"/>
                <w:szCs w:val="18"/>
              </w:rPr>
            </w:pPr>
            <w:r>
              <w:rPr>
                <w:rFonts w:ascii="Arial" w:hAnsi="Arial" w:cs="Arial"/>
                <w:color w:val="39414D"/>
                <w:szCs w:val="18"/>
              </w:rPr>
              <w:t xml:space="preserve">2.0% </w:t>
            </w:r>
          </w:p>
        </w:tc>
      </w:tr>
    </w:tbl>
    <w:p w14:paraId="4820F390" w14:textId="3119656D" w:rsidR="00050A79" w:rsidRPr="00537F9F" w:rsidRDefault="006B42A9" w:rsidP="008E07FA">
      <w:pPr>
        <w:pStyle w:val="RRBullet1"/>
        <w:numPr>
          <w:ilvl w:val="0"/>
          <w:numId w:val="0"/>
        </w:numPr>
        <w:spacing w:before="120" w:after="0"/>
        <w:rPr>
          <w:rFonts w:ascii="Arial" w:eastAsia="Times New Roman" w:hAnsi="Arial" w:cs="Arial"/>
          <w:color w:val="727A7D"/>
          <w:sz w:val="16"/>
          <w:szCs w:val="16"/>
        </w:rPr>
      </w:pPr>
      <w:r w:rsidRPr="00537F9F">
        <w:rPr>
          <w:rFonts w:ascii="Arial" w:eastAsia="Times New Roman" w:hAnsi="Arial" w:cs="Arial"/>
          <w:color w:val="727A7D"/>
          <w:sz w:val="16"/>
          <w:szCs w:val="16"/>
        </w:rPr>
        <w:t>Note</w:t>
      </w:r>
      <w:r w:rsidR="00050A79" w:rsidRPr="00537F9F">
        <w:rPr>
          <w:rFonts w:ascii="Arial" w:eastAsia="Times New Roman" w:hAnsi="Arial" w:cs="Arial"/>
          <w:color w:val="727A7D"/>
          <w:sz w:val="16"/>
          <w:szCs w:val="16"/>
        </w:rPr>
        <w:t>s</w:t>
      </w:r>
      <w:r w:rsidR="00EF6126">
        <w:rPr>
          <w:rFonts w:ascii="Arial" w:eastAsia="Times New Roman" w:hAnsi="Arial" w:cs="Arial"/>
          <w:color w:val="727A7D"/>
          <w:sz w:val="16"/>
          <w:szCs w:val="16"/>
        </w:rPr>
        <w:t>:</w:t>
      </w:r>
      <w:r w:rsidRPr="00537F9F">
        <w:rPr>
          <w:rFonts w:ascii="Arial" w:eastAsia="Times New Roman" w:hAnsi="Arial" w:cs="Arial"/>
          <w:color w:val="727A7D"/>
          <w:sz w:val="16"/>
          <w:szCs w:val="16"/>
        </w:rPr>
        <w:t xml:space="preserve"> </w:t>
      </w:r>
    </w:p>
    <w:p w14:paraId="7656ECBF" w14:textId="00CEB80A" w:rsidR="00786CDE" w:rsidRPr="001E7A33" w:rsidRDefault="00050A79" w:rsidP="001E7A33">
      <w:pPr>
        <w:pStyle w:val="RRBullet1"/>
        <w:numPr>
          <w:ilvl w:val="0"/>
          <w:numId w:val="57"/>
        </w:numPr>
        <w:spacing w:after="0" w:line="240" w:lineRule="auto"/>
        <w:ind w:left="360" w:hanging="180"/>
        <w:rPr>
          <w:rFonts w:ascii="Arial" w:eastAsia="Times New Roman" w:hAnsi="Arial" w:cs="Arial"/>
          <w:color w:val="727A7D"/>
          <w:sz w:val="15"/>
          <w:szCs w:val="15"/>
        </w:rPr>
      </w:pPr>
      <w:r w:rsidRPr="001E7A33">
        <w:rPr>
          <w:rFonts w:ascii="Arial" w:eastAsia="Times New Roman" w:hAnsi="Arial" w:cs="Arial"/>
          <w:color w:val="727A7D"/>
          <w:sz w:val="15"/>
          <w:szCs w:val="15"/>
        </w:rPr>
        <w:t>U</w:t>
      </w:r>
      <w:r w:rsidR="006B42A9" w:rsidRPr="001E7A33">
        <w:rPr>
          <w:rFonts w:ascii="Arial" w:eastAsia="Times New Roman" w:hAnsi="Arial" w:cs="Arial"/>
          <w:color w:val="727A7D"/>
          <w:sz w:val="15"/>
          <w:szCs w:val="15"/>
        </w:rPr>
        <w:t>nit cost trends for the inpatient, outpatient, emergency room, and nursing home and hospice service categories reflects legislatively mandated reimbursement increases</w:t>
      </w:r>
      <w:r w:rsidR="003A21FF" w:rsidRPr="001E7A33">
        <w:rPr>
          <w:rFonts w:ascii="Arial" w:eastAsia="Times New Roman" w:hAnsi="Arial" w:cs="Arial"/>
          <w:color w:val="727A7D"/>
          <w:sz w:val="15"/>
          <w:szCs w:val="15"/>
        </w:rPr>
        <w:t xml:space="preserve"> for the fee-for-service program</w:t>
      </w:r>
      <w:r w:rsidR="006B42A9" w:rsidRPr="001E7A33">
        <w:rPr>
          <w:rFonts w:ascii="Arial" w:eastAsia="Times New Roman" w:hAnsi="Arial" w:cs="Arial"/>
          <w:color w:val="727A7D"/>
          <w:sz w:val="15"/>
          <w:szCs w:val="15"/>
        </w:rPr>
        <w:t>.</w:t>
      </w:r>
    </w:p>
    <w:p w14:paraId="4F6BE3BD" w14:textId="1B6F8B35" w:rsidR="00050A79" w:rsidRPr="001E7A33" w:rsidRDefault="00050A79" w:rsidP="001E7A33">
      <w:pPr>
        <w:pStyle w:val="RRBullet1"/>
        <w:numPr>
          <w:ilvl w:val="0"/>
          <w:numId w:val="57"/>
        </w:numPr>
        <w:spacing w:after="0" w:line="240" w:lineRule="auto"/>
        <w:ind w:left="374" w:hanging="187"/>
        <w:rPr>
          <w:rFonts w:ascii="Arial" w:eastAsia="Times New Roman" w:hAnsi="Arial" w:cs="Arial"/>
          <w:color w:val="727A7D"/>
          <w:sz w:val="15"/>
          <w:szCs w:val="15"/>
        </w:rPr>
      </w:pPr>
      <w:r w:rsidRPr="001E7A33">
        <w:rPr>
          <w:rFonts w:ascii="Arial" w:eastAsia="Times New Roman" w:hAnsi="Arial" w:cs="Arial"/>
          <w:color w:val="727A7D"/>
          <w:sz w:val="15"/>
          <w:szCs w:val="15"/>
        </w:rPr>
        <w:t xml:space="preserve">The inpatient, outpatient, and emergency room increases are </w:t>
      </w:r>
      <w:r w:rsidR="00A4353C" w:rsidRPr="001E7A33">
        <w:rPr>
          <w:rFonts w:ascii="Arial" w:eastAsia="Times New Roman" w:hAnsi="Arial" w:cs="Arial"/>
          <w:color w:val="727A7D"/>
          <w:sz w:val="15"/>
          <w:szCs w:val="15"/>
        </w:rPr>
        <w:t>2.4</w:t>
      </w:r>
      <w:r w:rsidRPr="001E7A33">
        <w:rPr>
          <w:rFonts w:ascii="Arial" w:eastAsia="Times New Roman" w:hAnsi="Arial" w:cs="Arial"/>
          <w:color w:val="727A7D"/>
          <w:sz w:val="15"/>
          <w:szCs w:val="15"/>
        </w:rPr>
        <w:t xml:space="preserve">% and </w:t>
      </w:r>
      <w:r w:rsidR="00A4353C" w:rsidRPr="001E7A33">
        <w:rPr>
          <w:rFonts w:ascii="Arial" w:eastAsia="Times New Roman" w:hAnsi="Arial" w:cs="Arial"/>
          <w:color w:val="727A7D"/>
          <w:sz w:val="15"/>
          <w:szCs w:val="15"/>
        </w:rPr>
        <w:t>2.7</w:t>
      </w:r>
      <w:r w:rsidRPr="001E7A33">
        <w:rPr>
          <w:rFonts w:ascii="Arial" w:eastAsia="Times New Roman" w:hAnsi="Arial" w:cs="Arial"/>
          <w:color w:val="727A7D"/>
          <w:sz w:val="15"/>
          <w:szCs w:val="15"/>
        </w:rPr>
        <w:t xml:space="preserve">% effective July 1, </w:t>
      </w:r>
      <w:r w:rsidR="00A4353C" w:rsidRPr="001E7A33">
        <w:rPr>
          <w:rFonts w:ascii="Arial" w:eastAsia="Times New Roman" w:hAnsi="Arial" w:cs="Arial"/>
          <w:color w:val="727A7D"/>
          <w:sz w:val="15"/>
          <w:szCs w:val="15"/>
        </w:rPr>
        <w:t xml:space="preserve">2021 </w:t>
      </w:r>
      <w:r w:rsidRPr="001E7A33">
        <w:rPr>
          <w:rFonts w:ascii="Arial" w:eastAsia="Times New Roman" w:hAnsi="Arial" w:cs="Arial"/>
          <w:color w:val="727A7D"/>
          <w:sz w:val="15"/>
          <w:szCs w:val="15"/>
        </w:rPr>
        <w:t xml:space="preserve">and July 1, </w:t>
      </w:r>
      <w:r w:rsidR="00A4353C" w:rsidRPr="001E7A33">
        <w:rPr>
          <w:rFonts w:ascii="Arial" w:eastAsia="Times New Roman" w:hAnsi="Arial" w:cs="Arial"/>
          <w:color w:val="727A7D"/>
          <w:sz w:val="15"/>
          <w:szCs w:val="15"/>
        </w:rPr>
        <w:t>2022</w:t>
      </w:r>
      <w:r w:rsidRPr="001E7A33">
        <w:rPr>
          <w:rFonts w:ascii="Arial" w:eastAsia="Times New Roman" w:hAnsi="Arial" w:cs="Arial"/>
          <w:color w:val="727A7D"/>
          <w:sz w:val="15"/>
          <w:szCs w:val="15"/>
        </w:rPr>
        <w:t>, respectively.</w:t>
      </w:r>
    </w:p>
    <w:p w14:paraId="6DA3D886" w14:textId="33F1E67A" w:rsidR="00C50AB6" w:rsidRPr="001E7A33" w:rsidRDefault="00050A79" w:rsidP="001E7A33">
      <w:pPr>
        <w:pStyle w:val="RRBullet1"/>
        <w:numPr>
          <w:ilvl w:val="0"/>
          <w:numId w:val="57"/>
        </w:numPr>
        <w:spacing w:after="0" w:line="240" w:lineRule="auto"/>
        <w:ind w:left="374" w:hanging="187"/>
        <w:rPr>
          <w:rFonts w:ascii="Arial" w:eastAsia="Times New Roman" w:hAnsi="Arial" w:cs="Arial"/>
          <w:color w:val="727A7D"/>
          <w:sz w:val="15"/>
          <w:szCs w:val="15"/>
        </w:rPr>
      </w:pPr>
      <w:r w:rsidRPr="001E7A33">
        <w:rPr>
          <w:rFonts w:ascii="Arial" w:eastAsia="Times New Roman" w:hAnsi="Arial" w:cs="Arial"/>
          <w:color w:val="727A7D"/>
          <w:sz w:val="15"/>
          <w:szCs w:val="15"/>
        </w:rPr>
        <w:t xml:space="preserve">The nursing home and hospice increases are </w:t>
      </w:r>
      <w:r w:rsidR="00537F9F" w:rsidRPr="001E7A33">
        <w:rPr>
          <w:rFonts w:ascii="Arial" w:eastAsia="Times New Roman" w:hAnsi="Arial" w:cs="Arial"/>
          <w:color w:val="727A7D"/>
          <w:sz w:val="15"/>
          <w:szCs w:val="15"/>
        </w:rPr>
        <w:t xml:space="preserve">2.4% effective October 1, 2020, </w:t>
      </w:r>
      <w:r w:rsidRPr="001E7A33">
        <w:rPr>
          <w:rFonts w:ascii="Arial" w:eastAsia="Times New Roman" w:hAnsi="Arial" w:cs="Arial"/>
          <w:color w:val="727A7D"/>
          <w:sz w:val="15"/>
          <w:szCs w:val="15"/>
        </w:rPr>
        <w:t>2.</w:t>
      </w:r>
      <w:r w:rsidR="00A4353C" w:rsidRPr="001E7A33">
        <w:rPr>
          <w:rFonts w:ascii="Arial" w:eastAsia="Times New Roman" w:hAnsi="Arial" w:cs="Arial"/>
          <w:color w:val="727A7D"/>
          <w:sz w:val="15"/>
          <w:szCs w:val="15"/>
        </w:rPr>
        <w:t>2</w:t>
      </w:r>
      <w:r w:rsidRPr="001E7A33">
        <w:rPr>
          <w:rFonts w:ascii="Arial" w:eastAsia="Times New Roman" w:hAnsi="Arial" w:cs="Arial"/>
          <w:color w:val="727A7D"/>
          <w:sz w:val="15"/>
          <w:szCs w:val="15"/>
        </w:rPr>
        <w:t xml:space="preserve">% </w:t>
      </w:r>
      <w:r w:rsidR="00537F9F" w:rsidRPr="001E7A33">
        <w:rPr>
          <w:rFonts w:ascii="Arial" w:eastAsia="Times New Roman" w:hAnsi="Arial" w:cs="Arial"/>
          <w:color w:val="727A7D"/>
          <w:sz w:val="15"/>
          <w:szCs w:val="15"/>
        </w:rPr>
        <w:t xml:space="preserve">effective October 1, 2021, and </w:t>
      </w:r>
      <w:r w:rsidRPr="001E7A33">
        <w:rPr>
          <w:rFonts w:ascii="Arial" w:eastAsia="Times New Roman" w:hAnsi="Arial" w:cs="Arial"/>
          <w:color w:val="727A7D"/>
          <w:sz w:val="15"/>
          <w:szCs w:val="15"/>
        </w:rPr>
        <w:t>2.</w:t>
      </w:r>
      <w:r w:rsidR="00A4353C" w:rsidRPr="001E7A33">
        <w:rPr>
          <w:rFonts w:ascii="Arial" w:eastAsia="Times New Roman" w:hAnsi="Arial" w:cs="Arial"/>
          <w:color w:val="727A7D"/>
          <w:sz w:val="15"/>
          <w:szCs w:val="15"/>
        </w:rPr>
        <w:t>0</w:t>
      </w:r>
      <w:r w:rsidRPr="001E7A33">
        <w:rPr>
          <w:rFonts w:ascii="Arial" w:eastAsia="Times New Roman" w:hAnsi="Arial" w:cs="Arial"/>
          <w:color w:val="727A7D"/>
          <w:sz w:val="15"/>
          <w:szCs w:val="15"/>
        </w:rPr>
        <w:t xml:space="preserve">% </w:t>
      </w:r>
      <w:r w:rsidR="00537F9F" w:rsidRPr="001E7A33">
        <w:rPr>
          <w:rFonts w:ascii="Arial" w:eastAsia="Times New Roman" w:hAnsi="Arial" w:cs="Arial"/>
          <w:color w:val="727A7D"/>
          <w:sz w:val="15"/>
          <w:szCs w:val="15"/>
        </w:rPr>
        <w:t xml:space="preserve">effective </w:t>
      </w:r>
      <w:r w:rsidRPr="001E7A33">
        <w:rPr>
          <w:rFonts w:ascii="Arial" w:eastAsia="Times New Roman" w:hAnsi="Arial" w:cs="Arial"/>
          <w:color w:val="727A7D"/>
          <w:sz w:val="15"/>
          <w:szCs w:val="15"/>
        </w:rPr>
        <w:t xml:space="preserve">October 1, </w:t>
      </w:r>
      <w:r w:rsidR="00A4353C" w:rsidRPr="001E7A33">
        <w:rPr>
          <w:rFonts w:ascii="Arial" w:eastAsia="Times New Roman" w:hAnsi="Arial" w:cs="Arial"/>
          <w:color w:val="727A7D"/>
          <w:sz w:val="15"/>
          <w:szCs w:val="15"/>
        </w:rPr>
        <w:t>2022</w:t>
      </w:r>
      <w:r w:rsidRPr="001E7A33">
        <w:rPr>
          <w:rFonts w:ascii="Arial" w:eastAsia="Times New Roman" w:hAnsi="Arial" w:cs="Arial"/>
          <w:color w:val="727A7D"/>
          <w:sz w:val="15"/>
          <w:szCs w:val="15"/>
        </w:rPr>
        <w:t>, respectively.</w:t>
      </w:r>
      <w:r w:rsidR="00CC4A16" w:rsidRPr="001E7A33">
        <w:rPr>
          <w:rFonts w:ascii="Arial" w:eastAsia="Times New Roman" w:hAnsi="Arial" w:cs="Arial"/>
          <w:color w:val="727A7D"/>
          <w:sz w:val="15"/>
          <w:szCs w:val="15"/>
        </w:rPr>
        <w:t xml:space="preserve"> The nursing home and hospice increase also includes a 0.5% increase </w:t>
      </w:r>
      <w:r w:rsidR="006547CB" w:rsidRPr="001E7A33">
        <w:rPr>
          <w:rFonts w:ascii="Arial" w:eastAsia="Times New Roman" w:hAnsi="Arial" w:cs="Arial"/>
          <w:color w:val="727A7D"/>
          <w:sz w:val="15"/>
          <w:szCs w:val="15"/>
        </w:rPr>
        <w:t xml:space="preserve">for staffing </w:t>
      </w:r>
      <w:r w:rsidR="00CC4A16" w:rsidRPr="001E7A33">
        <w:rPr>
          <w:rFonts w:ascii="Arial" w:eastAsia="Times New Roman" w:hAnsi="Arial" w:cs="Arial"/>
          <w:color w:val="727A7D"/>
          <w:sz w:val="15"/>
          <w:szCs w:val="15"/>
        </w:rPr>
        <w:t>effective October 1, 2021</w:t>
      </w:r>
      <w:r w:rsidR="00A4353C" w:rsidRPr="001E7A33">
        <w:rPr>
          <w:rFonts w:ascii="Arial" w:eastAsia="Times New Roman" w:hAnsi="Arial" w:cs="Arial"/>
          <w:color w:val="727A7D"/>
          <w:sz w:val="15"/>
          <w:szCs w:val="15"/>
        </w:rPr>
        <w:t xml:space="preserve"> and 1.0% effective October 1, 2022</w:t>
      </w:r>
      <w:r w:rsidR="00CC4A16" w:rsidRPr="001E7A33">
        <w:rPr>
          <w:rFonts w:ascii="Arial" w:eastAsia="Times New Roman" w:hAnsi="Arial" w:cs="Arial"/>
          <w:color w:val="727A7D"/>
          <w:sz w:val="15"/>
          <w:szCs w:val="15"/>
        </w:rPr>
        <w:t>.</w:t>
      </w:r>
    </w:p>
    <w:p w14:paraId="0F95D67A" w14:textId="77777777" w:rsidR="00C50AB6" w:rsidRPr="003F03E6" w:rsidRDefault="00C50AB6" w:rsidP="003F03E6">
      <w:pPr>
        <w:pStyle w:val="RRBullet1"/>
        <w:numPr>
          <w:ilvl w:val="0"/>
          <w:numId w:val="0"/>
        </w:numPr>
        <w:spacing w:after="0"/>
        <w:rPr>
          <w:rFonts w:ascii="Arial" w:eastAsia="Times New Roman" w:hAnsi="Arial" w:cs="Arial"/>
          <w:color w:val="727A7D"/>
          <w:sz w:val="16"/>
          <w:szCs w:val="16"/>
        </w:rPr>
      </w:pPr>
    </w:p>
    <w:p w14:paraId="3FF358FA" w14:textId="77777777" w:rsidR="0088012E" w:rsidRDefault="0088012E" w:rsidP="007B536F">
      <w:pPr>
        <w:pStyle w:val="Heading5"/>
      </w:pPr>
      <w:bookmarkStart w:id="245" w:name="_Toc454354197"/>
      <w:bookmarkStart w:id="246" w:name="_Toc484701198"/>
      <w:bookmarkStart w:id="247" w:name="_Toc504389044"/>
      <w:r w:rsidRPr="007533EB">
        <w:t>Variation</w:t>
      </w:r>
      <w:bookmarkEnd w:id="245"/>
      <w:bookmarkEnd w:id="246"/>
      <w:bookmarkEnd w:id="247"/>
      <w:r w:rsidRPr="007533EB">
        <w:t xml:space="preserve"> </w:t>
      </w:r>
    </w:p>
    <w:p w14:paraId="75A952FF" w14:textId="77777777" w:rsidR="007B536F" w:rsidRPr="007B536F" w:rsidRDefault="007B536F">
      <w:pPr>
        <w:pStyle w:val="Heading6"/>
        <w:numPr>
          <w:ilvl w:val="0"/>
          <w:numId w:val="23"/>
        </w:numPr>
      </w:pPr>
      <w:r>
        <w:t>Medicaid populations</w:t>
      </w:r>
    </w:p>
    <w:p w14:paraId="7BE1FB37" w14:textId="3DFF2CB8" w:rsidR="009D5CA5" w:rsidRDefault="00274BD5" w:rsidP="00210B59">
      <w:pPr>
        <w:pStyle w:val="RRBody"/>
      </w:pPr>
      <w:bookmarkStart w:id="248" w:name="_Toc454354198"/>
      <w:bookmarkStart w:id="249" w:name="_Toc484701199"/>
      <w:bookmarkStart w:id="250" w:name="_Toc504389045"/>
      <w:r>
        <w:t xml:space="preserve">Trend was developed consistently across the </w:t>
      </w:r>
      <w:r w:rsidR="00F172A5">
        <w:t>MMP</w:t>
      </w:r>
      <w:r>
        <w:t xml:space="preserve"> population for credibility purposes</w:t>
      </w:r>
      <w:r w:rsidR="009D5CA5">
        <w:t>.</w:t>
      </w:r>
      <w:r w:rsidR="005178EA">
        <w:t xml:space="preserve"> </w:t>
      </w:r>
    </w:p>
    <w:p w14:paraId="276F737B" w14:textId="77777777" w:rsidR="007B536F" w:rsidRDefault="007B536F">
      <w:pPr>
        <w:pStyle w:val="Heading6"/>
      </w:pPr>
      <w:r>
        <w:t>Rate cells</w:t>
      </w:r>
    </w:p>
    <w:p w14:paraId="79ADEAF4" w14:textId="0C9F625D" w:rsidR="007B536F" w:rsidRDefault="00274BD5" w:rsidP="007B536F">
      <w:r>
        <w:t xml:space="preserve">Trend was developed consistently across the </w:t>
      </w:r>
      <w:r w:rsidR="00F172A5">
        <w:t>MMP</w:t>
      </w:r>
      <w:r>
        <w:t xml:space="preserve"> </w:t>
      </w:r>
      <w:r w:rsidR="00ED634B">
        <w:t>rate cells</w:t>
      </w:r>
      <w:r>
        <w:t xml:space="preserve"> for credibility purposes.</w:t>
      </w:r>
    </w:p>
    <w:p w14:paraId="201B9877" w14:textId="77777777" w:rsidR="007B536F" w:rsidRPr="007B536F" w:rsidRDefault="007B536F">
      <w:pPr>
        <w:pStyle w:val="Heading6"/>
      </w:pPr>
      <w:r>
        <w:t>Subsets of benefits within a category of services</w:t>
      </w:r>
    </w:p>
    <w:p w14:paraId="490106A8" w14:textId="7A2B0EAC" w:rsidR="00266A18" w:rsidRDefault="00274BD5" w:rsidP="00DA7C49">
      <w:pPr>
        <w:pStyle w:val="RRBody"/>
        <w:rPr>
          <w:rFonts w:cstheme="minorHAnsi"/>
          <w:b/>
          <w:color w:val="555B5D" w:themeColor="accent3" w:themeShade="BF"/>
          <w:sz w:val="20"/>
          <w:szCs w:val="20"/>
        </w:rPr>
      </w:pPr>
      <w:r>
        <w:t>Service categories where Medicaid is the primary payer were stratified into more detailed service categories. For example, LTSS services were stratified into nursing home services and HCBS categories, and trend assumptions were developed separately for these services</w:t>
      </w:r>
      <w:r w:rsidR="0088012E" w:rsidRPr="0076558C">
        <w:t>.</w:t>
      </w:r>
    </w:p>
    <w:p w14:paraId="7D602CCE" w14:textId="2C6C1226" w:rsidR="0088012E" w:rsidRPr="007533EB" w:rsidRDefault="0088012E" w:rsidP="007B536F">
      <w:pPr>
        <w:pStyle w:val="Heading5"/>
      </w:pPr>
      <w:r w:rsidRPr="007533EB">
        <w:t>Material adjustments</w:t>
      </w:r>
      <w:bookmarkEnd w:id="248"/>
      <w:bookmarkEnd w:id="249"/>
      <w:bookmarkEnd w:id="250"/>
    </w:p>
    <w:p w14:paraId="3A804383" w14:textId="11A72F16" w:rsidR="00F37935" w:rsidRDefault="009D5CA5" w:rsidP="00210B59">
      <w:pPr>
        <w:pStyle w:val="RRBody"/>
      </w:pPr>
      <w:r>
        <w:t xml:space="preserve">We made adjustments to the trends derived from historical experience in cases where the resulting trends did not appear reasonably </w:t>
      </w:r>
      <w:r w:rsidR="00F07584">
        <w:t>sustainable or</w:t>
      </w:r>
      <w:r>
        <w:t xml:space="preserve"> were not within consensus parameters derived from other sources. For many rate cells and categories of services, raw model output was outside of a range of reasonable results. In these situations, we relied on the sources identified to develop prospective trend. </w:t>
      </w:r>
    </w:p>
    <w:p w14:paraId="40C3AFA4" w14:textId="1CD371D4" w:rsidR="00EB42A5" w:rsidRPr="00512FB7" w:rsidRDefault="006A3555" w:rsidP="00210B59">
      <w:pPr>
        <w:pStyle w:val="RRBody"/>
        <w:rPr>
          <w:rFonts w:cs="Arial"/>
        </w:rPr>
      </w:pPr>
      <w:r>
        <w:t xml:space="preserve">As noted previously, the cost trend for the Inpatient Hospital, Outpatient Hospital, Emergency Room, and Nursing Home service categories were prescribed by </w:t>
      </w:r>
      <w:r w:rsidR="00773F6C">
        <w:t xml:space="preserve">legislatively mandated reimbursement </w:t>
      </w:r>
      <w:r w:rsidR="00773F6C" w:rsidRPr="00773F6C">
        <w:t>increase</w:t>
      </w:r>
      <w:r w:rsidR="00773F6C" w:rsidRPr="00317C53">
        <w:t>s</w:t>
      </w:r>
      <w:r w:rsidRPr="00773F6C">
        <w:t>.</w:t>
      </w:r>
    </w:p>
    <w:p w14:paraId="2E35FA93" w14:textId="55D67FE1" w:rsidR="00CE2634" w:rsidRPr="007533EB" w:rsidRDefault="00CE2634" w:rsidP="007B536F">
      <w:pPr>
        <w:pStyle w:val="Heading5"/>
      </w:pPr>
      <w:r w:rsidRPr="007533EB">
        <w:t>Any other adjustments</w:t>
      </w:r>
      <w:bookmarkEnd w:id="227"/>
      <w:bookmarkEnd w:id="228"/>
    </w:p>
    <w:p w14:paraId="67DAA4A1" w14:textId="77777777" w:rsidR="00CE2634" w:rsidRPr="007533EB" w:rsidRDefault="00CE2634">
      <w:pPr>
        <w:pStyle w:val="Heading6"/>
        <w:numPr>
          <w:ilvl w:val="0"/>
          <w:numId w:val="24"/>
        </w:numPr>
      </w:pPr>
      <w:bookmarkStart w:id="251" w:name="_Toc484701201"/>
      <w:bookmarkStart w:id="252" w:name="_Toc504389047"/>
      <w:r w:rsidRPr="007533EB">
        <w:t>Impact of managed care</w:t>
      </w:r>
      <w:bookmarkEnd w:id="251"/>
      <w:bookmarkEnd w:id="252"/>
    </w:p>
    <w:p w14:paraId="49EA9C6A" w14:textId="65BC43D1" w:rsidR="00AE7C85" w:rsidRPr="000B1911" w:rsidRDefault="00201FAF" w:rsidP="00210B59">
      <w:pPr>
        <w:pStyle w:val="RRBody"/>
      </w:pPr>
      <w:bookmarkStart w:id="253" w:name="_Toc484701202"/>
      <w:bookmarkStart w:id="254" w:name="_Toc504389048"/>
      <w:r w:rsidRPr="00201FAF">
        <w:t>We did not adjust the trend rates to reflect a managed care impact on utilization or unit cost. The capitation rates have an explicit adjustment for the demonstration savings assumed in the MOU</w:t>
      </w:r>
      <w:r w:rsidR="00AE7C85" w:rsidRPr="0076558C">
        <w:t>.</w:t>
      </w:r>
      <w:r w:rsidR="00071A34">
        <w:t xml:space="preserve"> The demonstration savings adjustment is illustrated in Appendix </w:t>
      </w:r>
      <w:r w:rsidR="002C3E81">
        <w:t>5</w:t>
      </w:r>
      <w:r w:rsidR="00071A34">
        <w:t>.</w:t>
      </w:r>
      <w:r w:rsidR="00AE7C85" w:rsidRPr="0076558C">
        <w:t xml:space="preserve"> </w:t>
      </w:r>
    </w:p>
    <w:p w14:paraId="487F65E0" w14:textId="5347566A" w:rsidR="00CE2634" w:rsidRPr="007533EB" w:rsidRDefault="00CE2634">
      <w:pPr>
        <w:pStyle w:val="Heading6"/>
      </w:pPr>
      <w:r w:rsidRPr="007533EB">
        <w:t>Trend changes other than utilization and cost</w:t>
      </w:r>
      <w:bookmarkEnd w:id="253"/>
      <w:bookmarkEnd w:id="254"/>
    </w:p>
    <w:p w14:paraId="5A741445" w14:textId="77777777" w:rsidR="00CE2634" w:rsidRPr="00541C09" w:rsidRDefault="00CE2634" w:rsidP="00210B59">
      <w:r w:rsidRPr="00541C09">
        <w:t>We did not adjust the benefit cost trend for changes other than utilization or unit cost.</w:t>
      </w:r>
    </w:p>
    <w:p w14:paraId="323A895D" w14:textId="1AA677A2" w:rsidR="00CE2634" w:rsidRPr="00013033" w:rsidRDefault="00CE2634" w:rsidP="007B536F">
      <w:pPr>
        <w:pStyle w:val="Heading4"/>
      </w:pPr>
      <w:bookmarkStart w:id="255" w:name="_Toc484701203"/>
      <w:bookmarkStart w:id="256" w:name="_Toc504389049"/>
      <w:bookmarkStart w:id="257" w:name="_Toc8985018"/>
      <w:bookmarkStart w:id="258" w:name="_Toc109295512"/>
      <w:r w:rsidRPr="00013033">
        <w:t xml:space="preserve">Mental </w:t>
      </w:r>
      <w:r w:rsidR="000865BE">
        <w:t>h</w:t>
      </w:r>
      <w:r w:rsidR="000865BE" w:rsidRPr="00013033">
        <w:t xml:space="preserve">ealth </w:t>
      </w:r>
      <w:r w:rsidR="000865BE">
        <w:t>p</w:t>
      </w:r>
      <w:r w:rsidR="000865BE" w:rsidRPr="00013033">
        <w:t xml:space="preserve">arity </w:t>
      </w:r>
      <w:r w:rsidRPr="00013033">
        <w:t xml:space="preserve">and </w:t>
      </w:r>
      <w:r w:rsidR="000865BE">
        <w:t>a</w:t>
      </w:r>
      <w:r w:rsidR="000865BE" w:rsidRPr="00013033">
        <w:t xml:space="preserve">ddiction </w:t>
      </w:r>
      <w:r w:rsidR="000865BE">
        <w:t>e</w:t>
      </w:r>
      <w:r w:rsidR="000865BE" w:rsidRPr="00013033">
        <w:t xml:space="preserve">quity </w:t>
      </w:r>
      <w:r w:rsidR="000865BE">
        <w:t>a</w:t>
      </w:r>
      <w:r w:rsidR="000865BE" w:rsidRPr="00013033">
        <w:t xml:space="preserve">ct </w:t>
      </w:r>
      <w:r w:rsidR="000865BE">
        <w:t>s</w:t>
      </w:r>
      <w:r w:rsidR="000865BE" w:rsidRPr="00013033">
        <w:t xml:space="preserve">ervice </w:t>
      </w:r>
      <w:bookmarkEnd w:id="255"/>
      <w:bookmarkEnd w:id="256"/>
      <w:bookmarkEnd w:id="257"/>
      <w:r w:rsidR="000865BE">
        <w:t>a</w:t>
      </w:r>
      <w:r w:rsidR="000865BE" w:rsidRPr="00013033">
        <w:t>djustment</w:t>
      </w:r>
      <w:bookmarkEnd w:id="258"/>
    </w:p>
    <w:p w14:paraId="0AB476A7" w14:textId="2A50E6EE" w:rsidR="00CE2634" w:rsidRPr="00541C09" w:rsidRDefault="00F37935" w:rsidP="00210B59">
      <w:r>
        <w:t>The projected benefit cost</w:t>
      </w:r>
      <w:r w:rsidR="00ED7EE4">
        <w:t>s</w:t>
      </w:r>
      <w:r>
        <w:t xml:space="preserve"> do not include</w:t>
      </w:r>
      <w:r w:rsidR="00002A9A" w:rsidRPr="00002A9A">
        <w:t xml:space="preserve"> any </w:t>
      </w:r>
      <w:r>
        <w:t xml:space="preserve">services deemed by the state </w:t>
      </w:r>
      <w:r w:rsidR="00647344">
        <w:t xml:space="preserve">to be </w:t>
      </w:r>
      <w:r>
        <w:t>necessary</w:t>
      </w:r>
      <w:r w:rsidR="00002A9A" w:rsidRPr="00002A9A">
        <w:t xml:space="preserve"> to accommodate parity compliance.</w:t>
      </w:r>
      <w:r w:rsidR="005178EA">
        <w:t xml:space="preserve"> </w:t>
      </w:r>
    </w:p>
    <w:p w14:paraId="48388B2E" w14:textId="738C6285" w:rsidR="00CE2634" w:rsidRPr="00013033" w:rsidRDefault="00CE2634" w:rsidP="007B536F">
      <w:pPr>
        <w:pStyle w:val="Heading4"/>
      </w:pPr>
      <w:bookmarkStart w:id="259" w:name="_Toc466028089"/>
      <w:bookmarkStart w:id="260" w:name="_Toc484701204"/>
      <w:bookmarkStart w:id="261" w:name="_Toc504389050"/>
      <w:bookmarkStart w:id="262" w:name="_Toc8985019"/>
      <w:bookmarkStart w:id="263" w:name="_Toc109295513"/>
      <w:r w:rsidRPr="00013033">
        <w:t xml:space="preserve">In </w:t>
      </w:r>
      <w:r w:rsidR="000865BE">
        <w:t>l</w:t>
      </w:r>
      <w:r w:rsidR="000865BE" w:rsidRPr="00013033">
        <w:t xml:space="preserve">ieu </w:t>
      </w:r>
      <w:r w:rsidRPr="00013033">
        <w:t xml:space="preserve">of </w:t>
      </w:r>
      <w:bookmarkEnd w:id="259"/>
      <w:bookmarkEnd w:id="260"/>
      <w:bookmarkEnd w:id="261"/>
      <w:bookmarkEnd w:id="262"/>
      <w:r w:rsidR="000865BE">
        <w:t>s</w:t>
      </w:r>
      <w:r w:rsidR="000865BE" w:rsidRPr="00013033">
        <w:t>ervices</w:t>
      </w:r>
      <w:bookmarkEnd w:id="263"/>
    </w:p>
    <w:p w14:paraId="3C404B7D" w14:textId="7FA7954C" w:rsidR="00AE7C85" w:rsidRPr="006609BB" w:rsidRDefault="00F37935" w:rsidP="00210B59">
      <w:pPr>
        <w:pStyle w:val="RRBody"/>
      </w:pPr>
      <w:bookmarkStart w:id="264" w:name="_Toc466028091"/>
      <w:bookmarkStart w:id="265" w:name="_Toc484701205"/>
      <w:bookmarkStart w:id="266" w:name="_Toc504389051"/>
      <w:r>
        <w:t xml:space="preserve">As discussed in </w:t>
      </w:r>
      <w:r w:rsidRPr="004D1268">
        <w:t>Section I.3.A.iv</w:t>
      </w:r>
      <w:r>
        <w:t>, t</w:t>
      </w:r>
      <w:r w:rsidR="005A55B3">
        <w:t xml:space="preserve">he projected benefit costs do not include costs for in-lieu-of services defined at </w:t>
      </w:r>
      <w:r w:rsidR="005A55B3" w:rsidRPr="0076558C">
        <w:t>42 CFR 438.</w:t>
      </w:r>
      <w:r w:rsidR="005A55B3">
        <w:t>3</w:t>
      </w:r>
      <w:r w:rsidR="005A55B3" w:rsidRPr="0076558C">
        <w:t>(</w:t>
      </w:r>
      <w:r w:rsidR="005A55B3">
        <w:t>e</w:t>
      </w:r>
      <w:r w:rsidR="005A55B3" w:rsidRPr="0076558C">
        <w:t>)(</w:t>
      </w:r>
      <w:r w:rsidR="005A55B3">
        <w:t>2</w:t>
      </w:r>
      <w:r w:rsidR="005A55B3" w:rsidRPr="0076558C">
        <w:t>)</w:t>
      </w:r>
      <w:r w:rsidR="0058181A">
        <w:t>.</w:t>
      </w:r>
    </w:p>
    <w:p w14:paraId="099CC3D8" w14:textId="0694CF2B" w:rsidR="00CE2634" w:rsidRPr="00013033" w:rsidRDefault="00CE2634" w:rsidP="007B536F">
      <w:pPr>
        <w:pStyle w:val="Heading4"/>
      </w:pPr>
      <w:bookmarkStart w:id="267" w:name="_Toc8985020"/>
      <w:bookmarkStart w:id="268" w:name="_Toc109295514"/>
      <w:r w:rsidRPr="00013033">
        <w:t xml:space="preserve">Retrospective </w:t>
      </w:r>
      <w:r w:rsidR="000865BE">
        <w:t>e</w:t>
      </w:r>
      <w:r w:rsidR="000865BE" w:rsidRPr="00013033">
        <w:t xml:space="preserve">ligibility </w:t>
      </w:r>
      <w:bookmarkEnd w:id="264"/>
      <w:bookmarkEnd w:id="265"/>
      <w:bookmarkEnd w:id="266"/>
      <w:bookmarkEnd w:id="267"/>
      <w:r w:rsidR="000865BE">
        <w:t>p</w:t>
      </w:r>
      <w:r w:rsidR="000865BE" w:rsidRPr="00013033">
        <w:t>eriods</w:t>
      </w:r>
      <w:bookmarkEnd w:id="268"/>
    </w:p>
    <w:p w14:paraId="5E11E93E" w14:textId="77777777" w:rsidR="00CE2634" w:rsidRPr="007533EB" w:rsidRDefault="00CE2634" w:rsidP="007B536F">
      <w:pPr>
        <w:pStyle w:val="Heading5"/>
      </w:pPr>
      <w:bookmarkStart w:id="269" w:name="_Toc466028092"/>
      <w:bookmarkStart w:id="270" w:name="_Toc484701206"/>
      <w:bookmarkStart w:id="271" w:name="_Toc504389052"/>
      <w:bookmarkStart w:id="272" w:name="_Toc466028096"/>
      <w:bookmarkStart w:id="273" w:name="_Toc484701210"/>
      <w:r w:rsidRPr="007533EB">
        <w:t>MCO responsibility</w:t>
      </w:r>
      <w:bookmarkEnd w:id="269"/>
      <w:bookmarkEnd w:id="270"/>
      <w:bookmarkEnd w:id="271"/>
    </w:p>
    <w:p w14:paraId="702DDD11" w14:textId="72D7DA42" w:rsidR="00CE2634" w:rsidRPr="00541C09" w:rsidRDefault="00AC4F21" w:rsidP="00210B59">
      <w:r>
        <w:t xml:space="preserve">The MCO </w:t>
      </w:r>
      <w:r w:rsidR="00647344">
        <w:t>is</w:t>
      </w:r>
      <w:r w:rsidR="00F37935">
        <w:t xml:space="preserve"> not </w:t>
      </w:r>
      <w:r w:rsidR="00E665ED" w:rsidRPr="00E665ED">
        <w:t>responsible for retrospective eligibility periods</w:t>
      </w:r>
      <w:r w:rsidR="00CE2634" w:rsidRPr="00541C09">
        <w:t>.</w:t>
      </w:r>
      <w:r w:rsidR="00F37935">
        <w:t xml:space="preserve"> Coverage in </w:t>
      </w:r>
      <w:r w:rsidR="00F172A5">
        <w:t>MMP</w:t>
      </w:r>
      <w:r w:rsidR="00F37935">
        <w:t xml:space="preserve"> does not begin until a member is enrolled </w:t>
      </w:r>
      <w:r w:rsidR="00647344">
        <w:t xml:space="preserve">with </w:t>
      </w:r>
      <w:r>
        <w:t>the MCO</w:t>
      </w:r>
      <w:r w:rsidR="00F37935">
        <w:t>.</w:t>
      </w:r>
      <w:r w:rsidR="00CE2634" w:rsidRPr="00541C09">
        <w:t xml:space="preserve"> </w:t>
      </w:r>
    </w:p>
    <w:p w14:paraId="2A86C472" w14:textId="77777777" w:rsidR="00CE2634" w:rsidRPr="007533EB" w:rsidRDefault="00CE2634" w:rsidP="007B536F">
      <w:pPr>
        <w:pStyle w:val="Heading5"/>
      </w:pPr>
      <w:bookmarkStart w:id="274" w:name="_Toc504389053"/>
      <w:bookmarkStart w:id="275" w:name="_Toc466028093"/>
      <w:r w:rsidRPr="007533EB">
        <w:t>Claims treatment</w:t>
      </w:r>
      <w:bookmarkEnd w:id="274"/>
    </w:p>
    <w:p w14:paraId="46363869" w14:textId="48C4B7CE" w:rsidR="009A0CD9" w:rsidRDefault="00AC4F21" w:rsidP="00210B59">
      <w:pPr>
        <w:pStyle w:val="RRBody"/>
      </w:pPr>
      <w:r>
        <w:t xml:space="preserve">The MCO </w:t>
      </w:r>
      <w:r w:rsidR="00647344">
        <w:t xml:space="preserve">is </w:t>
      </w:r>
      <w:r w:rsidR="00CA0BB1">
        <w:t xml:space="preserve">not responsible for claims incurred before enrollment in </w:t>
      </w:r>
      <w:r w:rsidR="00F172A5">
        <w:t>MMP</w:t>
      </w:r>
      <w:r w:rsidR="00AE7C85">
        <w:t>.</w:t>
      </w:r>
      <w:r w:rsidR="00CA0BB1">
        <w:t xml:space="preserve"> The base data experience is consistent with this requirement.</w:t>
      </w:r>
    </w:p>
    <w:p w14:paraId="3DCC35A0" w14:textId="6D4AF987" w:rsidR="00DC1BCB" w:rsidRDefault="00DC1BCB" w:rsidP="00210B59">
      <w:pPr>
        <w:pStyle w:val="RRBody"/>
      </w:pPr>
    </w:p>
    <w:p w14:paraId="7053A3BB" w14:textId="77777777" w:rsidR="00DC1BCB" w:rsidRDefault="00DC1BCB" w:rsidP="00210B59">
      <w:pPr>
        <w:pStyle w:val="RRBody"/>
      </w:pPr>
    </w:p>
    <w:p w14:paraId="0373179E" w14:textId="77777777" w:rsidR="00CE2634" w:rsidRPr="007533EB" w:rsidRDefault="00CE2634" w:rsidP="007B536F">
      <w:pPr>
        <w:pStyle w:val="Heading5"/>
      </w:pPr>
      <w:bookmarkStart w:id="276" w:name="_Toc484701208"/>
      <w:bookmarkStart w:id="277" w:name="_Toc504389054"/>
      <w:r w:rsidRPr="007533EB">
        <w:lastRenderedPageBreak/>
        <w:t>Enrollment treatment</w:t>
      </w:r>
      <w:bookmarkEnd w:id="275"/>
      <w:bookmarkEnd w:id="276"/>
      <w:bookmarkEnd w:id="277"/>
    </w:p>
    <w:p w14:paraId="715DCA8F" w14:textId="77777777" w:rsidR="00CE2634" w:rsidRPr="00541C09" w:rsidRDefault="00AE7C85" w:rsidP="00210B59">
      <w:pPr>
        <w:pStyle w:val="RRBody"/>
        <w:rPr>
          <w:rFonts w:cstheme="minorHAnsi"/>
          <w:szCs w:val="18"/>
        </w:rPr>
      </w:pPr>
      <w:r w:rsidRPr="0076558C">
        <w:t>Enrollment is treated consistently with claims. We have not included retrospective eligibility in the base experience period</w:t>
      </w:r>
      <w:r>
        <w:t>.</w:t>
      </w:r>
    </w:p>
    <w:p w14:paraId="3630B8B3" w14:textId="77777777" w:rsidR="00CE2634" w:rsidRPr="007533EB" w:rsidRDefault="00CE2634" w:rsidP="007B536F">
      <w:pPr>
        <w:pStyle w:val="Heading5"/>
      </w:pPr>
      <w:bookmarkStart w:id="278" w:name="_Toc466028094"/>
      <w:bookmarkStart w:id="279" w:name="_Toc484701209"/>
      <w:bookmarkStart w:id="280" w:name="_Toc504389055"/>
      <w:r w:rsidRPr="007533EB">
        <w:t>Adjustments</w:t>
      </w:r>
      <w:bookmarkEnd w:id="278"/>
      <w:bookmarkEnd w:id="279"/>
      <w:bookmarkEnd w:id="280"/>
    </w:p>
    <w:p w14:paraId="062A8279" w14:textId="56873110" w:rsidR="00CE2634" w:rsidRPr="00541C09" w:rsidRDefault="00CA0BB1" w:rsidP="00210B59">
      <w:r>
        <w:t>N</w:t>
      </w:r>
      <w:r w:rsidR="00E665ED" w:rsidRPr="00E665ED">
        <w:t>o explicit</w:t>
      </w:r>
      <w:r w:rsidR="007E7B30">
        <w:t xml:space="preserve"> retrospective eligibility</w:t>
      </w:r>
      <w:r w:rsidR="00E665ED" w:rsidRPr="00E665ED">
        <w:t xml:space="preserve"> adjustment was applied </w:t>
      </w:r>
      <w:r w:rsidR="00790980">
        <w:t>for</w:t>
      </w:r>
      <w:r w:rsidR="00E665ED" w:rsidRPr="00E665ED">
        <w:t xml:space="preserve"> the </w:t>
      </w:r>
      <w:r w:rsidR="00566B81">
        <w:t xml:space="preserve">SFY </w:t>
      </w:r>
      <w:r w:rsidR="00BB76B1">
        <w:t>2023</w:t>
      </w:r>
      <w:r w:rsidR="00BB76B1" w:rsidRPr="00E665ED">
        <w:t xml:space="preserve"> </w:t>
      </w:r>
      <w:r w:rsidR="00E665ED" w:rsidRPr="00E665ED">
        <w:t>rate setting</w:t>
      </w:r>
      <w:r w:rsidR="00CE2634" w:rsidRPr="00541C09">
        <w:t>.</w:t>
      </w:r>
    </w:p>
    <w:p w14:paraId="27DC0E76" w14:textId="0230EAC6" w:rsidR="00CE2634" w:rsidRPr="00013033" w:rsidRDefault="00CE2634" w:rsidP="007B536F">
      <w:pPr>
        <w:pStyle w:val="Heading4"/>
      </w:pPr>
      <w:bookmarkStart w:id="281" w:name="_Toc504389056"/>
      <w:bookmarkStart w:id="282" w:name="_Toc8985021"/>
      <w:bookmarkStart w:id="283" w:name="_Toc109295515"/>
      <w:r w:rsidRPr="00013033">
        <w:t xml:space="preserve">Impact of </w:t>
      </w:r>
      <w:r w:rsidR="000865BE">
        <w:t>m</w:t>
      </w:r>
      <w:r w:rsidR="000865BE" w:rsidRPr="00013033">
        <w:t xml:space="preserve">aterial </w:t>
      </w:r>
      <w:bookmarkEnd w:id="272"/>
      <w:bookmarkEnd w:id="273"/>
      <w:bookmarkEnd w:id="281"/>
      <w:bookmarkEnd w:id="282"/>
      <w:r w:rsidR="000865BE">
        <w:t>c</w:t>
      </w:r>
      <w:r w:rsidR="000865BE" w:rsidRPr="00013033">
        <w:t>hanges</w:t>
      </w:r>
      <w:bookmarkEnd w:id="283"/>
    </w:p>
    <w:p w14:paraId="7F40B14F" w14:textId="05BEEAD1" w:rsidR="000E0FA9" w:rsidRDefault="00AE7C85" w:rsidP="005D6F5E">
      <w:pPr>
        <w:pStyle w:val="RRBody"/>
        <w:rPr>
          <w:rFonts w:cstheme="minorHAnsi"/>
          <w:b/>
          <w:color w:val="555B5D" w:themeColor="accent3" w:themeShade="BF"/>
          <w:sz w:val="20"/>
          <w:szCs w:val="20"/>
        </w:rPr>
      </w:pPr>
      <w:bookmarkStart w:id="284" w:name="_Toc454354210"/>
      <w:bookmarkStart w:id="285" w:name="_Toc484701211"/>
      <w:bookmarkStart w:id="286" w:name="_Toc504389057"/>
      <w:r w:rsidRPr="0076558C">
        <w:t xml:space="preserve">This </w:t>
      </w:r>
      <w:r w:rsidR="00E665ED" w:rsidRPr="00E665ED">
        <w:t>section relates to material changes to covered benefits or services since the last rate certification. The last rate certification was for the July</w:t>
      </w:r>
      <w:r w:rsidR="00BB76B1">
        <w:t xml:space="preserve"> 1,</w:t>
      </w:r>
      <w:r w:rsidR="00E665ED" w:rsidRPr="00E665ED">
        <w:t xml:space="preserve"> </w:t>
      </w:r>
      <w:r w:rsidR="00BB76B1">
        <w:t xml:space="preserve">2021 </w:t>
      </w:r>
      <w:r w:rsidR="00E665ED" w:rsidRPr="00E665ED">
        <w:t xml:space="preserve">through </w:t>
      </w:r>
      <w:r w:rsidR="005A55B3">
        <w:t>June</w:t>
      </w:r>
      <w:r w:rsidR="00BB76B1">
        <w:t xml:space="preserve"> 30,</w:t>
      </w:r>
      <w:r w:rsidR="005A55B3" w:rsidRPr="00E665ED">
        <w:t xml:space="preserve"> </w:t>
      </w:r>
      <w:r w:rsidR="00BB76B1">
        <w:t xml:space="preserve">2022 </w:t>
      </w:r>
      <w:r w:rsidR="00E665ED">
        <w:t>rating period.</w:t>
      </w:r>
    </w:p>
    <w:p w14:paraId="2E3F3D73" w14:textId="4B4A5F8E" w:rsidR="00CE2634" w:rsidRPr="007533EB" w:rsidRDefault="00CE2634" w:rsidP="007B536F">
      <w:pPr>
        <w:pStyle w:val="Heading5"/>
      </w:pPr>
      <w:r w:rsidRPr="007533EB">
        <w:t>Change to covered benefits</w:t>
      </w:r>
      <w:bookmarkEnd w:id="284"/>
      <w:bookmarkEnd w:id="285"/>
      <w:bookmarkEnd w:id="286"/>
    </w:p>
    <w:p w14:paraId="5CBC9B18" w14:textId="0EE2F177" w:rsidR="0010575C" w:rsidRPr="00256528" w:rsidRDefault="00A020D2" w:rsidP="00210B59">
      <w:r>
        <w:t>There were no material changes to covered benefits compared to the previous certification</w:t>
      </w:r>
      <w:r w:rsidR="00256528">
        <w:t xml:space="preserve">. </w:t>
      </w:r>
    </w:p>
    <w:p w14:paraId="6C67A185" w14:textId="77777777" w:rsidR="00CE2634" w:rsidRPr="007533EB" w:rsidRDefault="00CE2634" w:rsidP="007B536F">
      <w:pPr>
        <w:pStyle w:val="Heading5"/>
      </w:pPr>
      <w:bookmarkStart w:id="287" w:name="_Toc434745349"/>
      <w:bookmarkStart w:id="288" w:name="_Toc484701212"/>
      <w:bookmarkStart w:id="289" w:name="_Toc504389058"/>
      <w:bookmarkStart w:id="290" w:name="_Toc454354211"/>
      <w:bookmarkEnd w:id="287"/>
      <w:r w:rsidRPr="007533EB">
        <w:t>Recoveries of overpayments</w:t>
      </w:r>
      <w:bookmarkEnd w:id="288"/>
      <w:bookmarkEnd w:id="289"/>
    </w:p>
    <w:p w14:paraId="5EAC5CFB" w14:textId="0A9204BA" w:rsidR="00131B55" w:rsidRPr="0090080E" w:rsidRDefault="00E665ED" w:rsidP="00210B59">
      <w:pPr>
        <w:pStyle w:val="RRBody"/>
      </w:pPr>
      <w:bookmarkStart w:id="291" w:name="_Toc484701213"/>
      <w:bookmarkStart w:id="292" w:name="_Toc504389059"/>
      <w:r>
        <w:t xml:space="preserve">To the best of our knowledge, all information related to any payment recoveries </w:t>
      </w:r>
      <w:r w:rsidR="007D56EA">
        <w:t xml:space="preserve">is </w:t>
      </w:r>
      <w:r>
        <w:t xml:space="preserve">reflected in the base period </w:t>
      </w:r>
      <w:r w:rsidR="007D56EA">
        <w:t xml:space="preserve">fee-for-service </w:t>
      </w:r>
      <w:r>
        <w:t>data</w:t>
      </w:r>
      <w:r w:rsidR="00131B55">
        <w:t>.</w:t>
      </w:r>
    </w:p>
    <w:p w14:paraId="1577F828" w14:textId="77777777" w:rsidR="00CE2634" w:rsidRPr="007533EB" w:rsidRDefault="00CE2634" w:rsidP="007B536F">
      <w:pPr>
        <w:pStyle w:val="Heading5"/>
      </w:pPr>
      <w:r w:rsidRPr="007533EB">
        <w:t>Change to payment requirements</w:t>
      </w:r>
      <w:bookmarkEnd w:id="290"/>
      <w:bookmarkEnd w:id="291"/>
      <w:bookmarkEnd w:id="292"/>
    </w:p>
    <w:p w14:paraId="3677CA62" w14:textId="21022590" w:rsidR="00131B55" w:rsidRPr="0076558C" w:rsidRDefault="00A020D2" w:rsidP="00210B59">
      <w:pPr>
        <w:pStyle w:val="RRBody"/>
      </w:pPr>
      <w:bookmarkStart w:id="293" w:name="_Toc454354212"/>
      <w:bookmarkStart w:id="294" w:name="_Toc484701214"/>
      <w:bookmarkStart w:id="295" w:name="_Toc504389060"/>
      <w:r>
        <w:t>There were no m</w:t>
      </w:r>
      <w:r w:rsidR="00E665ED" w:rsidRPr="0076558C">
        <w:t xml:space="preserve">aterial changes to </w:t>
      </w:r>
      <w:r w:rsidR="00CA0BB1">
        <w:t>requirements for provider payment</w:t>
      </w:r>
      <w:r>
        <w:t xml:space="preserve"> compared to the previous certification.</w:t>
      </w:r>
    </w:p>
    <w:p w14:paraId="2C9BDFC1" w14:textId="77777777" w:rsidR="00CE2634" w:rsidRPr="007533EB" w:rsidRDefault="00CE2634" w:rsidP="007B536F">
      <w:pPr>
        <w:pStyle w:val="Heading5"/>
      </w:pPr>
      <w:r w:rsidRPr="007533EB">
        <w:t>Change to waiver requirements</w:t>
      </w:r>
      <w:bookmarkEnd w:id="293"/>
      <w:bookmarkEnd w:id="294"/>
      <w:bookmarkEnd w:id="295"/>
    </w:p>
    <w:p w14:paraId="72E3B3E5" w14:textId="77777777" w:rsidR="00131B55" w:rsidRPr="0076558C" w:rsidRDefault="00131B55" w:rsidP="00210B59">
      <w:pPr>
        <w:pStyle w:val="RRBody"/>
      </w:pPr>
      <w:bookmarkStart w:id="296" w:name="_Toc454354213"/>
      <w:bookmarkStart w:id="297" w:name="_Toc484701215"/>
      <w:bookmarkStart w:id="298" w:name="_Toc504389061"/>
      <w:r w:rsidRPr="0076558C">
        <w:t>There were no material changes related to waiver requirements or conditions</w:t>
      </w:r>
      <w:r>
        <w:t>.</w:t>
      </w:r>
    </w:p>
    <w:p w14:paraId="24794EA8" w14:textId="77777777" w:rsidR="00CE2634" w:rsidRPr="007533EB" w:rsidRDefault="00CE2634" w:rsidP="007B536F">
      <w:pPr>
        <w:pStyle w:val="Heading5"/>
      </w:pPr>
      <w:r w:rsidRPr="007533EB">
        <w:t>Change due to litigation</w:t>
      </w:r>
      <w:bookmarkEnd w:id="296"/>
      <w:bookmarkEnd w:id="297"/>
      <w:bookmarkEnd w:id="298"/>
    </w:p>
    <w:p w14:paraId="5CCB3D40" w14:textId="23A13B38" w:rsidR="00CE2634" w:rsidRDefault="00CE2634" w:rsidP="00210B59">
      <w:r w:rsidRPr="00541C09">
        <w:t>There were no material changes due to litigation.</w:t>
      </w:r>
    </w:p>
    <w:p w14:paraId="7BF99F41" w14:textId="1079B555" w:rsidR="00CE2634" w:rsidRPr="00013033" w:rsidRDefault="00CE2634" w:rsidP="007B536F">
      <w:pPr>
        <w:pStyle w:val="Heading4"/>
      </w:pPr>
      <w:bookmarkStart w:id="299" w:name="_Toc466028101"/>
      <w:bookmarkStart w:id="300" w:name="_Toc484701216"/>
      <w:bookmarkStart w:id="301" w:name="_Toc504389062"/>
      <w:bookmarkStart w:id="302" w:name="_Toc8985022"/>
      <w:bookmarkStart w:id="303" w:name="_Toc109295516"/>
      <w:r w:rsidRPr="00013033">
        <w:t xml:space="preserve">Documentation of </w:t>
      </w:r>
      <w:r w:rsidR="000865BE">
        <w:t>m</w:t>
      </w:r>
      <w:r w:rsidR="000865BE" w:rsidRPr="00013033">
        <w:t xml:space="preserve">aterial </w:t>
      </w:r>
      <w:bookmarkEnd w:id="299"/>
      <w:bookmarkEnd w:id="300"/>
      <w:bookmarkEnd w:id="301"/>
      <w:bookmarkEnd w:id="302"/>
      <w:r w:rsidR="000865BE">
        <w:t>c</w:t>
      </w:r>
      <w:r w:rsidR="000865BE" w:rsidRPr="00013033">
        <w:t>hanges</w:t>
      </w:r>
      <w:bookmarkEnd w:id="303"/>
    </w:p>
    <w:p w14:paraId="71C4A043" w14:textId="4869180E" w:rsidR="001455E6" w:rsidRDefault="001455E6" w:rsidP="001455E6">
      <w:pPr>
        <w:pStyle w:val="Heading5"/>
        <w:ind w:left="720" w:hanging="576"/>
      </w:pPr>
      <w:r>
        <w:t>Non-material changes</w:t>
      </w:r>
    </w:p>
    <w:p w14:paraId="376C67B4" w14:textId="77777777" w:rsidR="001455E6" w:rsidRDefault="001455E6">
      <w:pPr>
        <w:pStyle w:val="Heading6"/>
        <w:numPr>
          <w:ilvl w:val="0"/>
          <w:numId w:val="38"/>
        </w:numPr>
      </w:pPr>
      <w:r>
        <w:t>List of all non-material adjustments</w:t>
      </w:r>
    </w:p>
    <w:p w14:paraId="5A2433C9" w14:textId="7A1E509E" w:rsidR="00D96E2A" w:rsidRDefault="009E48C0" w:rsidP="00900E9D">
      <w:r w:rsidRPr="009E48C0">
        <w:t xml:space="preserve">Adjustment factors were developed for policy and program changes estimated to materially affect the </w:t>
      </w:r>
      <w:r>
        <w:t>MMP program</w:t>
      </w:r>
      <w:r w:rsidRPr="009E48C0">
        <w:t xml:space="preserve"> during </w:t>
      </w:r>
      <w:r>
        <w:t>SFY</w:t>
      </w:r>
      <w:r w:rsidRPr="009E48C0">
        <w:t xml:space="preserve"> </w:t>
      </w:r>
      <w:r w:rsidR="00BB76B1" w:rsidRPr="009E48C0">
        <w:t>202</w:t>
      </w:r>
      <w:r w:rsidR="00BB76B1">
        <w:t>3</w:t>
      </w:r>
      <w:r w:rsidR="00BB76B1" w:rsidRPr="009E48C0">
        <w:t xml:space="preserve"> </w:t>
      </w:r>
      <w:r w:rsidRPr="009E48C0">
        <w:t xml:space="preserve">that are not fully reflected in the base experience. Program adjustments were made in the rate development process to the extent a policy or reimbursement change is deemed to have a material cost impact. We defined a program adjustment to be material if the total benefit expense for any individual rate cell is impacted by more than 0.1%. </w:t>
      </w:r>
      <w:r>
        <w:t>T</w:t>
      </w:r>
      <w:r w:rsidRPr="009E48C0">
        <w:t>he following is a list of program adjustments deemed immaterial based on our review of the experience data and policy change</w:t>
      </w:r>
      <w:r w:rsidR="00D96E2A">
        <w:t>:</w:t>
      </w:r>
    </w:p>
    <w:p w14:paraId="2A96D800" w14:textId="5759CDA6" w:rsidR="00D96E2A" w:rsidRPr="00317C53" w:rsidRDefault="00D96E2A" w:rsidP="00900E9D">
      <w:pPr>
        <w:pStyle w:val="RRNumberedBullet1"/>
        <w:spacing w:after="120"/>
      </w:pPr>
      <w:r w:rsidRPr="00317C53">
        <w:t>Redetermination freeze</w:t>
      </w:r>
    </w:p>
    <w:p w14:paraId="665A7E30" w14:textId="61BA2102" w:rsidR="002D34E7" w:rsidRPr="00317C53" w:rsidRDefault="002D34E7" w:rsidP="00900E9D">
      <w:pPr>
        <w:pStyle w:val="RRNumberedBullet1"/>
        <w:spacing w:after="120"/>
      </w:pPr>
      <w:r w:rsidRPr="00317C53">
        <w:t>Section 210 of Consolidated Appropriations Act, 2021</w:t>
      </w:r>
    </w:p>
    <w:p w14:paraId="3C91395F" w14:textId="42EC4B07" w:rsidR="001B3DBD" w:rsidRPr="00F11F1B" w:rsidRDefault="001B3DBD" w:rsidP="00900E9D">
      <w:pPr>
        <w:pStyle w:val="RRNumberedBullet1"/>
        <w:spacing w:after="120"/>
      </w:pPr>
      <w:r w:rsidRPr="00317C53">
        <w:t>Independent Provider Program</w:t>
      </w:r>
    </w:p>
    <w:p w14:paraId="70BC760B" w14:textId="1E5391DB" w:rsidR="00FC0DF7" w:rsidRDefault="001455E6">
      <w:pPr>
        <w:pStyle w:val="Heading6"/>
      </w:pPr>
      <w:r w:rsidRPr="00026C52">
        <w:t>Description of adjustment</w:t>
      </w:r>
      <w:r w:rsidR="00FC0DF7" w:rsidRPr="00026C52">
        <w:t>s</w:t>
      </w:r>
    </w:p>
    <w:p w14:paraId="09098121" w14:textId="7AA872D6" w:rsidR="00FC0DF7" w:rsidRDefault="00FC0DF7" w:rsidP="00C33229">
      <w:pPr>
        <w:pStyle w:val="RRBody"/>
      </w:pPr>
      <w:r w:rsidRPr="00C33229">
        <w:rPr>
          <w:b/>
          <w:bCs/>
        </w:rPr>
        <w:t>Redetermination Freeze</w:t>
      </w:r>
      <w:r>
        <w:t xml:space="preserve">: </w:t>
      </w:r>
      <w:r w:rsidR="00F57FA3">
        <w:t xml:space="preserve">Beginning in March 2020, EOHHS paused the member redetermination process to ensure members do not lose coverage during the </w:t>
      </w:r>
      <w:r w:rsidR="009E48C0">
        <w:t xml:space="preserve">COVID-19 </w:t>
      </w:r>
      <w:r w:rsidR="00F57FA3">
        <w:t xml:space="preserve">pandemic. </w:t>
      </w:r>
      <w:r>
        <w:t xml:space="preserve">We evaluated the actual </w:t>
      </w:r>
      <w:r w:rsidR="00F57FA3">
        <w:t xml:space="preserve">MMP </w:t>
      </w:r>
      <w:r>
        <w:t xml:space="preserve">enrollment </w:t>
      </w:r>
      <w:r w:rsidR="00F57FA3">
        <w:t>changes since</w:t>
      </w:r>
      <w:r w:rsidR="00B507B6">
        <w:t xml:space="preserve"> the</w:t>
      </w:r>
      <w:r w:rsidR="00F75B4F">
        <w:t xml:space="preserve"> onset of the</w:t>
      </w:r>
      <w:r w:rsidR="00F57FA3">
        <w:t xml:space="preserve"> </w:t>
      </w:r>
      <w:r w:rsidR="00B507B6">
        <w:t>PHE</w:t>
      </w:r>
      <w:r w:rsidR="00D96E2A">
        <w:t xml:space="preserve"> </w:t>
      </w:r>
      <w:r>
        <w:t xml:space="preserve">and did not observe a material change in </w:t>
      </w:r>
      <w:r w:rsidR="009E48C0">
        <w:t xml:space="preserve">aggregate </w:t>
      </w:r>
      <w:r w:rsidR="00F57FA3">
        <w:t>membership</w:t>
      </w:r>
      <w:r>
        <w:t>.</w:t>
      </w:r>
      <w:r w:rsidR="00F57FA3">
        <w:t xml:space="preserve"> </w:t>
      </w:r>
      <w:r w:rsidR="009E48C0">
        <w:t>As a result</w:t>
      </w:r>
      <w:r w:rsidR="00F57FA3">
        <w:t>, we did not estimate an acuity adjustment</w:t>
      </w:r>
      <w:r>
        <w:t xml:space="preserve"> </w:t>
      </w:r>
      <w:r w:rsidR="00F57FA3">
        <w:t>associated with the redetermination freeze</w:t>
      </w:r>
      <w:r>
        <w:t>.</w:t>
      </w:r>
    </w:p>
    <w:p w14:paraId="2B4A7667" w14:textId="77777777" w:rsidR="00DC1BCB" w:rsidRDefault="00DC1BCB" w:rsidP="00C33229">
      <w:pPr>
        <w:pStyle w:val="RRBody"/>
      </w:pPr>
    </w:p>
    <w:p w14:paraId="0B51F08D" w14:textId="7807ADA3" w:rsidR="00026C52" w:rsidRDefault="00026C52" w:rsidP="00C33229">
      <w:pPr>
        <w:pStyle w:val="RRBody"/>
        <w:rPr>
          <w:bCs/>
        </w:rPr>
      </w:pPr>
      <w:r w:rsidRPr="00E32207">
        <w:rPr>
          <w:b/>
        </w:rPr>
        <w:lastRenderedPageBreak/>
        <w:t xml:space="preserve">Section 210 of Consolidated Appropriations Act, 2021: </w:t>
      </w:r>
      <w:r w:rsidRPr="00E32207">
        <w:rPr>
          <w:bCs/>
        </w:rPr>
        <w:t xml:space="preserve">Effective January 1, 2022, routine patient costs provided to Medicaid members participating in qualified clinical trials, not including the item or service that is the subject of the trial, must be covered by Medicaid programs. Any incremental cost associated with the coverage of such services is estimated to be immaterial for purposes of the SFY </w:t>
      </w:r>
      <w:r w:rsidR="00BB76B1" w:rsidRPr="00E32207">
        <w:rPr>
          <w:bCs/>
        </w:rPr>
        <w:t>202</w:t>
      </w:r>
      <w:r w:rsidR="00BB76B1">
        <w:rPr>
          <w:bCs/>
        </w:rPr>
        <w:t>3</w:t>
      </w:r>
      <w:r w:rsidR="00BB76B1" w:rsidRPr="00E32207">
        <w:rPr>
          <w:bCs/>
        </w:rPr>
        <w:t xml:space="preserve"> </w:t>
      </w:r>
      <w:r w:rsidRPr="00E32207">
        <w:rPr>
          <w:bCs/>
        </w:rPr>
        <w:t>capitation rate development</w:t>
      </w:r>
      <w:r>
        <w:rPr>
          <w:bCs/>
        </w:rPr>
        <w:t>.</w:t>
      </w:r>
    </w:p>
    <w:p w14:paraId="3317A860" w14:textId="6C017675" w:rsidR="00900E9D" w:rsidRPr="00CB735C" w:rsidRDefault="001B3DBD" w:rsidP="00C33229">
      <w:pPr>
        <w:pStyle w:val="RRBody"/>
        <w:rPr>
          <w:bCs/>
        </w:rPr>
      </w:pPr>
      <w:r>
        <w:rPr>
          <w:b/>
        </w:rPr>
        <w:t>Independent Provider Program</w:t>
      </w:r>
      <w:r w:rsidRPr="00E32207">
        <w:rPr>
          <w:b/>
        </w:rPr>
        <w:t xml:space="preserve">: </w:t>
      </w:r>
      <w:r w:rsidRPr="001B3DBD">
        <w:rPr>
          <w:bCs/>
        </w:rPr>
        <w:t>The Independent Provider (IP) Program is a self-directed option for people living in their homes who meet the clinical and/or functional criteria for Medicaid LTSS but might need fewer services. People in IP receive homemaker and personal care services. The IP program allows consumers to select their specially trained personal care aides (PCAs), control their service schedules, and receive case management and assistance with PCA coordination. To participate in the program</w:t>
      </w:r>
      <w:r w:rsidR="00F11F1B">
        <w:rPr>
          <w:bCs/>
        </w:rPr>
        <w:t>,</w:t>
      </w:r>
      <w:r w:rsidRPr="001B3DBD">
        <w:rPr>
          <w:bCs/>
        </w:rPr>
        <w:t xml:space="preserve"> the Medicaid LTSS consumer must be 65 or over or 18 or over and have a disability.</w:t>
      </w:r>
      <w:r>
        <w:rPr>
          <w:bCs/>
        </w:rPr>
        <w:t xml:space="preserve"> This program is </w:t>
      </w:r>
      <w:r w:rsidR="00F11F1B">
        <w:rPr>
          <w:bCs/>
        </w:rPr>
        <w:t>estimated</w:t>
      </w:r>
      <w:r>
        <w:rPr>
          <w:bCs/>
        </w:rPr>
        <w:t xml:space="preserve"> to be budget neutral </w:t>
      </w:r>
      <w:r w:rsidR="00F11F1B">
        <w:rPr>
          <w:bCs/>
        </w:rPr>
        <w:t xml:space="preserve">since </w:t>
      </w:r>
      <w:r>
        <w:rPr>
          <w:bCs/>
        </w:rPr>
        <w:t>it replaces home care services the member would otherwise be receiving.</w:t>
      </w:r>
    </w:p>
    <w:p w14:paraId="5EFEEABF" w14:textId="12B6507A" w:rsidR="001455E6" w:rsidRDefault="00FC0DF7">
      <w:pPr>
        <w:pStyle w:val="Heading6"/>
      </w:pPr>
      <w:r>
        <w:t xml:space="preserve">Application of </w:t>
      </w:r>
      <w:r w:rsidR="001455E6">
        <w:t>the adjustments</w:t>
      </w:r>
    </w:p>
    <w:p w14:paraId="74C523E3" w14:textId="6F7394F7" w:rsidR="00FC0DF7" w:rsidRPr="00CD6B14" w:rsidRDefault="00CD6B14" w:rsidP="00C33229">
      <w:r>
        <w:t>A composite non-material adjustment was not applied</w:t>
      </w:r>
      <w:r w:rsidR="00FC0DF7">
        <w:t>.</w:t>
      </w:r>
    </w:p>
    <w:p w14:paraId="69AD2BAB" w14:textId="2B6D0D12" w:rsidR="001455E6" w:rsidRDefault="00FC0DF7">
      <w:pPr>
        <w:pStyle w:val="Heading6"/>
      </w:pPr>
      <w:r>
        <w:t>A</w:t>
      </w:r>
      <w:r w:rsidR="001455E6">
        <w:t>ggregate cost impact of all non-material adjustments.</w:t>
      </w:r>
    </w:p>
    <w:p w14:paraId="325F8D1B" w14:textId="4D978D04" w:rsidR="00CE2634" w:rsidRDefault="00CD6B14" w:rsidP="00C33229">
      <w:r>
        <w:t>A composite non-material adjustment was not applied</w:t>
      </w:r>
      <w:r w:rsidR="00FC0DF7">
        <w:t>.</w:t>
      </w:r>
    </w:p>
    <w:p w14:paraId="4A09A985" w14:textId="6FB92FB3" w:rsidR="00AC10C3" w:rsidRDefault="00AC10C3">
      <w:pPr>
        <w:spacing w:line="264" w:lineRule="auto"/>
      </w:pPr>
      <w:r>
        <w:br w:type="page"/>
      </w:r>
    </w:p>
    <w:p w14:paraId="16B50E77" w14:textId="446AC949" w:rsidR="00CE2634" w:rsidRPr="001D7F4A" w:rsidRDefault="00CE2634" w:rsidP="00210B59">
      <w:pPr>
        <w:pStyle w:val="Heading2"/>
      </w:pPr>
      <w:bookmarkStart w:id="304" w:name="_Toc8985023"/>
      <w:bookmarkStart w:id="305" w:name="_Toc109295517"/>
      <w:r w:rsidRPr="001D7F4A">
        <w:lastRenderedPageBreak/>
        <w:t>Special Contract Provisions Related to Payment</w:t>
      </w:r>
      <w:bookmarkEnd w:id="304"/>
      <w:bookmarkEnd w:id="305"/>
    </w:p>
    <w:p w14:paraId="3AF8B3E9" w14:textId="4E43D1AD" w:rsidR="00CE2634" w:rsidRPr="00D705D5" w:rsidRDefault="00CE2634" w:rsidP="005570C2">
      <w:pPr>
        <w:pStyle w:val="Heading3"/>
        <w:numPr>
          <w:ilvl w:val="1"/>
          <w:numId w:val="25"/>
        </w:numPr>
      </w:pPr>
      <w:bookmarkStart w:id="306" w:name="_Toc484701218"/>
      <w:bookmarkStart w:id="307" w:name="_Toc504389064"/>
      <w:bookmarkStart w:id="308" w:name="_Toc8985024"/>
      <w:bookmarkStart w:id="309" w:name="_Toc109295518"/>
      <w:r w:rsidRPr="00D705D5">
        <w:t>Incentive Arrangements</w:t>
      </w:r>
      <w:bookmarkEnd w:id="306"/>
      <w:bookmarkEnd w:id="307"/>
      <w:bookmarkEnd w:id="308"/>
      <w:bookmarkEnd w:id="309"/>
    </w:p>
    <w:p w14:paraId="721AD2D3" w14:textId="0238C1E6" w:rsidR="00CE2634" w:rsidRPr="009B069E" w:rsidRDefault="00CE2634" w:rsidP="007822CB">
      <w:pPr>
        <w:pStyle w:val="Heading4"/>
      </w:pPr>
      <w:bookmarkStart w:id="310" w:name="_Toc484701219"/>
      <w:bookmarkStart w:id="311" w:name="_Toc504389065"/>
      <w:bookmarkStart w:id="312" w:name="_Toc8985025"/>
      <w:bookmarkStart w:id="313" w:name="_Toc109295519"/>
      <w:r w:rsidRPr="009B069E">
        <w:t xml:space="preserve">Rate </w:t>
      </w:r>
      <w:r w:rsidR="00657114">
        <w:t>d</w:t>
      </w:r>
      <w:r w:rsidR="00657114" w:rsidRPr="009B069E">
        <w:t xml:space="preserve">evelopment </w:t>
      </w:r>
      <w:bookmarkEnd w:id="310"/>
      <w:bookmarkEnd w:id="311"/>
      <w:bookmarkEnd w:id="312"/>
      <w:r w:rsidR="00657114">
        <w:t>s</w:t>
      </w:r>
      <w:r w:rsidR="00657114" w:rsidRPr="009B069E">
        <w:t>tandards</w:t>
      </w:r>
      <w:bookmarkEnd w:id="313"/>
    </w:p>
    <w:p w14:paraId="1B8EAADC" w14:textId="160B2038" w:rsidR="00ED4D7B" w:rsidRPr="006B47C8" w:rsidRDefault="00ED4D7B" w:rsidP="00ED4D7B">
      <w:pPr>
        <w:pStyle w:val="RRBody"/>
      </w:pPr>
      <w:bookmarkStart w:id="314" w:name="_Toc484701220"/>
      <w:bookmarkStart w:id="315" w:name="_Toc504389066"/>
      <w:r>
        <w:t xml:space="preserve">There are no incentive arrangements reflected in the </w:t>
      </w:r>
      <w:r w:rsidR="00566B81">
        <w:t xml:space="preserve">SFY </w:t>
      </w:r>
      <w:r w:rsidR="00BB76B1">
        <w:t xml:space="preserve">2023 </w:t>
      </w:r>
      <w:r>
        <w:t>capitation rates.</w:t>
      </w:r>
    </w:p>
    <w:p w14:paraId="29916685" w14:textId="43DFC754" w:rsidR="00CE2634" w:rsidRPr="009B069E" w:rsidRDefault="00CE2634" w:rsidP="0003230F">
      <w:pPr>
        <w:pStyle w:val="Heading4"/>
      </w:pPr>
      <w:bookmarkStart w:id="316" w:name="_Toc8985026"/>
      <w:bookmarkStart w:id="317" w:name="_Toc109295520"/>
      <w:r w:rsidRPr="009B069E">
        <w:t xml:space="preserve">Appropriate </w:t>
      </w:r>
      <w:bookmarkEnd w:id="314"/>
      <w:bookmarkEnd w:id="315"/>
      <w:bookmarkEnd w:id="316"/>
      <w:r w:rsidR="00657114">
        <w:t>d</w:t>
      </w:r>
      <w:r w:rsidR="00657114" w:rsidRPr="009B069E">
        <w:t>ocumentation</w:t>
      </w:r>
      <w:bookmarkEnd w:id="317"/>
      <w:r w:rsidR="00657114" w:rsidRPr="009B069E">
        <w:t xml:space="preserve"> </w:t>
      </w:r>
    </w:p>
    <w:p w14:paraId="045388B2" w14:textId="4BE37434" w:rsidR="00ED4D7B" w:rsidRPr="006B47C8" w:rsidRDefault="00ED4D7B" w:rsidP="00ED4D7B">
      <w:pPr>
        <w:pStyle w:val="RRBody"/>
      </w:pPr>
      <w:bookmarkStart w:id="318" w:name="_Toc484701221"/>
      <w:bookmarkStart w:id="319" w:name="_Toc504389067"/>
      <w:r>
        <w:t xml:space="preserve">There are no incentive arrangements reflected in the </w:t>
      </w:r>
      <w:r w:rsidR="00566B81">
        <w:t xml:space="preserve">SFY </w:t>
      </w:r>
      <w:r w:rsidR="00BB76B1">
        <w:t xml:space="preserve">2023 </w:t>
      </w:r>
      <w:r>
        <w:t>capitation rates.</w:t>
      </w:r>
    </w:p>
    <w:p w14:paraId="6725C517" w14:textId="5DAF4255" w:rsidR="00CE2634" w:rsidRPr="00D705D5" w:rsidRDefault="00CE2634" w:rsidP="0003230F">
      <w:pPr>
        <w:pStyle w:val="Heading3"/>
      </w:pPr>
      <w:bookmarkStart w:id="320" w:name="_Toc8985027"/>
      <w:bookmarkStart w:id="321" w:name="_Toc109295521"/>
      <w:r w:rsidRPr="00D705D5">
        <w:t>Withhold Arrangements</w:t>
      </w:r>
      <w:bookmarkEnd w:id="318"/>
      <w:bookmarkEnd w:id="319"/>
      <w:bookmarkEnd w:id="320"/>
      <w:bookmarkEnd w:id="321"/>
    </w:p>
    <w:p w14:paraId="2F0703A2" w14:textId="0E40965F" w:rsidR="00CE2634" w:rsidRPr="009B069E" w:rsidRDefault="00CE2634" w:rsidP="0003230F">
      <w:pPr>
        <w:pStyle w:val="Heading4"/>
      </w:pPr>
      <w:bookmarkStart w:id="322" w:name="_Toc484701222"/>
      <w:bookmarkStart w:id="323" w:name="_Toc504389068"/>
      <w:bookmarkStart w:id="324" w:name="_Toc8985028"/>
      <w:bookmarkStart w:id="325" w:name="_Toc109295522"/>
      <w:r w:rsidRPr="009B069E">
        <w:t xml:space="preserve">Rate </w:t>
      </w:r>
      <w:r w:rsidR="00657114">
        <w:t>d</w:t>
      </w:r>
      <w:r w:rsidR="00657114" w:rsidRPr="009B069E">
        <w:t xml:space="preserve">evelopment </w:t>
      </w:r>
      <w:bookmarkEnd w:id="322"/>
      <w:bookmarkEnd w:id="323"/>
      <w:bookmarkEnd w:id="324"/>
      <w:r w:rsidR="00657114">
        <w:t>s</w:t>
      </w:r>
      <w:r w:rsidR="00657114" w:rsidRPr="009B069E">
        <w:t>tandards</w:t>
      </w:r>
      <w:bookmarkEnd w:id="325"/>
    </w:p>
    <w:p w14:paraId="3B23367E" w14:textId="4A2815D1" w:rsidR="00131B55" w:rsidRPr="00933BDB" w:rsidRDefault="005F3F4E" w:rsidP="00210B59">
      <w:pPr>
        <w:pStyle w:val="RRBody"/>
      </w:pPr>
      <w:bookmarkStart w:id="326" w:name="_Toc484701223"/>
      <w:bookmarkStart w:id="327" w:name="_Toc504389069"/>
      <w:r>
        <w:t xml:space="preserve">This section provides documentation of the withhold arrangement in the </w:t>
      </w:r>
      <w:r w:rsidR="00F172A5">
        <w:t>MMP</w:t>
      </w:r>
      <w:r>
        <w:t xml:space="preserve"> program</w:t>
      </w:r>
      <w:r w:rsidR="00131B55" w:rsidRPr="00933BDB">
        <w:t>.</w:t>
      </w:r>
      <w:r w:rsidR="005178EA">
        <w:t xml:space="preserve"> </w:t>
      </w:r>
    </w:p>
    <w:p w14:paraId="50EE550B" w14:textId="09482611" w:rsidR="00CE2634" w:rsidRPr="009B069E" w:rsidRDefault="00CE2634" w:rsidP="0003230F">
      <w:pPr>
        <w:pStyle w:val="Heading4"/>
      </w:pPr>
      <w:bookmarkStart w:id="328" w:name="_Toc8985029"/>
      <w:bookmarkStart w:id="329" w:name="_Toc109295523"/>
      <w:r w:rsidRPr="009B069E">
        <w:t xml:space="preserve">Appropriate </w:t>
      </w:r>
      <w:bookmarkEnd w:id="326"/>
      <w:bookmarkEnd w:id="327"/>
      <w:bookmarkEnd w:id="328"/>
      <w:r w:rsidR="00657114">
        <w:t>d</w:t>
      </w:r>
      <w:r w:rsidR="00657114" w:rsidRPr="009B069E">
        <w:t>ocumentation</w:t>
      </w:r>
      <w:bookmarkEnd w:id="329"/>
      <w:r w:rsidR="00657114" w:rsidRPr="009B069E">
        <w:t xml:space="preserve"> </w:t>
      </w:r>
    </w:p>
    <w:p w14:paraId="62415598" w14:textId="0C5E7A4A" w:rsidR="00CE2634" w:rsidRPr="005055F5" w:rsidRDefault="00CE2634" w:rsidP="0003230F">
      <w:pPr>
        <w:pStyle w:val="Heading5"/>
      </w:pPr>
      <w:bookmarkStart w:id="330" w:name="_Toc484701224"/>
      <w:bookmarkStart w:id="331" w:name="_Toc504389070"/>
      <w:r w:rsidRPr="005055F5">
        <w:t xml:space="preserve">Description of the </w:t>
      </w:r>
      <w:r w:rsidR="0095444C">
        <w:t>w</w:t>
      </w:r>
      <w:r w:rsidRPr="005055F5">
        <w:t xml:space="preserve">ithhold </w:t>
      </w:r>
      <w:r w:rsidR="0095444C">
        <w:t>a</w:t>
      </w:r>
      <w:r w:rsidRPr="005055F5">
        <w:t>rrangement</w:t>
      </w:r>
      <w:bookmarkEnd w:id="330"/>
      <w:bookmarkEnd w:id="331"/>
    </w:p>
    <w:p w14:paraId="7F7D96CF" w14:textId="4A90766A" w:rsidR="00CE2634" w:rsidRPr="005055F5" w:rsidRDefault="00CE2634">
      <w:pPr>
        <w:pStyle w:val="Heading6"/>
        <w:numPr>
          <w:ilvl w:val="0"/>
          <w:numId w:val="26"/>
        </w:numPr>
      </w:pPr>
      <w:bookmarkStart w:id="332" w:name="_Toc484701225"/>
      <w:bookmarkStart w:id="333" w:name="_Toc504389071"/>
      <w:r w:rsidRPr="005055F5">
        <w:t xml:space="preserve">Time period </w:t>
      </w:r>
      <w:bookmarkEnd w:id="332"/>
      <w:bookmarkEnd w:id="333"/>
    </w:p>
    <w:p w14:paraId="100F874D" w14:textId="1F862B7F" w:rsidR="00131B55" w:rsidRPr="00BA6022" w:rsidRDefault="0068292A" w:rsidP="00210B59">
      <w:pPr>
        <w:pStyle w:val="RRBody"/>
      </w:pPr>
      <w:bookmarkStart w:id="334" w:name="_Toc484701226"/>
      <w:bookmarkStart w:id="335" w:name="_Toc504389072"/>
      <w:r w:rsidRPr="0068292A">
        <w:t xml:space="preserve">The </w:t>
      </w:r>
      <w:r w:rsidR="00B507B6">
        <w:t>w</w:t>
      </w:r>
      <w:r w:rsidR="00926E16">
        <w:t>ithhold</w:t>
      </w:r>
      <w:r w:rsidRPr="0068292A">
        <w:t xml:space="preserve"> </w:t>
      </w:r>
      <w:r w:rsidR="003558F9">
        <w:t xml:space="preserve">is effective for the </w:t>
      </w:r>
      <w:r w:rsidR="00881C19">
        <w:t xml:space="preserve">SFY </w:t>
      </w:r>
      <w:r w:rsidR="00BB76B1">
        <w:t xml:space="preserve">2023 </w:t>
      </w:r>
      <w:r w:rsidR="003558F9">
        <w:t>rating period</w:t>
      </w:r>
      <w:r w:rsidRPr="0068292A">
        <w:t xml:space="preserve">. </w:t>
      </w:r>
    </w:p>
    <w:bookmarkEnd w:id="334"/>
    <w:bookmarkEnd w:id="335"/>
    <w:p w14:paraId="3EC65171" w14:textId="2F3F6C48" w:rsidR="00CE2634" w:rsidRPr="005055F5" w:rsidRDefault="009F12DE">
      <w:pPr>
        <w:pStyle w:val="Heading6"/>
      </w:pPr>
      <w:r>
        <w:t>Enrollees, services, and providers covered by the withhold arrangement</w:t>
      </w:r>
    </w:p>
    <w:p w14:paraId="4CAB7194" w14:textId="418D222C" w:rsidR="00B85B84" w:rsidRDefault="009F12DE" w:rsidP="00C95E6F">
      <w:pPr>
        <w:pStyle w:val="RRBody"/>
      </w:pPr>
      <w:bookmarkStart w:id="336" w:name="_Toc484701227"/>
      <w:bookmarkStart w:id="337" w:name="_Toc504389073"/>
      <w:r>
        <w:t>All rate cells are covered by the withhold arrangement, which is applied to the total capitation rate.</w:t>
      </w:r>
    </w:p>
    <w:p w14:paraId="57D440F8" w14:textId="167E4005" w:rsidR="00490405" w:rsidRDefault="00490405">
      <w:pPr>
        <w:pStyle w:val="Heading6"/>
      </w:pPr>
      <w:r w:rsidRPr="00490405">
        <w:t>Purpose</w:t>
      </w:r>
    </w:p>
    <w:p w14:paraId="229F4FDD" w14:textId="0DD2B8C8" w:rsidR="009F12DE" w:rsidRPr="00E516A3" w:rsidRDefault="009F12DE" w:rsidP="009F12DE">
      <w:r>
        <w:t xml:space="preserve">The quality withhold ensures that dually eligible individuals receive high quality care and </w:t>
      </w:r>
      <w:r w:rsidR="00172869">
        <w:t xml:space="preserve">incentivizes </w:t>
      </w:r>
      <w:r>
        <w:t>quality improvement</w:t>
      </w:r>
      <w:r w:rsidRPr="00490405">
        <w:t>.</w:t>
      </w:r>
      <w:r>
        <w:t xml:space="preserve"> The participating MCO is eligible for repayment of the withheld amounts subject to performance on a combination of CMS Core and State-Specific quality withhold measures. </w:t>
      </w:r>
    </w:p>
    <w:p w14:paraId="07F8454F" w14:textId="77777777" w:rsidR="009F12DE" w:rsidRPr="005055F5" w:rsidRDefault="009F12DE">
      <w:pPr>
        <w:pStyle w:val="Heading6"/>
      </w:pPr>
      <w:r w:rsidRPr="005055F5">
        <w:t>Description of total percentage withheld</w:t>
      </w:r>
    </w:p>
    <w:bookmarkEnd w:id="336"/>
    <w:bookmarkEnd w:id="337"/>
    <w:p w14:paraId="6A6B5A4F" w14:textId="646E7CA2" w:rsidR="009F12DE" w:rsidRDefault="009F12DE" w:rsidP="009F12DE">
      <w:pPr>
        <w:pStyle w:val="RRBody"/>
      </w:pPr>
      <w:r>
        <w:t xml:space="preserve">The withhold is 4.0% in both Demonstration Year </w:t>
      </w:r>
      <w:r w:rsidR="00BB76B1">
        <w:t xml:space="preserve">6 </w:t>
      </w:r>
      <w:r>
        <w:t xml:space="preserve">(calendar year </w:t>
      </w:r>
      <w:r w:rsidR="00BB76B1">
        <w:t>2022</w:t>
      </w:r>
      <w:r>
        <w:t xml:space="preserve">) </w:t>
      </w:r>
      <w:r w:rsidRPr="002E4924">
        <w:t xml:space="preserve">Demonstration Year </w:t>
      </w:r>
      <w:r w:rsidR="00BB76B1">
        <w:t>7</w:t>
      </w:r>
      <w:r w:rsidR="00BB76B1" w:rsidRPr="006F1324">
        <w:t xml:space="preserve"> </w:t>
      </w:r>
      <w:r w:rsidRPr="006F1324">
        <w:t xml:space="preserve">(calendar year </w:t>
      </w:r>
      <w:r w:rsidR="00BB76B1" w:rsidRPr="002E4924">
        <w:t>202</w:t>
      </w:r>
      <w:r w:rsidR="00BB76B1">
        <w:t>3</w:t>
      </w:r>
      <w:r w:rsidRPr="006F1324">
        <w:t>).</w:t>
      </w:r>
      <w:r>
        <w:t xml:space="preserve"> The withhold may be earned upon meeting certain quality measures as specified in the three-way contract. </w:t>
      </w:r>
    </w:p>
    <w:p w14:paraId="76038862" w14:textId="77777777" w:rsidR="009F12DE" w:rsidRDefault="009F12DE">
      <w:pPr>
        <w:pStyle w:val="Heading6"/>
      </w:pPr>
      <w:r w:rsidRPr="005055F5">
        <w:t>Estimate of percent to be returned</w:t>
      </w:r>
    </w:p>
    <w:p w14:paraId="1F35162E" w14:textId="3D4BDA30" w:rsidR="00870C68" w:rsidRPr="00C95E6F" w:rsidRDefault="00834C00" w:rsidP="00210B59">
      <w:pPr>
        <w:pStyle w:val="RRBody"/>
      </w:pPr>
      <w:r>
        <w:t>We reviewed the</w:t>
      </w:r>
      <w:r w:rsidR="00D12C61">
        <w:t xml:space="preserve"> withhold return for</w:t>
      </w:r>
      <w:r>
        <w:t xml:space="preserve"> Demonstration Year 1</w:t>
      </w:r>
      <w:r w:rsidR="005869CA" w:rsidRPr="00C95E6F">
        <w:rPr>
          <w:vertAlign w:val="superscript"/>
        </w:rPr>
        <w:footnoteReference w:id="6"/>
      </w:r>
      <w:r w:rsidRPr="00834C00">
        <w:t xml:space="preserve"> </w:t>
      </w:r>
      <w:r>
        <w:t>, Demonstration Year 2</w:t>
      </w:r>
      <w:r>
        <w:rPr>
          <w:rStyle w:val="FootnoteReference"/>
        </w:rPr>
        <w:footnoteReference w:id="7"/>
      </w:r>
      <w:r>
        <w:t>, Demonstration Year 3</w:t>
      </w:r>
      <w:r w:rsidR="00C977D2">
        <w:rPr>
          <w:rStyle w:val="FootnoteReference"/>
        </w:rPr>
        <w:footnoteReference w:id="8"/>
      </w:r>
      <w:r>
        <w:t xml:space="preserve">, </w:t>
      </w:r>
      <w:r w:rsidR="00C977D2">
        <w:t>Demonstration Year 4</w:t>
      </w:r>
      <w:r w:rsidR="00C977D2">
        <w:rPr>
          <w:rStyle w:val="FootnoteReference"/>
        </w:rPr>
        <w:footnoteReference w:id="9"/>
      </w:r>
      <w:r w:rsidR="00C977D2">
        <w:t xml:space="preserve">, </w:t>
      </w:r>
      <w:r>
        <w:t xml:space="preserve">and information provided by EOHHS on the </w:t>
      </w:r>
      <w:r w:rsidR="00F81A90">
        <w:t>expectation</w:t>
      </w:r>
      <w:r>
        <w:t xml:space="preserve"> of withhold return in Demonstration Year </w:t>
      </w:r>
      <w:r w:rsidR="00BB76B1">
        <w:t xml:space="preserve">6 </w:t>
      </w:r>
      <w:r>
        <w:t xml:space="preserve">and Demonstration Year </w:t>
      </w:r>
      <w:r w:rsidR="00BB76B1">
        <w:t>7</w:t>
      </w:r>
      <w:r>
        <w:t>. Based on this review</w:t>
      </w:r>
      <w:r w:rsidR="00667A1C">
        <w:t xml:space="preserve"> and discussions with EOHHS</w:t>
      </w:r>
      <w:r w:rsidR="00C95E6F" w:rsidRPr="00C95E6F">
        <w:t>, we believe that a full withhold return is attainable</w:t>
      </w:r>
      <w:r w:rsidR="00881C19">
        <w:t xml:space="preserve"> in Demonstration Year </w:t>
      </w:r>
      <w:r w:rsidR="00BB76B1">
        <w:t xml:space="preserve">6 </w:t>
      </w:r>
      <w:r w:rsidR="00881C19">
        <w:t xml:space="preserve">and Demonstration Year </w:t>
      </w:r>
      <w:r w:rsidR="00BB76B1">
        <w:t>7</w:t>
      </w:r>
      <w:r w:rsidR="00C95E6F" w:rsidRPr="00C95E6F">
        <w:t>.</w:t>
      </w:r>
      <w:r w:rsidR="005178EA">
        <w:t xml:space="preserve"> </w:t>
      </w:r>
    </w:p>
    <w:p w14:paraId="52A0ADDD" w14:textId="77777777" w:rsidR="00CE2634" w:rsidRPr="005055F5" w:rsidRDefault="00CE2634">
      <w:pPr>
        <w:pStyle w:val="Heading6"/>
      </w:pPr>
      <w:bookmarkStart w:id="338" w:name="_Toc484701228"/>
      <w:bookmarkStart w:id="339" w:name="_Toc504389074"/>
      <w:r w:rsidRPr="005055F5">
        <w:t>Reasonableness of withhold arrangement</w:t>
      </w:r>
      <w:bookmarkEnd w:id="338"/>
      <w:bookmarkEnd w:id="339"/>
    </w:p>
    <w:p w14:paraId="60A9780C" w14:textId="4B320691" w:rsidR="00DF59F3" w:rsidRDefault="00377BAF" w:rsidP="005869CA">
      <w:pPr>
        <w:pStyle w:val="RRBody"/>
      </w:pPr>
      <w:bookmarkStart w:id="340" w:name="_Toc484701229"/>
      <w:bookmarkStart w:id="341" w:name="_Toc504389075"/>
      <w:r w:rsidRPr="00377BAF">
        <w:t>Our review of th</w:t>
      </w:r>
      <w:r>
        <w:t xml:space="preserve">e total withhold percentage of </w:t>
      </w:r>
      <w:r w:rsidR="00490405">
        <w:t>4</w:t>
      </w:r>
      <w:r w:rsidR="00794DD2">
        <w:t>.0</w:t>
      </w:r>
      <w:r w:rsidRPr="00377BAF">
        <w:t>% of capitation revenue indicates that it is reasonable within the context of the capitation rate development and the magnitude of the withhold does not have</w:t>
      </w:r>
      <w:r>
        <w:t xml:space="preserve"> a detrimental impact on the </w:t>
      </w:r>
      <w:r w:rsidR="00802C09">
        <w:t>MCO’s</w:t>
      </w:r>
      <w:r w:rsidR="00802C09" w:rsidRPr="00377BAF">
        <w:t xml:space="preserve"> </w:t>
      </w:r>
      <w:r w:rsidRPr="00377BAF">
        <w:t>financial operating needs and capital reserves. Our interpretation of financial operating needs relates to cash flow needs for the MC</w:t>
      </w:r>
      <w:r>
        <w:t>O</w:t>
      </w:r>
      <w:r w:rsidRPr="00377BAF">
        <w:t xml:space="preserve"> to pay claims and administer benefits. We evaluated the reasonableness of the withhold within this context by reviewing cash available to cover operating expenses, as well as the capitation rate payment mechanism utilized by </w:t>
      </w:r>
      <w:r>
        <w:t>EOHHS</w:t>
      </w:r>
      <w:r w:rsidRPr="00377BAF">
        <w:t>.</w:t>
      </w:r>
    </w:p>
    <w:p w14:paraId="5932D5B2" w14:textId="77777777" w:rsidR="0010575C" w:rsidRDefault="0010575C" w:rsidP="005869CA">
      <w:pPr>
        <w:pStyle w:val="RRBody"/>
      </w:pPr>
    </w:p>
    <w:p w14:paraId="633FDA1F" w14:textId="61E9254F" w:rsidR="00CE2634" w:rsidRPr="005055F5" w:rsidRDefault="00CE2634">
      <w:pPr>
        <w:pStyle w:val="Heading6"/>
      </w:pPr>
      <w:r w:rsidRPr="005055F5">
        <w:t>Effect on the capitation rates</w:t>
      </w:r>
      <w:bookmarkEnd w:id="340"/>
      <w:bookmarkEnd w:id="341"/>
    </w:p>
    <w:p w14:paraId="73AD15DE" w14:textId="287EF838" w:rsidR="00816BFF" w:rsidRPr="00541C09" w:rsidRDefault="00802C09" w:rsidP="00816BFF">
      <w:pPr>
        <w:pStyle w:val="RRBody"/>
        <w:rPr>
          <w:rFonts w:cstheme="minorHAnsi"/>
          <w:szCs w:val="18"/>
        </w:rPr>
      </w:pPr>
      <w:r>
        <w:t>No explicit adjustment was made to the capitation rates to reflect the impact of the withhold</w:t>
      </w:r>
      <w:r w:rsidR="00377BAF" w:rsidRPr="00377BAF">
        <w:t>.</w:t>
      </w:r>
    </w:p>
    <w:p w14:paraId="4184F6AB" w14:textId="6B0E1C9F" w:rsidR="0003230F" w:rsidRDefault="00617126" w:rsidP="0003230F">
      <w:pPr>
        <w:pStyle w:val="Heading5"/>
      </w:pPr>
      <w:r>
        <w:t>Rate certification consideration of withhold</w:t>
      </w:r>
    </w:p>
    <w:p w14:paraId="7C967B44" w14:textId="195B58FA" w:rsidR="00617126" w:rsidRPr="00541C09" w:rsidRDefault="00377BAF" w:rsidP="00617126">
      <w:pPr>
        <w:pStyle w:val="RRBody"/>
        <w:rPr>
          <w:rFonts w:cstheme="minorHAnsi"/>
          <w:szCs w:val="18"/>
        </w:rPr>
      </w:pPr>
      <w:bookmarkStart w:id="342" w:name="_Toc484701230"/>
      <w:bookmarkStart w:id="343" w:name="_Toc504389076"/>
      <w:bookmarkStart w:id="344" w:name="_Toc8985030"/>
      <w:r>
        <w:t xml:space="preserve">The </w:t>
      </w:r>
      <w:r w:rsidR="00794328">
        <w:t xml:space="preserve">actuarial </w:t>
      </w:r>
      <w:r>
        <w:t xml:space="preserve">rate certification </w:t>
      </w:r>
      <w:r w:rsidR="00794328">
        <w:t xml:space="preserve">includes </w:t>
      </w:r>
      <w:r>
        <w:t xml:space="preserve">consideration for the withhold </w:t>
      </w:r>
      <w:r w:rsidR="00794328">
        <w:t xml:space="preserve">and </w:t>
      </w:r>
      <w:r>
        <w:t>is included in Appendix 1.</w:t>
      </w:r>
    </w:p>
    <w:p w14:paraId="52169632" w14:textId="57E16C40" w:rsidR="00CE2634" w:rsidRPr="00D705D5" w:rsidRDefault="00CE2634" w:rsidP="0003230F">
      <w:pPr>
        <w:pStyle w:val="Heading3"/>
      </w:pPr>
      <w:bookmarkStart w:id="345" w:name="_Toc109295524"/>
      <w:r w:rsidRPr="00D705D5">
        <w:t>Risk Sharing Mechanisms</w:t>
      </w:r>
      <w:bookmarkEnd w:id="342"/>
      <w:bookmarkEnd w:id="343"/>
      <w:bookmarkEnd w:id="344"/>
      <w:bookmarkEnd w:id="345"/>
    </w:p>
    <w:p w14:paraId="478CD94D" w14:textId="6F4ECE81" w:rsidR="00CE2634" w:rsidRPr="009B069E" w:rsidRDefault="00CE2634" w:rsidP="0003230F">
      <w:pPr>
        <w:pStyle w:val="Heading4"/>
      </w:pPr>
      <w:bookmarkStart w:id="346" w:name="_Toc484701231"/>
      <w:bookmarkStart w:id="347" w:name="_Toc504389077"/>
      <w:bookmarkStart w:id="348" w:name="_Toc8985031"/>
      <w:bookmarkStart w:id="349" w:name="_Toc109295525"/>
      <w:r w:rsidRPr="009B069E">
        <w:t xml:space="preserve">Rate </w:t>
      </w:r>
      <w:r w:rsidR="00657114">
        <w:t>d</w:t>
      </w:r>
      <w:r w:rsidR="00657114" w:rsidRPr="009B069E">
        <w:t xml:space="preserve">evelopment </w:t>
      </w:r>
      <w:bookmarkEnd w:id="346"/>
      <w:bookmarkEnd w:id="347"/>
      <w:bookmarkEnd w:id="348"/>
      <w:r w:rsidR="00657114">
        <w:t>s</w:t>
      </w:r>
      <w:r w:rsidR="00657114" w:rsidRPr="009B069E">
        <w:t>tandards</w:t>
      </w:r>
      <w:bookmarkEnd w:id="349"/>
    </w:p>
    <w:p w14:paraId="01793059" w14:textId="5B8E10BF" w:rsidR="00FD3AF4" w:rsidRDefault="00CE2634" w:rsidP="00210B59">
      <w:r w:rsidRPr="00541C09">
        <w:t xml:space="preserve">This </w:t>
      </w:r>
      <w:r w:rsidR="00D84E66" w:rsidRPr="00D84E66">
        <w:t xml:space="preserve">section provides documentation of the risk-sharing mechanisms in the </w:t>
      </w:r>
      <w:r w:rsidR="00F172A5">
        <w:t>MMP</w:t>
      </w:r>
      <w:r w:rsidR="00D84E66" w:rsidRPr="00D84E66">
        <w:t xml:space="preserve"> program</w:t>
      </w:r>
      <w:r w:rsidRPr="00541C09">
        <w:t>.</w:t>
      </w:r>
      <w:bookmarkStart w:id="350" w:name="_Toc484701232"/>
      <w:bookmarkStart w:id="351" w:name="_Toc504389078"/>
    </w:p>
    <w:p w14:paraId="214083DA" w14:textId="4A01F2CC" w:rsidR="00CE2634" w:rsidRPr="009B069E" w:rsidRDefault="00FD3AF4" w:rsidP="0003230F">
      <w:pPr>
        <w:pStyle w:val="Heading4"/>
      </w:pPr>
      <w:bookmarkStart w:id="352" w:name="_Toc8985032"/>
      <w:bookmarkStart w:id="353" w:name="_Toc109295526"/>
      <w:r>
        <w:t xml:space="preserve">Appropriate </w:t>
      </w:r>
      <w:bookmarkEnd w:id="350"/>
      <w:bookmarkEnd w:id="351"/>
      <w:bookmarkEnd w:id="352"/>
      <w:r w:rsidR="00657114">
        <w:t>documentation</w:t>
      </w:r>
      <w:bookmarkEnd w:id="353"/>
    </w:p>
    <w:p w14:paraId="430EFA8B" w14:textId="05211BEB" w:rsidR="00CE2634" w:rsidRDefault="00CE2634" w:rsidP="0003230F">
      <w:pPr>
        <w:pStyle w:val="Heading5"/>
      </w:pPr>
      <w:bookmarkStart w:id="354" w:name="_Toc484701233"/>
      <w:bookmarkStart w:id="355" w:name="_Toc504389079"/>
      <w:r w:rsidRPr="005055F5">
        <w:t xml:space="preserve">Description of </w:t>
      </w:r>
      <w:r w:rsidR="0095444C">
        <w:t>r</w:t>
      </w:r>
      <w:r w:rsidRPr="005055F5">
        <w:t xml:space="preserve">isk-sharing </w:t>
      </w:r>
      <w:r w:rsidR="0095444C">
        <w:t>m</w:t>
      </w:r>
      <w:r w:rsidRPr="005055F5">
        <w:t>echanism</w:t>
      </w:r>
      <w:bookmarkEnd w:id="354"/>
      <w:bookmarkEnd w:id="355"/>
    </w:p>
    <w:p w14:paraId="4EE9E3C5" w14:textId="35FC42F8" w:rsidR="0064325A" w:rsidRDefault="0064325A" w:rsidP="0064325A">
      <w:r>
        <w:t xml:space="preserve">The </w:t>
      </w:r>
      <w:r w:rsidR="00F172A5">
        <w:t>MMP</w:t>
      </w:r>
      <w:r w:rsidR="00CA7945">
        <w:t xml:space="preserve"> program </w:t>
      </w:r>
      <w:r w:rsidR="00C108C1">
        <w:t xml:space="preserve">does not </w:t>
      </w:r>
      <w:r w:rsidR="00CA7945">
        <w:t xml:space="preserve">include a risk corridor in Demonstration Year </w:t>
      </w:r>
      <w:r w:rsidR="00D13E9D">
        <w:t xml:space="preserve">6 </w:t>
      </w:r>
      <w:r w:rsidR="00204443">
        <w:t xml:space="preserve">or Demonstration Year </w:t>
      </w:r>
      <w:r w:rsidR="00D13E9D">
        <w:t>7</w:t>
      </w:r>
      <w:r>
        <w:t>.</w:t>
      </w:r>
    </w:p>
    <w:p w14:paraId="4EAA11A7" w14:textId="46021239" w:rsidR="00CE2634" w:rsidRPr="005055F5" w:rsidRDefault="00CE2634" w:rsidP="0003230F">
      <w:pPr>
        <w:pStyle w:val="Heading5"/>
      </w:pPr>
      <w:bookmarkStart w:id="356" w:name="_Toc504389080"/>
      <w:bookmarkStart w:id="357" w:name="_Toc484701235"/>
      <w:r w:rsidRPr="005055F5">
        <w:t xml:space="preserve">Medical </w:t>
      </w:r>
      <w:r w:rsidR="0095444C">
        <w:t>l</w:t>
      </w:r>
      <w:r w:rsidRPr="005055F5">
        <w:t xml:space="preserve">oss </w:t>
      </w:r>
      <w:r w:rsidR="0095444C">
        <w:t>r</w:t>
      </w:r>
      <w:r w:rsidRPr="005055F5">
        <w:t>atio</w:t>
      </w:r>
      <w:bookmarkEnd w:id="356"/>
    </w:p>
    <w:bookmarkEnd w:id="357"/>
    <w:p w14:paraId="6D7409D5" w14:textId="77777777" w:rsidR="00CE2634" w:rsidRPr="005055F5" w:rsidRDefault="0003230F">
      <w:pPr>
        <w:pStyle w:val="Heading6"/>
        <w:numPr>
          <w:ilvl w:val="0"/>
          <w:numId w:val="27"/>
        </w:numPr>
      </w:pPr>
      <w:r>
        <w:t>Methodology</w:t>
      </w:r>
    </w:p>
    <w:p w14:paraId="17AA2C3D" w14:textId="4FC03B2E" w:rsidR="005C52F9" w:rsidRPr="00DE4D33" w:rsidRDefault="00352152" w:rsidP="00210B59">
      <w:pPr>
        <w:pStyle w:val="RRBody"/>
      </w:pPr>
      <w:r>
        <w:t>The medical loss ratio will be calculated as set forth in section 4.3.2 of the three-way contract</w:t>
      </w:r>
      <w:r w:rsidR="005C52F9" w:rsidRPr="00933BDB">
        <w:rPr>
          <w:i/>
        </w:rPr>
        <w:t>.</w:t>
      </w:r>
    </w:p>
    <w:p w14:paraId="766FDD60" w14:textId="77777777" w:rsidR="0003230F" w:rsidRDefault="0003230F">
      <w:pPr>
        <w:pStyle w:val="Heading6"/>
      </w:pPr>
      <w:r>
        <w:t>Formula for Remittance/Payment</w:t>
      </w:r>
    </w:p>
    <w:p w14:paraId="3139E006" w14:textId="09369EBA" w:rsidR="007F73D1" w:rsidRDefault="007F73D1" w:rsidP="0003230F">
      <w:r>
        <w:t xml:space="preserve">The MMP program </w:t>
      </w:r>
      <w:r w:rsidR="00CA7945" w:rsidRPr="00CA7945">
        <w:t xml:space="preserve">has a minimum target medical loss ratio (MLR) </w:t>
      </w:r>
      <w:r w:rsidR="00204443">
        <w:t xml:space="preserve">in Demonstration Year </w:t>
      </w:r>
      <w:r w:rsidR="00D13E9D">
        <w:t xml:space="preserve">6 </w:t>
      </w:r>
      <w:r>
        <w:t xml:space="preserve">and Demonstration Year </w:t>
      </w:r>
      <w:r w:rsidR="00D13E9D">
        <w:t>7</w:t>
      </w:r>
      <w:r w:rsidR="00204443">
        <w:t xml:space="preserve">. </w:t>
      </w:r>
    </w:p>
    <w:p w14:paraId="6FC33EF8" w14:textId="3FC5668C" w:rsidR="005B0232" w:rsidRDefault="005B0232">
      <w:pPr>
        <w:pStyle w:val="ListParagraph"/>
        <w:numPr>
          <w:ilvl w:val="0"/>
          <w:numId w:val="39"/>
        </w:numPr>
      </w:pPr>
      <w:r>
        <w:rPr>
          <w:b/>
          <w:bCs/>
        </w:rPr>
        <w:t>Demonstration Year 6.</w:t>
      </w:r>
      <w:r>
        <w:t xml:space="preserve"> </w:t>
      </w:r>
      <w:r w:rsidR="00117A87">
        <w:t>I</w:t>
      </w:r>
      <w:r w:rsidR="00117A87" w:rsidRPr="00117A87">
        <w:t xml:space="preserve">f </w:t>
      </w:r>
      <w:r w:rsidR="00117A87">
        <w:t>the</w:t>
      </w:r>
      <w:r w:rsidR="00117A87" w:rsidRPr="00117A87">
        <w:t xml:space="preserve"> MLR is </w:t>
      </w:r>
      <w:r w:rsidR="00117A87">
        <w:t>between 85% and</w:t>
      </w:r>
      <w:r w:rsidR="00117A87" w:rsidRPr="00117A87">
        <w:t xml:space="preserve"> 87%, </w:t>
      </w:r>
      <w:r w:rsidR="00AC4F21">
        <w:t>the MCO</w:t>
      </w:r>
      <w:r w:rsidR="00AC4F21" w:rsidRPr="00352152">
        <w:t xml:space="preserve"> </w:t>
      </w:r>
      <w:r w:rsidR="00117A87" w:rsidRPr="00352152">
        <w:t xml:space="preserve">shall refund EOHHS and CMS an amount equal to </w:t>
      </w:r>
      <w:r w:rsidR="00117A87">
        <w:t xml:space="preserve">50% of </w:t>
      </w:r>
      <w:r w:rsidR="00117A87" w:rsidRPr="00352152">
        <w:t xml:space="preserve">the difference between the calculated MLR and </w:t>
      </w:r>
      <w:r w:rsidR="00117A87">
        <w:t xml:space="preserve">87%, </w:t>
      </w:r>
      <w:r w:rsidR="00117A87" w:rsidRPr="00352152">
        <w:t>multiplied by the coverage year revenue</w:t>
      </w:r>
      <w:r w:rsidR="00117A87">
        <w:t>.</w:t>
      </w:r>
      <w:r w:rsidR="00117A87" w:rsidRPr="00117A87">
        <w:t xml:space="preserve"> </w:t>
      </w:r>
      <w:r w:rsidR="00AC4F21">
        <w:t xml:space="preserve">If </w:t>
      </w:r>
      <w:r w:rsidR="00AC4F21" w:rsidRPr="00352152">
        <w:t xml:space="preserve">the MLR is </w:t>
      </w:r>
      <w:r w:rsidR="00AC4F21">
        <w:t>less than 85%, the MCO</w:t>
      </w:r>
      <w:r w:rsidR="00AC4F21" w:rsidDel="00AC4F21">
        <w:t xml:space="preserve"> </w:t>
      </w:r>
      <w:r w:rsidR="00AC4F21" w:rsidRPr="00352152">
        <w:t xml:space="preserve">shall refund EOHHS and CMS an amount equal to </w:t>
      </w:r>
      <w:r w:rsidR="00AC4F21">
        <w:t xml:space="preserve">the difference between the calculated MLR and 85%, plus 1.0%, multiplied by </w:t>
      </w:r>
      <w:r w:rsidR="00AC4F21" w:rsidRPr="00352152">
        <w:t>the coverage year revenue</w:t>
      </w:r>
      <w:r w:rsidR="00117A87">
        <w:t>.</w:t>
      </w:r>
    </w:p>
    <w:p w14:paraId="64ECB66C" w14:textId="179A6C95" w:rsidR="00D13E9D" w:rsidRDefault="00D13E9D" w:rsidP="00D13E9D">
      <w:pPr>
        <w:pStyle w:val="ListParagraph"/>
        <w:numPr>
          <w:ilvl w:val="0"/>
          <w:numId w:val="39"/>
        </w:numPr>
      </w:pPr>
      <w:r w:rsidRPr="005B0232">
        <w:rPr>
          <w:b/>
          <w:bCs/>
        </w:rPr>
        <w:t xml:space="preserve">Demonstration Year </w:t>
      </w:r>
      <w:r>
        <w:rPr>
          <w:b/>
          <w:bCs/>
        </w:rPr>
        <w:t>7</w:t>
      </w:r>
      <w:r w:rsidRPr="005B0232">
        <w:rPr>
          <w:b/>
          <w:bCs/>
        </w:rPr>
        <w:t>.</w:t>
      </w:r>
      <w:r>
        <w:t xml:space="preserve"> If the MLR is between 85% and 88%, the MCO</w:t>
      </w:r>
      <w:r w:rsidRPr="00352152">
        <w:t xml:space="preserve"> shall refund EOHHS and CMS an amount equal to </w:t>
      </w:r>
      <w:r>
        <w:t xml:space="preserve">50% of </w:t>
      </w:r>
      <w:r w:rsidRPr="00352152">
        <w:t xml:space="preserve">the difference between the calculated MLR and </w:t>
      </w:r>
      <w:r>
        <w:t xml:space="preserve">88%, </w:t>
      </w:r>
      <w:r w:rsidRPr="00352152">
        <w:t>multiplied by the coverage year revenue</w:t>
      </w:r>
      <w:r>
        <w:t xml:space="preserve">. If </w:t>
      </w:r>
      <w:r w:rsidRPr="00352152">
        <w:t xml:space="preserve">the MLR is </w:t>
      </w:r>
      <w:r>
        <w:t>less than 85%, the MCO</w:t>
      </w:r>
      <w:r w:rsidDel="00AC4F21">
        <w:t xml:space="preserve"> </w:t>
      </w:r>
      <w:r w:rsidRPr="00352152">
        <w:t xml:space="preserve">shall refund EOHHS and CMS an amount equal to </w:t>
      </w:r>
      <w:r>
        <w:t xml:space="preserve">the difference between the calculated MLR and 85%, plus 1.5%, multiplied by </w:t>
      </w:r>
      <w:r w:rsidRPr="00352152">
        <w:t>the coverage year revenue</w:t>
      </w:r>
      <w:r>
        <w:t xml:space="preserve">. </w:t>
      </w:r>
    </w:p>
    <w:p w14:paraId="783FD4A3" w14:textId="3D8800D7" w:rsidR="005C52F9" w:rsidRPr="005055F5" w:rsidRDefault="005C52F9">
      <w:pPr>
        <w:pStyle w:val="Heading6"/>
      </w:pPr>
      <w:r>
        <w:t>Financial consequences</w:t>
      </w:r>
    </w:p>
    <w:p w14:paraId="43CD7025" w14:textId="4AF3B360" w:rsidR="005C52F9" w:rsidRDefault="00352152" w:rsidP="00210B59">
      <w:pPr>
        <w:pStyle w:val="RRBody"/>
      </w:pPr>
      <w:r>
        <w:t>As described above, a remittance will be due to EOHHS and CMS if the MLR is less than the minimum threshold</w:t>
      </w:r>
      <w:r w:rsidR="005C52F9" w:rsidRPr="00933BDB">
        <w:t>.</w:t>
      </w:r>
    </w:p>
    <w:p w14:paraId="3B5409E4" w14:textId="2146950C" w:rsidR="00CE2634" w:rsidRPr="005055F5" w:rsidRDefault="00CE2634" w:rsidP="0003230F">
      <w:pPr>
        <w:pStyle w:val="Heading5"/>
      </w:pPr>
      <w:bookmarkStart w:id="358" w:name="_Toc484701237"/>
      <w:bookmarkStart w:id="359" w:name="_Toc504389082"/>
      <w:r w:rsidRPr="005055F5">
        <w:t xml:space="preserve">Reinsurance </w:t>
      </w:r>
      <w:r w:rsidR="009E094D">
        <w:t>r</w:t>
      </w:r>
      <w:r w:rsidRPr="005055F5">
        <w:t xml:space="preserve">equirements and </w:t>
      </w:r>
      <w:r w:rsidR="009E094D">
        <w:t>e</w:t>
      </w:r>
      <w:r w:rsidRPr="005055F5">
        <w:t xml:space="preserve">ffect on </w:t>
      </w:r>
      <w:r w:rsidR="009E094D">
        <w:t>c</w:t>
      </w:r>
      <w:r w:rsidRPr="005055F5">
        <w:t xml:space="preserve">apitation </w:t>
      </w:r>
      <w:r w:rsidR="009E094D">
        <w:t>r</w:t>
      </w:r>
      <w:r w:rsidRPr="005055F5">
        <w:t>ates</w:t>
      </w:r>
      <w:bookmarkEnd w:id="358"/>
      <w:bookmarkEnd w:id="359"/>
    </w:p>
    <w:p w14:paraId="499BA0DC" w14:textId="624439EB" w:rsidR="00B165CC" w:rsidRPr="000E7E31" w:rsidRDefault="00EA72EF" w:rsidP="000E7E31">
      <w:r>
        <w:t xml:space="preserve">There are no reinsurance requirements in the </w:t>
      </w:r>
      <w:r w:rsidRPr="007C25A1">
        <w:rPr>
          <w:szCs w:val="18"/>
        </w:rPr>
        <w:t>three-way contract</w:t>
      </w:r>
      <w:r>
        <w:rPr>
          <w:szCs w:val="18"/>
        </w:rPr>
        <w:t xml:space="preserve"> between EOHHS, CMS, and Neighborhood Health Plan of Rhode Island</w:t>
      </w:r>
      <w:r w:rsidR="003013E3">
        <w:t>.</w:t>
      </w:r>
    </w:p>
    <w:p w14:paraId="3B3F547C" w14:textId="77777777" w:rsidR="00052FE4" w:rsidRDefault="00052FE4" w:rsidP="00052FE4">
      <w:pPr>
        <w:pStyle w:val="Heading3"/>
      </w:pPr>
      <w:bookmarkStart w:id="360" w:name="_Toc109249378"/>
      <w:bookmarkStart w:id="361" w:name="_Toc109249379"/>
      <w:bookmarkStart w:id="362" w:name="_Toc109249380"/>
      <w:bookmarkStart w:id="363" w:name="_Toc109249381"/>
      <w:bookmarkStart w:id="364" w:name="_Toc109249382"/>
      <w:bookmarkStart w:id="365" w:name="_Toc109249383"/>
      <w:bookmarkStart w:id="366" w:name="_Toc78555744"/>
      <w:bookmarkStart w:id="367" w:name="_Toc80132168"/>
      <w:bookmarkStart w:id="368" w:name="_Toc78555745"/>
      <w:bookmarkStart w:id="369" w:name="_Toc80132169"/>
      <w:bookmarkStart w:id="370" w:name="_Toc78555746"/>
      <w:bookmarkStart w:id="371" w:name="_Toc80132170"/>
      <w:bookmarkStart w:id="372" w:name="_Toc78555747"/>
      <w:bookmarkStart w:id="373" w:name="_Toc80132171"/>
      <w:bookmarkStart w:id="374" w:name="_Toc78555748"/>
      <w:bookmarkStart w:id="375" w:name="_Toc80132172"/>
      <w:bookmarkStart w:id="376" w:name="_Toc78555749"/>
      <w:bookmarkStart w:id="377" w:name="_Toc80132173"/>
      <w:bookmarkStart w:id="378" w:name="_Toc78555750"/>
      <w:bookmarkStart w:id="379" w:name="_Toc80132174"/>
      <w:bookmarkStart w:id="380" w:name="_Toc78555751"/>
      <w:bookmarkStart w:id="381" w:name="_Toc80132175"/>
      <w:bookmarkStart w:id="382" w:name="_Toc78555752"/>
      <w:bookmarkStart w:id="383" w:name="_Toc80132176"/>
      <w:bookmarkStart w:id="384" w:name="_Toc78555753"/>
      <w:bookmarkStart w:id="385" w:name="_Toc80132177"/>
      <w:bookmarkStart w:id="386" w:name="_Toc78555754"/>
      <w:bookmarkStart w:id="387" w:name="_Toc80132178"/>
      <w:bookmarkStart w:id="388" w:name="_Toc78555755"/>
      <w:bookmarkStart w:id="389" w:name="_Toc80132179"/>
      <w:bookmarkStart w:id="390" w:name="_Toc109295527"/>
      <w:bookmarkStart w:id="391" w:name="_Toc8985036"/>
      <w:bookmarkStart w:id="392" w:name="_Toc466028103"/>
      <w:bookmarkStart w:id="393" w:name="_Toc484701241"/>
      <w:bookmarkStart w:id="394" w:name="_Toc504389086"/>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t>State Directed Payments</w:t>
      </w:r>
      <w:bookmarkEnd w:id="390"/>
    </w:p>
    <w:p w14:paraId="0798E255" w14:textId="2173CDB8" w:rsidR="00052FE4" w:rsidRDefault="00052FE4" w:rsidP="00052FE4">
      <w:pPr>
        <w:pStyle w:val="Heading4"/>
      </w:pPr>
      <w:bookmarkStart w:id="395" w:name="_Toc109295528"/>
      <w:r w:rsidRPr="009B069E">
        <w:t>Rate Development Standards</w:t>
      </w:r>
      <w:bookmarkEnd w:id="395"/>
    </w:p>
    <w:p w14:paraId="2D6584C8" w14:textId="036F1C27" w:rsidR="006F4B77" w:rsidRDefault="006F4B77" w:rsidP="006F4B77">
      <w:pPr>
        <w:pStyle w:val="Heading5"/>
        <w:jc w:val="both"/>
      </w:pPr>
      <w:r>
        <w:t xml:space="preserve">Description of </w:t>
      </w:r>
      <w:r w:rsidR="009E094D">
        <w:t>m</w:t>
      </w:r>
      <w:r>
        <w:t xml:space="preserve">anaged </w:t>
      </w:r>
      <w:r w:rsidR="009E094D">
        <w:t>c</w:t>
      </w:r>
      <w:r>
        <w:t xml:space="preserve">are </w:t>
      </w:r>
      <w:r w:rsidR="009E094D">
        <w:t>p</w:t>
      </w:r>
      <w:r>
        <w:t xml:space="preserve">lan </w:t>
      </w:r>
      <w:r w:rsidR="009E094D">
        <w:t>r</w:t>
      </w:r>
      <w:r>
        <w:t>equirement</w:t>
      </w:r>
    </w:p>
    <w:p w14:paraId="2D2CE960" w14:textId="5897B911" w:rsidR="00835306" w:rsidRDefault="00835306" w:rsidP="00835306">
      <w:pPr>
        <w:pStyle w:val="RRBody"/>
        <w:jc w:val="both"/>
      </w:pPr>
      <w:r>
        <w:t>C</w:t>
      </w:r>
      <w:r w:rsidRPr="00456286">
        <w:t xml:space="preserve">onsistent with </w:t>
      </w:r>
      <w:r>
        <w:t>guidance in</w:t>
      </w:r>
      <w:r w:rsidRPr="00456286">
        <w:t xml:space="preserve"> </w:t>
      </w:r>
      <w:r>
        <w:t xml:space="preserve">42 CFR </w:t>
      </w:r>
      <w:r w:rsidRPr="003E3EC1">
        <w:t>§</w:t>
      </w:r>
      <w:r>
        <w:t xml:space="preserve">438.6(c), </w:t>
      </w:r>
      <w:r w:rsidR="00F53573">
        <w:t xml:space="preserve">the capitation rates effective July 1, 2022, reflect </w:t>
      </w:r>
      <w:r>
        <w:t>the following delivery and provider payment initiatives:</w:t>
      </w:r>
    </w:p>
    <w:p w14:paraId="2F01DE7E" w14:textId="77777777" w:rsidR="00835306" w:rsidRDefault="00835306" w:rsidP="00835306">
      <w:pPr>
        <w:pStyle w:val="RRBody"/>
        <w:numPr>
          <w:ilvl w:val="0"/>
          <w:numId w:val="54"/>
        </w:numPr>
        <w:jc w:val="both"/>
      </w:pPr>
      <w:r>
        <w:t>I</w:t>
      </w:r>
      <w:r w:rsidRPr="00456286">
        <w:t xml:space="preserve">npatient hospital </w:t>
      </w:r>
      <w:r>
        <w:t>state directed uniform percentage increase</w:t>
      </w:r>
    </w:p>
    <w:p w14:paraId="75C160B6" w14:textId="77777777" w:rsidR="00835306" w:rsidRDefault="00835306" w:rsidP="00835306">
      <w:pPr>
        <w:pStyle w:val="RRBody"/>
        <w:numPr>
          <w:ilvl w:val="0"/>
          <w:numId w:val="54"/>
        </w:numPr>
        <w:jc w:val="both"/>
      </w:pPr>
      <w:r>
        <w:t xml:space="preserve">Outpatient </w:t>
      </w:r>
      <w:r w:rsidRPr="00456286">
        <w:t xml:space="preserve">hospital </w:t>
      </w:r>
      <w:r>
        <w:t>state directed uniform percentage increase</w:t>
      </w:r>
    </w:p>
    <w:p w14:paraId="16A81743" w14:textId="65DF54DF" w:rsidR="00835306" w:rsidRDefault="00835306" w:rsidP="00835306">
      <w:pPr>
        <w:pStyle w:val="RRBody"/>
        <w:numPr>
          <w:ilvl w:val="0"/>
          <w:numId w:val="54"/>
        </w:numPr>
        <w:jc w:val="both"/>
      </w:pPr>
      <w:r>
        <w:lastRenderedPageBreak/>
        <w:t>Nursing home</w:t>
      </w:r>
      <w:r w:rsidRPr="00456286">
        <w:t xml:space="preserve"> </w:t>
      </w:r>
      <w:r>
        <w:t>state directed uniform percentage increase</w:t>
      </w:r>
    </w:p>
    <w:p w14:paraId="43C7D477" w14:textId="1CADF879" w:rsidR="00F53573" w:rsidRDefault="00F53573" w:rsidP="00835306">
      <w:pPr>
        <w:pStyle w:val="RRBody"/>
        <w:numPr>
          <w:ilvl w:val="0"/>
          <w:numId w:val="54"/>
        </w:numPr>
        <w:jc w:val="both"/>
      </w:pPr>
      <w:r>
        <w:t>Personal Care Shift Differential</w:t>
      </w:r>
    </w:p>
    <w:p w14:paraId="08534DD5" w14:textId="706F1E8F" w:rsidR="00F53573" w:rsidRDefault="00F53573" w:rsidP="00835306">
      <w:pPr>
        <w:pStyle w:val="RRBody"/>
        <w:numPr>
          <w:ilvl w:val="0"/>
          <w:numId w:val="54"/>
        </w:numPr>
        <w:jc w:val="both"/>
      </w:pPr>
      <w:r>
        <w:t>Personal Care Behavioral Health Certification Enhancement</w:t>
      </w:r>
    </w:p>
    <w:p w14:paraId="2AB243A2" w14:textId="5921FF7D" w:rsidR="006547CB" w:rsidRDefault="005D2FC0" w:rsidP="00835306">
      <w:pPr>
        <w:pStyle w:val="RRBody"/>
        <w:numPr>
          <w:ilvl w:val="0"/>
          <w:numId w:val="54"/>
        </w:numPr>
        <w:jc w:val="both"/>
      </w:pPr>
      <w:r>
        <w:t xml:space="preserve">Shared living </w:t>
      </w:r>
      <w:r w:rsidR="006547CB">
        <w:t xml:space="preserve">state directed uniform percentage increase </w:t>
      </w:r>
    </w:p>
    <w:p w14:paraId="1D473F43" w14:textId="76193FA7" w:rsidR="00084E9A" w:rsidRDefault="005D2FC0" w:rsidP="009C1F55">
      <w:pPr>
        <w:pStyle w:val="RRBody"/>
        <w:numPr>
          <w:ilvl w:val="0"/>
          <w:numId w:val="54"/>
        </w:numPr>
        <w:jc w:val="both"/>
      </w:pPr>
      <w:r>
        <w:t xml:space="preserve">Assisted living facility tiered rates </w:t>
      </w:r>
      <w:r w:rsidR="00084E9A">
        <w:t xml:space="preserve">state directed </w:t>
      </w:r>
      <w:r>
        <w:t>fee schedule</w:t>
      </w:r>
      <w:r w:rsidR="00084E9A">
        <w:t xml:space="preserve"> </w:t>
      </w:r>
    </w:p>
    <w:p w14:paraId="41ABE440" w14:textId="66FFB4DF" w:rsidR="0095444C" w:rsidRDefault="0095444C" w:rsidP="009C1F55">
      <w:pPr>
        <w:pStyle w:val="RRBody"/>
        <w:numPr>
          <w:ilvl w:val="0"/>
          <w:numId w:val="54"/>
        </w:numPr>
        <w:jc w:val="both"/>
      </w:pPr>
      <w:r>
        <w:t>Home care agencies state directed uniform percentage increase</w:t>
      </w:r>
    </w:p>
    <w:p w14:paraId="212E99D1" w14:textId="1F230A0A" w:rsidR="00C0484D" w:rsidRDefault="00C0484D" w:rsidP="006F4B77">
      <w:pPr>
        <w:pStyle w:val="Heading5"/>
        <w:jc w:val="both"/>
      </w:pPr>
      <w:r>
        <w:t xml:space="preserve">CMS </w:t>
      </w:r>
      <w:r w:rsidR="009E094D">
        <w:t>a</w:t>
      </w:r>
      <w:r>
        <w:t>pproval</w:t>
      </w:r>
    </w:p>
    <w:p w14:paraId="42B0CBAA" w14:textId="7D74079D" w:rsidR="00C0484D" w:rsidRPr="00AA5201" w:rsidRDefault="003A6726" w:rsidP="005E4622">
      <w:r w:rsidRPr="00A06B75">
        <w:t xml:space="preserve">At </w:t>
      </w:r>
      <w:r>
        <w:t>the time of certification</w:t>
      </w:r>
      <w:r w:rsidRPr="00A06B75">
        <w:t xml:space="preserve">, </w:t>
      </w:r>
      <w:r>
        <w:t>EOHHS</w:t>
      </w:r>
      <w:r w:rsidRPr="00A06B75">
        <w:t xml:space="preserve"> has not yet submitted </w:t>
      </w:r>
      <w:r>
        <w:t>the directed payment preprints</w:t>
      </w:r>
      <w:r w:rsidR="0095444C">
        <w:t xml:space="preserve"> except for the home care agencies state directed payment</w:t>
      </w:r>
      <w:r>
        <w:t>.</w:t>
      </w:r>
      <w:r w:rsidRPr="003A6726">
        <w:t xml:space="preserve"> </w:t>
      </w:r>
      <w:r w:rsidRPr="00A06B75">
        <w:t xml:space="preserve">We anticipate </w:t>
      </w:r>
      <w:r>
        <w:t>that EOHHS</w:t>
      </w:r>
      <w:r w:rsidRPr="00A06B75">
        <w:t xml:space="preserve"> will submit the </w:t>
      </w:r>
      <w:r>
        <w:t xml:space="preserve">required </w:t>
      </w:r>
      <w:r w:rsidRPr="00A06B75">
        <w:t>preprint</w:t>
      </w:r>
      <w:r>
        <w:t>s</w:t>
      </w:r>
      <w:r w:rsidRPr="00A06B75">
        <w:t xml:space="preserve"> to CMS, and that the payment arrangement reflected in these certified rates </w:t>
      </w:r>
      <w:r>
        <w:t xml:space="preserve">is </w:t>
      </w:r>
      <w:r w:rsidRPr="00A06B75">
        <w:t xml:space="preserve">consistent with what we </w:t>
      </w:r>
      <w:r>
        <w:t>understand</w:t>
      </w:r>
      <w:r w:rsidRPr="00A06B75">
        <w:t xml:space="preserve"> will be submitted to CMS</w:t>
      </w:r>
      <w:r w:rsidR="00C0484D">
        <w:t>.</w:t>
      </w:r>
    </w:p>
    <w:p w14:paraId="2176CFA8" w14:textId="1E44D243" w:rsidR="00C0484D" w:rsidRDefault="009E094D" w:rsidP="006F4B77">
      <w:pPr>
        <w:pStyle w:val="Heading5"/>
        <w:jc w:val="both"/>
      </w:pPr>
      <w:r>
        <w:t>Generally accepted actuarial standards</w:t>
      </w:r>
    </w:p>
    <w:p w14:paraId="0E0EDAB5" w14:textId="43B72455" w:rsidR="00C0484D" w:rsidRPr="00AA5201" w:rsidRDefault="00C0484D" w:rsidP="005E4622">
      <w:r>
        <w:t xml:space="preserve">The arrangements outlined in the </w:t>
      </w:r>
      <w:r w:rsidR="0095444C">
        <w:t xml:space="preserve">state </w:t>
      </w:r>
      <w:r>
        <w:t xml:space="preserve">directed payment documentation are developed in accordance with 42 CFR </w:t>
      </w:r>
      <w:r w:rsidRPr="003E3EC1">
        <w:t>§438.</w:t>
      </w:r>
      <w:r>
        <w:t xml:space="preserve">4 and </w:t>
      </w:r>
      <w:r w:rsidRPr="003E3EC1">
        <w:t>§438</w:t>
      </w:r>
      <w:r>
        <w:t>.5 and follow generally accepted actuarial principles and practices.</w:t>
      </w:r>
    </w:p>
    <w:p w14:paraId="7F552BC5" w14:textId="502A121C" w:rsidR="006F4B77" w:rsidRDefault="006F4B77" w:rsidP="006F4B77">
      <w:pPr>
        <w:pStyle w:val="Heading5"/>
        <w:jc w:val="both"/>
      </w:pPr>
      <w:r>
        <w:t xml:space="preserve">How </w:t>
      </w:r>
      <w:r w:rsidR="0095444C">
        <w:t>p</w:t>
      </w:r>
      <w:r>
        <w:t xml:space="preserve">ayment </w:t>
      </w:r>
      <w:r w:rsidR="0095444C">
        <w:t>a</w:t>
      </w:r>
      <w:r>
        <w:t xml:space="preserve">rrangement is </w:t>
      </w:r>
      <w:r w:rsidR="0095444C">
        <w:t>r</w:t>
      </w:r>
      <w:r>
        <w:t xml:space="preserve">eflected in </w:t>
      </w:r>
      <w:r w:rsidR="0095444C">
        <w:t>m</w:t>
      </w:r>
      <w:r>
        <w:t xml:space="preserve">anaged </w:t>
      </w:r>
      <w:r w:rsidR="0095444C">
        <w:t>c</w:t>
      </w:r>
      <w:r>
        <w:t xml:space="preserve">are </w:t>
      </w:r>
      <w:r w:rsidR="0095444C">
        <w:t>r</w:t>
      </w:r>
      <w:r>
        <w:t>ates</w:t>
      </w:r>
    </w:p>
    <w:p w14:paraId="3F86107E" w14:textId="588E74D1" w:rsidR="006F4B77" w:rsidRDefault="006A19AC" w:rsidP="00416DBE">
      <w:pPr>
        <w:pStyle w:val="RRBody"/>
      </w:pPr>
      <w:r>
        <w:t>T</w:t>
      </w:r>
      <w:r w:rsidR="00050A79">
        <w:t xml:space="preserve">he fee-for-service program follows similar legislatively mandated reimbursement increases that were included in the rate development and are described </w:t>
      </w:r>
      <w:r w:rsidR="00474461">
        <w:t xml:space="preserve">in </w:t>
      </w:r>
      <w:r w:rsidR="00E862B9">
        <w:t xml:space="preserve">Section 3.B.ii and </w:t>
      </w:r>
      <w:r w:rsidR="00474461">
        <w:t xml:space="preserve">Section 3.B.iii. </w:t>
      </w:r>
      <w:r>
        <w:t>The state directed payment adjustments described below are consistent with the legislatively mandated reimbursement increase for the fee-for-service programs. In addition, consistent with EOHHS discussions with CMS, we included the home care agencies state directed payment which does not have a corresponding fee-for-service reimbursement mechanism, as this program would exist absent the MMP demonstration.</w:t>
      </w:r>
    </w:p>
    <w:p w14:paraId="2BD06E45" w14:textId="77777777" w:rsidR="00052FE4" w:rsidRDefault="00052FE4" w:rsidP="00052FE4">
      <w:pPr>
        <w:pStyle w:val="Heading4"/>
      </w:pPr>
      <w:bookmarkStart w:id="396" w:name="_Toc109295529"/>
      <w:r>
        <w:t>Appropriate Documentation</w:t>
      </w:r>
      <w:bookmarkEnd w:id="396"/>
    </w:p>
    <w:p w14:paraId="76231538" w14:textId="77777777" w:rsidR="00052FE4" w:rsidRDefault="00052FE4" w:rsidP="00052FE4">
      <w:pPr>
        <w:pStyle w:val="Heading5"/>
      </w:pPr>
      <w:r>
        <w:t xml:space="preserve">Delivery system and provider payment initiatives </w:t>
      </w:r>
    </w:p>
    <w:p w14:paraId="2167BD74" w14:textId="77777777" w:rsidR="00052FE4" w:rsidRDefault="00052FE4" w:rsidP="004E54E8">
      <w:pPr>
        <w:pStyle w:val="Heading6"/>
        <w:numPr>
          <w:ilvl w:val="0"/>
          <w:numId w:val="62"/>
        </w:numPr>
      </w:pPr>
      <w:r>
        <w:t>Description d</w:t>
      </w:r>
      <w:r w:rsidRPr="00B90FC5">
        <w:t>elivery system and provider payment initiatives</w:t>
      </w:r>
    </w:p>
    <w:p w14:paraId="23DBD792" w14:textId="68066FAD" w:rsidR="009B6DD2" w:rsidRDefault="003A6726" w:rsidP="00052FE4">
      <w:r>
        <w:t xml:space="preserve">Figure </w:t>
      </w:r>
      <w:r w:rsidR="00DC7441">
        <w:t xml:space="preserve">10 </w:t>
      </w:r>
      <w:r>
        <w:t>describes the directed payments for the MMP program.</w:t>
      </w:r>
    </w:p>
    <w:p w14:paraId="3E9D1D1E" w14:textId="77777777" w:rsidR="009B6DD2" w:rsidRDefault="009B6DD2">
      <w:pPr>
        <w:spacing w:line="264" w:lineRule="auto"/>
      </w:pPr>
      <w:r>
        <w:br w:type="page"/>
      </w:r>
    </w:p>
    <w:tbl>
      <w:tblPr>
        <w:tblW w:w="9954" w:type="dxa"/>
        <w:tblLook w:val="04A0" w:firstRow="1" w:lastRow="0" w:firstColumn="1" w:lastColumn="0" w:noHBand="0" w:noVBand="1"/>
      </w:tblPr>
      <w:tblGrid>
        <w:gridCol w:w="2538"/>
        <w:gridCol w:w="2070"/>
        <w:gridCol w:w="2520"/>
        <w:gridCol w:w="3294"/>
      </w:tblGrid>
      <w:tr w:rsidR="009343D7" w:rsidRPr="00AD66FA" w14:paraId="38404A9D" w14:textId="77777777" w:rsidTr="00AC62A7">
        <w:trPr>
          <w:trHeight w:val="101"/>
        </w:trPr>
        <w:tc>
          <w:tcPr>
            <w:tcW w:w="4140" w:type="dxa"/>
            <w:gridSpan w:val="2"/>
            <w:tcBorders>
              <w:top w:val="single" w:sz="4" w:space="0" w:color="E8E9E9"/>
              <w:left w:val="nil"/>
              <w:bottom w:val="nil"/>
              <w:right w:val="nil"/>
            </w:tcBorders>
            <w:shd w:val="clear" w:color="auto" w:fill="auto"/>
            <w:noWrap/>
            <w:vAlign w:val="bottom"/>
            <w:hideMark/>
          </w:tcPr>
          <w:p w14:paraId="64627B0E" w14:textId="7B7B3A3F" w:rsidR="009343D7" w:rsidRPr="00AD66FA" w:rsidRDefault="009343D7" w:rsidP="00AC62A7">
            <w:pPr>
              <w:spacing w:after="0" w:line="240" w:lineRule="auto"/>
              <w:rPr>
                <w:rFonts w:ascii="Arial" w:eastAsia="Times New Roman" w:hAnsi="Arial" w:cs="Arial"/>
                <w:b/>
                <w:bCs/>
                <w:color w:val="0081E3"/>
                <w:szCs w:val="18"/>
              </w:rPr>
            </w:pPr>
            <w:r w:rsidRPr="00AD66FA">
              <w:rPr>
                <w:rFonts w:ascii="Arial" w:eastAsia="Times New Roman" w:hAnsi="Arial" w:cs="Arial"/>
                <w:b/>
                <w:bCs/>
                <w:color w:val="0081E3"/>
                <w:szCs w:val="18"/>
              </w:rPr>
              <w:lastRenderedPageBreak/>
              <w:t xml:space="preserve">FIGURE </w:t>
            </w:r>
            <w:r w:rsidR="00DC7441">
              <w:rPr>
                <w:rFonts w:ascii="Arial" w:eastAsia="Times New Roman" w:hAnsi="Arial" w:cs="Arial"/>
                <w:b/>
                <w:bCs/>
                <w:color w:val="0081E3"/>
                <w:szCs w:val="18"/>
              </w:rPr>
              <w:t>10</w:t>
            </w:r>
            <w:r w:rsidRPr="00AD66FA">
              <w:rPr>
                <w:rFonts w:ascii="Arial" w:eastAsia="Times New Roman" w:hAnsi="Arial" w:cs="Arial"/>
                <w:b/>
                <w:bCs/>
                <w:color w:val="0081E3"/>
                <w:szCs w:val="18"/>
              </w:rPr>
              <w:t>: STATE DIRECTED PAYMENTS</w:t>
            </w:r>
          </w:p>
        </w:tc>
        <w:tc>
          <w:tcPr>
            <w:tcW w:w="2520" w:type="dxa"/>
            <w:tcBorders>
              <w:top w:val="single" w:sz="4" w:space="0" w:color="E8E9E9"/>
              <w:left w:val="nil"/>
              <w:bottom w:val="nil"/>
              <w:right w:val="nil"/>
            </w:tcBorders>
            <w:shd w:val="clear" w:color="auto" w:fill="auto"/>
            <w:noWrap/>
            <w:vAlign w:val="bottom"/>
            <w:hideMark/>
          </w:tcPr>
          <w:p w14:paraId="3117BD93" w14:textId="77777777" w:rsidR="009343D7" w:rsidRPr="00AD66FA" w:rsidRDefault="009343D7" w:rsidP="00AC62A7">
            <w:pPr>
              <w:spacing w:after="0" w:line="240" w:lineRule="auto"/>
              <w:rPr>
                <w:rFonts w:ascii="Arial" w:eastAsia="Times New Roman" w:hAnsi="Arial" w:cs="Arial"/>
                <w:b/>
                <w:bCs/>
                <w:color w:val="0081E3"/>
                <w:szCs w:val="18"/>
              </w:rPr>
            </w:pPr>
            <w:r w:rsidRPr="00AD66FA">
              <w:rPr>
                <w:rFonts w:ascii="Arial" w:eastAsia="Times New Roman" w:hAnsi="Arial" w:cs="Arial"/>
                <w:b/>
                <w:bCs/>
                <w:color w:val="0081E3"/>
                <w:szCs w:val="18"/>
              </w:rPr>
              <w:t> </w:t>
            </w:r>
          </w:p>
        </w:tc>
        <w:tc>
          <w:tcPr>
            <w:tcW w:w="3294" w:type="dxa"/>
            <w:tcBorders>
              <w:top w:val="single" w:sz="4" w:space="0" w:color="E8E9E9"/>
              <w:left w:val="nil"/>
              <w:bottom w:val="nil"/>
              <w:right w:val="nil"/>
            </w:tcBorders>
            <w:shd w:val="clear" w:color="auto" w:fill="auto"/>
            <w:noWrap/>
            <w:vAlign w:val="bottom"/>
            <w:hideMark/>
          </w:tcPr>
          <w:p w14:paraId="76D0830C" w14:textId="77777777" w:rsidR="009343D7" w:rsidRPr="00AD66FA" w:rsidRDefault="009343D7" w:rsidP="00AC62A7">
            <w:pPr>
              <w:spacing w:after="0" w:line="240" w:lineRule="auto"/>
              <w:rPr>
                <w:rFonts w:ascii="Arial" w:eastAsia="Times New Roman" w:hAnsi="Arial" w:cs="Arial"/>
                <w:b/>
                <w:bCs/>
                <w:color w:val="0081E3"/>
                <w:szCs w:val="18"/>
              </w:rPr>
            </w:pPr>
            <w:r w:rsidRPr="00AD66FA">
              <w:rPr>
                <w:rFonts w:ascii="Arial" w:eastAsia="Times New Roman" w:hAnsi="Arial" w:cs="Arial"/>
                <w:b/>
                <w:bCs/>
                <w:color w:val="0081E3"/>
                <w:szCs w:val="18"/>
              </w:rPr>
              <w:t> </w:t>
            </w:r>
          </w:p>
        </w:tc>
      </w:tr>
      <w:tr w:rsidR="009343D7" w:rsidRPr="00AD66FA" w14:paraId="56328836" w14:textId="77777777" w:rsidTr="006B42A9">
        <w:trPr>
          <w:trHeight w:val="610"/>
        </w:trPr>
        <w:tc>
          <w:tcPr>
            <w:tcW w:w="2070" w:type="dxa"/>
            <w:tcBorders>
              <w:top w:val="nil"/>
              <w:left w:val="nil"/>
              <w:bottom w:val="single" w:sz="4" w:space="0" w:color="C6C9CA"/>
              <w:right w:val="nil"/>
            </w:tcBorders>
            <w:shd w:val="clear" w:color="auto" w:fill="auto"/>
            <w:vAlign w:val="center"/>
            <w:hideMark/>
          </w:tcPr>
          <w:p w14:paraId="157B2834" w14:textId="77777777" w:rsidR="009343D7" w:rsidRPr="00AD66FA" w:rsidRDefault="009343D7" w:rsidP="005E4622">
            <w:pPr>
              <w:spacing w:after="0" w:line="240" w:lineRule="auto"/>
              <w:rPr>
                <w:rFonts w:ascii="Arial" w:eastAsia="Times New Roman" w:hAnsi="Arial" w:cs="Arial"/>
                <w:b/>
                <w:bCs/>
                <w:color w:val="39414D"/>
                <w:szCs w:val="18"/>
              </w:rPr>
            </w:pPr>
            <w:r w:rsidRPr="00AD66FA">
              <w:rPr>
                <w:rFonts w:ascii="Arial" w:eastAsia="Times New Roman" w:hAnsi="Arial" w:cs="Arial"/>
                <w:b/>
                <w:bCs/>
                <w:color w:val="39414D"/>
                <w:szCs w:val="18"/>
              </w:rPr>
              <w:t>CONTROL NAME OF STATE DIRECTED PAYMENT</w:t>
            </w:r>
          </w:p>
        </w:tc>
        <w:tc>
          <w:tcPr>
            <w:tcW w:w="2070" w:type="dxa"/>
            <w:tcBorders>
              <w:top w:val="nil"/>
              <w:left w:val="nil"/>
              <w:bottom w:val="single" w:sz="4" w:space="0" w:color="C6C9CA"/>
              <w:right w:val="nil"/>
            </w:tcBorders>
            <w:shd w:val="clear" w:color="auto" w:fill="auto"/>
            <w:vAlign w:val="center"/>
            <w:hideMark/>
          </w:tcPr>
          <w:p w14:paraId="30C20B17" w14:textId="77777777" w:rsidR="009343D7" w:rsidRPr="00AD66FA" w:rsidRDefault="009343D7" w:rsidP="006B42A9">
            <w:pPr>
              <w:spacing w:after="0" w:line="240" w:lineRule="auto"/>
              <w:rPr>
                <w:rFonts w:ascii="Arial" w:eastAsia="Times New Roman" w:hAnsi="Arial" w:cs="Arial"/>
                <w:b/>
                <w:bCs/>
                <w:color w:val="39414D"/>
                <w:szCs w:val="18"/>
              </w:rPr>
            </w:pPr>
            <w:r w:rsidRPr="00AD66FA">
              <w:rPr>
                <w:rFonts w:ascii="Arial" w:eastAsia="Times New Roman" w:hAnsi="Arial" w:cs="Arial"/>
                <w:b/>
                <w:bCs/>
                <w:color w:val="39414D"/>
                <w:szCs w:val="18"/>
              </w:rPr>
              <w:t>TYPE OF PAYMENT</w:t>
            </w:r>
          </w:p>
        </w:tc>
        <w:tc>
          <w:tcPr>
            <w:tcW w:w="2520" w:type="dxa"/>
            <w:tcBorders>
              <w:top w:val="nil"/>
              <w:left w:val="nil"/>
              <w:bottom w:val="single" w:sz="4" w:space="0" w:color="C6C9CA"/>
              <w:right w:val="nil"/>
            </w:tcBorders>
            <w:shd w:val="clear" w:color="auto" w:fill="auto"/>
            <w:vAlign w:val="center"/>
            <w:hideMark/>
          </w:tcPr>
          <w:p w14:paraId="1F302DAD" w14:textId="77777777" w:rsidR="009343D7" w:rsidRPr="00AD66FA" w:rsidRDefault="009343D7" w:rsidP="006B42A9">
            <w:pPr>
              <w:spacing w:after="0" w:line="240" w:lineRule="auto"/>
              <w:rPr>
                <w:rFonts w:ascii="Arial" w:eastAsia="Times New Roman" w:hAnsi="Arial" w:cs="Arial"/>
                <w:b/>
                <w:bCs/>
                <w:color w:val="39414D"/>
                <w:szCs w:val="18"/>
              </w:rPr>
            </w:pPr>
            <w:r w:rsidRPr="00AD66FA">
              <w:rPr>
                <w:rFonts w:ascii="Arial" w:eastAsia="Times New Roman" w:hAnsi="Arial" w:cs="Arial"/>
                <w:b/>
                <w:bCs/>
                <w:color w:val="39414D"/>
                <w:szCs w:val="18"/>
              </w:rPr>
              <w:t>BRIEF DESCRIPTION</w:t>
            </w:r>
          </w:p>
        </w:tc>
        <w:tc>
          <w:tcPr>
            <w:tcW w:w="3294" w:type="dxa"/>
            <w:tcBorders>
              <w:top w:val="nil"/>
              <w:left w:val="nil"/>
              <w:bottom w:val="single" w:sz="4" w:space="0" w:color="C6C9CA"/>
              <w:right w:val="nil"/>
            </w:tcBorders>
            <w:shd w:val="clear" w:color="auto" w:fill="auto"/>
            <w:vAlign w:val="center"/>
            <w:hideMark/>
          </w:tcPr>
          <w:p w14:paraId="165501CB" w14:textId="77777777" w:rsidR="009343D7" w:rsidRPr="00AD66FA" w:rsidRDefault="009343D7" w:rsidP="006B42A9">
            <w:pPr>
              <w:spacing w:after="0" w:line="240" w:lineRule="auto"/>
              <w:rPr>
                <w:rFonts w:ascii="Arial" w:eastAsia="Times New Roman" w:hAnsi="Arial" w:cs="Arial"/>
                <w:b/>
                <w:bCs/>
                <w:color w:val="39414D"/>
                <w:szCs w:val="18"/>
              </w:rPr>
            </w:pPr>
            <w:r w:rsidRPr="00AD66FA">
              <w:rPr>
                <w:rFonts w:ascii="Arial" w:eastAsia="Times New Roman" w:hAnsi="Arial" w:cs="Arial"/>
                <w:b/>
                <w:bCs/>
                <w:color w:val="39414D"/>
                <w:szCs w:val="18"/>
              </w:rPr>
              <w:t>IS THE PAYMENT INCLUDED AS A RATE ADJUSTMENT OR SEPARATE PAYMENT TERM</w:t>
            </w:r>
          </w:p>
        </w:tc>
      </w:tr>
      <w:tr w:rsidR="009343D7" w:rsidRPr="00AD66FA" w14:paraId="53411832" w14:textId="77777777" w:rsidTr="006B42A9">
        <w:trPr>
          <w:trHeight w:val="406"/>
        </w:trPr>
        <w:tc>
          <w:tcPr>
            <w:tcW w:w="2070" w:type="dxa"/>
            <w:tcBorders>
              <w:top w:val="nil"/>
              <w:left w:val="nil"/>
              <w:bottom w:val="nil"/>
              <w:right w:val="nil"/>
            </w:tcBorders>
            <w:shd w:val="clear" w:color="auto" w:fill="auto"/>
            <w:vAlign w:val="center"/>
            <w:hideMark/>
          </w:tcPr>
          <w:p w14:paraId="6BA053AF" w14:textId="665281A7" w:rsidR="009343D7" w:rsidRPr="00807E15" w:rsidRDefault="00123D2B"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TBD</w:t>
            </w:r>
            <w:r w:rsidR="003A6726" w:rsidRPr="00807E15">
              <w:rPr>
                <w:rFonts w:ascii="Arial" w:eastAsia="Times New Roman" w:hAnsi="Arial" w:cs="Arial"/>
                <w:color w:val="39414D"/>
                <w:sz w:val="16"/>
                <w:szCs w:val="16"/>
              </w:rPr>
              <w:t>: Inpatient Hospital</w:t>
            </w:r>
          </w:p>
        </w:tc>
        <w:tc>
          <w:tcPr>
            <w:tcW w:w="2070" w:type="dxa"/>
            <w:tcBorders>
              <w:top w:val="nil"/>
              <w:left w:val="nil"/>
              <w:bottom w:val="nil"/>
              <w:right w:val="nil"/>
            </w:tcBorders>
            <w:shd w:val="clear" w:color="auto" w:fill="auto"/>
            <w:vAlign w:val="center"/>
            <w:hideMark/>
          </w:tcPr>
          <w:p w14:paraId="00B75923"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Percentage Increase</w:t>
            </w:r>
          </w:p>
        </w:tc>
        <w:tc>
          <w:tcPr>
            <w:tcW w:w="2520" w:type="dxa"/>
            <w:tcBorders>
              <w:top w:val="nil"/>
              <w:left w:val="nil"/>
              <w:bottom w:val="nil"/>
              <w:right w:val="nil"/>
            </w:tcBorders>
            <w:shd w:val="clear" w:color="auto" w:fill="auto"/>
            <w:vAlign w:val="center"/>
            <w:hideMark/>
          </w:tcPr>
          <w:p w14:paraId="14E3513C"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increase for inpatient hospital services</w:t>
            </w:r>
          </w:p>
        </w:tc>
        <w:tc>
          <w:tcPr>
            <w:tcW w:w="3294" w:type="dxa"/>
            <w:tcBorders>
              <w:top w:val="nil"/>
              <w:left w:val="nil"/>
              <w:bottom w:val="nil"/>
              <w:right w:val="nil"/>
            </w:tcBorders>
            <w:shd w:val="clear" w:color="auto" w:fill="auto"/>
            <w:vAlign w:val="center"/>
            <w:hideMark/>
          </w:tcPr>
          <w:p w14:paraId="6FB02324" w14:textId="77777777" w:rsidR="009343D7" w:rsidRPr="00807E15" w:rsidRDefault="009343D7">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Rate Adjustment</w:t>
            </w:r>
          </w:p>
        </w:tc>
      </w:tr>
      <w:tr w:rsidR="009343D7" w:rsidRPr="00AD66FA" w14:paraId="65F6809C" w14:textId="77777777" w:rsidTr="005E4622">
        <w:trPr>
          <w:trHeight w:val="406"/>
        </w:trPr>
        <w:tc>
          <w:tcPr>
            <w:tcW w:w="2070" w:type="dxa"/>
            <w:tcBorders>
              <w:top w:val="nil"/>
              <w:left w:val="nil"/>
              <w:bottom w:val="nil"/>
              <w:right w:val="nil"/>
            </w:tcBorders>
            <w:shd w:val="clear" w:color="000000" w:fill="E8E9E9"/>
            <w:noWrap/>
            <w:vAlign w:val="center"/>
            <w:hideMark/>
          </w:tcPr>
          <w:p w14:paraId="034A1EFE" w14:textId="163A97A7" w:rsidR="009343D7" w:rsidRPr="00807E15" w:rsidRDefault="00123D2B"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TBD</w:t>
            </w:r>
            <w:r w:rsidR="003A6726" w:rsidRPr="00807E15">
              <w:rPr>
                <w:rFonts w:ascii="Arial" w:eastAsia="Times New Roman" w:hAnsi="Arial" w:cs="Arial"/>
                <w:color w:val="39414D"/>
                <w:sz w:val="16"/>
                <w:szCs w:val="16"/>
              </w:rPr>
              <w:t>: Outpatient Hospital</w:t>
            </w:r>
          </w:p>
        </w:tc>
        <w:tc>
          <w:tcPr>
            <w:tcW w:w="2070" w:type="dxa"/>
            <w:tcBorders>
              <w:top w:val="nil"/>
              <w:left w:val="nil"/>
              <w:bottom w:val="nil"/>
              <w:right w:val="nil"/>
            </w:tcBorders>
            <w:shd w:val="clear" w:color="000000" w:fill="E8E9E9"/>
            <w:vAlign w:val="center"/>
            <w:hideMark/>
          </w:tcPr>
          <w:p w14:paraId="4D93AE2B"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Percentage Increase</w:t>
            </w:r>
          </w:p>
        </w:tc>
        <w:tc>
          <w:tcPr>
            <w:tcW w:w="2520" w:type="dxa"/>
            <w:tcBorders>
              <w:top w:val="nil"/>
              <w:left w:val="nil"/>
              <w:bottom w:val="nil"/>
              <w:right w:val="nil"/>
            </w:tcBorders>
            <w:shd w:val="clear" w:color="000000" w:fill="E8E9E9"/>
            <w:vAlign w:val="center"/>
            <w:hideMark/>
          </w:tcPr>
          <w:p w14:paraId="358D94CB"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increase for outpatient hospital services</w:t>
            </w:r>
          </w:p>
        </w:tc>
        <w:tc>
          <w:tcPr>
            <w:tcW w:w="3294" w:type="dxa"/>
            <w:tcBorders>
              <w:top w:val="nil"/>
              <w:left w:val="nil"/>
              <w:bottom w:val="nil"/>
              <w:right w:val="nil"/>
            </w:tcBorders>
            <w:shd w:val="clear" w:color="000000" w:fill="E8E9E9"/>
            <w:noWrap/>
            <w:vAlign w:val="center"/>
            <w:hideMark/>
          </w:tcPr>
          <w:p w14:paraId="1392132E"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Rate Adjustment</w:t>
            </w:r>
          </w:p>
        </w:tc>
      </w:tr>
      <w:tr w:rsidR="009343D7" w:rsidRPr="00AD66FA" w14:paraId="4A2DEBAA" w14:textId="77777777" w:rsidTr="00F0656A">
        <w:trPr>
          <w:trHeight w:val="101"/>
        </w:trPr>
        <w:tc>
          <w:tcPr>
            <w:tcW w:w="2070" w:type="dxa"/>
            <w:tcBorders>
              <w:top w:val="nil"/>
              <w:left w:val="nil"/>
              <w:right w:val="nil"/>
            </w:tcBorders>
            <w:shd w:val="clear" w:color="auto" w:fill="auto"/>
            <w:noWrap/>
            <w:vAlign w:val="center"/>
            <w:hideMark/>
          </w:tcPr>
          <w:p w14:paraId="3CB0C3A7" w14:textId="0E471753" w:rsidR="009343D7" w:rsidRPr="00807E15" w:rsidRDefault="00123D2B"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TBD</w:t>
            </w:r>
            <w:r w:rsidR="003A6726" w:rsidRPr="00807E15">
              <w:rPr>
                <w:rFonts w:ascii="Arial" w:eastAsia="Times New Roman" w:hAnsi="Arial" w:cs="Arial"/>
                <w:color w:val="39414D"/>
                <w:sz w:val="16"/>
                <w:szCs w:val="16"/>
              </w:rPr>
              <w:t>: Nursing Facility</w:t>
            </w:r>
          </w:p>
        </w:tc>
        <w:tc>
          <w:tcPr>
            <w:tcW w:w="2070" w:type="dxa"/>
            <w:tcBorders>
              <w:top w:val="nil"/>
              <w:left w:val="nil"/>
              <w:right w:val="nil"/>
            </w:tcBorders>
            <w:shd w:val="clear" w:color="auto" w:fill="auto"/>
            <w:noWrap/>
            <w:vAlign w:val="center"/>
            <w:hideMark/>
          </w:tcPr>
          <w:p w14:paraId="644EB57B"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Percentage Increase</w:t>
            </w:r>
          </w:p>
        </w:tc>
        <w:tc>
          <w:tcPr>
            <w:tcW w:w="2520" w:type="dxa"/>
            <w:tcBorders>
              <w:top w:val="nil"/>
              <w:left w:val="nil"/>
              <w:right w:val="nil"/>
            </w:tcBorders>
            <w:shd w:val="clear" w:color="auto" w:fill="auto"/>
            <w:noWrap/>
            <w:vAlign w:val="center"/>
            <w:hideMark/>
          </w:tcPr>
          <w:p w14:paraId="3A952B64"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increase for nursing home services</w:t>
            </w:r>
          </w:p>
        </w:tc>
        <w:tc>
          <w:tcPr>
            <w:tcW w:w="3294" w:type="dxa"/>
            <w:tcBorders>
              <w:top w:val="nil"/>
              <w:left w:val="nil"/>
              <w:right w:val="nil"/>
            </w:tcBorders>
            <w:shd w:val="clear" w:color="auto" w:fill="auto"/>
            <w:noWrap/>
            <w:vAlign w:val="center"/>
            <w:hideMark/>
          </w:tcPr>
          <w:p w14:paraId="07AE70E6" w14:textId="77777777" w:rsidR="009343D7" w:rsidRPr="00807E15" w:rsidRDefault="009343D7"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Rate Adjustment</w:t>
            </w:r>
          </w:p>
        </w:tc>
      </w:tr>
      <w:tr w:rsidR="00084E9A" w:rsidRPr="00AD66FA" w14:paraId="2BAC4B2A" w14:textId="77777777" w:rsidTr="00F0656A">
        <w:trPr>
          <w:trHeight w:val="101"/>
        </w:trPr>
        <w:tc>
          <w:tcPr>
            <w:tcW w:w="2070" w:type="dxa"/>
            <w:shd w:val="clear" w:color="auto" w:fill="E8E9E9" w:themeFill="accent2" w:themeFillTint="66"/>
            <w:noWrap/>
            <w:vAlign w:val="center"/>
          </w:tcPr>
          <w:p w14:paraId="53B22E28" w14:textId="7888D4C8" w:rsidR="00084E9A" w:rsidRPr="00807E15" w:rsidRDefault="001471B9"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TB</w:t>
            </w:r>
            <w:r w:rsidR="00E862B9" w:rsidRPr="00807E15">
              <w:rPr>
                <w:rFonts w:ascii="Arial" w:eastAsia="Times New Roman" w:hAnsi="Arial" w:cs="Arial"/>
                <w:color w:val="39414D"/>
                <w:sz w:val="16"/>
                <w:szCs w:val="16"/>
              </w:rPr>
              <w:t>D</w:t>
            </w:r>
            <w:r w:rsidR="00084E9A" w:rsidRPr="00807E15">
              <w:rPr>
                <w:rFonts w:ascii="Arial" w:eastAsia="Times New Roman" w:hAnsi="Arial" w:cs="Arial"/>
                <w:color w:val="39414D"/>
                <w:sz w:val="16"/>
                <w:szCs w:val="16"/>
              </w:rPr>
              <w:t>: Shared Living</w:t>
            </w:r>
          </w:p>
        </w:tc>
        <w:tc>
          <w:tcPr>
            <w:tcW w:w="2070" w:type="dxa"/>
            <w:shd w:val="clear" w:color="auto" w:fill="E8E9E9" w:themeFill="accent2" w:themeFillTint="66"/>
            <w:noWrap/>
            <w:vAlign w:val="center"/>
          </w:tcPr>
          <w:p w14:paraId="75A19A22" w14:textId="0147352D" w:rsidR="00084E9A" w:rsidRPr="00807E15" w:rsidRDefault="009C1F55"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Percentage Increase</w:t>
            </w:r>
          </w:p>
        </w:tc>
        <w:tc>
          <w:tcPr>
            <w:tcW w:w="2520" w:type="dxa"/>
            <w:shd w:val="clear" w:color="auto" w:fill="E8E9E9" w:themeFill="accent2" w:themeFillTint="66"/>
            <w:noWrap/>
            <w:vAlign w:val="center"/>
          </w:tcPr>
          <w:p w14:paraId="53A2EFE1" w14:textId="7DE2900E" w:rsidR="00084E9A" w:rsidRPr="00807E15" w:rsidRDefault="009C1F55"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Uniform increase for shared living services</w:t>
            </w:r>
          </w:p>
        </w:tc>
        <w:tc>
          <w:tcPr>
            <w:tcW w:w="3294" w:type="dxa"/>
            <w:shd w:val="clear" w:color="auto" w:fill="E8E9E9" w:themeFill="accent2" w:themeFillTint="66"/>
            <w:noWrap/>
            <w:vAlign w:val="center"/>
          </w:tcPr>
          <w:p w14:paraId="2CD96960" w14:textId="0D825EC1" w:rsidR="00084E9A" w:rsidRPr="00807E15" w:rsidRDefault="009C1F55"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Rate Adjustment</w:t>
            </w:r>
          </w:p>
        </w:tc>
      </w:tr>
      <w:tr w:rsidR="00084E9A" w:rsidRPr="00AD66FA" w14:paraId="6CFC47EE" w14:textId="77777777" w:rsidTr="00F0656A">
        <w:trPr>
          <w:trHeight w:val="101"/>
        </w:trPr>
        <w:tc>
          <w:tcPr>
            <w:tcW w:w="2070" w:type="dxa"/>
            <w:shd w:val="clear" w:color="auto" w:fill="auto"/>
            <w:noWrap/>
            <w:vAlign w:val="center"/>
          </w:tcPr>
          <w:p w14:paraId="24DA2496" w14:textId="3E8C19EB" w:rsidR="00084E9A" w:rsidRPr="00807E15" w:rsidRDefault="006E3774"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N/A</w:t>
            </w:r>
            <w:r w:rsidR="00084E9A" w:rsidRPr="00807E15">
              <w:rPr>
                <w:rFonts w:ascii="Arial" w:eastAsia="Times New Roman" w:hAnsi="Arial" w:cs="Arial"/>
                <w:color w:val="39414D"/>
                <w:sz w:val="16"/>
                <w:szCs w:val="16"/>
              </w:rPr>
              <w:t>: Assisted Living</w:t>
            </w:r>
          </w:p>
        </w:tc>
        <w:tc>
          <w:tcPr>
            <w:tcW w:w="2070" w:type="dxa"/>
            <w:shd w:val="clear" w:color="auto" w:fill="auto"/>
            <w:noWrap/>
            <w:vAlign w:val="center"/>
          </w:tcPr>
          <w:p w14:paraId="5FBA54A0" w14:textId="4176888F" w:rsidR="00084E9A" w:rsidRPr="00807E15" w:rsidRDefault="00637D52" w:rsidP="005E4622">
            <w:pPr>
              <w:spacing w:after="0" w:line="240" w:lineRule="auto"/>
              <w:rPr>
                <w:rFonts w:ascii="Arial" w:eastAsia="Times New Roman" w:hAnsi="Arial" w:cs="Arial"/>
                <w:color w:val="39414D"/>
                <w:sz w:val="16"/>
                <w:szCs w:val="16"/>
              </w:rPr>
            </w:pPr>
            <w:r w:rsidRPr="00E9768F">
              <w:rPr>
                <w:rFonts w:ascii="Arial" w:hAnsi="Arial" w:cs="Arial"/>
                <w:color w:val="39414D"/>
                <w:sz w:val="16"/>
                <w:szCs w:val="16"/>
              </w:rPr>
              <w:t>Minimum fee schedule</w:t>
            </w:r>
          </w:p>
        </w:tc>
        <w:tc>
          <w:tcPr>
            <w:tcW w:w="2520" w:type="dxa"/>
            <w:shd w:val="clear" w:color="auto" w:fill="auto"/>
            <w:noWrap/>
            <w:vAlign w:val="center"/>
          </w:tcPr>
          <w:p w14:paraId="0A4D5891" w14:textId="7B61B195" w:rsidR="00084E9A" w:rsidRPr="00807E15" w:rsidRDefault="00637D52" w:rsidP="005E4622">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 xml:space="preserve">Minimum fee schedule </w:t>
            </w:r>
            <w:r w:rsidR="009C1F55" w:rsidRPr="00807E15">
              <w:rPr>
                <w:rFonts w:ascii="Arial" w:eastAsia="Times New Roman" w:hAnsi="Arial" w:cs="Arial"/>
                <w:color w:val="39414D"/>
                <w:sz w:val="16"/>
                <w:szCs w:val="16"/>
              </w:rPr>
              <w:t>for assisted living services</w:t>
            </w:r>
            <w:r>
              <w:rPr>
                <w:rFonts w:ascii="Arial" w:eastAsia="Times New Roman" w:hAnsi="Arial" w:cs="Arial"/>
                <w:color w:val="39414D"/>
                <w:sz w:val="16"/>
                <w:szCs w:val="16"/>
              </w:rPr>
              <w:t xml:space="preserve"> approved in Medicaid state plan</w:t>
            </w:r>
          </w:p>
        </w:tc>
        <w:tc>
          <w:tcPr>
            <w:tcW w:w="3294" w:type="dxa"/>
            <w:shd w:val="clear" w:color="auto" w:fill="auto"/>
            <w:noWrap/>
            <w:vAlign w:val="center"/>
          </w:tcPr>
          <w:p w14:paraId="544B6F5E" w14:textId="2A216D90" w:rsidR="00084E9A" w:rsidRPr="00807E15" w:rsidRDefault="009C1F55" w:rsidP="005E4622">
            <w:pPr>
              <w:spacing w:after="0" w:line="240" w:lineRule="auto"/>
              <w:rPr>
                <w:rFonts w:ascii="Arial" w:eastAsia="Times New Roman" w:hAnsi="Arial" w:cs="Arial"/>
                <w:color w:val="39414D"/>
                <w:sz w:val="16"/>
                <w:szCs w:val="16"/>
              </w:rPr>
            </w:pPr>
            <w:r w:rsidRPr="00807E15">
              <w:rPr>
                <w:rFonts w:ascii="Arial" w:eastAsia="Times New Roman" w:hAnsi="Arial" w:cs="Arial"/>
                <w:color w:val="39414D"/>
                <w:sz w:val="16"/>
                <w:szCs w:val="16"/>
              </w:rPr>
              <w:t>Rate Adjustment</w:t>
            </w:r>
          </w:p>
        </w:tc>
      </w:tr>
      <w:tr w:rsidR="009C1F55" w:rsidRPr="00AD66FA" w14:paraId="0701E91C" w14:textId="77777777" w:rsidTr="00F0656A">
        <w:trPr>
          <w:trHeight w:val="101"/>
        </w:trPr>
        <w:tc>
          <w:tcPr>
            <w:tcW w:w="2070" w:type="dxa"/>
            <w:shd w:val="clear" w:color="auto" w:fill="E8E9E9" w:themeFill="accent2" w:themeFillTint="66"/>
            <w:noWrap/>
            <w:vAlign w:val="center"/>
          </w:tcPr>
          <w:p w14:paraId="529177C6" w14:textId="073F4F71" w:rsidR="009C1F55" w:rsidRPr="00E9768F" w:rsidRDefault="00E9768F" w:rsidP="005E4622">
            <w:pPr>
              <w:spacing w:after="0" w:line="240" w:lineRule="auto"/>
              <w:rPr>
                <w:rFonts w:ascii="Arial" w:eastAsia="Times New Roman" w:hAnsi="Arial" w:cs="Arial"/>
                <w:color w:val="39414D"/>
                <w:sz w:val="16"/>
                <w:szCs w:val="16"/>
              </w:rPr>
            </w:pPr>
            <w:r w:rsidRPr="00E9768F">
              <w:rPr>
                <w:rFonts w:ascii="Arial" w:eastAsia="Times New Roman" w:hAnsi="Arial" w:cs="Arial"/>
                <w:color w:val="39414D"/>
                <w:sz w:val="16"/>
                <w:szCs w:val="16"/>
              </w:rPr>
              <w:t>TBD</w:t>
            </w:r>
            <w:r w:rsidR="00E65C17" w:rsidRPr="00E9768F">
              <w:rPr>
                <w:rFonts w:ascii="Arial" w:eastAsia="Times New Roman" w:hAnsi="Arial" w:cs="Arial"/>
                <w:color w:val="39414D"/>
                <w:sz w:val="16"/>
                <w:szCs w:val="16"/>
              </w:rPr>
              <w:t>: Personal Care Shift Differential</w:t>
            </w:r>
          </w:p>
        </w:tc>
        <w:tc>
          <w:tcPr>
            <w:tcW w:w="2070" w:type="dxa"/>
            <w:shd w:val="clear" w:color="auto" w:fill="E8E9E9" w:themeFill="accent2" w:themeFillTint="66"/>
            <w:noWrap/>
            <w:vAlign w:val="center"/>
          </w:tcPr>
          <w:p w14:paraId="31ACCD35" w14:textId="449FA200" w:rsidR="009C1F55" w:rsidRPr="00E9768F" w:rsidRDefault="00E65C17" w:rsidP="005E4622">
            <w:pPr>
              <w:spacing w:after="0" w:line="240" w:lineRule="auto"/>
              <w:rPr>
                <w:rFonts w:ascii="Arial" w:eastAsia="Times New Roman" w:hAnsi="Arial" w:cs="Arial"/>
                <w:color w:val="39414D"/>
                <w:sz w:val="16"/>
                <w:szCs w:val="16"/>
              </w:rPr>
            </w:pPr>
            <w:r w:rsidRPr="00E9768F">
              <w:rPr>
                <w:rFonts w:ascii="Arial" w:hAnsi="Arial" w:cs="Arial"/>
                <w:color w:val="39414D"/>
                <w:sz w:val="16"/>
                <w:szCs w:val="16"/>
              </w:rPr>
              <w:t>Minimum fee schedule</w:t>
            </w:r>
          </w:p>
        </w:tc>
        <w:tc>
          <w:tcPr>
            <w:tcW w:w="2520" w:type="dxa"/>
            <w:shd w:val="clear" w:color="auto" w:fill="E8E9E9" w:themeFill="accent2" w:themeFillTint="66"/>
            <w:noWrap/>
            <w:vAlign w:val="center"/>
          </w:tcPr>
          <w:p w14:paraId="4D4941C5" w14:textId="7E1B622E" w:rsidR="009C1F55" w:rsidRPr="00E9768F" w:rsidRDefault="00E65C17" w:rsidP="005E4622">
            <w:pPr>
              <w:spacing w:after="0" w:line="240" w:lineRule="auto"/>
              <w:rPr>
                <w:rFonts w:ascii="Arial" w:eastAsia="Times New Roman" w:hAnsi="Arial" w:cs="Arial"/>
                <w:color w:val="39414D"/>
                <w:sz w:val="16"/>
                <w:szCs w:val="16"/>
              </w:rPr>
            </w:pPr>
            <w:r w:rsidRPr="00E9768F">
              <w:rPr>
                <w:rFonts w:ascii="Arial" w:hAnsi="Arial" w:cs="Arial"/>
                <w:color w:val="39414D"/>
                <w:sz w:val="16"/>
                <w:szCs w:val="16"/>
              </w:rPr>
              <w:t xml:space="preserve">Minimum fee schedule per fifteen minutes </w:t>
            </w:r>
            <w:r w:rsidRPr="00807E15">
              <w:rPr>
                <w:rFonts w:ascii="Arial" w:hAnsi="Arial" w:cs="Arial"/>
                <w:color w:val="39414D"/>
                <w:sz w:val="16"/>
                <w:szCs w:val="16"/>
              </w:rPr>
              <w:t xml:space="preserve">for personal care and combined personal care/homemaker </w:t>
            </w:r>
            <w:r w:rsidRPr="00E9768F">
              <w:rPr>
                <w:rFonts w:ascii="Arial" w:hAnsi="Arial" w:cs="Arial"/>
                <w:color w:val="39414D"/>
                <w:sz w:val="16"/>
                <w:szCs w:val="16"/>
              </w:rPr>
              <w:t>services</w:t>
            </w:r>
            <w:r w:rsidR="00637D52">
              <w:rPr>
                <w:rFonts w:ascii="Arial" w:hAnsi="Arial" w:cs="Arial"/>
                <w:color w:val="39414D"/>
                <w:sz w:val="16"/>
                <w:szCs w:val="16"/>
              </w:rPr>
              <w:t xml:space="preserve"> with a shift modifier for nights, weekends, and holidays</w:t>
            </w:r>
          </w:p>
        </w:tc>
        <w:tc>
          <w:tcPr>
            <w:tcW w:w="3294" w:type="dxa"/>
            <w:shd w:val="clear" w:color="auto" w:fill="E8E9E9" w:themeFill="accent2" w:themeFillTint="66"/>
            <w:noWrap/>
            <w:vAlign w:val="center"/>
          </w:tcPr>
          <w:p w14:paraId="0E6D0267" w14:textId="2BBB32D8" w:rsidR="009C1F55" w:rsidRPr="00E9768F" w:rsidRDefault="009C1F55" w:rsidP="005E4622">
            <w:pPr>
              <w:spacing w:after="0" w:line="240" w:lineRule="auto"/>
              <w:rPr>
                <w:rFonts w:ascii="Arial" w:eastAsia="Times New Roman" w:hAnsi="Arial" w:cs="Arial"/>
                <w:color w:val="39414D"/>
                <w:sz w:val="16"/>
                <w:szCs w:val="16"/>
              </w:rPr>
            </w:pPr>
            <w:r w:rsidRPr="00E9768F">
              <w:rPr>
                <w:rFonts w:ascii="Arial" w:eastAsia="Times New Roman" w:hAnsi="Arial" w:cs="Arial"/>
                <w:color w:val="39414D"/>
                <w:sz w:val="16"/>
                <w:szCs w:val="16"/>
              </w:rPr>
              <w:t>Rate Adjustment</w:t>
            </w:r>
          </w:p>
        </w:tc>
      </w:tr>
      <w:tr w:rsidR="00084E9A" w:rsidRPr="00AD66FA" w14:paraId="53552AB3" w14:textId="77777777" w:rsidTr="00F0656A">
        <w:trPr>
          <w:trHeight w:val="101"/>
        </w:trPr>
        <w:tc>
          <w:tcPr>
            <w:tcW w:w="2070" w:type="dxa"/>
            <w:shd w:val="clear" w:color="auto" w:fill="auto"/>
            <w:noWrap/>
            <w:vAlign w:val="center"/>
          </w:tcPr>
          <w:p w14:paraId="7370C4DE" w14:textId="26BEAAAC" w:rsidR="00084E9A" w:rsidRPr="004E54E8" w:rsidRDefault="00E65C17" w:rsidP="005E4622">
            <w:pPr>
              <w:spacing w:after="0" w:line="240" w:lineRule="auto"/>
              <w:rPr>
                <w:rFonts w:ascii="Arial" w:eastAsia="Times New Roman" w:hAnsi="Arial" w:cs="Arial"/>
                <w:color w:val="39414D"/>
                <w:sz w:val="16"/>
                <w:szCs w:val="16"/>
              </w:rPr>
            </w:pPr>
            <w:r w:rsidRPr="00E9768F">
              <w:rPr>
                <w:rFonts w:ascii="Arial" w:eastAsia="Times New Roman" w:hAnsi="Arial" w:cs="Arial"/>
                <w:color w:val="39414D"/>
                <w:sz w:val="16"/>
                <w:szCs w:val="16"/>
              </w:rPr>
              <w:t>N/A: Personal Care Behavioral Health Certification Enhancement</w:t>
            </w:r>
          </w:p>
        </w:tc>
        <w:tc>
          <w:tcPr>
            <w:tcW w:w="2070" w:type="dxa"/>
            <w:shd w:val="clear" w:color="auto" w:fill="auto"/>
            <w:noWrap/>
            <w:vAlign w:val="center"/>
          </w:tcPr>
          <w:p w14:paraId="483D60CC" w14:textId="7BA64493" w:rsidR="00084E9A" w:rsidRPr="004E54E8" w:rsidRDefault="00637D52" w:rsidP="005E4622">
            <w:pPr>
              <w:spacing w:after="0" w:line="240" w:lineRule="auto"/>
              <w:rPr>
                <w:rFonts w:ascii="Arial" w:eastAsia="Times New Roman" w:hAnsi="Arial" w:cs="Arial"/>
                <w:color w:val="39414D"/>
                <w:sz w:val="16"/>
                <w:szCs w:val="16"/>
              </w:rPr>
            </w:pPr>
            <w:r w:rsidRPr="00E9768F">
              <w:rPr>
                <w:rFonts w:ascii="Arial" w:hAnsi="Arial" w:cs="Arial"/>
                <w:color w:val="39414D"/>
                <w:sz w:val="16"/>
                <w:szCs w:val="16"/>
              </w:rPr>
              <w:t>Minimum fee schedule</w:t>
            </w:r>
          </w:p>
        </w:tc>
        <w:tc>
          <w:tcPr>
            <w:tcW w:w="2520" w:type="dxa"/>
            <w:shd w:val="clear" w:color="auto" w:fill="auto"/>
            <w:noWrap/>
            <w:vAlign w:val="center"/>
          </w:tcPr>
          <w:p w14:paraId="75B75E87" w14:textId="0E92BDDB" w:rsidR="00084E9A" w:rsidRPr="004E54E8" w:rsidRDefault="009B6DD2" w:rsidP="005E4622">
            <w:pPr>
              <w:spacing w:after="0" w:line="240" w:lineRule="auto"/>
              <w:rPr>
                <w:rFonts w:ascii="Arial" w:eastAsia="Times New Roman" w:hAnsi="Arial" w:cs="Arial"/>
                <w:color w:val="39414D"/>
                <w:sz w:val="16"/>
                <w:szCs w:val="16"/>
              </w:rPr>
            </w:pPr>
            <w:r w:rsidRPr="004E54E8">
              <w:rPr>
                <w:rFonts w:ascii="Arial" w:eastAsia="Times New Roman" w:hAnsi="Arial" w:cs="Arial"/>
                <w:color w:val="39414D"/>
                <w:sz w:val="16"/>
                <w:szCs w:val="16"/>
              </w:rPr>
              <w:t>Implement a base rate enhancement</w:t>
            </w:r>
            <w:r w:rsidR="00637D52">
              <w:rPr>
                <w:rFonts w:ascii="Arial" w:eastAsia="Times New Roman" w:hAnsi="Arial" w:cs="Arial"/>
                <w:color w:val="39414D"/>
                <w:sz w:val="16"/>
                <w:szCs w:val="16"/>
              </w:rPr>
              <w:t xml:space="preserve"> approved in Medicaid state plan</w:t>
            </w:r>
            <w:r w:rsidRPr="004E54E8">
              <w:rPr>
                <w:rFonts w:ascii="Arial" w:eastAsia="Times New Roman" w:hAnsi="Arial" w:cs="Arial"/>
                <w:color w:val="39414D"/>
                <w:sz w:val="16"/>
                <w:szCs w:val="16"/>
              </w:rPr>
              <w:t xml:space="preserve"> for </w:t>
            </w:r>
            <w:r w:rsidR="00115557" w:rsidRPr="004E54E8">
              <w:rPr>
                <w:rFonts w:ascii="Arial" w:eastAsia="Times New Roman" w:hAnsi="Arial" w:cs="Arial"/>
                <w:color w:val="39414D"/>
                <w:sz w:val="16"/>
                <w:szCs w:val="16"/>
              </w:rPr>
              <w:t>personal care</w:t>
            </w:r>
            <w:r w:rsidR="00637D52">
              <w:rPr>
                <w:rFonts w:ascii="Arial" w:eastAsia="Times New Roman" w:hAnsi="Arial" w:cs="Arial"/>
                <w:color w:val="39414D"/>
                <w:sz w:val="16"/>
                <w:szCs w:val="16"/>
              </w:rPr>
              <w:t>, combined personal care/homemaker,</w:t>
            </w:r>
            <w:r w:rsidR="00115557" w:rsidRPr="004E54E8">
              <w:rPr>
                <w:rFonts w:ascii="Arial" w:eastAsia="Times New Roman" w:hAnsi="Arial" w:cs="Arial"/>
                <w:color w:val="39414D"/>
                <w:sz w:val="16"/>
                <w:szCs w:val="16"/>
              </w:rPr>
              <w:t xml:space="preserve"> and homemaker </w:t>
            </w:r>
            <w:r w:rsidR="00637D52">
              <w:rPr>
                <w:rFonts w:ascii="Arial" w:eastAsia="Times New Roman" w:hAnsi="Arial" w:cs="Arial"/>
                <w:color w:val="39414D"/>
                <w:sz w:val="16"/>
                <w:szCs w:val="16"/>
              </w:rPr>
              <w:t xml:space="preserve">only </w:t>
            </w:r>
            <w:r w:rsidR="00115557" w:rsidRPr="004E54E8">
              <w:rPr>
                <w:rFonts w:ascii="Arial" w:eastAsia="Times New Roman" w:hAnsi="Arial" w:cs="Arial"/>
                <w:color w:val="39414D"/>
                <w:sz w:val="16"/>
                <w:szCs w:val="16"/>
              </w:rPr>
              <w:t>services for providers with at least 30% of direct care workers certified in behavioral healthcare training</w:t>
            </w:r>
          </w:p>
        </w:tc>
        <w:tc>
          <w:tcPr>
            <w:tcW w:w="3294" w:type="dxa"/>
            <w:shd w:val="clear" w:color="auto" w:fill="auto"/>
            <w:noWrap/>
            <w:vAlign w:val="center"/>
          </w:tcPr>
          <w:p w14:paraId="16B25AE1" w14:textId="5891BCCC" w:rsidR="00084E9A" w:rsidRPr="004E54E8" w:rsidRDefault="009C1F55" w:rsidP="005E4622">
            <w:pPr>
              <w:spacing w:after="0" w:line="240" w:lineRule="auto"/>
              <w:rPr>
                <w:rFonts w:ascii="Arial" w:eastAsia="Times New Roman" w:hAnsi="Arial" w:cs="Arial"/>
                <w:color w:val="39414D"/>
                <w:sz w:val="16"/>
                <w:szCs w:val="16"/>
              </w:rPr>
            </w:pPr>
            <w:r w:rsidRPr="004E54E8">
              <w:rPr>
                <w:rFonts w:ascii="Arial" w:eastAsia="Times New Roman" w:hAnsi="Arial" w:cs="Arial"/>
                <w:color w:val="39414D"/>
                <w:sz w:val="16"/>
                <w:szCs w:val="16"/>
              </w:rPr>
              <w:t>Rate Adjustment</w:t>
            </w:r>
          </w:p>
        </w:tc>
      </w:tr>
      <w:tr w:rsidR="00E9768F" w:rsidRPr="00AD66FA" w14:paraId="30618245" w14:textId="77777777" w:rsidTr="004E54E8">
        <w:trPr>
          <w:trHeight w:val="101"/>
        </w:trPr>
        <w:tc>
          <w:tcPr>
            <w:tcW w:w="2070" w:type="dxa"/>
            <w:shd w:val="clear" w:color="auto" w:fill="E8E9E9" w:themeFill="accent2" w:themeFillTint="66"/>
            <w:noWrap/>
            <w:vAlign w:val="center"/>
          </w:tcPr>
          <w:p w14:paraId="1DA763E0" w14:textId="34A1AF2B" w:rsidR="00E9768F" w:rsidRPr="00E9768F" w:rsidRDefault="006A19AC" w:rsidP="005E4622">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RI_Fee_HCBS_New_20220701-20230630: Home Care Agencies</w:t>
            </w:r>
          </w:p>
        </w:tc>
        <w:tc>
          <w:tcPr>
            <w:tcW w:w="2070" w:type="dxa"/>
            <w:shd w:val="clear" w:color="auto" w:fill="E8E9E9" w:themeFill="accent2" w:themeFillTint="66"/>
            <w:noWrap/>
            <w:vAlign w:val="center"/>
          </w:tcPr>
          <w:p w14:paraId="39AF51CE" w14:textId="6AAF1FB1" w:rsidR="00E9768F" w:rsidRPr="00E9768F" w:rsidRDefault="00E9768F" w:rsidP="005E4622">
            <w:pPr>
              <w:spacing w:after="0" w:line="240" w:lineRule="auto"/>
              <w:rPr>
                <w:rFonts w:ascii="Arial" w:hAnsi="Arial" w:cs="Arial"/>
                <w:color w:val="39414D"/>
                <w:sz w:val="16"/>
                <w:szCs w:val="16"/>
              </w:rPr>
            </w:pPr>
            <w:r>
              <w:rPr>
                <w:rFonts w:ascii="Arial" w:hAnsi="Arial" w:cs="Arial"/>
                <w:color w:val="39414D"/>
                <w:sz w:val="16"/>
                <w:szCs w:val="16"/>
              </w:rPr>
              <w:t>Uniform Dollar Increase</w:t>
            </w:r>
          </w:p>
        </w:tc>
        <w:tc>
          <w:tcPr>
            <w:tcW w:w="2520" w:type="dxa"/>
            <w:shd w:val="clear" w:color="auto" w:fill="E8E9E9" w:themeFill="accent2" w:themeFillTint="66"/>
            <w:noWrap/>
            <w:vAlign w:val="center"/>
          </w:tcPr>
          <w:p w14:paraId="15E225FA" w14:textId="7C93F317" w:rsidR="00E9768F" w:rsidRPr="00E9768F" w:rsidRDefault="00E9768F" w:rsidP="005E4622">
            <w:pPr>
              <w:spacing w:after="0" w:line="240" w:lineRule="auto"/>
              <w:rPr>
                <w:rFonts w:ascii="Arial" w:hAnsi="Arial" w:cs="Arial"/>
                <w:color w:val="39414D"/>
                <w:sz w:val="16"/>
                <w:szCs w:val="16"/>
              </w:rPr>
            </w:pPr>
            <w:r>
              <w:rPr>
                <w:rFonts w:ascii="Arial" w:hAnsi="Arial" w:cs="Arial"/>
                <w:color w:val="39414D"/>
                <w:sz w:val="16"/>
                <w:szCs w:val="16"/>
              </w:rPr>
              <w:t xml:space="preserve">Uniform increase </w:t>
            </w:r>
            <w:r w:rsidR="00807E15">
              <w:rPr>
                <w:rFonts w:ascii="Arial" w:hAnsi="Arial" w:cs="Arial"/>
                <w:color w:val="39414D"/>
                <w:sz w:val="16"/>
                <w:szCs w:val="16"/>
              </w:rPr>
              <w:t>to home care agencies to build capacity and sustainability</w:t>
            </w:r>
          </w:p>
        </w:tc>
        <w:tc>
          <w:tcPr>
            <w:tcW w:w="3294" w:type="dxa"/>
            <w:shd w:val="clear" w:color="auto" w:fill="E8E9E9" w:themeFill="accent2" w:themeFillTint="66"/>
            <w:noWrap/>
            <w:vAlign w:val="center"/>
          </w:tcPr>
          <w:p w14:paraId="1FD7AF01" w14:textId="76628FE1" w:rsidR="00E9768F" w:rsidRPr="00C71160" w:rsidRDefault="00C71160" w:rsidP="005E4622">
            <w:pPr>
              <w:spacing w:after="0" w:line="240" w:lineRule="auto"/>
              <w:rPr>
                <w:rFonts w:ascii="Arial" w:eastAsia="Times New Roman" w:hAnsi="Arial" w:cs="Arial"/>
                <w:color w:val="39414D"/>
                <w:sz w:val="16"/>
                <w:szCs w:val="16"/>
              </w:rPr>
            </w:pPr>
            <w:r>
              <w:rPr>
                <w:rFonts w:ascii="Arial" w:eastAsia="Times New Roman" w:hAnsi="Arial" w:cs="Arial"/>
                <w:color w:val="39414D"/>
                <w:sz w:val="16"/>
                <w:szCs w:val="16"/>
              </w:rPr>
              <w:t>Separate Payment Term</w:t>
            </w:r>
          </w:p>
        </w:tc>
      </w:tr>
      <w:tr w:rsidR="006E3774" w:rsidRPr="00AD66FA" w14:paraId="124D056A" w14:textId="77777777" w:rsidTr="00D5509C">
        <w:trPr>
          <w:trHeight w:val="101"/>
        </w:trPr>
        <w:tc>
          <w:tcPr>
            <w:tcW w:w="9954" w:type="dxa"/>
            <w:gridSpan w:val="4"/>
            <w:shd w:val="clear" w:color="auto" w:fill="auto"/>
            <w:noWrap/>
            <w:vAlign w:val="center"/>
          </w:tcPr>
          <w:p w14:paraId="28809807" w14:textId="0E517E99" w:rsidR="006E3774" w:rsidRPr="006E3774" w:rsidRDefault="006E3774" w:rsidP="006E3774">
            <w:pPr>
              <w:pStyle w:val="RRBullet1"/>
              <w:numPr>
                <w:ilvl w:val="0"/>
                <w:numId w:val="0"/>
              </w:numPr>
              <w:spacing w:before="120" w:after="0"/>
              <w:rPr>
                <w:rFonts w:ascii="Arial" w:eastAsia="Times New Roman" w:hAnsi="Arial" w:cs="Arial"/>
                <w:color w:val="727A7D"/>
                <w:sz w:val="16"/>
                <w:szCs w:val="16"/>
              </w:rPr>
            </w:pPr>
            <w:r w:rsidRPr="006E3774">
              <w:rPr>
                <w:rFonts w:ascii="Arial" w:eastAsia="Times New Roman" w:hAnsi="Arial" w:cs="Arial"/>
                <w:color w:val="727A7D"/>
                <w:sz w:val="16"/>
                <w:szCs w:val="16"/>
              </w:rPr>
              <w:t xml:space="preserve">Note: </w:t>
            </w:r>
            <w:r>
              <w:rPr>
                <w:rFonts w:ascii="Arial" w:eastAsia="Times New Roman" w:hAnsi="Arial" w:cs="Arial"/>
                <w:color w:val="727A7D"/>
                <w:sz w:val="16"/>
                <w:szCs w:val="16"/>
              </w:rPr>
              <w:t xml:space="preserve">The assisted living and </w:t>
            </w:r>
            <w:r w:rsidR="00807E15">
              <w:rPr>
                <w:rFonts w:ascii="Arial" w:eastAsia="Times New Roman" w:hAnsi="Arial" w:cs="Arial"/>
                <w:color w:val="727A7D"/>
                <w:sz w:val="16"/>
                <w:szCs w:val="16"/>
              </w:rPr>
              <w:t xml:space="preserve">personal care </w:t>
            </w:r>
            <w:r>
              <w:rPr>
                <w:rFonts w:ascii="Arial" w:eastAsia="Times New Roman" w:hAnsi="Arial" w:cs="Arial"/>
                <w:color w:val="727A7D"/>
                <w:sz w:val="16"/>
                <w:szCs w:val="16"/>
              </w:rPr>
              <w:t>behavioral health certification enhancement directed payments are based on a state plan approved fee schedule</w:t>
            </w:r>
            <w:r w:rsidR="00637D52">
              <w:rPr>
                <w:rFonts w:ascii="Arial" w:eastAsia="Times New Roman" w:hAnsi="Arial" w:cs="Arial"/>
                <w:color w:val="727A7D"/>
                <w:sz w:val="16"/>
                <w:szCs w:val="16"/>
              </w:rPr>
              <w:t xml:space="preserve"> and no preprint will be submitted</w:t>
            </w:r>
            <w:r>
              <w:rPr>
                <w:rFonts w:ascii="Arial" w:eastAsia="Times New Roman" w:hAnsi="Arial" w:cs="Arial"/>
                <w:color w:val="727A7D"/>
                <w:sz w:val="16"/>
                <w:szCs w:val="16"/>
              </w:rPr>
              <w:t>.</w:t>
            </w:r>
          </w:p>
          <w:p w14:paraId="2445514F" w14:textId="77777777" w:rsidR="006E3774" w:rsidRDefault="006E3774" w:rsidP="005E4622">
            <w:pPr>
              <w:spacing w:after="0" w:line="240" w:lineRule="auto"/>
              <w:rPr>
                <w:rFonts w:ascii="Arial" w:eastAsia="Times New Roman" w:hAnsi="Arial" w:cs="Arial"/>
                <w:color w:val="39414D"/>
                <w:szCs w:val="18"/>
              </w:rPr>
            </w:pPr>
          </w:p>
        </w:tc>
      </w:tr>
    </w:tbl>
    <w:p w14:paraId="78919A84" w14:textId="4F87EC66" w:rsidR="00052FE4" w:rsidRDefault="00680FB7">
      <w:pPr>
        <w:pStyle w:val="Heading6"/>
      </w:pPr>
      <w:r>
        <w:t>S</w:t>
      </w:r>
      <w:r w:rsidR="00704FFB">
        <w:t>tate directed payments</w:t>
      </w:r>
      <w:r>
        <w:t xml:space="preserve"> incorporated as a rate adjustment</w:t>
      </w:r>
    </w:p>
    <w:p w14:paraId="4CCCF060" w14:textId="01EF99B3" w:rsidR="00680FB7" w:rsidRDefault="00637D52" w:rsidP="00052FE4">
      <w:pPr>
        <w:pStyle w:val="RRBody"/>
        <w:tabs>
          <w:tab w:val="left" w:pos="7926"/>
        </w:tabs>
      </w:pPr>
      <w:r>
        <w:t xml:space="preserve">Consistent with 42 CFR §438.7(b)(6) and 438.6(d), state directed payments </w:t>
      </w:r>
      <w:r w:rsidR="00680FB7">
        <w:t>are</w:t>
      </w:r>
      <w:r>
        <w:t xml:space="preserve"> be incorporated into the rate certification as a rate adjustment consistent with the </w:t>
      </w:r>
      <w:r w:rsidR="00680FB7">
        <w:t xml:space="preserve">anticipated </w:t>
      </w:r>
      <w:r>
        <w:t>preprint</w:t>
      </w:r>
      <w:r w:rsidR="00680FB7">
        <w:t>s</w:t>
      </w:r>
      <w:r>
        <w:t>. The effect of each state directed payment on the SFY 2023 capitation rates is outlined in the figure below</w:t>
      </w:r>
      <w:r w:rsidR="00E36F8A">
        <w:t>.</w:t>
      </w:r>
    </w:p>
    <w:p w14:paraId="2949D770" w14:textId="10DAB357" w:rsidR="00680FB7" w:rsidRDefault="00680FB7" w:rsidP="00052FE4">
      <w:pPr>
        <w:pStyle w:val="RRBody"/>
        <w:tabs>
          <w:tab w:val="left" w:pos="7926"/>
        </w:tabs>
      </w:pPr>
    </w:p>
    <w:p w14:paraId="311EC74E" w14:textId="04D0C5BE" w:rsidR="00680FB7" w:rsidRDefault="00680FB7" w:rsidP="00052FE4">
      <w:pPr>
        <w:pStyle w:val="RRBody"/>
        <w:tabs>
          <w:tab w:val="left" w:pos="7926"/>
        </w:tabs>
      </w:pPr>
    </w:p>
    <w:p w14:paraId="583ECBA9" w14:textId="7C17F0BA" w:rsidR="00680FB7" w:rsidRDefault="00680FB7" w:rsidP="00052FE4">
      <w:pPr>
        <w:pStyle w:val="RRBody"/>
        <w:tabs>
          <w:tab w:val="left" w:pos="7926"/>
        </w:tabs>
      </w:pPr>
    </w:p>
    <w:p w14:paraId="3D7B03B6" w14:textId="334A2593" w:rsidR="00680FB7" w:rsidRDefault="00680FB7" w:rsidP="00052FE4">
      <w:pPr>
        <w:pStyle w:val="RRBody"/>
        <w:tabs>
          <w:tab w:val="left" w:pos="7926"/>
        </w:tabs>
      </w:pPr>
    </w:p>
    <w:p w14:paraId="3E9044AE" w14:textId="3FA79D9B" w:rsidR="00680FB7" w:rsidRDefault="00680FB7" w:rsidP="00052FE4">
      <w:pPr>
        <w:pStyle w:val="RRBody"/>
        <w:tabs>
          <w:tab w:val="left" w:pos="7926"/>
        </w:tabs>
      </w:pPr>
    </w:p>
    <w:p w14:paraId="1C560759" w14:textId="2B64921D" w:rsidR="00680FB7" w:rsidRDefault="00680FB7" w:rsidP="00052FE4">
      <w:pPr>
        <w:pStyle w:val="RRBody"/>
        <w:tabs>
          <w:tab w:val="left" w:pos="7926"/>
        </w:tabs>
      </w:pPr>
    </w:p>
    <w:p w14:paraId="4C461F87" w14:textId="39345257" w:rsidR="00680FB7" w:rsidRDefault="00680FB7" w:rsidP="00052FE4">
      <w:pPr>
        <w:pStyle w:val="RRBody"/>
        <w:tabs>
          <w:tab w:val="left" w:pos="7926"/>
        </w:tabs>
      </w:pPr>
    </w:p>
    <w:p w14:paraId="27479458" w14:textId="0012CB6A" w:rsidR="00680FB7" w:rsidRDefault="00680FB7" w:rsidP="00052FE4">
      <w:pPr>
        <w:pStyle w:val="RRBody"/>
        <w:tabs>
          <w:tab w:val="left" w:pos="7926"/>
        </w:tabs>
      </w:pPr>
    </w:p>
    <w:p w14:paraId="6C125402" w14:textId="162DBAE7" w:rsidR="00680FB7" w:rsidRDefault="00680FB7" w:rsidP="00052FE4">
      <w:pPr>
        <w:pStyle w:val="RRBody"/>
        <w:tabs>
          <w:tab w:val="left" w:pos="7926"/>
        </w:tabs>
      </w:pPr>
    </w:p>
    <w:p w14:paraId="7367FFDD" w14:textId="77CFBA37" w:rsidR="00680FB7" w:rsidRDefault="00680FB7" w:rsidP="00052FE4">
      <w:pPr>
        <w:pStyle w:val="RRBody"/>
        <w:tabs>
          <w:tab w:val="left" w:pos="7926"/>
        </w:tabs>
      </w:pPr>
    </w:p>
    <w:p w14:paraId="7727D6C6" w14:textId="4E676171" w:rsidR="00680FB7" w:rsidRDefault="00680FB7" w:rsidP="00052FE4">
      <w:pPr>
        <w:pStyle w:val="RRBody"/>
        <w:tabs>
          <w:tab w:val="left" w:pos="7926"/>
        </w:tabs>
      </w:pPr>
    </w:p>
    <w:p w14:paraId="6F11FB19" w14:textId="77777777" w:rsidR="00680FB7" w:rsidRDefault="00680FB7" w:rsidP="00052FE4">
      <w:pPr>
        <w:pStyle w:val="RRBody"/>
        <w:tabs>
          <w:tab w:val="left" w:pos="7926"/>
        </w:tabs>
      </w:pPr>
    </w:p>
    <w:p w14:paraId="0E3F70AB" w14:textId="77777777" w:rsidR="006E3774" w:rsidRDefault="006E3774" w:rsidP="00052FE4">
      <w:pPr>
        <w:pStyle w:val="RRBody"/>
        <w:tabs>
          <w:tab w:val="left" w:pos="7926"/>
        </w:tabs>
      </w:pPr>
    </w:p>
    <w:tbl>
      <w:tblPr>
        <w:tblW w:w="9944" w:type="dxa"/>
        <w:tblLook w:val="04A0" w:firstRow="1" w:lastRow="0" w:firstColumn="1" w:lastColumn="0" w:noHBand="0" w:noVBand="1"/>
      </w:tblPr>
      <w:tblGrid>
        <w:gridCol w:w="2070"/>
        <w:gridCol w:w="1260"/>
        <w:gridCol w:w="2160"/>
        <w:gridCol w:w="1890"/>
        <w:gridCol w:w="2564"/>
      </w:tblGrid>
      <w:tr w:rsidR="00052FE4" w:rsidRPr="00E40A2F" w14:paraId="2F836300" w14:textId="77777777" w:rsidTr="00AC62A7">
        <w:trPr>
          <w:trHeight w:val="176"/>
        </w:trPr>
        <w:tc>
          <w:tcPr>
            <w:tcW w:w="9944" w:type="dxa"/>
            <w:gridSpan w:val="5"/>
            <w:tcBorders>
              <w:top w:val="single" w:sz="4" w:space="0" w:color="E8E9E9"/>
              <w:left w:val="nil"/>
              <w:bottom w:val="nil"/>
              <w:right w:val="nil"/>
            </w:tcBorders>
            <w:shd w:val="clear" w:color="auto" w:fill="auto"/>
            <w:noWrap/>
            <w:vAlign w:val="bottom"/>
            <w:hideMark/>
          </w:tcPr>
          <w:p w14:paraId="4A335CFE" w14:textId="71784AB3" w:rsidR="00052FE4" w:rsidRPr="00E40A2F" w:rsidRDefault="00052FE4" w:rsidP="00AC62A7">
            <w:pPr>
              <w:spacing w:after="0" w:line="240" w:lineRule="auto"/>
              <w:rPr>
                <w:rFonts w:ascii="Arial" w:eastAsia="Times New Roman" w:hAnsi="Arial" w:cs="Arial"/>
                <w:b/>
                <w:bCs/>
                <w:color w:val="0081E3"/>
                <w:szCs w:val="18"/>
              </w:rPr>
            </w:pPr>
            <w:r w:rsidRPr="00E40A2F">
              <w:rPr>
                <w:rFonts w:ascii="Arial" w:eastAsia="Times New Roman" w:hAnsi="Arial" w:cs="Arial"/>
                <w:b/>
                <w:bCs/>
                <w:color w:val="0081E3"/>
                <w:szCs w:val="18"/>
              </w:rPr>
              <w:lastRenderedPageBreak/>
              <w:t xml:space="preserve">FIGURE </w:t>
            </w:r>
            <w:r w:rsidR="00DC7441">
              <w:rPr>
                <w:rFonts w:ascii="Arial" w:eastAsia="Times New Roman" w:hAnsi="Arial" w:cs="Arial"/>
                <w:b/>
                <w:bCs/>
                <w:color w:val="0081E3"/>
                <w:szCs w:val="18"/>
              </w:rPr>
              <w:t>11</w:t>
            </w:r>
            <w:r w:rsidRPr="00E40A2F">
              <w:rPr>
                <w:rFonts w:ascii="Arial" w:eastAsia="Times New Roman" w:hAnsi="Arial" w:cs="Arial"/>
                <w:b/>
                <w:bCs/>
                <w:color w:val="0081E3"/>
                <w:szCs w:val="18"/>
              </w:rPr>
              <w:t xml:space="preserve">: </w:t>
            </w:r>
            <w:r w:rsidR="00084359" w:rsidRPr="00F407C2">
              <w:rPr>
                <w:rFonts w:ascii="Arial" w:eastAsia="Times New Roman" w:hAnsi="Arial" w:cs="Arial"/>
                <w:b/>
                <w:bCs/>
                <w:color w:val="0081E3"/>
                <w:szCs w:val="18"/>
              </w:rPr>
              <w:t xml:space="preserve">EFFECT OF STATE DIRECTED PAYMENTS – </w:t>
            </w:r>
            <w:r w:rsidR="00084359">
              <w:rPr>
                <w:rFonts w:ascii="Arial" w:eastAsia="Times New Roman" w:hAnsi="Arial" w:cs="Arial"/>
                <w:b/>
                <w:bCs/>
                <w:color w:val="0081E3"/>
                <w:szCs w:val="18"/>
              </w:rPr>
              <w:t>RATE ADJUSTMENT</w:t>
            </w:r>
          </w:p>
        </w:tc>
      </w:tr>
      <w:tr w:rsidR="00052FE4" w:rsidRPr="00E40A2F" w14:paraId="141293F2" w14:textId="77777777" w:rsidTr="006B42A9">
        <w:trPr>
          <w:trHeight w:val="567"/>
        </w:trPr>
        <w:tc>
          <w:tcPr>
            <w:tcW w:w="2070" w:type="dxa"/>
            <w:tcBorders>
              <w:top w:val="nil"/>
              <w:left w:val="nil"/>
              <w:bottom w:val="single" w:sz="4" w:space="0" w:color="C6C9CA"/>
              <w:right w:val="nil"/>
            </w:tcBorders>
            <w:shd w:val="clear" w:color="auto" w:fill="auto"/>
            <w:vAlign w:val="center"/>
            <w:hideMark/>
          </w:tcPr>
          <w:p w14:paraId="5E79D1F6" w14:textId="77777777" w:rsidR="00052FE4" w:rsidRPr="00E40A2F" w:rsidRDefault="00052FE4" w:rsidP="005E4622">
            <w:pPr>
              <w:spacing w:after="0" w:line="240" w:lineRule="auto"/>
              <w:rPr>
                <w:rFonts w:ascii="Arial" w:eastAsia="Times New Roman" w:hAnsi="Arial" w:cs="Arial"/>
                <w:b/>
                <w:bCs/>
                <w:color w:val="39414D"/>
                <w:szCs w:val="18"/>
              </w:rPr>
            </w:pPr>
            <w:r w:rsidRPr="00E40A2F">
              <w:rPr>
                <w:rFonts w:ascii="Arial" w:eastAsia="Times New Roman" w:hAnsi="Arial" w:cs="Arial"/>
                <w:b/>
                <w:bCs/>
                <w:color w:val="39414D"/>
                <w:szCs w:val="18"/>
              </w:rPr>
              <w:t>CONTROL NAME OF STATE DIRECTED PAYMENT</w:t>
            </w:r>
          </w:p>
        </w:tc>
        <w:tc>
          <w:tcPr>
            <w:tcW w:w="1260" w:type="dxa"/>
            <w:tcBorders>
              <w:top w:val="nil"/>
              <w:left w:val="nil"/>
              <w:bottom w:val="single" w:sz="4" w:space="0" w:color="C6C9CA"/>
              <w:right w:val="nil"/>
            </w:tcBorders>
            <w:shd w:val="clear" w:color="auto" w:fill="auto"/>
            <w:vAlign w:val="center"/>
            <w:hideMark/>
          </w:tcPr>
          <w:p w14:paraId="0278B7D7" w14:textId="77777777" w:rsidR="00052FE4" w:rsidRPr="00E40A2F" w:rsidRDefault="00052FE4" w:rsidP="006B42A9">
            <w:pPr>
              <w:spacing w:after="0" w:line="240" w:lineRule="auto"/>
              <w:rPr>
                <w:rFonts w:ascii="Arial" w:eastAsia="Times New Roman" w:hAnsi="Arial" w:cs="Arial"/>
                <w:b/>
                <w:bCs/>
                <w:color w:val="39414D"/>
                <w:szCs w:val="18"/>
              </w:rPr>
            </w:pPr>
            <w:r w:rsidRPr="00E40A2F">
              <w:rPr>
                <w:rFonts w:ascii="Arial" w:eastAsia="Times New Roman" w:hAnsi="Arial" w:cs="Arial"/>
                <w:b/>
                <w:bCs/>
                <w:color w:val="39414D"/>
                <w:szCs w:val="18"/>
              </w:rPr>
              <w:t>RATE CELLS AFFECTED</w:t>
            </w:r>
          </w:p>
        </w:tc>
        <w:tc>
          <w:tcPr>
            <w:tcW w:w="2160" w:type="dxa"/>
            <w:tcBorders>
              <w:top w:val="nil"/>
              <w:left w:val="nil"/>
              <w:bottom w:val="single" w:sz="4" w:space="0" w:color="C6C9CA"/>
              <w:right w:val="nil"/>
            </w:tcBorders>
            <w:shd w:val="clear" w:color="auto" w:fill="auto"/>
            <w:vAlign w:val="center"/>
            <w:hideMark/>
          </w:tcPr>
          <w:p w14:paraId="6C31750A" w14:textId="77777777" w:rsidR="00052FE4" w:rsidRPr="00E40A2F" w:rsidRDefault="00052FE4" w:rsidP="006B42A9">
            <w:pPr>
              <w:spacing w:after="0" w:line="240" w:lineRule="auto"/>
              <w:rPr>
                <w:rFonts w:ascii="Arial" w:eastAsia="Times New Roman" w:hAnsi="Arial" w:cs="Arial"/>
                <w:b/>
                <w:bCs/>
                <w:color w:val="39414D"/>
                <w:szCs w:val="18"/>
              </w:rPr>
            </w:pPr>
            <w:r w:rsidRPr="00E40A2F">
              <w:rPr>
                <w:rFonts w:ascii="Arial" w:eastAsia="Times New Roman" w:hAnsi="Arial" w:cs="Arial"/>
                <w:b/>
                <w:bCs/>
                <w:color w:val="39414D"/>
                <w:szCs w:val="18"/>
              </w:rPr>
              <w:t>IMPACT</w:t>
            </w:r>
          </w:p>
        </w:tc>
        <w:tc>
          <w:tcPr>
            <w:tcW w:w="1890" w:type="dxa"/>
            <w:tcBorders>
              <w:top w:val="nil"/>
              <w:left w:val="nil"/>
              <w:bottom w:val="single" w:sz="4" w:space="0" w:color="C6C9CA"/>
              <w:right w:val="nil"/>
            </w:tcBorders>
            <w:shd w:val="clear" w:color="auto" w:fill="auto"/>
            <w:vAlign w:val="center"/>
            <w:hideMark/>
          </w:tcPr>
          <w:p w14:paraId="4063FAD8" w14:textId="77777777" w:rsidR="00052FE4" w:rsidRPr="00E40A2F" w:rsidRDefault="00052FE4" w:rsidP="006B42A9">
            <w:pPr>
              <w:spacing w:after="0" w:line="240" w:lineRule="auto"/>
              <w:rPr>
                <w:rFonts w:ascii="Arial" w:eastAsia="Times New Roman" w:hAnsi="Arial" w:cs="Arial"/>
                <w:b/>
                <w:bCs/>
                <w:color w:val="39414D"/>
                <w:szCs w:val="18"/>
              </w:rPr>
            </w:pPr>
            <w:r w:rsidRPr="00E40A2F">
              <w:rPr>
                <w:rFonts w:ascii="Arial" w:eastAsia="Times New Roman" w:hAnsi="Arial" w:cs="Arial"/>
                <w:b/>
                <w:bCs/>
                <w:color w:val="39414D"/>
                <w:szCs w:val="18"/>
              </w:rPr>
              <w:t>DESCRIPTION OF THE ADJUSTMENT</w:t>
            </w:r>
          </w:p>
        </w:tc>
        <w:tc>
          <w:tcPr>
            <w:tcW w:w="2564" w:type="dxa"/>
            <w:tcBorders>
              <w:top w:val="nil"/>
              <w:left w:val="nil"/>
              <w:bottom w:val="single" w:sz="4" w:space="0" w:color="C6C9CA"/>
              <w:right w:val="nil"/>
            </w:tcBorders>
            <w:shd w:val="clear" w:color="auto" w:fill="auto"/>
            <w:vAlign w:val="center"/>
            <w:hideMark/>
          </w:tcPr>
          <w:p w14:paraId="569B04C3" w14:textId="77777777" w:rsidR="00052FE4" w:rsidRPr="00E40A2F" w:rsidRDefault="00052FE4" w:rsidP="006B42A9">
            <w:pPr>
              <w:spacing w:after="0" w:line="240" w:lineRule="auto"/>
              <w:rPr>
                <w:rFonts w:ascii="Arial" w:eastAsia="Times New Roman" w:hAnsi="Arial" w:cs="Arial"/>
                <w:b/>
                <w:bCs/>
                <w:color w:val="39414D"/>
                <w:szCs w:val="18"/>
              </w:rPr>
            </w:pPr>
            <w:r w:rsidRPr="00E40A2F">
              <w:rPr>
                <w:rFonts w:ascii="Arial" w:eastAsia="Times New Roman" w:hAnsi="Arial" w:cs="Arial"/>
                <w:b/>
                <w:bCs/>
                <w:color w:val="39414D"/>
                <w:szCs w:val="18"/>
              </w:rPr>
              <w:t>CONFIRMATION THE RATES ARE CONSISTENT WITH THE PREPRINT</w:t>
            </w:r>
          </w:p>
        </w:tc>
      </w:tr>
      <w:tr w:rsidR="003A6726" w:rsidRPr="00E40A2F" w14:paraId="68CE6A93" w14:textId="77777777" w:rsidTr="006B42A9">
        <w:trPr>
          <w:trHeight w:val="107"/>
        </w:trPr>
        <w:tc>
          <w:tcPr>
            <w:tcW w:w="2070" w:type="dxa"/>
            <w:tcBorders>
              <w:top w:val="nil"/>
              <w:left w:val="nil"/>
              <w:bottom w:val="nil"/>
              <w:right w:val="nil"/>
            </w:tcBorders>
            <w:shd w:val="clear" w:color="auto" w:fill="auto"/>
            <w:noWrap/>
            <w:vAlign w:val="center"/>
            <w:hideMark/>
          </w:tcPr>
          <w:p w14:paraId="27C25BFE" w14:textId="279FF374" w:rsidR="003A6726" w:rsidRPr="005E4622" w:rsidRDefault="00123D2B" w:rsidP="005E4622">
            <w:pPr>
              <w:spacing w:after="0" w:line="240" w:lineRule="auto"/>
              <w:rPr>
                <w:rFonts w:ascii="Arial" w:eastAsia="Times New Roman" w:hAnsi="Arial" w:cs="Arial"/>
                <w:color w:val="39414D"/>
                <w:szCs w:val="18"/>
                <w:highlight w:val="yellow"/>
              </w:rPr>
            </w:pPr>
            <w:r>
              <w:rPr>
                <w:rFonts w:ascii="Arial" w:eastAsia="Times New Roman" w:hAnsi="Arial" w:cs="Arial"/>
                <w:color w:val="39414D"/>
                <w:szCs w:val="18"/>
              </w:rPr>
              <w:t>TBD</w:t>
            </w:r>
            <w:r w:rsidR="003A6726">
              <w:rPr>
                <w:rFonts w:ascii="Arial" w:eastAsia="Times New Roman" w:hAnsi="Arial" w:cs="Arial"/>
                <w:color w:val="39414D"/>
                <w:szCs w:val="18"/>
              </w:rPr>
              <w:t>: Inpatient Hospital</w:t>
            </w:r>
          </w:p>
        </w:tc>
        <w:tc>
          <w:tcPr>
            <w:tcW w:w="1260" w:type="dxa"/>
            <w:tcBorders>
              <w:top w:val="nil"/>
              <w:left w:val="nil"/>
              <w:bottom w:val="nil"/>
              <w:right w:val="nil"/>
            </w:tcBorders>
            <w:shd w:val="clear" w:color="auto" w:fill="auto"/>
            <w:noWrap/>
            <w:vAlign w:val="center"/>
            <w:hideMark/>
          </w:tcPr>
          <w:p w14:paraId="664FF823" w14:textId="77777777" w:rsidR="003A6726" w:rsidRPr="00E40A2F" w:rsidRDefault="003A6726" w:rsidP="005E4622">
            <w:pPr>
              <w:spacing w:after="0" w:line="240" w:lineRule="auto"/>
              <w:rPr>
                <w:rFonts w:ascii="Arial" w:eastAsia="Times New Roman" w:hAnsi="Arial" w:cs="Arial"/>
                <w:color w:val="39414D"/>
                <w:szCs w:val="18"/>
              </w:rPr>
            </w:pPr>
            <w:r w:rsidRPr="00E40A2F">
              <w:rPr>
                <w:rFonts w:ascii="Arial" w:eastAsia="Times New Roman" w:hAnsi="Arial" w:cs="Arial"/>
                <w:color w:val="39414D"/>
                <w:szCs w:val="18"/>
              </w:rPr>
              <w:t>All Rate Cells</w:t>
            </w:r>
          </w:p>
        </w:tc>
        <w:tc>
          <w:tcPr>
            <w:tcW w:w="2160" w:type="dxa"/>
            <w:tcBorders>
              <w:top w:val="nil"/>
              <w:left w:val="nil"/>
              <w:bottom w:val="nil"/>
              <w:right w:val="nil"/>
            </w:tcBorders>
            <w:shd w:val="clear" w:color="auto" w:fill="auto"/>
            <w:noWrap/>
            <w:vAlign w:val="center"/>
            <w:hideMark/>
          </w:tcPr>
          <w:p w14:paraId="24EF40E4" w14:textId="7A33555F" w:rsidR="003A6726" w:rsidRPr="005E4622" w:rsidRDefault="003A6726" w:rsidP="00694367">
            <w:pPr>
              <w:spacing w:after="0" w:line="240" w:lineRule="auto"/>
              <w:rPr>
                <w:rFonts w:ascii="Arial" w:eastAsia="Times New Roman" w:hAnsi="Arial" w:cs="Arial"/>
                <w:color w:val="39414D"/>
                <w:szCs w:val="18"/>
              </w:rPr>
            </w:pPr>
            <w:r w:rsidRPr="005E4622">
              <w:rPr>
                <w:rFonts w:ascii="Arial" w:eastAsia="Times New Roman" w:hAnsi="Arial" w:cs="Arial"/>
                <w:color w:val="39414D"/>
                <w:szCs w:val="18"/>
              </w:rPr>
              <w:t>2.</w:t>
            </w:r>
            <w:r w:rsidR="004C39CD">
              <w:rPr>
                <w:rFonts w:ascii="Arial" w:eastAsia="Times New Roman" w:hAnsi="Arial" w:cs="Arial"/>
                <w:color w:val="39414D"/>
                <w:szCs w:val="18"/>
              </w:rPr>
              <w:t>7</w:t>
            </w:r>
            <w:r w:rsidRPr="005E4622">
              <w:rPr>
                <w:rFonts w:ascii="Arial" w:eastAsia="Times New Roman" w:hAnsi="Arial" w:cs="Arial"/>
                <w:color w:val="39414D"/>
                <w:szCs w:val="18"/>
              </w:rPr>
              <w:t>% increase effective July 1, 202</w:t>
            </w:r>
            <w:r w:rsidR="004C39CD">
              <w:rPr>
                <w:rFonts w:ascii="Arial" w:eastAsia="Times New Roman" w:hAnsi="Arial" w:cs="Arial"/>
                <w:color w:val="39414D"/>
                <w:szCs w:val="18"/>
              </w:rPr>
              <w:t>2</w:t>
            </w:r>
          </w:p>
        </w:tc>
        <w:tc>
          <w:tcPr>
            <w:tcW w:w="1890" w:type="dxa"/>
            <w:tcBorders>
              <w:top w:val="nil"/>
              <w:left w:val="nil"/>
              <w:bottom w:val="nil"/>
              <w:right w:val="nil"/>
            </w:tcBorders>
            <w:shd w:val="clear" w:color="auto" w:fill="auto"/>
            <w:vAlign w:val="center"/>
            <w:hideMark/>
          </w:tcPr>
          <w:p w14:paraId="09992D12" w14:textId="5EE682BC" w:rsidR="003A6726" w:rsidRPr="00E40A2F" w:rsidRDefault="003A6726">
            <w:pPr>
              <w:spacing w:after="0" w:line="240" w:lineRule="auto"/>
              <w:rPr>
                <w:rFonts w:ascii="Arial" w:eastAsia="Times New Roman" w:hAnsi="Arial" w:cs="Arial"/>
                <w:color w:val="39414D"/>
                <w:szCs w:val="18"/>
              </w:rPr>
            </w:pPr>
            <w:r w:rsidRPr="00E40A2F">
              <w:rPr>
                <w:rFonts w:ascii="Arial" w:eastAsia="Times New Roman" w:hAnsi="Arial" w:cs="Arial"/>
                <w:color w:val="39414D"/>
                <w:szCs w:val="18"/>
              </w:rPr>
              <w:t xml:space="preserve">Uniform increase </w:t>
            </w:r>
            <w:r w:rsidR="00115557">
              <w:rPr>
                <w:rFonts w:ascii="Arial" w:eastAsia="Times New Roman" w:hAnsi="Arial" w:cs="Arial"/>
                <w:color w:val="39414D"/>
                <w:szCs w:val="18"/>
              </w:rPr>
              <w:t>applied to</w:t>
            </w:r>
            <w:r w:rsidR="00115557" w:rsidRPr="00E40A2F">
              <w:rPr>
                <w:rFonts w:ascii="Arial" w:eastAsia="Times New Roman" w:hAnsi="Arial" w:cs="Arial"/>
                <w:color w:val="39414D"/>
                <w:szCs w:val="18"/>
              </w:rPr>
              <w:t xml:space="preserve"> </w:t>
            </w:r>
            <w:r w:rsidRPr="00E40A2F">
              <w:rPr>
                <w:rFonts w:ascii="Arial" w:eastAsia="Times New Roman" w:hAnsi="Arial" w:cs="Arial"/>
                <w:color w:val="39414D"/>
                <w:szCs w:val="18"/>
              </w:rPr>
              <w:t>inpatient hospital services</w:t>
            </w:r>
          </w:p>
        </w:tc>
        <w:tc>
          <w:tcPr>
            <w:tcW w:w="2564" w:type="dxa"/>
            <w:tcBorders>
              <w:top w:val="nil"/>
              <w:left w:val="nil"/>
              <w:bottom w:val="nil"/>
              <w:right w:val="nil"/>
            </w:tcBorders>
            <w:shd w:val="clear" w:color="auto" w:fill="auto"/>
            <w:vAlign w:val="center"/>
            <w:hideMark/>
          </w:tcPr>
          <w:p w14:paraId="5462AE88" w14:textId="68078926" w:rsidR="003A6726" w:rsidRPr="00E40A2F" w:rsidRDefault="003A6726">
            <w:pPr>
              <w:spacing w:after="0" w:line="240" w:lineRule="auto"/>
              <w:rPr>
                <w:rFonts w:ascii="Arial" w:eastAsia="Times New Roman" w:hAnsi="Arial" w:cs="Arial"/>
                <w:color w:val="39414D"/>
                <w:szCs w:val="18"/>
              </w:rPr>
            </w:pPr>
            <w:r w:rsidRPr="00E40A2F">
              <w:rPr>
                <w:rFonts w:ascii="Arial" w:eastAsia="Times New Roman" w:hAnsi="Arial" w:cs="Arial"/>
                <w:color w:val="39414D"/>
                <w:szCs w:val="18"/>
              </w:rPr>
              <w:t xml:space="preserve">Consistent with </w:t>
            </w:r>
            <w:r w:rsidR="00694367">
              <w:rPr>
                <w:rFonts w:ascii="Arial" w:eastAsia="Times New Roman" w:hAnsi="Arial" w:cs="Arial"/>
                <w:color w:val="39414D"/>
                <w:szCs w:val="18"/>
              </w:rPr>
              <w:t>anticipated</w:t>
            </w:r>
            <w:r w:rsidR="00694367" w:rsidRPr="00E40A2F">
              <w:rPr>
                <w:rFonts w:ascii="Arial" w:eastAsia="Times New Roman" w:hAnsi="Arial" w:cs="Arial"/>
                <w:color w:val="39414D"/>
                <w:szCs w:val="18"/>
              </w:rPr>
              <w:t xml:space="preserve"> </w:t>
            </w:r>
            <w:r w:rsidRPr="00E40A2F">
              <w:rPr>
                <w:rFonts w:ascii="Arial" w:eastAsia="Times New Roman" w:hAnsi="Arial" w:cs="Arial"/>
                <w:color w:val="39414D"/>
                <w:szCs w:val="18"/>
              </w:rPr>
              <w:t>preprint</w:t>
            </w:r>
          </w:p>
        </w:tc>
      </w:tr>
      <w:tr w:rsidR="003A6726" w:rsidRPr="00E40A2F" w14:paraId="51C9E38B" w14:textId="77777777" w:rsidTr="006B42A9">
        <w:trPr>
          <w:trHeight w:val="80"/>
        </w:trPr>
        <w:tc>
          <w:tcPr>
            <w:tcW w:w="2070" w:type="dxa"/>
            <w:tcBorders>
              <w:top w:val="nil"/>
              <w:left w:val="nil"/>
              <w:bottom w:val="nil"/>
              <w:right w:val="nil"/>
            </w:tcBorders>
            <w:shd w:val="clear" w:color="000000" w:fill="E8E9E9"/>
            <w:noWrap/>
            <w:vAlign w:val="center"/>
            <w:hideMark/>
          </w:tcPr>
          <w:p w14:paraId="51DB7B11" w14:textId="3E43422C" w:rsidR="003A6726" w:rsidRPr="005E4622" w:rsidRDefault="00123D2B" w:rsidP="005E4622">
            <w:pPr>
              <w:spacing w:after="0" w:line="240" w:lineRule="auto"/>
              <w:rPr>
                <w:rFonts w:ascii="Arial" w:eastAsia="Times New Roman" w:hAnsi="Arial" w:cs="Arial"/>
                <w:color w:val="39414D"/>
                <w:szCs w:val="18"/>
                <w:highlight w:val="yellow"/>
              </w:rPr>
            </w:pPr>
            <w:r>
              <w:rPr>
                <w:rFonts w:ascii="Arial" w:eastAsia="Times New Roman" w:hAnsi="Arial" w:cs="Arial"/>
                <w:color w:val="39414D"/>
                <w:szCs w:val="18"/>
              </w:rPr>
              <w:t>TBD</w:t>
            </w:r>
            <w:r w:rsidR="003A6726">
              <w:rPr>
                <w:rFonts w:ascii="Arial" w:eastAsia="Times New Roman" w:hAnsi="Arial" w:cs="Arial"/>
                <w:color w:val="39414D"/>
                <w:szCs w:val="18"/>
              </w:rPr>
              <w:t>: Outpatient Hospital</w:t>
            </w:r>
          </w:p>
        </w:tc>
        <w:tc>
          <w:tcPr>
            <w:tcW w:w="1260" w:type="dxa"/>
            <w:tcBorders>
              <w:top w:val="nil"/>
              <w:left w:val="nil"/>
              <w:bottom w:val="nil"/>
              <w:right w:val="nil"/>
            </w:tcBorders>
            <w:shd w:val="clear" w:color="000000" w:fill="E8E9E9"/>
            <w:noWrap/>
            <w:vAlign w:val="center"/>
            <w:hideMark/>
          </w:tcPr>
          <w:p w14:paraId="6C0D2A11" w14:textId="77777777" w:rsidR="003A6726" w:rsidRPr="00E40A2F" w:rsidRDefault="003A6726" w:rsidP="005E4622">
            <w:pPr>
              <w:spacing w:after="0" w:line="240" w:lineRule="auto"/>
              <w:rPr>
                <w:rFonts w:ascii="Arial" w:eastAsia="Times New Roman" w:hAnsi="Arial" w:cs="Arial"/>
                <w:color w:val="39414D"/>
                <w:szCs w:val="18"/>
              </w:rPr>
            </w:pPr>
            <w:r w:rsidRPr="00E40A2F">
              <w:rPr>
                <w:rFonts w:ascii="Arial" w:eastAsia="Times New Roman" w:hAnsi="Arial" w:cs="Arial"/>
                <w:color w:val="39414D"/>
                <w:szCs w:val="18"/>
              </w:rPr>
              <w:t>All Rate Cells</w:t>
            </w:r>
          </w:p>
        </w:tc>
        <w:tc>
          <w:tcPr>
            <w:tcW w:w="2160" w:type="dxa"/>
            <w:tcBorders>
              <w:top w:val="nil"/>
              <w:left w:val="nil"/>
              <w:bottom w:val="nil"/>
              <w:right w:val="nil"/>
            </w:tcBorders>
            <w:shd w:val="clear" w:color="000000" w:fill="E8E9E9"/>
            <w:noWrap/>
            <w:vAlign w:val="center"/>
            <w:hideMark/>
          </w:tcPr>
          <w:p w14:paraId="5013C7C9" w14:textId="424BA3EB" w:rsidR="003A6726" w:rsidRPr="00E36F8A" w:rsidRDefault="003A6726" w:rsidP="00694367">
            <w:pPr>
              <w:spacing w:after="0" w:line="240" w:lineRule="auto"/>
              <w:rPr>
                <w:rFonts w:ascii="Arial" w:eastAsia="Times New Roman" w:hAnsi="Arial" w:cs="Arial"/>
                <w:color w:val="39414D"/>
                <w:szCs w:val="18"/>
              </w:rPr>
            </w:pPr>
            <w:r w:rsidRPr="005E4622">
              <w:rPr>
                <w:rFonts w:ascii="Arial" w:eastAsia="Times New Roman" w:hAnsi="Arial" w:cs="Arial"/>
                <w:color w:val="39414D"/>
                <w:szCs w:val="18"/>
              </w:rPr>
              <w:t>2.</w:t>
            </w:r>
            <w:r w:rsidR="004C39CD">
              <w:rPr>
                <w:rFonts w:ascii="Arial" w:eastAsia="Times New Roman" w:hAnsi="Arial" w:cs="Arial"/>
                <w:color w:val="39414D"/>
                <w:szCs w:val="18"/>
              </w:rPr>
              <w:t>7</w:t>
            </w:r>
            <w:r w:rsidRPr="005E4622">
              <w:rPr>
                <w:rFonts w:ascii="Arial" w:eastAsia="Times New Roman" w:hAnsi="Arial" w:cs="Arial"/>
                <w:color w:val="39414D"/>
                <w:szCs w:val="18"/>
              </w:rPr>
              <w:t>% increase effective July 1, 202</w:t>
            </w:r>
            <w:r w:rsidR="00704FFB">
              <w:rPr>
                <w:rFonts w:ascii="Arial" w:eastAsia="Times New Roman" w:hAnsi="Arial" w:cs="Arial"/>
                <w:color w:val="39414D"/>
                <w:szCs w:val="18"/>
              </w:rPr>
              <w:t>2</w:t>
            </w:r>
          </w:p>
        </w:tc>
        <w:tc>
          <w:tcPr>
            <w:tcW w:w="1890" w:type="dxa"/>
            <w:tcBorders>
              <w:top w:val="nil"/>
              <w:left w:val="nil"/>
              <w:bottom w:val="nil"/>
              <w:right w:val="nil"/>
            </w:tcBorders>
            <w:shd w:val="clear" w:color="000000" w:fill="E8E9E9"/>
            <w:vAlign w:val="center"/>
            <w:hideMark/>
          </w:tcPr>
          <w:p w14:paraId="21E43C5E" w14:textId="4C325C29" w:rsidR="003A6726" w:rsidRPr="00E40A2F" w:rsidRDefault="003A6726">
            <w:pPr>
              <w:spacing w:after="0" w:line="240" w:lineRule="auto"/>
              <w:rPr>
                <w:rFonts w:ascii="Arial" w:eastAsia="Times New Roman" w:hAnsi="Arial" w:cs="Arial"/>
                <w:color w:val="39414D"/>
                <w:szCs w:val="18"/>
              </w:rPr>
            </w:pPr>
            <w:r w:rsidRPr="00E40A2F">
              <w:rPr>
                <w:rFonts w:ascii="Arial" w:eastAsia="Times New Roman" w:hAnsi="Arial" w:cs="Arial"/>
                <w:color w:val="39414D"/>
                <w:szCs w:val="18"/>
              </w:rPr>
              <w:t xml:space="preserve">Uniform increase </w:t>
            </w:r>
            <w:r w:rsidR="00115557">
              <w:rPr>
                <w:rFonts w:ascii="Arial" w:eastAsia="Times New Roman" w:hAnsi="Arial" w:cs="Arial"/>
                <w:color w:val="39414D"/>
                <w:szCs w:val="18"/>
              </w:rPr>
              <w:t>applied to</w:t>
            </w:r>
            <w:r w:rsidR="00115557" w:rsidRPr="00E40A2F" w:rsidDel="00115557">
              <w:rPr>
                <w:rFonts w:ascii="Arial" w:eastAsia="Times New Roman" w:hAnsi="Arial" w:cs="Arial"/>
                <w:color w:val="39414D"/>
                <w:szCs w:val="18"/>
              </w:rPr>
              <w:t xml:space="preserve"> </w:t>
            </w:r>
            <w:r w:rsidRPr="00E40A2F">
              <w:rPr>
                <w:rFonts w:ascii="Arial" w:eastAsia="Times New Roman" w:hAnsi="Arial" w:cs="Arial"/>
                <w:color w:val="39414D"/>
                <w:szCs w:val="18"/>
              </w:rPr>
              <w:t>outpa</w:t>
            </w:r>
            <w:r>
              <w:rPr>
                <w:rFonts w:ascii="Arial" w:eastAsia="Times New Roman" w:hAnsi="Arial" w:cs="Arial"/>
                <w:color w:val="39414D"/>
                <w:szCs w:val="18"/>
              </w:rPr>
              <w:t>ti</w:t>
            </w:r>
            <w:r w:rsidRPr="00E40A2F">
              <w:rPr>
                <w:rFonts w:ascii="Arial" w:eastAsia="Times New Roman" w:hAnsi="Arial" w:cs="Arial"/>
                <w:color w:val="39414D"/>
                <w:szCs w:val="18"/>
              </w:rPr>
              <w:t>ent hospital services</w:t>
            </w:r>
          </w:p>
        </w:tc>
        <w:tc>
          <w:tcPr>
            <w:tcW w:w="2564" w:type="dxa"/>
            <w:tcBorders>
              <w:top w:val="nil"/>
              <w:left w:val="nil"/>
              <w:bottom w:val="nil"/>
              <w:right w:val="nil"/>
            </w:tcBorders>
            <w:shd w:val="clear" w:color="000000" w:fill="E8E9E9"/>
            <w:vAlign w:val="center"/>
            <w:hideMark/>
          </w:tcPr>
          <w:p w14:paraId="4BECAD87" w14:textId="0425755D" w:rsidR="003A6726" w:rsidRPr="00E40A2F" w:rsidRDefault="003A6726">
            <w:pPr>
              <w:spacing w:after="0" w:line="240" w:lineRule="auto"/>
              <w:rPr>
                <w:rFonts w:ascii="Arial" w:eastAsia="Times New Roman" w:hAnsi="Arial" w:cs="Arial"/>
                <w:color w:val="39414D"/>
                <w:szCs w:val="18"/>
              </w:rPr>
            </w:pPr>
            <w:r w:rsidRPr="00E40A2F">
              <w:rPr>
                <w:rFonts w:ascii="Arial" w:eastAsia="Times New Roman" w:hAnsi="Arial" w:cs="Arial"/>
                <w:color w:val="39414D"/>
                <w:szCs w:val="18"/>
              </w:rPr>
              <w:t xml:space="preserve">Consistent with </w:t>
            </w:r>
            <w:r w:rsidR="00694367">
              <w:rPr>
                <w:rFonts w:ascii="Arial" w:eastAsia="Times New Roman" w:hAnsi="Arial" w:cs="Arial"/>
                <w:color w:val="39414D"/>
                <w:szCs w:val="18"/>
              </w:rPr>
              <w:t>anticipated</w:t>
            </w:r>
            <w:r w:rsidR="00694367" w:rsidRPr="00E40A2F">
              <w:rPr>
                <w:rFonts w:ascii="Arial" w:eastAsia="Times New Roman" w:hAnsi="Arial" w:cs="Arial"/>
                <w:color w:val="39414D"/>
                <w:szCs w:val="18"/>
              </w:rPr>
              <w:t xml:space="preserve"> </w:t>
            </w:r>
            <w:r w:rsidRPr="00E40A2F">
              <w:rPr>
                <w:rFonts w:ascii="Arial" w:eastAsia="Times New Roman" w:hAnsi="Arial" w:cs="Arial"/>
                <w:color w:val="39414D"/>
                <w:szCs w:val="18"/>
              </w:rPr>
              <w:t>preprint</w:t>
            </w:r>
          </w:p>
        </w:tc>
      </w:tr>
      <w:tr w:rsidR="003A6726" w:rsidRPr="00E40A2F" w14:paraId="0F0D4E01" w14:textId="77777777" w:rsidTr="00F0656A">
        <w:trPr>
          <w:trHeight w:val="80"/>
        </w:trPr>
        <w:tc>
          <w:tcPr>
            <w:tcW w:w="2070" w:type="dxa"/>
            <w:tcBorders>
              <w:top w:val="nil"/>
              <w:left w:val="nil"/>
              <w:right w:val="nil"/>
            </w:tcBorders>
            <w:shd w:val="clear" w:color="auto" w:fill="auto"/>
            <w:noWrap/>
            <w:vAlign w:val="center"/>
            <w:hideMark/>
          </w:tcPr>
          <w:p w14:paraId="492B1A9F" w14:textId="648EDE84" w:rsidR="003A6726" w:rsidRPr="00352E7C" w:rsidRDefault="00123D2B" w:rsidP="005E4622">
            <w:pPr>
              <w:spacing w:after="0" w:line="240" w:lineRule="auto"/>
              <w:rPr>
                <w:rFonts w:ascii="Arial" w:eastAsia="Times New Roman" w:hAnsi="Arial" w:cs="Arial"/>
                <w:color w:val="39414D"/>
                <w:szCs w:val="18"/>
                <w:highlight w:val="yellow"/>
              </w:rPr>
            </w:pPr>
            <w:r>
              <w:rPr>
                <w:rFonts w:ascii="Arial" w:eastAsia="Times New Roman" w:hAnsi="Arial" w:cs="Arial"/>
                <w:color w:val="39414D"/>
                <w:szCs w:val="18"/>
              </w:rPr>
              <w:t>TBD</w:t>
            </w:r>
            <w:r w:rsidR="003A6726">
              <w:rPr>
                <w:rFonts w:ascii="Arial" w:eastAsia="Times New Roman" w:hAnsi="Arial" w:cs="Arial"/>
                <w:color w:val="39414D"/>
                <w:szCs w:val="18"/>
              </w:rPr>
              <w:t>: Nursing Facility</w:t>
            </w:r>
          </w:p>
        </w:tc>
        <w:tc>
          <w:tcPr>
            <w:tcW w:w="1260" w:type="dxa"/>
            <w:tcBorders>
              <w:top w:val="nil"/>
              <w:left w:val="nil"/>
              <w:right w:val="nil"/>
            </w:tcBorders>
            <w:shd w:val="clear" w:color="auto" w:fill="auto"/>
            <w:noWrap/>
            <w:vAlign w:val="center"/>
            <w:hideMark/>
          </w:tcPr>
          <w:p w14:paraId="15A91869" w14:textId="43066005" w:rsidR="003A6726" w:rsidRPr="005E4622" w:rsidRDefault="00115557" w:rsidP="005E4622">
            <w:pPr>
              <w:spacing w:after="0" w:line="240" w:lineRule="auto"/>
              <w:rPr>
                <w:rFonts w:ascii="Arial" w:eastAsia="Times New Roman" w:hAnsi="Arial" w:cs="Arial"/>
                <w:color w:val="39414D"/>
                <w:szCs w:val="18"/>
              </w:rPr>
            </w:pPr>
            <w:r>
              <w:rPr>
                <w:rFonts w:ascii="Arial" w:eastAsia="Times New Roman" w:hAnsi="Arial" w:cs="Arial"/>
                <w:color w:val="39414D"/>
                <w:szCs w:val="18"/>
              </w:rPr>
              <w:t>All Rate Cells</w:t>
            </w:r>
          </w:p>
        </w:tc>
        <w:tc>
          <w:tcPr>
            <w:tcW w:w="2160" w:type="dxa"/>
            <w:tcBorders>
              <w:top w:val="nil"/>
              <w:left w:val="nil"/>
              <w:right w:val="nil"/>
            </w:tcBorders>
            <w:shd w:val="clear" w:color="auto" w:fill="auto"/>
            <w:noWrap/>
            <w:vAlign w:val="center"/>
            <w:hideMark/>
          </w:tcPr>
          <w:p w14:paraId="131A3509" w14:textId="11053A67" w:rsidR="003A6726" w:rsidRPr="005E4622" w:rsidRDefault="00704FFB" w:rsidP="00694367">
            <w:pPr>
              <w:spacing w:after="0" w:line="240" w:lineRule="auto"/>
              <w:rPr>
                <w:rFonts w:ascii="Arial" w:eastAsia="Times New Roman" w:hAnsi="Arial" w:cs="Arial"/>
                <w:color w:val="39414D"/>
                <w:szCs w:val="18"/>
              </w:rPr>
            </w:pPr>
            <w:r>
              <w:rPr>
                <w:rFonts w:ascii="Arial" w:eastAsia="Times New Roman" w:hAnsi="Arial" w:cs="Arial"/>
                <w:color w:val="39414D"/>
                <w:szCs w:val="18"/>
              </w:rPr>
              <w:t>3</w:t>
            </w:r>
            <w:r w:rsidR="003A6726" w:rsidRPr="005E4622">
              <w:rPr>
                <w:rFonts w:ascii="Arial" w:eastAsia="Times New Roman" w:hAnsi="Arial" w:cs="Arial"/>
                <w:color w:val="39414D"/>
                <w:szCs w:val="18"/>
              </w:rPr>
              <w:t>.</w:t>
            </w:r>
            <w:r w:rsidR="004C39CD">
              <w:rPr>
                <w:rFonts w:ascii="Arial" w:eastAsia="Times New Roman" w:hAnsi="Arial" w:cs="Arial"/>
                <w:color w:val="39414D"/>
                <w:szCs w:val="18"/>
              </w:rPr>
              <w:t>0</w:t>
            </w:r>
            <w:r w:rsidR="003A6726" w:rsidRPr="005E4622">
              <w:rPr>
                <w:rFonts w:ascii="Arial" w:eastAsia="Times New Roman" w:hAnsi="Arial" w:cs="Arial"/>
                <w:color w:val="39414D"/>
                <w:szCs w:val="18"/>
              </w:rPr>
              <w:t>% increase effective October 1, 202</w:t>
            </w:r>
            <w:r>
              <w:rPr>
                <w:rFonts w:ascii="Arial" w:eastAsia="Times New Roman" w:hAnsi="Arial" w:cs="Arial"/>
                <w:color w:val="39414D"/>
                <w:szCs w:val="18"/>
              </w:rPr>
              <w:t>2</w:t>
            </w:r>
          </w:p>
        </w:tc>
        <w:tc>
          <w:tcPr>
            <w:tcW w:w="1890" w:type="dxa"/>
            <w:tcBorders>
              <w:top w:val="nil"/>
              <w:left w:val="nil"/>
              <w:right w:val="nil"/>
            </w:tcBorders>
            <w:shd w:val="clear" w:color="auto" w:fill="auto"/>
            <w:noWrap/>
            <w:vAlign w:val="center"/>
            <w:hideMark/>
          </w:tcPr>
          <w:p w14:paraId="6F715948" w14:textId="679A001E" w:rsidR="003A6726" w:rsidRPr="005E4622" w:rsidRDefault="003A6726">
            <w:pPr>
              <w:spacing w:after="0" w:line="240" w:lineRule="auto"/>
              <w:rPr>
                <w:rFonts w:ascii="Arial" w:eastAsia="Times New Roman" w:hAnsi="Arial" w:cs="Arial"/>
                <w:color w:val="39414D"/>
                <w:szCs w:val="18"/>
              </w:rPr>
            </w:pPr>
            <w:r w:rsidRPr="005E4622">
              <w:rPr>
                <w:rFonts w:ascii="Arial" w:eastAsia="Times New Roman" w:hAnsi="Arial" w:cs="Arial"/>
                <w:color w:val="39414D"/>
                <w:szCs w:val="18"/>
              </w:rPr>
              <w:t xml:space="preserve">Uniform increase </w:t>
            </w:r>
            <w:r w:rsidR="00115557">
              <w:rPr>
                <w:rFonts w:ascii="Arial" w:eastAsia="Times New Roman" w:hAnsi="Arial" w:cs="Arial"/>
                <w:color w:val="39414D"/>
                <w:szCs w:val="18"/>
              </w:rPr>
              <w:t>applied to</w:t>
            </w:r>
            <w:r w:rsidR="00115557" w:rsidRPr="005E4622" w:rsidDel="00115557">
              <w:rPr>
                <w:rFonts w:ascii="Arial" w:eastAsia="Times New Roman" w:hAnsi="Arial" w:cs="Arial"/>
                <w:color w:val="39414D"/>
                <w:szCs w:val="18"/>
              </w:rPr>
              <w:t xml:space="preserve"> </w:t>
            </w:r>
            <w:r w:rsidRPr="005E4622">
              <w:rPr>
                <w:rFonts w:ascii="Arial" w:eastAsia="Times New Roman" w:hAnsi="Arial" w:cs="Arial"/>
                <w:color w:val="39414D"/>
                <w:szCs w:val="18"/>
              </w:rPr>
              <w:t>nursing home services</w:t>
            </w:r>
          </w:p>
        </w:tc>
        <w:tc>
          <w:tcPr>
            <w:tcW w:w="2564" w:type="dxa"/>
            <w:tcBorders>
              <w:top w:val="nil"/>
              <w:left w:val="nil"/>
              <w:right w:val="nil"/>
            </w:tcBorders>
            <w:shd w:val="clear" w:color="auto" w:fill="auto"/>
            <w:vAlign w:val="center"/>
            <w:hideMark/>
          </w:tcPr>
          <w:p w14:paraId="6A7B1624" w14:textId="1A8C5DDA" w:rsidR="003A6726" w:rsidRPr="005E4622" w:rsidRDefault="003A6726">
            <w:pPr>
              <w:spacing w:after="0" w:line="240" w:lineRule="auto"/>
              <w:rPr>
                <w:rFonts w:ascii="Arial" w:eastAsia="Times New Roman" w:hAnsi="Arial" w:cs="Arial"/>
                <w:color w:val="39414D"/>
                <w:szCs w:val="18"/>
              </w:rPr>
            </w:pPr>
            <w:r w:rsidRPr="005E4622">
              <w:rPr>
                <w:rFonts w:ascii="Arial" w:eastAsia="Times New Roman" w:hAnsi="Arial" w:cs="Arial"/>
                <w:color w:val="39414D"/>
                <w:szCs w:val="18"/>
              </w:rPr>
              <w:t xml:space="preserve">Consistent with </w:t>
            </w:r>
            <w:r w:rsidR="00694367">
              <w:rPr>
                <w:rFonts w:ascii="Arial" w:eastAsia="Times New Roman" w:hAnsi="Arial" w:cs="Arial"/>
                <w:color w:val="39414D"/>
                <w:szCs w:val="18"/>
              </w:rPr>
              <w:t>anticipated</w:t>
            </w:r>
            <w:r w:rsidR="00694367" w:rsidRPr="00E40A2F">
              <w:rPr>
                <w:rFonts w:ascii="Arial" w:eastAsia="Times New Roman" w:hAnsi="Arial" w:cs="Arial"/>
                <w:color w:val="39414D"/>
                <w:szCs w:val="18"/>
              </w:rPr>
              <w:t xml:space="preserve"> </w:t>
            </w:r>
            <w:r w:rsidRPr="005E4622">
              <w:rPr>
                <w:rFonts w:ascii="Arial" w:eastAsia="Times New Roman" w:hAnsi="Arial" w:cs="Arial"/>
                <w:color w:val="39414D"/>
                <w:szCs w:val="18"/>
              </w:rPr>
              <w:t>preprint</w:t>
            </w:r>
          </w:p>
        </w:tc>
      </w:tr>
      <w:tr w:rsidR="00025874" w:rsidRPr="00E40A2F" w14:paraId="5CBC06DA" w14:textId="77777777" w:rsidTr="00F0656A">
        <w:trPr>
          <w:trHeight w:val="80"/>
        </w:trPr>
        <w:tc>
          <w:tcPr>
            <w:tcW w:w="2070" w:type="dxa"/>
            <w:shd w:val="clear" w:color="auto" w:fill="E8E9E9" w:themeFill="accent2" w:themeFillTint="66"/>
            <w:noWrap/>
            <w:vAlign w:val="center"/>
          </w:tcPr>
          <w:p w14:paraId="7217347C" w14:textId="1A036447" w:rsidR="00025874" w:rsidRPr="00BA6770" w:rsidRDefault="001471B9"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TBD</w:t>
            </w:r>
            <w:r w:rsidR="00025874">
              <w:rPr>
                <w:rFonts w:ascii="Arial" w:eastAsia="Times New Roman" w:hAnsi="Arial" w:cs="Arial"/>
                <w:color w:val="39414D"/>
                <w:szCs w:val="18"/>
              </w:rPr>
              <w:t>: Shared Living</w:t>
            </w:r>
          </w:p>
        </w:tc>
        <w:tc>
          <w:tcPr>
            <w:tcW w:w="1260" w:type="dxa"/>
            <w:shd w:val="clear" w:color="auto" w:fill="E8E9E9" w:themeFill="accent2" w:themeFillTint="66"/>
            <w:noWrap/>
            <w:vAlign w:val="center"/>
          </w:tcPr>
          <w:p w14:paraId="7F457559" w14:textId="33F92E89" w:rsidR="00025874" w:rsidRPr="005E4622" w:rsidRDefault="00025874"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All Rate Cells</w:t>
            </w:r>
          </w:p>
        </w:tc>
        <w:tc>
          <w:tcPr>
            <w:tcW w:w="2160" w:type="dxa"/>
            <w:shd w:val="clear" w:color="auto" w:fill="E8E9E9" w:themeFill="accent2" w:themeFillTint="66"/>
            <w:noWrap/>
            <w:vAlign w:val="center"/>
          </w:tcPr>
          <w:p w14:paraId="26B3E4B9" w14:textId="109E43F5"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Figure </w:t>
            </w:r>
            <w:r w:rsidR="00704FFB">
              <w:rPr>
                <w:rFonts w:ascii="Arial" w:eastAsia="Times New Roman" w:hAnsi="Arial" w:cs="Arial"/>
                <w:color w:val="39414D"/>
                <w:szCs w:val="18"/>
              </w:rPr>
              <w:t>7</w:t>
            </w:r>
          </w:p>
        </w:tc>
        <w:tc>
          <w:tcPr>
            <w:tcW w:w="1890" w:type="dxa"/>
            <w:shd w:val="clear" w:color="auto" w:fill="E8E9E9" w:themeFill="accent2" w:themeFillTint="66"/>
            <w:noWrap/>
            <w:vAlign w:val="center"/>
          </w:tcPr>
          <w:p w14:paraId="5E5A5DC1" w14:textId="4465D85D"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w:t>
            </w:r>
            <w:r w:rsidRPr="00F115CC">
              <w:rPr>
                <w:rFonts w:ascii="Arial" w:eastAsia="Times New Roman" w:hAnsi="Arial" w:cs="Arial"/>
                <w:color w:val="39414D"/>
                <w:szCs w:val="18"/>
              </w:rPr>
              <w:t>Section 3.B.ii</w:t>
            </w:r>
          </w:p>
        </w:tc>
        <w:tc>
          <w:tcPr>
            <w:tcW w:w="2564" w:type="dxa"/>
            <w:shd w:val="clear" w:color="auto" w:fill="E8E9E9" w:themeFill="accent2" w:themeFillTint="66"/>
            <w:vAlign w:val="center"/>
          </w:tcPr>
          <w:p w14:paraId="4BCB9911" w14:textId="19E7B824" w:rsidR="00025874" w:rsidRPr="005E4622" w:rsidRDefault="00025874" w:rsidP="00025874">
            <w:pPr>
              <w:spacing w:after="0" w:line="240" w:lineRule="auto"/>
              <w:rPr>
                <w:rFonts w:ascii="Arial" w:eastAsia="Times New Roman" w:hAnsi="Arial" w:cs="Arial"/>
                <w:color w:val="39414D"/>
                <w:szCs w:val="18"/>
              </w:rPr>
            </w:pPr>
            <w:r w:rsidRPr="005E4622">
              <w:rPr>
                <w:rFonts w:ascii="Arial" w:eastAsia="Times New Roman" w:hAnsi="Arial" w:cs="Arial"/>
                <w:color w:val="39414D"/>
                <w:szCs w:val="18"/>
              </w:rPr>
              <w:t xml:space="preserve">Consistent with </w:t>
            </w:r>
            <w:r>
              <w:rPr>
                <w:rFonts w:ascii="Arial" w:eastAsia="Times New Roman" w:hAnsi="Arial" w:cs="Arial"/>
                <w:color w:val="39414D"/>
                <w:szCs w:val="18"/>
              </w:rPr>
              <w:t>anticipated</w:t>
            </w:r>
            <w:r w:rsidRPr="00E40A2F">
              <w:rPr>
                <w:rFonts w:ascii="Arial" w:eastAsia="Times New Roman" w:hAnsi="Arial" w:cs="Arial"/>
                <w:color w:val="39414D"/>
                <w:szCs w:val="18"/>
              </w:rPr>
              <w:t xml:space="preserve"> </w:t>
            </w:r>
            <w:r w:rsidRPr="005E4622">
              <w:rPr>
                <w:rFonts w:ascii="Arial" w:eastAsia="Times New Roman" w:hAnsi="Arial" w:cs="Arial"/>
                <w:color w:val="39414D"/>
                <w:szCs w:val="18"/>
              </w:rPr>
              <w:t>preprint</w:t>
            </w:r>
          </w:p>
        </w:tc>
      </w:tr>
      <w:tr w:rsidR="00025874" w:rsidRPr="00E40A2F" w14:paraId="7A6540F2" w14:textId="77777777" w:rsidTr="00F0656A">
        <w:trPr>
          <w:trHeight w:val="80"/>
        </w:trPr>
        <w:tc>
          <w:tcPr>
            <w:tcW w:w="2070" w:type="dxa"/>
            <w:shd w:val="clear" w:color="auto" w:fill="auto"/>
            <w:noWrap/>
            <w:vAlign w:val="center"/>
          </w:tcPr>
          <w:p w14:paraId="0604640B" w14:textId="76E557ED" w:rsidR="00025874" w:rsidRPr="00BA6770" w:rsidRDefault="006E3774"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N/A</w:t>
            </w:r>
            <w:r w:rsidR="00115557">
              <w:rPr>
                <w:rFonts w:ascii="Arial" w:eastAsia="Times New Roman" w:hAnsi="Arial" w:cs="Arial"/>
                <w:color w:val="39414D"/>
                <w:szCs w:val="18"/>
              </w:rPr>
              <w:t>:</w:t>
            </w:r>
            <w:r w:rsidR="00025874">
              <w:rPr>
                <w:rFonts w:ascii="Arial" w:eastAsia="Times New Roman" w:hAnsi="Arial" w:cs="Arial"/>
                <w:color w:val="39414D"/>
                <w:szCs w:val="18"/>
              </w:rPr>
              <w:t xml:space="preserve"> Assisted Living</w:t>
            </w:r>
          </w:p>
        </w:tc>
        <w:tc>
          <w:tcPr>
            <w:tcW w:w="1260" w:type="dxa"/>
            <w:shd w:val="clear" w:color="auto" w:fill="auto"/>
            <w:noWrap/>
            <w:vAlign w:val="center"/>
          </w:tcPr>
          <w:p w14:paraId="717EBA95" w14:textId="1D00B98C" w:rsidR="00025874" w:rsidRPr="005E4622" w:rsidRDefault="00025874"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All Rate Cells</w:t>
            </w:r>
          </w:p>
        </w:tc>
        <w:tc>
          <w:tcPr>
            <w:tcW w:w="2160" w:type="dxa"/>
            <w:shd w:val="clear" w:color="auto" w:fill="auto"/>
            <w:noWrap/>
            <w:vAlign w:val="center"/>
          </w:tcPr>
          <w:p w14:paraId="25C8D600" w14:textId="22A1CCDF"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Figure </w:t>
            </w:r>
            <w:r w:rsidR="00704FFB">
              <w:rPr>
                <w:rFonts w:ascii="Arial" w:eastAsia="Times New Roman" w:hAnsi="Arial" w:cs="Arial"/>
                <w:color w:val="39414D"/>
                <w:szCs w:val="18"/>
              </w:rPr>
              <w:t>7</w:t>
            </w:r>
          </w:p>
        </w:tc>
        <w:tc>
          <w:tcPr>
            <w:tcW w:w="1890" w:type="dxa"/>
            <w:shd w:val="clear" w:color="auto" w:fill="auto"/>
            <w:noWrap/>
            <w:vAlign w:val="center"/>
          </w:tcPr>
          <w:p w14:paraId="24C678D2" w14:textId="73221E14"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w:t>
            </w:r>
            <w:r w:rsidRPr="00F115CC">
              <w:rPr>
                <w:rFonts w:ascii="Arial" w:eastAsia="Times New Roman" w:hAnsi="Arial" w:cs="Arial"/>
                <w:color w:val="39414D"/>
                <w:szCs w:val="18"/>
              </w:rPr>
              <w:t>Section 3.B.ii</w:t>
            </w:r>
          </w:p>
        </w:tc>
        <w:tc>
          <w:tcPr>
            <w:tcW w:w="2564" w:type="dxa"/>
            <w:shd w:val="clear" w:color="auto" w:fill="auto"/>
            <w:vAlign w:val="center"/>
          </w:tcPr>
          <w:p w14:paraId="6D15DA51" w14:textId="7EE8DC8C" w:rsidR="00025874" w:rsidRPr="005E4622" w:rsidRDefault="00025874"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No preprint </w:t>
            </w:r>
            <w:r w:rsidR="00F115CC">
              <w:rPr>
                <w:rFonts w:ascii="Arial" w:eastAsia="Times New Roman" w:hAnsi="Arial" w:cs="Arial"/>
                <w:color w:val="39414D"/>
                <w:szCs w:val="18"/>
              </w:rPr>
              <w:t>will be submitted; directed payment is based on the state plan approved fee schedule</w:t>
            </w:r>
          </w:p>
        </w:tc>
      </w:tr>
      <w:tr w:rsidR="00025874" w:rsidRPr="00E40A2F" w14:paraId="3C419089" w14:textId="77777777" w:rsidTr="00F0656A">
        <w:trPr>
          <w:trHeight w:val="80"/>
        </w:trPr>
        <w:tc>
          <w:tcPr>
            <w:tcW w:w="2070" w:type="dxa"/>
            <w:shd w:val="clear" w:color="auto" w:fill="E8E9E9" w:themeFill="accent2" w:themeFillTint="66"/>
            <w:noWrap/>
            <w:vAlign w:val="center"/>
          </w:tcPr>
          <w:p w14:paraId="5A98249D" w14:textId="3E3A14B3" w:rsidR="00025874" w:rsidRPr="00BA6770" w:rsidRDefault="001471B9"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TBD</w:t>
            </w:r>
            <w:r w:rsidR="00025874">
              <w:rPr>
                <w:rFonts w:ascii="Arial" w:eastAsia="Times New Roman" w:hAnsi="Arial" w:cs="Arial"/>
                <w:color w:val="39414D"/>
                <w:szCs w:val="18"/>
              </w:rPr>
              <w:t xml:space="preserve">: </w:t>
            </w:r>
            <w:r w:rsidR="00632A0A">
              <w:rPr>
                <w:rFonts w:ascii="Arial" w:eastAsia="Times New Roman" w:hAnsi="Arial" w:cs="Arial"/>
                <w:color w:val="39414D"/>
                <w:szCs w:val="18"/>
              </w:rPr>
              <w:t xml:space="preserve">Personal Care </w:t>
            </w:r>
            <w:r w:rsidR="00025874">
              <w:rPr>
                <w:rFonts w:ascii="Arial" w:eastAsia="Times New Roman" w:hAnsi="Arial" w:cs="Arial"/>
                <w:color w:val="39414D"/>
                <w:szCs w:val="18"/>
              </w:rPr>
              <w:t>Shift Differential</w:t>
            </w:r>
          </w:p>
        </w:tc>
        <w:tc>
          <w:tcPr>
            <w:tcW w:w="1260" w:type="dxa"/>
            <w:shd w:val="clear" w:color="auto" w:fill="E8E9E9" w:themeFill="accent2" w:themeFillTint="66"/>
            <w:noWrap/>
            <w:vAlign w:val="center"/>
          </w:tcPr>
          <w:p w14:paraId="19C176E6" w14:textId="1D794692" w:rsidR="00025874" w:rsidRPr="005E4622" w:rsidRDefault="00025874"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All Rate Cells</w:t>
            </w:r>
          </w:p>
        </w:tc>
        <w:tc>
          <w:tcPr>
            <w:tcW w:w="2160" w:type="dxa"/>
            <w:shd w:val="clear" w:color="auto" w:fill="E8E9E9" w:themeFill="accent2" w:themeFillTint="66"/>
            <w:noWrap/>
            <w:vAlign w:val="center"/>
          </w:tcPr>
          <w:p w14:paraId="2DFB238E" w14:textId="343D49B3"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Figure </w:t>
            </w:r>
            <w:r w:rsidR="00704FFB">
              <w:rPr>
                <w:rFonts w:ascii="Arial" w:eastAsia="Times New Roman" w:hAnsi="Arial" w:cs="Arial"/>
                <w:color w:val="39414D"/>
                <w:szCs w:val="18"/>
              </w:rPr>
              <w:t>7</w:t>
            </w:r>
          </w:p>
        </w:tc>
        <w:tc>
          <w:tcPr>
            <w:tcW w:w="1890" w:type="dxa"/>
            <w:shd w:val="clear" w:color="auto" w:fill="E8E9E9" w:themeFill="accent2" w:themeFillTint="66"/>
            <w:noWrap/>
            <w:vAlign w:val="center"/>
          </w:tcPr>
          <w:p w14:paraId="168FDBCD" w14:textId="7D710EAF"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w:t>
            </w:r>
            <w:r w:rsidRPr="00F115CC">
              <w:rPr>
                <w:rFonts w:ascii="Arial" w:eastAsia="Times New Roman" w:hAnsi="Arial" w:cs="Arial"/>
                <w:color w:val="39414D"/>
                <w:szCs w:val="18"/>
              </w:rPr>
              <w:t>Section 3.B.ii</w:t>
            </w:r>
          </w:p>
        </w:tc>
        <w:tc>
          <w:tcPr>
            <w:tcW w:w="2564" w:type="dxa"/>
            <w:shd w:val="clear" w:color="auto" w:fill="E8E9E9" w:themeFill="accent2" w:themeFillTint="66"/>
            <w:vAlign w:val="center"/>
          </w:tcPr>
          <w:p w14:paraId="27EFF974" w14:textId="754D3AA5" w:rsidR="00025874" w:rsidRPr="005E4622" w:rsidRDefault="00294248" w:rsidP="00025874">
            <w:pPr>
              <w:spacing w:after="0" w:line="240" w:lineRule="auto"/>
              <w:rPr>
                <w:rFonts w:ascii="Arial" w:eastAsia="Times New Roman" w:hAnsi="Arial" w:cs="Arial"/>
                <w:color w:val="39414D"/>
                <w:szCs w:val="18"/>
              </w:rPr>
            </w:pPr>
            <w:r w:rsidRPr="005E4622">
              <w:rPr>
                <w:rFonts w:ascii="Arial" w:eastAsia="Times New Roman" w:hAnsi="Arial" w:cs="Arial"/>
                <w:color w:val="39414D"/>
                <w:szCs w:val="18"/>
              </w:rPr>
              <w:t xml:space="preserve">Consistent with </w:t>
            </w:r>
            <w:r>
              <w:rPr>
                <w:rFonts w:ascii="Arial" w:eastAsia="Times New Roman" w:hAnsi="Arial" w:cs="Arial"/>
                <w:color w:val="39414D"/>
                <w:szCs w:val="18"/>
              </w:rPr>
              <w:t>anticipated</w:t>
            </w:r>
            <w:r w:rsidRPr="00E40A2F">
              <w:rPr>
                <w:rFonts w:ascii="Arial" w:eastAsia="Times New Roman" w:hAnsi="Arial" w:cs="Arial"/>
                <w:color w:val="39414D"/>
                <w:szCs w:val="18"/>
              </w:rPr>
              <w:t xml:space="preserve"> </w:t>
            </w:r>
            <w:r w:rsidRPr="005E4622">
              <w:rPr>
                <w:rFonts w:ascii="Arial" w:eastAsia="Times New Roman" w:hAnsi="Arial" w:cs="Arial"/>
                <w:color w:val="39414D"/>
                <w:szCs w:val="18"/>
              </w:rPr>
              <w:t>preprint</w:t>
            </w:r>
          </w:p>
        </w:tc>
      </w:tr>
      <w:tr w:rsidR="00025874" w:rsidRPr="00E40A2F" w14:paraId="77D26E1E" w14:textId="77777777" w:rsidTr="00F0656A">
        <w:trPr>
          <w:trHeight w:val="80"/>
        </w:trPr>
        <w:tc>
          <w:tcPr>
            <w:tcW w:w="2070" w:type="dxa"/>
            <w:shd w:val="clear" w:color="auto" w:fill="auto"/>
            <w:noWrap/>
            <w:vAlign w:val="center"/>
          </w:tcPr>
          <w:p w14:paraId="36573DE1" w14:textId="7BCAB39A" w:rsidR="00025874" w:rsidRPr="00BA6770" w:rsidRDefault="006E3774"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N/A</w:t>
            </w:r>
            <w:r w:rsidR="00025874">
              <w:rPr>
                <w:rFonts w:ascii="Arial" w:eastAsia="Times New Roman" w:hAnsi="Arial" w:cs="Arial"/>
                <w:color w:val="39414D"/>
                <w:szCs w:val="18"/>
              </w:rPr>
              <w:t xml:space="preserve">: </w:t>
            </w:r>
            <w:r w:rsidR="00632A0A">
              <w:rPr>
                <w:rFonts w:ascii="Arial" w:eastAsia="Times New Roman" w:hAnsi="Arial" w:cs="Arial"/>
                <w:color w:val="39414D"/>
                <w:szCs w:val="18"/>
              </w:rPr>
              <w:t xml:space="preserve">Personal Care </w:t>
            </w:r>
            <w:r w:rsidR="00025874">
              <w:rPr>
                <w:rFonts w:ascii="Arial" w:eastAsia="Times New Roman" w:hAnsi="Arial" w:cs="Arial"/>
                <w:color w:val="39414D"/>
                <w:szCs w:val="18"/>
              </w:rPr>
              <w:t>Behavioral Health Certification Enhancement</w:t>
            </w:r>
          </w:p>
        </w:tc>
        <w:tc>
          <w:tcPr>
            <w:tcW w:w="1260" w:type="dxa"/>
            <w:shd w:val="clear" w:color="auto" w:fill="auto"/>
            <w:noWrap/>
            <w:vAlign w:val="center"/>
          </w:tcPr>
          <w:p w14:paraId="4BEDAB4B" w14:textId="50108CEF" w:rsidR="00025874" w:rsidRPr="005E4622" w:rsidRDefault="00025874"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All Rate Cells</w:t>
            </w:r>
          </w:p>
        </w:tc>
        <w:tc>
          <w:tcPr>
            <w:tcW w:w="2160" w:type="dxa"/>
            <w:shd w:val="clear" w:color="auto" w:fill="auto"/>
            <w:noWrap/>
            <w:vAlign w:val="center"/>
          </w:tcPr>
          <w:p w14:paraId="77D12BD1" w14:textId="2E4124D5"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Figure </w:t>
            </w:r>
            <w:r w:rsidR="00704FFB">
              <w:rPr>
                <w:rFonts w:ascii="Arial" w:eastAsia="Times New Roman" w:hAnsi="Arial" w:cs="Arial"/>
                <w:color w:val="39414D"/>
                <w:szCs w:val="18"/>
              </w:rPr>
              <w:t>7</w:t>
            </w:r>
          </w:p>
        </w:tc>
        <w:tc>
          <w:tcPr>
            <w:tcW w:w="1890" w:type="dxa"/>
            <w:shd w:val="clear" w:color="auto" w:fill="auto"/>
            <w:noWrap/>
            <w:vAlign w:val="center"/>
          </w:tcPr>
          <w:p w14:paraId="2E8AED62" w14:textId="460E6831"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 xml:space="preserve">See </w:t>
            </w:r>
            <w:r w:rsidRPr="00F115CC">
              <w:rPr>
                <w:rFonts w:ascii="Arial" w:eastAsia="Times New Roman" w:hAnsi="Arial" w:cs="Arial"/>
                <w:color w:val="39414D"/>
                <w:szCs w:val="18"/>
              </w:rPr>
              <w:t>Section 3.B.ii</w:t>
            </w:r>
          </w:p>
        </w:tc>
        <w:tc>
          <w:tcPr>
            <w:tcW w:w="2564" w:type="dxa"/>
            <w:shd w:val="clear" w:color="auto" w:fill="auto"/>
            <w:vAlign w:val="center"/>
          </w:tcPr>
          <w:p w14:paraId="22C19734" w14:textId="31BFF166" w:rsidR="00025874" w:rsidRPr="005E4622" w:rsidRDefault="00F115CC" w:rsidP="00025874">
            <w:pPr>
              <w:spacing w:after="0" w:line="240" w:lineRule="auto"/>
              <w:rPr>
                <w:rFonts w:ascii="Arial" w:eastAsia="Times New Roman" w:hAnsi="Arial" w:cs="Arial"/>
                <w:color w:val="39414D"/>
                <w:szCs w:val="18"/>
              </w:rPr>
            </w:pPr>
            <w:r>
              <w:rPr>
                <w:rFonts w:ascii="Arial" w:eastAsia="Times New Roman" w:hAnsi="Arial" w:cs="Arial"/>
                <w:color w:val="39414D"/>
                <w:szCs w:val="18"/>
              </w:rPr>
              <w:t>No preprint will be submitted; directed payment is based on the state plan approved fee schedule</w:t>
            </w:r>
          </w:p>
        </w:tc>
      </w:tr>
      <w:tr w:rsidR="006E3774" w:rsidRPr="00E40A2F" w14:paraId="162F86DC" w14:textId="77777777" w:rsidTr="0036670D">
        <w:trPr>
          <w:trHeight w:val="80"/>
        </w:trPr>
        <w:tc>
          <w:tcPr>
            <w:tcW w:w="9944" w:type="dxa"/>
            <w:gridSpan w:val="5"/>
            <w:tcBorders>
              <w:left w:val="nil"/>
              <w:bottom w:val="nil"/>
              <w:right w:val="nil"/>
            </w:tcBorders>
            <w:shd w:val="clear" w:color="auto" w:fill="auto"/>
            <w:noWrap/>
            <w:vAlign w:val="center"/>
          </w:tcPr>
          <w:p w14:paraId="25DB1417" w14:textId="635A3CD2" w:rsidR="006E3774" w:rsidRPr="006E3774" w:rsidRDefault="006E3774" w:rsidP="006E3774">
            <w:pPr>
              <w:pStyle w:val="RRBullet1"/>
              <w:numPr>
                <w:ilvl w:val="0"/>
                <w:numId w:val="0"/>
              </w:numPr>
              <w:spacing w:before="120" w:after="0"/>
              <w:rPr>
                <w:rFonts w:ascii="Arial" w:eastAsia="Times New Roman" w:hAnsi="Arial" w:cs="Arial"/>
                <w:color w:val="727A7D"/>
                <w:sz w:val="16"/>
                <w:szCs w:val="16"/>
              </w:rPr>
            </w:pPr>
            <w:r w:rsidRPr="006E3774">
              <w:rPr>
                <w:rFonts w:ascii="Arial" w:eastAsia="Times New Roman" w:hAnsi="Arial" w:cs="Arial"/>
                <w:color w:val="727A7D"/>
                <w:sz w:val="16"/>
                <w:szCs w:val="16"/>
              </w:rPr>
              <w:t xml:space="preserve">Note: </w:t>
            </w:r>
            <w:r>
              <w:rPr>
                <w:rFonts w:ascii="Arial" w:eastAsia="Times New Roman" w:hAnsi="Arial" w:cs="Arial"/>
                <w:color w:val="727A7D"/>
                <w:sz w:val="16"/>
                <w:szCs w:val="16"/>
              </w:rPr>
              <w:t xml:space="preserve">The assisted living and </w:t>
            </w:r>
            <w:r w:rsidR="00B03459">
              <w:rPr>
                <w:rFonts w:ascii="Arial" w:eastAsia="Times New Roman" w:hAnsi="Arial" w:cs="Arial"/>
                <w:color w:val="727A7D"/>
                <w:sz w:val="16"/>
                <w:szCs w:val="16"/>
              </w:rPr>
              <w:t xml:space="preserve">personal care </w:t>
            </w:r>
            <w:r>
              <w:rPr>
                <w:rFonts w:ascii="Arial" w:eastAsia="Times New Roman" w:hAnsi="Arial" w:cs="Arial"/>
                <w:color w:val="727A7D"/>
                <w:sz w:val="16"/>
                <w:szCs w:val="16"/>
              </w:rPr>
              <w:t>behavioral health certification enhancement directed payments are based on a state plan approved fee schedule. No preprint is required.</w:t>
            </w:r>
          </w:p>
          <w:p w14:paraId="2F16BBCD" w14:textId="77777777" w:rsidR="006E3774" w:rsidRPr="005E4622" w:rsidRDefault="006E3774" w:rsidP="00025874">
            <w:pPr>
              <w:spacing w:after="0" w:line="240" w:lineRule="auto"/>
              <w:rPr>
                <w:rFonts w:ascii="Arial" w:eastAsia="Times New Roman" w:hAnsi="Arial" w:cs="Arial"/>
                <w:color w:val="39414D"/>
                <w:szCs w:val="18"/>
              </w:rPr>
            </w:pPr>
          </w:p>
        </w:tc>
      </w:tr>
    </w:tbl>
    <w:p w14:paraId="2E3E2F75" w14:textId="142EB9D3" w:rsidR="00052FE4" w:rsidRDefault="00680FB7">
      <w:pPr>
        <w:pStyle w:val="Heading6"/>
      </w:pPr>
      <w:r>
        <w:t>S</w:t>
      </w:r>
      <w:r w:rsidR="00704FFB">
        <w:t>tate directed payments</w:t>
      </w:r>
      <w:r>
        <w:t xml:space="preserve"> incorporated as a separate payment term</w:t>
      </w:r>
    </w:p>
    <w:p w14:paraId="22AF726C" w14:textId="5F9BA134" w:rsidR="00052FE4" w:rsidRDefault="00680FB7" w:rsidP="00052FE4">
      <w:pPr>
        <w:pStyle w:val="RRBody"/>
        <w:tabs>
          <w:tab w:val="left" w:pos="7926"/>
        </w:tabs>
      </w:pPr>
      <w:r w:rsidRPr="002020C6">
        <w:t xml:space="preserve">Consistent with 42 CFR §438.7(b)(6) and 438.6(d), </w:t>
      </w:r>
      <w:r>
        <w:t xml:space="preserve">the </w:t>
      </w:r>
      <w:r w:rsidRPr="002020C6">
        <w:t xml:space="preserve">state directed payment </w:t>
      </w:r>
      <w:r>
        <w:t>is</w:t>
      </w:r>
      <w:r w:rsidRPr="002020C6">
        <w:t xml:space="preserve"> incorporated into the rate certification consistent with the approved preprint. The effect of </w:t>
      </w:r>
      <w:r>
        <w:t>the</w:t>
      </w:r>
      <w:r w:rsidRPr="002020C6">
        <w:t xml:space="preserve"> state directed payment </w:t>
      </w:r>
      <w:r>
        <w:t>incorporated as a separate payment term i</w:t>
      </w:r>
      <w:r w:rsidRPr="002020C6">
        <w:t>n the SFY 202</w:t>
      </w:r>
      <w:r>
        <w:t>3</w:t>
      </w:r>
      <w:r w:rsidRPr="002020C6">
        <w:t xml:space="preserve"> capitation rates is outlined in the figure below</w:t>
      </w:r>
      <w:r w:rsidR="00052FE4">
        <w:t>.</w:t>
      </w:r>
    </w:p>
    <w:tbl>
      <w:tblPr>
        <w:tblW w:w="10357" w:type="dxa"/>
        <w:tblLook w:val="04A0" w:firstRow="1" w:lastRow="0" w:firstColumn="1" w:lastColumn="0" w:noHBand="0" w:noVBand="1"/>
      </w:tblPr>
      <w:tblGrid>
        <w:gridCol w:w="1674"/>
        <w:gridCol w:w="1452"/>
        <w:gridCol w:w="1644"/>
        <w:gridCol w:w="1440"/>
        <w:gridCol w:w="1710"/>
        <w:gridCol w:w="2437"/>
      </w:tblGrid>
      <w:tr w:rsidR="00680FB7" w:rsidRPr="00E40A2F" w14:paraId="04D260EF" w14:textId="77777777" w:rsidTr="00F407C2">
        <w:trPr>
          <w:trHeight w:val="176"/>
        </w:trPr>
        <w:tc>
          <w:tcPr>
            <w:tcW w:w="10357" w:type="dxa"/>
            <w:gridSpan w:val="6"/>
            <w:tcBorders>
              <w:top w:val="single" w:sz="4" w:space="0" w:color="E8E9E9"/>
              <w:left w:val="nil"/>
              <w:bottom w:val="nil"/>
              <w:right w:val="nil"/>
            </w:tcBorders>
            <w:shd w:val="clear" w:color="auto" w:fill="auto"/>
            <w:noWrap/>
            <w:vAlign w:val="bottom"/>
            <w:hideMark/>
          </w:tcPr>
          <w:p w14:paraId="0507519B" w14:textId="590E5CAA" w:rsidR="00680FB7" w:rsidRPr="00084359" w:rsidRDefault="00680FB7" w:rsidP="00F407C2">
            <w:pPr>
              <w:spacing w:after="0" w:line="240" w:lineRule="auto"/>
              <w:rPr>
                <w:rFonts w:ascii="Arial" w:eastAsia="Times New Roman" w:hAnsi="Arial" w:cs="Arial"/>
                <w:b/>
                <w:bCs/>
                <w:color w:val="0081E3"/>
                <w:szCs w:val="18"/>
              </w:rPr>
            </w:pPr>
            <w:r>
              <w:rPr>
                <w:rFonts w:ascii="Arial" w:eastAsia="Times New Roman" w:hAnsi="Arial" w:cs="Arial"/>
                <w:b/>
                <w:bCs/>
                <w:noProof/>
                <w:color w:val="0081E3"/>
                <w:szCs w:val="18"/>
              </w:rPr>
              <mc:AlternateContent>
                <mc:Choice Requires="wps">
                  <w:drawing>
                    <wp:anchor distT="0" distB="0" distL="114300" distR="114300" simplePos="0" relativeHeight="251663365" behindDoc="0" locked="0" layoutInCell="1" allowOverlap="1" wp14:anchorId="54C9FDEE" wp14:editId="641F70AB">
                      <wp:simplePos x="0" y="0"/>
                      <wp:positionH relativeFrom="column">
                        <wp:posOffset>6212205</wp:posOffset>
                      </wp:positionH>
                      <wp:positionV relativeFrom="paragraph">
                        <wp:posOffset>-12065</wp:posOffset>
                      </wp:positionV>
                      <wp:extent cx="564515" cy="45085"/>
                      <wp:effectExtent l="0" t="0" r="6985" b="0"/>
                      <wp:wrapNone/>
                      <wp:docPr id="13" name="Rectangle 13"/>
                      <wp:cNvGraphicFramePr/>
                      <a:graphic xmlns:a="http://schemas.openxmlformats.org/drawingml/2006/main">
                        <a:graphicData uri="http://schemas.microsoft.com/office/word/2010/wordprocessingShape">
                          <wps:wsp>
                            <wps:cNvSpPr/>
                            <wps:spPr>
                              <a:xfrm>
                                <a:off x="0" y="0"/>
                                <a:ext cx="564515" cy="450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CF12B" id="Rectangle 13" o:spid="_x0000_s1026" style="position:absolute;margin-left:489.15pt;margin-top:-.95pt;width:44.45pt;height:3.5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" fillcolor="white [3212]" stroked="f" strokeweight="1pt"/>
                  </w:pict>
                </mc:Fallback>
              </mc:AlternateContent>
            </w:r>
            <w:r w:rsidRPr="00993A94">
              <w:rPr>
                <w:rFonts w:ascii="Arial" w:eastAsia="Times New Roman" w:hAnsi="Arial" w:cs="Arial"/>
                <w:b/>
                <w:bCs/>
                <w:color w:val="0081E3"/>
                <w:sz w:val="16"/>
                <w:szCs w:val="16"/>
              </w:rPr>
              <w:t xml:space="preserve"> </w:t>
            </w:r>
            <w:r w:rsidRPr="004E54E8">
              <w:rPr>
                <w:rFonts w:ascii="Arial" w:eastAsia="Times New Roman" w:hAnsi="Arial" w:cs="Arial"/>
                <w:b/>
                <w:bCs/>
                <w:color w:val="0081E3"/>
                <w:szCs w:val="18"/>
              </w:rPr>
              <w:t xml:space="preserve">FIGURE </w:t>
            </w:r>
            <w:r w:rsidR="00084359" w:rsidRPr="004E54E8">
              <w:rPr>
                <w:rFonts w:ascii="Arial" w:eastAsia="Times New Roman" w:hAnsi="Arial" w:cs="Arial"/>
                <w:b/>
                <w:bCs/>
                <w:color w:val="0081E3"/>
                <w:szCs w:val="18"/>
              </w:rPr>
              <w:t>12</w:t>
            </w:r>
            <w:r w:rsidRPr="004E54E8">
              <w:rPr>
                <w:rFonts w:ascii="Arial" w:eastAsia="Times New Roman" w:hAnsi="Arial" w:cs="Arial"/>
                <w:b/>
                <w:bCs/>
                <w:color w:val="0081E3"/>
                <w:szCs w:val="18"/>
              </w:rPr>
              <w:t>: EFFECT OF STATE DIRECTED PAYMENTS – SEPARATE PAYMENT TERM</w:t>
            </w:r>
          </w:p>
        </w:tc>
      </w:tr>
      <w:tr w:rsidR="00084359" w:rsidRPr="0047127A" w14:paraId="49BB0A97" w14:textId="77777777" w:rsidTr="004E54E8">
        <w:trPr>
          <w:trHeight w:val="567"/>
        </w:trPr>
        <w:tc>
          <w:tcPr>
            <w:tcW w:w="1674" w:type="dxa"/>
            <w:tcBorders>
              <w:top w:val="nil"/>
              <w:left w:val="nil"/>
              <w:bottom w:val="single" w:sz="4" w:space="0" w:color="C6C9CA"/>
              <w:right w:val="nil"/>
            </w:tcBorders>
            <w:shd w:val="clear" w:color="auto" w:fill="auto"/>
            <w:vAlign w:val="center"/>
            <w:hideMark/>
          </w:tcPr>
          <w:p w14:paraId="15DD5817" w14:textId="77777777" w:rsidR="00680FB7" w:rsidRPr="00084359" w:rsidRDefault="00680FB7" w:rsidP="00F407C2">
            <w:pPr>
              <w:spacing w:before="120" w:line="240" w:lineRule="auto"/>
              <w:rPr>
                <w:rFonts w:ascii="Arial" w:eastAsia="Times New Roman" w:hAnsi="Arial" w:cs="Arial"/>
                <w:b/>
                <w:bCs/>
                <w:caps/>
                <w:color w:val="39414D"/>
                <w:sz w:val="16"/>
                <w:szCs w:val="16"/>
              </w:rPr>
            </w:pPr>
            <w:r w:rsidRPr="004E54E8">
              <w:rPr>
                <w:rFonts w:ascii="Arial" w:eastAsia="Times New Roman" w:hAnsi="Arial" w:cs="Arial"/>
                <w:b/>
                <w:bCs/>
                <w:caps/>
                <w:color w:val="39414D"/>
                <w:sz w:val="16"/>
                <w:szCs w:val="16"/>
              </w:rPr>
              <w:t>Control Name of the State Directed Payment</w:t>
            </w:r>
          </w:p>
        </w:tc>
        <w:tc>
          <w:tcPr>
            <w:tcW w:w="1452" w:type="dxa"/>
            <w:tcBorders>
              <w:top w:val="nil"/>
              <w:left w:val="nil"/>
              <w:bottom w:val="single" w:sz="4" w:space="0" w:color="C6C9CA"/>
              <w:right w:val="nil"/>
            </w:tcBorders>
            <w:shd w:val="clear" w:color="auto" w:fill="auto"/>
            <w:vAlign w:val="center"/>
            <w:hideMark/>
          </w:tcPr>
          <w:p w14:paraId="678924B9" w14:textId="77777777" w:rsidR="00680FB7" w:rsidRPr="004E54E8" w:rsidRDefault="00680FB7" w:rsidP="00F407C2">
            <w:pPr>
              <w:spacing w:before="120" w:line="240" w:lineRule="auto"/>
              <w:rPr>
                <w:rFonts w:ascii="Arial" w:eastAsia="Times New Roman" w:hAnsi="Arial" w:cs="Arial"/>
                <w:b/>
                <w:bCs/>
                <w:caps/>
                <w:color w:val="39414D"/>
                <w:sz w:val="16"/>
                <w:szCs w:val="16"/>
              </w:rPr>
            </w:pPr>
            <w:r w:rsidRPr="004E54E8">
              <w:rPr>
                <w:rFonts w:ascii="Arial" w:eastAsia="Times New Roman" w:hAnsi="Arial" w:cs="Arial"/>
                <w:b/>
                <w:bCs/>
                <w:caps/>
                <w:color w:val="39414D"/>
                <w:sz w:val="16"/>
                <w:szCs w:val="16"/>
              </w:rPr>
              <w:t>Aggregate Amount Included In Certification</w:t>
            </w:r>
          </w:p>
        </w:tc>
        <w:tc>
          <w:tcPr>
            <w:tcW w:w="1644" w:type="dxa"/>
            <w:tcBorders>
              <w:top w:val="nil"/>
              <w:left w:val="nil"/>
              <w:bottom w:val="single" w:sz="4" w:space="0" w:color="C6C9CA"/>
              <w:right w:val="nil"/>
            </w:tcBorders>
            <w:vAlign w:val="center"/>
          </w:tcPr>
          <w:p w14:paraId="1352BA28" w14:textId="77777777" w:rsidR="00680FB7" w:rsidRPr="004E54E8" w:rsidRDefault="00680FB7" w:rsidP="00F407C2">
            <w:pPr>
              <w:spacing w:before="120" w:line="240" w:lineRule="auto"/>
              <w:rPr>
                <w:rFonts w:ascii="Arial" w:eastAsia="Times New Roman" w:hAnsi="Arial" w:cs="Arial"/>
                <w:b/>
                <w:bCs/>
                <w:caps/>
                <w:color w:val="39414D"/>
                <w:sz w:val="16"/>
                <w:szCs w:val="16"/>
              </w:rPr>
            </w:pPr>
            <w:r w:rsidRPr="004E54E8">
              <w:rPr>
                <w:rFonts w:ascii="Arial" w:eastAsia="Times New Roman" w:hAnsi="Arial" w:cs="Arial"/>
                <w:b/>
                <w:bCs/>
                <w:caps/>
                <w:color w:val="39414D"/>
                <w:sz w:val="16"/>
                <w:szCs w:val="16"/>
              </w:rPr>
              <w:t>Certified Amount</w:t>
            </w:r>
          </w:p>
        </w:tc>
        <w:tc>
          <w:tcPr>
            <w:tcW w:w="1440" w:type="dxa"/>
            <w:tcBorders>
              <w:top w:val="nil"/>
              <w:left w:val="nil"/>
              <w:bottom w:val="single" w:sz="4" w:space="0" w:color="C6C9CA"/>
              <w:right w:val="nil"/>
            </w:tcBorders>
            <w:shd w:val="clear" w:color="auto" w:fill="auto"/>
            <w:vAlign w:val="center"/>
            <w:hideMark/>
          </w:tcPr>
          <w:p w14:paraId="67BC480D" w14:textId="77777777" w:rsidR="00680FB7" w:rsidRPr="004E54E8" w:rsidRDefault="00680FB7" w:rsidP="00F407C2">
            <w:pPr>
              <w:spacing w:before="120" w:line="240" w:lineRule="auto"/>
              <w:rPr>
                <w:rFonts w:ascii="Arial" w:eastAsia="Times New Roman" w:hAnsi="Arial" w:cs="Arial"/>
                <w:b/>
                <w:bCs/>
                <w:caps/>
                <w:color w:val="39414D"/>
                <w:sz w:val="16"/>
                <w:szCs w:val="16"/>
              </w:rPr>
            </w:pPr>
            <w:r w:rsidRPr="004E54E8">
              <w:rPr>
                <w:rFonts w:ascii="Arial" w:eastAsia="Times New Roman" w:hAnsi="Arial" w:cs="Arial"/>
                <w:b/>
                <w:bCs/>
                <w:caps/>
                <w:color w:val="39414D"/>
                <w:sz w:val="16"/>
                <w:szCs w:val="16"/>
              </w:rPr>
              <w:t>PMPM Magnitude</w:t>
            </w:r>
          </w:p>
        </w:tc>
        <w:tc>
          <w:tcPr>
            <w:tcW w:w="1710" w:type="dxa"/>
            <w:tcBorders>
              <w:top w:val="nil"/>
              <w:left w:val="nil"/>
              <w:bottom w:val="single" w:sz="4" w:space="0" w:color="C6C9CA"/>
              <w:right w:val="nil"/>
            </w:tcBorders>
            <w:shd w:val="clear" w:color="auto" w:fill="auto"/>
            <w:vAlign w:val="center"/>
            <w:hideMark/>
          </w:tcPr>
          <w:p w14:paraId="3D250B6A" w14:textId="77777777" w:rsidR="00680FB7" w:rsidRPr="004E54E8" w:rsidRDefault="00680FB7" w:rsidP="00F407C2">
            <w:pPr>
              <w:spacing w:before="120" w:line="240" w:lineRule="auto"/>
              <w:rPr>
                <w:rFonts w:ascii="Arial" w:eastAsia="Times New Roman" w:hAnsi="Arial" w:cs="Arial"/>
                <w:b/>
                <w:bCs/>
                <w:caps/>
                <w:color w:val="39414D"/>
                <w:sz w:val="16"/>
                <w:szCs w:val="16"/>
              </w:rPr>
            </w:pPr>
            <w:r w:rsidRPr="004E54E8">
              <w:rPr>
                <w:rFonts w:ascii="Arial" w:eastAsia="Times New Roman" w:hAnsi="Arial" w:cs="Arial"/>
                <w:b/>
                <w:bCs/>
                <w:caps/>
                <w:color w:val="39414D"/>
                <w:sz w:val="16"/>
                <w:szCs w:val="16"/>
              </w:rPr>
              <w:t>Confirmation the Rates are Consistent with the Preprint</w:t>
            </w:r>
          </w:p>
        </w:tc>
        <w:tc>
          <w:tcPr>
            <w:tcW w:w="2437" w:type="dxa"/>
            <w:tcBorders>
              <w:top w:val="nil"/>
              <w:left w:val="nil"/>
              <w:bottom w:val="single" w:sz="4" w:space="0" w:color="C6C9CA"/>
              <w:right w:val="nil"/>
            </w:tcBorders>
            <w:shd w:val="clear" w:color="auto" w:fill="auto"/>
            <w:vAlign w:val="center"/>
            <w:hideMark/>
          </w:tcPr>
          <w:p w14:paraId="5133C28A" w14:textId="77777777" w:rsidR="00680FB7" w:rsidRPr="004E54E8" w:rsidRDefault="00680FB7" w:rsidP="00F407C2">
            <w:pPr>
              <w:spacing w:before="120" w:line="240" w:lineRule="auto"/>
              <w:rPr>
                <w:rFonts w:ascii="Arial" w:eastAsia="Times New Roman" w:hAnsi="Arial" w:cs="Arial"/>
                <w:b/>
                <w:bCs/>
                <w:caps/>
                <w:color w:val="39414D"/>
                <w:sz w:val="16"/>
                <w:szCs w:val="16"/>
              </w:rPr>
            </w:pPr>
            <w:r w:rsidRPr="004E54E8">
              <w:rPr>
                <w:rFonts w:ascii="Arial" w:eastAsia="Times New Roman" w:hAnsi="Arial" w:cs="Arial"/>
                <w:b/>
                <w:bCs/>
                <w:caps/>
                <w:color w:val="39414D"/>
                <w:sz w:val="16"/>
                <w:szCs w:val="16"/>
              </w:rPr>
              <w:t>Documentation Will Be Submitted at End of the Rating Period</w:t>
            </w:r>
          </w:p>
        </w:tc>
      </w:tr>
      <w:tr w:rsidR="00084359" w:rsidRPr="0047127A" w14:paraId="5E9D54C5" w14:textId="77777777" w:rsidTr="004E54E8">
        <w:trPr>
          <w:trHeight w:val="80"/>
        </w:trPr>
        <w:tc>
          <w:tcPr>
            <w:tcW w:w="1674" w:type="dxa"/>
            <w:tcBorders>
              <w:top w:val="nil"/>
              <w:left w:val="nil"/>
              <w:bottom w:val="nil"/>
              <w:right w:val="nil"/>
            </w:tcBorders>
            <w:shd w:val="clear" w:color="auto" w:fill="auto"/>
            <w:noWrap/>
            <w:hideMark/>
          </w:tcPr>
          <w:p w14:paraId="27921042" w14:textId="529A4D40" w:rsidR="00680FB7" w:rsidRPr="0047127A" w:rsidRDefault="00680FB7" w:rsidP="00F407C2">
            <w:pPr>
              <w:spacing w:before="120" w:line="240" w:lineRule="auto"/>
              <w:rPr>
                <w:rFonts w:ascii="Arial" w:eastAsia="Times New Roman" w:hAnsi="Arial" w:cs="Arial"/>
                <w:color w:val="39414D"/>
                <w:sz w:val="16"/>
                <w:szCs w:val="16"/>
              </w:rPr>
            </w:pPr>
            <w:r w:rsidRPr="0047127A">
              <w:rPr>
                <w:rFonts w:ascii="Arial" w:eastAsia="Times New Roman" w:hAnsi="Arial" w:cs="Arial"/>
                <w:color w:val="39414D"/>
                <w:sz w:val="16"/>
                <w:szCs w:val="16"/>
              </w:rPr>
              <w:t>RI_ Fee_</w:t>
            </w:r>
            <w:r w:rsidR="00084359">
              <w:rPr>
                <w:rFonts w:ascii="Arial" w:eastAsia="Times New Roman" w:hAnsi="Arial" w:cs="Arial"/>
                <w:color w:val="39414D"/>
                <w:sz w:val="16"/>
                <w:szCs w:val="16"/>
              </w:rPr>
              <w:t>HCBS</w:t>
            </w:r>
            <w:r w:rsidRPr="0047127A">
              <w:rPr>
                <w:rFonts w:ascii="Arial" w:eastAsia="Times New Roman" w:hAnsi="Arial" w:cs="Arial"/>
                <w:color w:val="39414D"/>
                <w:sz w:val="16"/>
                <w:szCs w:val="16"/>
              </w:rPr>
              <w:t>_</w:t>
            </w:r>
          </w:p>
          <w:p w14:paraId="29867FCE" w14:textId="0BA3C947" w:rsidR="00680FB7" w:rsidRPr="0047127A" w:rsidRDefault="00680FB7" w:rsidP="00F407C2">
            <w:pPr>
              <w:spacing w:before="120" w:line="240" w:lineRule="auto"/>
              <w:rPr>
                <w:rFonts w:ascii="Arial" w:eastAsia="Times New Roman" w:hAnsi="Arial" w:cs="Arial"/>
                <w:color w:val="39414D"/>
                <w:sz w:val="16"/>
                <w:szCs w:val="16"/>
                <w:highlight w:val="yellow"/>
                <w:u w:val="single"/>
              </w:rPr>
            </w:pPr>
            <w:r w:rsidRPr="0047127A">
              <w:rPr>
                <w:rFonts w:ascii="Arial" w:eastAsia="Times New Roman" w:hAnsi="Arial" w:cs="Arial"/>
                <w:color w:val="39414D"/>
                <w:sz w:val="16"/>
                <w:szCs w:val="16"/>
              </w:rPr>
              <w:t>New</w:t>
            </w:r>
            <w:r w:rsidR="00084359">
              <w:rPr>
                <w:rFonts w:ascii="Arial" w:eastAsia="Times New Roman" w:hAnsi="Arial" w:cs="Arial"/>
                <w:color w:val="39414D"/>
                <w:sz w:val="16"/>
                <w:szCs w:val="16"/>
              </w:rPr>
              <w:t>_20220701-20230630</w:t>
            </w:r>
          </w:p>
        </w:tc>
        <w:tc>
          <w:tcPr>
            <w:tcW w:w="1452" w:type="dxa"/>
            <w:tcBorders>
              <w:top w:val="nil"/>
              <w:left w:val="nil"/>
              <w:bottom w:val="nil"/>
              <w:right w:val="nil"/>
            </w:tcBorders>
            <w:shd w:val="clear" w:color="auto" w:fill="auto"/>
            <w:noWrap/>
            <w:hideMark/>
          </w:tcPr>
          <w:p w14:paraId="27E1D4C9" w14:textId="2420482B" w:rsidR="00680FB7" w:rsidRPr="0047127A" w:rsidRDefault="00680FB7" w:rsidP="00F407C2">
            <w:pPr>
              <w:spacing w:before="120" w:line="240" w:lineRule="auto"/>
              <w:rPr>
                <w:rFonts w:ascii="Arial" w:eastAsia="Times New Roman" w:hAnsi="Arial" w:cs="Arial"/>
                <w:color w:val="39414D"/>
                <w:sz w:val="16"/>
                <w:szCs w:val="16"/>
              </w:rPr>
            </w:pPr>
            <w:r w:rsidRPr="0047127A">
              <w:rPr>
                <w:rFonts w:ascii="Arial" w:eastAsia="Times New Roman" w:hAnsi="Arial" w:cs="Arial"/>
                <w:color w:val="39414D"/>
                <w:sz w:val="16"/>
                <w:szCs w:val="16"/>
              </w:rPr>
              <w:t>$</w:t>
            </w:r>
            <w:r w:rsidR="00084359">
              <w:rPr>
                <w:rFonts w:ascii="Arial" w:eastAsia="Times New Roman" w:hAnsi="Arial" w:cs="Arial"/>
                <w:color w:val="39414D"/>
                <w:sz w:val="16"/>
                <w:szCs w:val="16"/>
              </w:rPr>
              <w:t>4</w:t>
            </w:r>
            <w:r w:rsidRPr="0047127A">
              <w:rPr>
                <w:rFonts w:ascii="Arial" w:eastAsia="Times New Roman" w:hAnsi="Arial" w:cs="Arial"/>
                <w:color w:val="39414D"/>
                <w:sz w:val="16"/>
                <w:szCs w:val="16"/>
              </w:rPr>
              <w:t>,</w:t>
            </w:r>
            <w:r w:rsidR="00084359">
              <w:rPr>
                <w:rFonts w:ascii="Arial" w:eastAsia="Times New Roman" w:hAnsi="Arial" w:cs="Arial"/>
                <w:color w:val="39414D"/>
                <w:sz w:val="16"/>
                <w:szCs w:val="16"/>
              </w:rPr>
              <w:t>375</w:t>
            </w:r>
            <w:r w:rsidRPr="0047127A">
              <w:rPr>
                <w:rFonts w:ascii="Arial" w:eastAsia="Times New Roman" w:hAnsi="Arial" w:cs="Arial"/>
                <w:color w:val="39414D"/>
                <w:sz w:val="16"/>
                <w:szCs w:val="16"/>
              </w:rPr>
              <w:t>,000</w:t>
            </w:r>
          </w:p>
        </w:tc>
        <w:tc>
          <w:tcPr>
            <w:tcW w:w="1644" w:type="dxa"/>
            <w:tcBorders>
              <w:top w:val="nil"/>
              <w:left w:val="nil"/>
              <w:bottom w:val="nil"/>
              <w:right w:val="nil"/>
            </w:tcBorders>
          </w:tcPr>
          <w:p w14:paraId="1DACD96B" w14:textId="77777777" w:rsidR="00680FB7" w:rsidRPr="0047127A" w:rsidRDefault="00680FB7" w:rsidP="00F407C2">
            <w:pPr>
              <w:spacing w:before="120" w:line="240" w:lineRule="auto"/>
              <w:rPr>
                <w:rFonts w:ascii="Arial" w:eastAsia="Times New Roman" w:hAnsi="Arial" w:cs="Arial"/>
                <w:color w:val="39414D"/>
                <w:sz w:val="16"/>
                <w:szCs w:val="16"/>
              </w:rPr>
            </w:pPr>
            <w:r w:rsidRPr="0047127A">
              <w:rPr>
                <w:rFonts w:ascii="Arial" w:eastAsia="Times New Roman" w:hAnsi="Arial" w:cs="Arial"/>
                <w:color w:val="39414D"/>
                <w:sz w:val="16"/>
                <w:szCs w:val="16"/>
              </w:rPr>
              <w:t>We certify that the amount of the separate payment term disclosed in this certification is a reasonable estimate for the ultimately reconciled retrospective amounts.</w:t>
            </w:r>
          </w:p>
        </w:tc>
        <w:tc>
          <w:tcPr>
            <w:tcW w:w="1440" w:type="dxa"/>
            <w:tcBorders>
              <w:top w:val="nil"/>
              <w:left w:val="nil"/>
              <w:bottom w:val="nil"/>
              <w:right w:val="nil"/>
            </w:tcBorders>
            <w:shd w:val="clear" w:color="auto" w:fill="auto"/>
            <w:noWrap/>
            <w:hideMark/>
          </w:tcPr>
          <w:p w14:paraId="0B1DB2C5" w14:textId="440372BD" w:rsidR="00680FB7" w:rsidRPr="0047127A" w:rsidRDefault="00680FB7" w:rsidP="00F407C2">
            <w:pPr>
              <w:spacing w:before="120" w:line="240" w:lineRule="auto"/>
              <w:rPr>
                <w:rFonts w:ascii="Arial" w:eastAsia="Times New Roman" w:hAnsi="Arial" w:cs="Arial"/>
                <w:color w:val="39414D"/>
                <w:sz w:val="16"/>
                <w:szCs w:val="16"/>
              </w:rPr>
            </w:pPr>
            <w:r w:rsidRPr="0047127A">
              <w:rPr>
                <w:rFonts w:ascii="Arial" w:eastAsia="Times New Roman" w:hAnsi="Arial" w:cs="Arial"/>
                <w:color w:val="39414D"/>
                <w:sz w:val="16"/>
                <w:szCs w:val="16"/>
              </w:rPr>
              <w:t xml:space="preserve">The estimated magnitude of this state directed payment is illustrated in Appendix </w:t>
            </w:r>
            <w:r w:rsidR="00084359">
              <w:rPr>
                <w:rFonts w:ascii="Arial" w:eastAsia="Times New Roman" w:hAnsi="Arial" w:cs="Arial"/>
                <w:color w:val="39414D"/>
                <w:sz w:val="16"/>
                <w:szCs w:val="16"/>
              </w:rPr>
              <w:t>5</w:t>
            </w:r>
            <w:r w:rsidRPr="0047127A">
              <w:rPr>
                <w:rFonts w:ascii="Arial" w:eastAsia="Times New Roman" w:hAnsi="Arial" w:cs="Arial"/>
                <w:color w:val="39414D"/>
                <w:sz w:val="16"/>
                <w:szCs w:val="16"/>
              </w:rPr>
              <w:t>, in the “</w:t>
            </w:r>
            <w:r w:rsidR="00084359">
              <w:rPr>
                <w:rFonts w:ascii="Arial" w:eastAsia="Times New Roman" w:hAnsi="Arial" w:cs="Arial"/>
                <w:color w:val="39414D"/>
                <w:sz w:val="16"/>
                <w:szCs w:val="16"/>
              </w:rPr>
              <w:t>LTSS APM</w:t>
            </w:r>
            <w:r w:rsidRPr="0047127A">
              <w:rPr>
                <w:rFonts w:ascii="Arial" w:eastAsia="Times New Roman" w:hAnsi="Arial" w:cs="Arial"/>
                <w:color w:val="39414D"/>
                <w:sz w:val="16"/>
                <w:szCs w:val="16"/>
              </w:rPr>
              <w:t>” column.</w:t>
            </w:r>
          </w:p>
        </w:tc>
        <w:tc>
          <w:tcPr>
            <w:tcW w:w="1710" w:type="dxa"/>
            <w:tcBorders>
              <w:top w:val="nil"/>
              <w:left w:val="nil"/>
              <w:bottom w:val="nil"/>
              <w:right w:val="nil"/>
            </w:tcBorders>
            <w:shd w:val="clear" w:color="auto" w:fill="auto"/>
            <w:noWrap/>
            <w:hideMark/>
          </w:tcPr>
          <w:p w14:paraId="0D5FDB54" w14:textId="77777777" w:rsidR="00680FB7" w:rsidRPr="0047127A" w:rsidRDefault="00680FB7" w:rsidP="00F407C2">
            <w:pPr>
              <w:spacing w:before="120" w:line="240" w:lineRule="auto"/>
              <w:rPr>
                <w:rFonts w:ascii="Arial" w:eastAsia="Times New Roman" w:hAnsi="Arial" w:cs="Arial"/>
                <w:color w:val="39414D"/>
                <w:sz w:val="16"/>
                <w:szCs w:val="16"/>
              </w:rPr>
            </w:pPr>
            <w:r w:rsidRPr="0047127A">
              <w:rPr>
                <w:rFonts w:ascii="Arial" w:eastAsia="Times New Roman" w:hAnsi="Arial" w:cs="Arial"/>
                <w:color w:val="39414D"/>
                <w:sz w:val="16"/>
                <w:szCs w:val="16"/>
              </w:rPr>
              <w:t>The payment arrangement reflected in these certified rates is consistent with the preprint submitted to CMS.</w:t>
            </w:r>
          </w:p>
        </w:tc>
        <w:tc>
          <w:tcPr>
            <w:tcW w:w="2437" w:type="dxa"/>
            <w:tcBorders>
              <w:top w:val="nil"/>
              <w:left w:val="nil"/>
              <w:bottom w:val="nil"/>
              <w:right w:val="nil"/>
            </w:tcBorders>
            <w:shd w:val="clear" w:color="auto" w:fill="auto"/>
            <w:hideMark/>
          </w:tcPr>
          <w:p w14:paraId="316DDBFD" w14:textId="77777777" w:rsidR="00680FB7" w:rsidRPr="0047127A" w:rsidRDefault="00680FB7" w:rsidP="00F407C2">
            <w:pPr>
              <w:spacing w:before="120" w:line="240" w:lineRule="auto"/>
              <w:rPr>
                <w:rFonts w:ascii="Arial" w:eastAsia="Times New Roman" w:hAnsi="Arial" w:cs="Arial"/>
                <w:color w:val="39414D"/>
                <w:sz w:val="16"/>
                <w:szCs w:val="16"/>
              </w:rPr>
            </w:pPr>
            <w:r w:rsidRPr="0047127A">
              <w:rPr>
                <w:rFonts w:ascii="Arial" w:eastAsia="Times New Roman" w:hAnsi="Arial" w:cs="Arial"/>
                <w:color w:val="39414D"/>
                <w:sz w:val="16"/>
                <w:szCs w:val="16"/>
              </w:rPr>
              <w:t>When the rating period is complete, EOHHS will submit to CMS documentation that incorporates the total amount of the state directed payment into each rate cell consistent with the distribution methodology included in the approved state directed payment preprint, as if the payment information had been fully known when the rates were initially developed.</w:t>
            </w:r>
          </w:p>
        </w:tc>
      </w:tr>
    </w:tbl>
    <w:p w14:paraId="3FC567AF" w14:textId="77777777" w:rsidR="00052FE4" w:rsidRDefault="00052FE4" w:rsidP="00052FE4">
      <w:pPr>
        <w:pStyle w:val="Heading5"/>
      </w:pPr>
      <w:r>
        <w:t>Additional directed payments</w:t>
      </w:r>
    </w:p>
    <w:p w14:paraId="1327853C" w14:textId="347E1534" w:rsidR="00052FE4" w:rsidRDefault="00052FE4" w:rsidP="00052FE4">
      <w:pPr>
        <w:pStyle w:val="RRBody"/>
        <w:tabs>
          <w:tab w:val="left" w:pos="7926"/>
        </w:tabs>
        <w:jc w:val="both"/>
      </w:pPr>
      <w:r>
        <w:t>There are no additional directed payment arrangements.</w:t>
      </w:r>
    </w:p>
    <w:p w14:paraId="6E2F0E69" w14:textId="77777777" w:rsidR="00052FE4" w:rsidRDefault="00052FE4" w:rsidP="00052FE4">
      <w:pPr>
        <w:pStyle w:val="Heading5"/>
      </w:pPr>
      <w:r>
        <w:t xml:space="preserve">Required reimbursement rates outside the certification </w:t>
      </w:r>
    </w:p>
    <w:p w14:paraId="1E48B427" w14:textId="77777777" w:rsidR="00052FE4" w:rsidRDefault="00052FE4" w:rsidP="00052FE4">
      <w:pPr>
        <w:pStyle w:val="RRBody"/>
        <w:tabs>
          <w:tab w:val="left" w:pos="7926"/>
        </w:tabs>
        <w:jc w:val="both"/>
      </w:pPr>
      <w:r>
        <w:t>There are no requirements regarding reimbursement rates the plans must pay to any providers unless specified in the certification as a directed payment or authorized under applicable law, regulation, or waiver.</w:t>
      </w:r>
    </w:p>
    <w:p w14:paraId="3902B565" w14:textId="610798E9" w:rsidR="0092425C" w:rsidRDefault="0092425C" w:rsidP="0003230F">
      <w:pPr>
        <w:pStyle w:val="Heading3"/>
      </w:pPr>
      <w:bookmarkStart w:id="397" w:name="_Toc109295530"/>
      <w:r w:rsidRPr="0092425C">
        <w:lastRenderedPageBreak/>
        <w:t>P</w:t>
      </w:r>
      <w:r w:rsidR="000C17D0">
        <w:t>ass</w:t>
      </w:r>
      <w:r w:rsidRPr="0092425C">
        <w:t>-T</w:t>
      </w:r>
      <w:r w:rsidR="000C17D0">
        <w:t>hrough</w:t>
      </w:r>
      <w:r w:rsidRPr="0092425C">
        <w:t xml:space="preserve"> P</w:t>
      </w:r>
      <w:r w:rsidR="000C17D0">
        <w:t>ayments</w:t>
      </w:r>
      <w:bookmarkEnd w:id="391"/>
      <w:bookmarkEnd w:id="397"/>
    </w:p>
    <w:p w14:paraId="65D745B8" w14:textId="77777777" w:rsidR="00CE2634" w:rsidRPr="009B069E" w:rsidRDefault="00CE2634" w:rsidP="005C0EEC">
      <w:pPr>
        <w:pStyle w:val="Heading4"/>
      </w:pPr>
      <w:bookmarkStart w:id="398" w:name="_Toc484701242"/>
      <w:bookmarkStart w:id="399" w:name="_Toc504389087"/>
      <w:bookmarkStart w:id="400" w:name="_Toc8985037"/>
      <w:bookmarkStart w:id="401" w:name="_Toc109295531"/>
      <w:bookmarkStart w:id="402" w:name="_Toc466028104"/>
      <w:bookmarkEnd w:id="392"/>
      <w:bookmarkEnd w:id="393"/>
      <w:bookmarkEnd w:id="394"/>
      <w:r w:rsidRPr="009B069E">
        <w:t>Rate Development Standards</w:t>
      </w:r>
      <w:bookmarkEnd w:id="398"/>
      <w:bookmarkEnd w:id="399"/>
      <w:bookmarkEnd w:id="400"/>
      <w:bookmarkEnd w:id="401"/>
    </w:p>
    <w:p w14:paraId="0E9A93DD" w14:textId="2A4BA7E4" w:rsidR="00573E12" w:rsidRPr="006B47C8" w:rsidRDefault="00FA0E04" w:rsidP="00210B59">
      <w:pPr>
        <w:pStyle w:val="RRBody"/>
      </w:pPr>
      <w:bookmarkStart w:id="403" w:name="_Toc484701243"/>
      <w:bookmarkStart w:id="404" w:name="_Toc504389088"/>
      <w:bookmarkEnd w:id="402"/>
      <w:r>
        <w:t>There are no</w:t>
      </w:r>
      <w:r w:rsidR="00E11D14">
        <w:t xml:space="preserve"> pass-through payments reflected in the </w:t>
      </w:r>
      <w:r w:rsidR="00CE0D42">
        <w:t xml:space="preserve">SFY </w:t>
      </w:r>
      <w:r w:rsidR="00332533">
        <w:t xml:space="preserve">2023 </w:t>
      </w:r>
      <w:r w:rsidR="00E11D14">
        <w:t>capitation rates</w:t>
      </w:r>
      <w:r w:rsidR="00573E12">
        <w:t>.</w:t>
      </w:r>
    </w:p>
    <w:p w14:paraId="5B274DF7" w14:textId="77777777" w:rsidR="00CE2634" w:rsidRPr="009B069E" w:rsidRDefault="00CE2634" w:rsidP="005C0EEC">
      <w:pPr>
        <w:pStyle w:val="Heading4"/>
      </w:pPr>
      <w:bookmarkStart w:id="405" w:name="_Toc8985038"/>
      <w:bookmarkStart w:id="406" w:name="_Toc109295532"/>
      <w:r w:rsidRPr="009B069E">
        <w:t>Appropriate Documentation</w:t>
      </w:r>
      <w:bookmarkEnd w:id="403"/>
      <w:bookmarkEnd w:id="404"/>
      <w:bookmarkEnd w:id="405"/>
      <w:bookmarkEnd w:id="406"/>
    </w:p>
    <w:p w14:paraId="147254CD" w14:textId="3374906C" w:rsidR="005869CA" w:rsidRDefault="00FA0E04" w:rsidP="00F24008">
      <w:pPr>
        <w:pStyle w:val="RRBody"/>
      </w:pPr>
      <w:bookmarkStart w:id="407" w:name="_Toc484701245"/>
      <w:bookmarkStart w:id="408" w:name="_Toc504389090"/>
      <w:r>
        <w:t xml:space="preserve">There are no pass-through payments reflected in the </w:t>
      </w:r>
      <w:r w:rsidR="00CE0D42">
        <w:t xml:space="preserve">SFY </w:t>
      </w:r>
      <w:r w:rsidR="00332533">
        <w:t xml:space="preserve">2023 </w:t>
      </w:r>
      <w:r>
        <w:t>capitation rates.</w:t>
      </w:r>
      <w:bookmarkEnd w:id="407"/>
      <w:bookmarkEnd w:id="408"/>
    </w:p>
    <w:p w14:paraId="1310C82D" w14:textId="77777777" w:rsidR="005869CA" w:rsidRDefault="005869CA">
      <w:pPr>
        <w:spacing w:line="264" w:lineRule="auto"/>
      </w:pPr>
      <w:r>
        <w:br w:type="page"/>
      </w:r>
    </w:p>
    <w:p w14:paraId="012BF92B" w14:textId="5C0972CC" w:rsidR="00CE2634" w:rsidRPr="001D7F4A" w:rsidRDefault="00CE2634" w:rsidP="00210B59">
      <w:pPr>
        <w:pStyle w:val="Heading2"/>
      </w:pPr>
      <w:bookmarkStart w:id="409" w:name="_Toc8985039"/>
      <w:bookmarkStart w:id="410" w:name="_Toc109295533"/>
      <w:r w:rsidRPr="001D7F4A">
        <w:lastRenderedPageBreak/>
        <w:t>Projected non-benefit costs</w:t>
      </w:r>
      <w:bookmarkEnd w:id="409"/>
      <w:bookmarkEnd w:id="410"/>
    </w:p>
    <w:p w14:paraId="0F029F0C" w14:textId="77777777" w:rsidR="00CE2634" w:rsidRPr="00D705D5" w:rsidRDefault="00CE2634" w:rsidP="005570C2">
      <w:pPr>
        <w:pStyle w:val="Heading3"/>
        <w:numPr>
          <w:ilvl w:val="1"/>
          <w:numId w:val="28"/>
        </w:numPr>
      </w:pPr>
      <w:bookmarkStart w:id="411" w:name="_Toc484701252"/>
      <w:bookmarkStart w:id="412" w:name="_Toc504389097"/>
      <w:bookmarkStart w:id="413" w:name="_Toc8985040"/>
      <w:bookmarkStart w:id="414" w:name="_Toc109295534"/>
      <w:bookmarkStart w:id="415" w:name="_Toc466028112"/>
      <w:r w:rsidRPr="00D705D5">
        <w:t>Rate Development Standards</w:t>
      </w:r>
      <w:bookmarkEnd w:id="411"/>
      <w:bookmarkEnd w:id="412"/>
      <w:bookmarkEnd w:id="413"/>
      <w:bookmarkEnd w:id="414"/>
    </w:p>
    <w:p w14:paraId="729C3A37" w14:textId="77777777" w:rsidR="00CE2634" w:rsidRPr="009B069E" w:rsidRDefault="00CE2634" w:rsidP="005C0EEC">
      <w:pPr>
        <w:pStyle w:val="Heading4"/>
      </w:pPr>
      <w:bookmarkStart w:id="416" w:name="_Toc484701253"/>
      <w:bookmarkStart w:id="417" w:name="_Toc504389098"/>
      <w:bookmarkStart w:id="418" w:name="_Toc8985041"/>
      <w:bookmarkStart w:id="419" w:name="_Toc109295535"/>
      <w:r w:rsidRPr="009B069E">
        <w:t>Overview</w:t>
      </w:r>
      <w:bookmarkEnd w:id="416"/>
      <w:bookmarkEnd w:id="417"/>
      <w:bookmarkEnd w:id="418"/>
      <w:bookmarkEnd w:id="419"/>
    </w:p>
    <w:p w14:paraId="6E7257C9" w14:textId="16B8FE31" w:rsidR="00573E12" w:rsidRPr="00573E12" w:rsidRDefault="00F11F1B" w:rsidP="00210B59">
      <w:pPr>
        <w:pStyle w:val="RRBody"/>
      </w:pPr>
      <w:bookmarkStart w:id="420" w:name="_Toc484701254"/>
      <w:bookmarkStart w:id="421" w:name="_Toc504389099"/>
      <w:r>
        <w:t>T</w:t>
      </w:r>
      <w:r w:rsidR="00573E12" w:rsidRPr="00573E12">
        <w:t>he non-benefit component of the capitation rate includes reasonable, appropriate</w:t>
      </w:r>
      <w:r w:rsidR="00A1255D">
        <w:t>,</w:t>
      </w:r>
      <w:r w:rsidR="00573E12" w:rsidRPr="00573E12">
        <w:t xml:space="preserve"> and attainable expenses related to </w:t>
      </w:r>
      <w:r w:rsidR="006D08BB">
        <w:t xml:space="preserve">the </w:t>
      </w:r>
      <w:r w:rsidR="00F172A5">
        <w:t>MMP</w:t>
      </w:r>
      <w:r w:rsidR="006D08BB">
        <w:t xml:space="preserve"> </w:t>
      </w:r>
      <w:r w:rsidR="00451ED2">
        <w:t>population absent the demonstration</w:t>
      </w:r>
      <w:r w:rsidR="00573E12" w:rsidRPr="00573E12">
        <w:t>.</w:t>
      </w:r>
    </w:p>
    <w:p w14:paraId="339EAFBC" w14:textId="19A38FAA" w:rsidR="00573E12" w:rsidRPr="00B41488" w:rsidRDefault="00573E12" w:rsidP="00210B59">
      <w:pPr>
        <w:pStyle w:val="RRBody"/>
      </w:pPr>
      <w:r w:rsidRPr="00573E12">
        <w:t>The remainder of Section I, item 5 provides documentation of the data, assumptions and methodology that we</w:t>
      </w:r>
      <w:r w:rsidR="00F11F1B">
        <w:t>re</w:t>
      </w:r>
      <w:r w:rsidRPr="00573E12">
        <w:t xml:space="preserve"> utilized to develop the non-benefit cost component of the capitation rate</w:t>
      </w:r>
      <w:r w:rsidR="00847EAE">
        <w:t xml:space="preserve"> illustrated in Appendix </w:t>
      </w:r>
      <w:r w:rsidR="00F11F1B">
        <w:t>5</w:t>
      </w:r>
      <w:r w:rsidRPr="00573E12">
        <w:t>.</w:t>
      </w:r>
    </w:p>
    <w:p w14:paraId="69C8808F" w14:textId="77777777" w:rsidR="00CE2634" w:rsidRPr="009B069E" w:rsidRDefault="00CE2634" w:rsidP="005C0EEC">
      <w:pPr>
        <w:pStyle w:val="Heading4"/>
      </w:pPr>
      <w:bookmarkStart w:id="422" w:name="_Toc8985042"/>
      <w:bookmarkStart w:id="423" w:name="_Toc109295536"/>
      <w:r w:rsidRPr="009B069E">
        <w:t>PMPM versus percentage</w:t>
      </w:r>
      <w:bookmarkEnd w:id="420"/>
      <w:bookmarkEnd w:id="421"/>
      <w:bookmarkEnd w:id="422"/>
      <w:bookmarkEnd w:id="423"/>
      <w:r w:rsidRPr="009B069E">
        <w:t xml:space="preserve"> </w:t>
      </w:r>
    </w:p>
    <w:p w14:paraId="4BF8CFCE" w14:textId="3E52C2DD" w:rsidR="00787F69" w:rsidRPr="0076558C" w:rsidRDefault="001A703F" w:rsidP="00210B59">
      <w:pPr>
        <w:pStyle w:val="RRBody"/>
      </w:pPr>
      <w:bookmarkStart w:id="424" w:name="_Toc484701255"/>
      <w:r>
        <w:t>The administrative cost allowance</w:t>
      </w:r>
      <w:r w:rsidR="00451ED2">
        <w:t xml:space="preserve"> was </w:t>
      </w:r>
      <w:r>
        <w:t>developed as a percentage of the base benefit costs</w:t>
      </w:r>
      <w:r w:rsidR="00BE4151">
        <w:t xml:space="preserve"> and converted to a per member per month basis</w:t>
      </w:r>
      <w:r>
        <w:t>.</w:t>
      </w:r>
    </w:p>
    <w:p w14:paraId="3D6F3A01" w14:textId="77777777" w:rsidR="00CE2634" w:rsidRPr="00D705D5" w:rsidRDefault="00CE2634" w:rsidP="005C0EEC">
      <w:pPr>
        <w:pStyle w:val="Heading3"/>
      </w:pPr>
      <w:bookmarkStart w:id="425" w:name="_Toc465858996"/>
      <w:bookmarkStart w:id="426" w:name="_Toc465859171"/>
      <w:bookmarkStart w:id="427" w:name="_Toc466027938"/>
      <w:bookmarkStart w:id="428" w:name="_Toc466028113"/>
      <w:bookmarkStart w:id="429" w:name="_Toc484701257"/>
      <w:bookmarkStart w:id="430" w:name="_Toc504389102"/>
      <w:bookmarkStart w:id="431" w:name="_Toc8985045"/>
      <w:bookmarkStart w:id="432" w:name="_Toc109295537"/>
      <w:bookmarkStart w:id="433" w:name="_Toc466028114"/>
      <w:bookmarkEnd w:id="415"/>
      <w:bookmarkEnd w:id="424"/>
      <w:bookmarkEnd w:id="425"/>
      <w:bookmarkEnd w:id="426"/>
      <w:bookmarkEnd w:id="427"/>
      <w:bookmarkEnd w:id="428"/>
      <w:r w:rsidRPr="00D705D5">
        <w:t>Appropriate Documentation</w:t>
      </w:r>
      <w:bookmarkEnd w:id="429"/>
      <w:bookmarkEnd w:id="430"/>
      <w:bookmarkEnd w:id="431"/>
      <w:bookmarkEnd w:id="432"/>
    </w:p>
    <w:p w14:paraId="6F10FB7F" w14:textId="56C215C9" w:rsidR="00CE2634" w:rsidRPr="009B069E" w:rsidRDefault="00CE2634" w:rsidP="005C0EEC">
      <w:pPr>
        <w:pStyle w:val="Heading4"/>
      </w:pPr>
      <w:bookmarkStart w:id="434" w:name="_Toc484701258"/>
      <w:bookmarkStart w:id="435" w:name="_Toc504389103"/>
      <w:bookmarkStart w:id="436" w:name="_Toc8985046"/>
      <w:bookmarkStart w:id="437" w:name="_Toc109295538"/>
      <w:bookmarkEnd w:id="433"/>
      <w:r w:rsidRPr="009B069E">
        <w:t>Development of non-benefit costs</w:t>
      </w:r>
      <w:bookmarkEnd w:id="434"/>
      <w:bookmarkEnd w:id="435"/>
      <w:bookmarkEnd w:id="436"/>
      <w:bookmarkEnd w:id="437"/>
    </w:p>
    <w:p w14:paraId="798D2DBF" w14:textId="77777777" w:rsidR="00CE2634" w:rsidRPr="00557D78" w:rsidRDefault="00CE2634" w:rsidP="005C0EEC">
      <w:pPr>
        <w:pStyle w:val="Heading5"/>
      </w:pPr>
      <w:bookmarkStart w:id="438" w:name="_Toc454354225"/>
      <w:bookmarkStart w:id="439" w:name="_Toc484701259"/>
      <w:bookmarkStart w:id="440" w:name="_Toc504389104"/>
      <w:r w:rsidRPr="00557D78">
        <w:t>Description of the data, assumptions, and methodologies</w:t>
      </w:r>
      <w:bookmarkEnd w:id="438"/>
      <w:bookmarkEnd w:id="439"/>
      <w:bookmarkEnd w:id="440"/>
    </w:p>
    <w:p w14:paraId="3820E6E8" w14:textId="77777777" w:rsidR="00CE2634" w:rsidRPr="00557D78" w:rsidRDefault="00CE2634" w:rsidP="00DC2A41">
      <w:pPr>
        <w:pStyle w:val="RRSubhead2"/>
      </w:pPr>
      <w:r w:rsidRPr="00557D78">
        <w:t>Data</w:t>
      </w:r>
    </w:p>
    <w:p w14:paraId="6743702A" w14:textId="29063CBB" w:rsidR="00761866" w:rsidRDefault="00704B8C" w:rsidP="006B42A9">
      <w:pPr>
        <w:pStyle w:val="RRNumberedBullet1"/>
        <w:numPr>
          <w:ilvl w:val="0"/>
          <w:numId w:val="0"/>
        </w:numPr>
        <w:spacing w:before="60"/>
      </w:pPr>
      <w:r>
        <w:t xml:space="preserve">The primary data source used in the development of the SFY </w:t>
      </w:r>
      <w:r w:rsidR="00332533">
        <w:t xml:space="preserve">2023 </w:t>
      </w:r>
      <w:r>
        <w:t xml:space="preserve">non-benefit costs is the SFY </w:t>
      </w:r>
      <w:r w:rsidR="00332533">
        <w:t xml:space="preserve">2020 </w:t>
      </w:r>
      <w:r>
        <w:t xml:space="preserve">Medicaid Expenditures report. The Medicaid Expenditure report was used to identify the </w:t>
      </w:r>
      <w:r w:rsidR="006C379D">
        <w:t>c</w:t>
      </w:r>
      <w:r>
        <w:t xml:space="preserve">entral </w:t>
      </w:r>
      <w:r w:rsidR="006C379D">
        <w:t>a</w:t>
      </w:r>
      <w:r>
        <w:t xml:space="preserve">dministrative </w:t>
      </w:r>
      <w:r w:rsidR="006C379D">
        <w:t>c</w:t>
      </w:r>
      <w:r>
        <w:t xml:space="preserve">osts related to managing the Medicaid </w:t>
      </w:r>
      <w:r w:rsidR="00C242AE">
        <w:t>p</w:t>
      </w:r>
      <w:r>
        <w:t xml:space="preserve">rogram </w:t>
      </w:r>
      <w:r w:rsidR="006C379D">
        <w:t>incurred</w:t>
      </w:r>
      <w:r>
        <w:t xml:space="preserve"> by EOHHS. </w:t>
      </w:r>
    </w:p>
    <w:p w14:paraId="403095BE" w14:textId="4810D070" w:rsidR="00CE2634" w:rsidRDefault="00CE2634" w:rsidP="006958BB">
      <w:pPr>
        <w:pStyle w:val="RRSubhead2"/>
        <w:spacing w:after="120"/>
      </w:pPr>
      <w:r w:rsidRPr="00557D78">
        <w:t>Assumptions and methodology</w:t>
      </w:r>
    </w:p>
    <w:p w14:paraId="71C7952F" w14:textId="20598A38" w:rsidR="00135A86" w:rsidRDefault="005F5FDD" w:rsidP="006B42A9">
      <w:pPr>
        <w:pStyle w:val="RRNumberedBullet1"/>
        <w:spacing w:before="60"/>
      </w:pPr>
      <w:r>
        <w:rPr>
          <w:b/>
        </w:rPr>
        <w:t>Administrative Cost</w:t>
      </w:r>
      <w:r w:rsidRPr="00704B8C">
        <w:rPr>
          <w:b/>
        </w:rPr>
        <w:t>:</w:t>
      </w:r>
      <w:r>
        <w:t xml:space="preserve"> </w:t>
      </w:r>
      <w:r w:rsidR="007C66B6">
        <w:t>A</w:t>
      </w:r>
      <w:r w:rsidR="00DE4D33">
        <w:t xml:space="preserve">dministrative loads </w:t>
      </w:r>
      <w:r w:rsidR="00135A86">
        <w:t>included in the capitation rate development reflect EOHHS administrative expenditures estimated to have occurred absent the demonstration</w:t>
      </w:r>
      <w:r w:rsidR="00A35D71">
        <w:t xml:space="preserve"> for a full benefit fee-for-service Medicaid member</w:t>
      </w:r>
      <w:r w:rsidR="00135A86">
        <w:t xml:space="preserve">. We reviewed EOHHS administrative costs </w:t>
      </w:r>
      <w:r w:rsidR="00A35D71">
        <w:t xml:space="preserve">reported </w:t>
      </w:r>
      <w:r w:rsidR="00135A86">
        <w:t>in the annual Medicaid Expenditure Report</w:t>
      </w:r>
      <w:r w:rsidR="00A35D71">
        <w:t>,</w:t>
      </w:r>
      <w:r w:rsidR="00135A86">
        <w:t xml:space="preserve"> administrative costs </w:t>
      </w:r>
      <w:r w:rsidR="00A35D71">
        <w:t xml:space="preserve">estimated </w:t>
      </w:r>
      <w:r w:rsidR="00135A86">
        <w:t>for similar covered populations in Rhode Island managed care programs</w:t>
      </w:r>
      <w:r w:rsidR="00A35D71">
        <w:t>,</w:t>
      </w:r>
      <w:r w:rsidR="00135A86">
        <w:t xml:space="preserve"> and </w:t>
      </w:r>
      <w:r w:rsidR="00A35D71">
        <w:t xml:space="preserve">administrative costs included </w:t>
      </w:r>
      <w:r w:rsidR="00135A86">
        <w:t xml:space="preserve">in other dual demonstration programs. </w:t>
      </w:r>
      <w:r w:rsidR="00A35D71">
        <w:t>This review, in combination with actuarial judgment, was used to validate the reasonableness of the composite non-benefit expense load and develop the rate cell administrative load relativities.</w:t>
      </w:r>
      <w:r w:rsidR="00135A86">
        <w:t xml:space="preserve">  </w:t>
      </w:r>
    </w:p>
    <w:p w14:paraId="00313381" w14:textId="5BB2CADE" w:rsidR="00502777" w:rsidRDefault="00847EAE">
      <w:pPr>
        <w:pStyle w:val="RRNumberedBullet1"/>
        <w:spacing w:before="60"/>
      </w:pPr>
      <w:r w:rsidRPr="00704B8C">
        <w:rPr>
          <w:b/>
        </w:rPr>
        <w:t>Demonstration</w:t>
      </w:r>
      <w:r w:rsidR="005962BA" w:rsidRPr="00704B8C">
        <w:rPr>
          <w:b/>
        </w:rPr>
        <w:t xml:space="preserve"> Savings:</w:t>
      </w:r>
      <w:r w:rsidR="005962BA">
        <w:t xml:space="preserve"> </w:t>
      </w:r>
      <w:r w:rsidR="005962BA" w:rsidRPr="00704B8C">
        <w:rPr>
          <w:rFonts w:cstheme="minorHAnsi"/>
          <w:szCs w:val="18"/>
        </w:rPr>
        <w:t xml:space="preserve">The Medicaid capitation rates were established </w:t>
      </w:r>
      <w:r w:rsidR="003F3F40">
        <w:rPr>
          <w:rFonts w:cstheme="minorHAnsi"/>
          <w:szCs w:val="18"/>
        </w:rPr>
        <w:t>with the application of</w:t>
      </w:r>
      <w:r w:rsidR="005962BA" w:rsidRPr="00704B8C">
        <w:rPr>
          <w:rFonts w:cstheme="minorHAnsi"/>
          <w:szCs w:val="18"/>
        </w:rPr>
        <w:t xml:space="preserve"> </w:t>
      </w:r>
      <w:r w:rsidR="00826AA8" w:rsidRPr="000D7F92">
        <w:rPr>
          <w:rFonts w:cstheme="minorHAnsi"/>
          <w:szCs w:val="18"/>
        </w:rPr>
        <w:t xml:space="preserve">the </w:t>
      </w:r>
      <w:r w:rsidR="00704B8C" w:rsidRPr="00135B6A">
        <w:rPr>
          <w:rFonts w:cstheme="minorHAnsi"/>
          <w:szCs w:val="18"/>
        </w:rPr>
        <w:t>3</w:t>
      </w:r>
      <w:r w:rsidR="006126AC" w:rsidRPr="00135B6A">
        <w:rPr>
          <w:rFonts w:cstheme="minorHAnsi"/>
          <w:szCs w:val="18"/>
        </w:rPr>
        <w:t xml:space="preserve">.0% </w:t>
      </w:r>
      <w:r w:rsidR="00711B90" w:rsidRPr="00135B6A">
        <w:rPr>
          <w:rFonts w:cstheme="minorHAnsi"/>
          <w:szCs w:val="18"/>
        </w:rPr>
        <w:t>D</w:t>
      </w:r>
      <w:r w:rsidR="006126AC" w:rsidRPr="00135B6A">
        <w:rPr>
          <w:rFonts w:cstheme="minorHAnsi"/>
          <w:szCs w:val="18"/>
        </w:rPr>
        <w:t>emonstration</w:t>
      </w:r>
      <w:r w:rsidR="006126AC" w:rsidRPr="00704B8C">
        <w:rPr>
          <w:rFonts w:cstheme="minorHAnsi"/>
          <w:szCs w:val="18"/>
        </w:rPr>
        <w:t xml:space="preserve"> </w:t>
      </w:r>
      <w:r w:rsidR="00711B90" w:rsidRPr="00704B8C">
        <w:rPr>
          <w:rFonts w:cstheme="minorHAnsi"/>
          <w:szCs w:val="18"/>
        </w:rPr>
        <w:t>Y</w:t>
      </w:r>
      <w:r w:rsidR="006126AC" w:rsidRPr="00704B8C">
        <w:rPr>
          <w:rFonts w:cstheme="minorHAnsi"/>
          <w:szCs w:val="18"/>
        </w:rPr>
        <w:t xml:space="preserve">ear </w:t>
      </w:r>
      <w:r w:rsidR="000B519A">
        <w:rPr>
          <w:rFonts w:cstheme="minorHAnsi"/>
          <w:szCs w:val="18"/>
        </w:rPr>
        <w:t>6</w:t>
      </w:r>
      <w:r w:rsidR="00704B8C" w:rsidRPr="00704B8C">
        <w:rPr>
          <w:rFonts w:cstheme="minorHAnsi"/>
          <w:szCs w:val="18"/>
        </w:rPr>
        <w:t xml:space="preserve"> </w:t>
      </w:r>
      <w:r w:rsidR="005E13B8" w:rsidRPr="00704B8C">
        <w:rPr>
          <w:rFonts w:cstheme="minorHAnsi"/>
          <w:szCs w:val="18"/>
        </w:rPr>
        <w:t xml:space="preserve">and Demonstration Year </w:t>
      </w:r>
      <w:r w:rsidR="000B519A">
        <w:rPr>
          <w:rFonts w:cstheme="minorHAnsi"/>
          <w:szCs w:val="18"/>
        </w:rPr>
        <w:t>7</w:t>
      </w:r>
      <w:r w:rsidR="00704B8C" w:rsidRPr="00704B8C">
        <w:rPr>
          <w:rFonts w:cstheme="minorHAnsi"/>
          <w:szCs w:val="18"/>
        </w:rPr>
        <w:t xml:space="preserve"> </w:t>
      </w:r>
      <w:r w:rsidR="005962BA" w:rsidRPr="00704B8C">
        <w:rPr>
          <w:rFonts w:cstheme="minorHAnsi"/>
          <w:szCs w:val="18"/>
        </w:rPr>
        <w:t xml:space="preserve">savings percentage </w:t>
      </w:r>
      <w:r w:rsidR="001A281A" w:rsidRPr="00704B8C">
        <w:rPr>
          <w:rFonts w:cstheme="minorHAnsi"/>
          <w:szCs w:val="18"/>
        </w:rPr>
        <w:t xml:space="preserve">as </w:t>
      </w:r>
      <w:r w:rsidR="005962BA" w:rsidRPr="00704B8C">
        <w:rPr>
          <w:rFonts w:cstheme="minorHAnsi"/>
          <w:szCs w:val="18"/>
        </w:rPr>
        <w:t>documented in the MOU.</w:t>
      </w:r>
    </w:p>
    <w:p w14:paraId="26FA57BA" w14:textId="09600D4A" w:rsidR="00CE2634" w:rsidRPr="00557D78" w:rsidRDefault="00CE2634" w:rsidP="005C0EEC">
      <w:pPr>
        <w:pStyle w:val="Heading5"/>
      </w:pPr>
      <w:bookmarkStart w:id="441" w:name="_Toc454354228"/>
      <w:bookmarkStart w:id="442" w:name="_Toc484701260"/>
      <w:bookmarkStart w:id="443" w:name="_Toc504389105"/>
      <w:r w:rsidRPr="00557D78">
        <w:t>Material changes</w:t>
      </w:r>
      <w:bookmarkEnd w:id="441"/>
      <w:bookmarkEnd w:id="442"/>
      <w:bookmarkEnd w:id="443"/>
    </w:p>
    <w:p w14:paraId="0163D22D" w14:textId="2F86D611" w:rsidR="00FE3BDF" w:rsidRDefault="00A4449C" w:rsidP="00210B59">
      <w:r>
        <w:t xml:space="preserve">The </w:t>
      </w:r>
      <w:r w:rsidR="00FE3BDF">
        <w:t xml:space="preserve">data, assumptions, and methodology used to develop the projected non-benefit cost are generally consistent with the SFY 2022 rate development. </w:t>
      </w:r>
    </w:p>
    <w:p w14:paraId="566CBCC0" w14:textId="6B4D3606" w:rsidR="00CE2634" w:rsidRDefault="00CE2634" w:rsidP="005C0EEC">
      <w:pPr>
        <w:pStyle w:val="Heading5"/>
      </w:pPr>
      <w:bookmarkStart w:id="444" w:name="_Toc504389106"/>
      <w:bookmarkStart w:id="445" w:name="_Toc466028119"/>
      <w:r w:rsidRPr="00557D78">
        <w:t>Other material adjustments</w:t>
      </w:r>
      <w:bookmarkEnd w:id="444"/>
    </w:p>
    <w:p w14:paraId="249204C4" w14:textId="0A9B11EC" w:rsidR="00CE2634" w:rsidRPr="00541C09" w:rsidRDefault="00135B6A" w:rsidP="00210B59">
      <w:r>
        <w:t>There are no other material non-benefit cost adjustments</w:t>
      </w:r>
      <w:r w:rsidR="00502777">
        <w:t xml:space="preserve">. </w:t>
      </w:r>
    </w:p>
    <w:p w14:paraId="10CDA614" w14:textId="77777777" w:rsidR="00CE2634" w:rsidRPr="009B069E" w:rsidRDefault="00CE2634" w:rsidP="005C0EEC">
      <w:pPr>
        <w:pStyle w:val="Heading4"/>
      </w:pPr>
      <w:bookmarkStart w:id="446" w:name="_Toc484701262"/>
      <w:bookmarkStart w:id="447" w:name="_Toc504389107"/>
      <w:bookmarkStart w:id="448" w:name="_Toc8985047"/>
      <w:bookmarkStart w:id="449" w:name="_Toc109295539"/>
      <w:r w:rsidRPr="009B069E">
        <w:t>Non-benefit costs, by cost category</w:t>
      </w:r>
      <w:bookmarkEnd w:id="445"/>
      <w:bookmarkEnd w:id="446"/>
      <w:bookmarkEnd w:id="447"/>
      <w:bookmarkEnd w:id="448"/>
      <w:bookmarkEnd w:id="449"/>
    </w:p>
    <w:p w14:paraId="77C785BF" w14:textId="4D02CB2F" w:rsidR="00FF0B5F" w:rsidRDefault="0079033E" w:rsidP="00D066E7">
      <w:pPr>
        <w:pStyle w:val="RRBody"/>
      </w:pPr>
      <w:bookmarkStart w:id="450" w:name="_Toc466028121"/>
      <w:bookmarkStart w:id="451" w:name="_Toc484701263"/>
      <w:bookmarkStart w:id="452" w:name="_Toc504389108"/>
      <w:r>
        <w:t>The non-benefit expense components</w:t>
      </w:r>
      <w:r w:rsidR="00D066E7">
        <w:t xml:space="preserve"> are</w:t>
      </w:r>
      <w:r>
        <w:t xml:space="preserve"> illustrated in </w:t>
      </w:r>
      <w:r w:rsidR="00AC7365" w:rsidRPr="000D7F92">
        <w:t xml:space="preserve">Figure </w:t>
      </w:r>
      <w:r w:rsidR="00DC7441" w:rsidRPr="000D7F92">
        <w:t>1</w:t>
      </w:r>
      <w:r w:rsidR="00704FFB">
        <w:t>3</w:t>
      </w:r>
      <w:r w:rsidR="00DC7441" w:rsidRPr="00135B6A">
        <w:t xml:space="preserve"> </w:t>
      </w:r>
      <w:r w:rsidR="007D4927">
        <w:t xml:space="preserve">are illustrated as </w:t>
      </w:r>
      <w:r w:rsidR="00D066E7">
        <w:t xml:space="preserve">a </w:t>
      </w:r>
      <w:r w:rsidR="00135B6A">
        <w:t xml:space="preserve">PMPM amount </w:t>
      </w:r>
      <w:r w:rsidR="007D4927">
        <w:t>prior to demonstration savings.</w:t>
      </w:r>
    </w:p>
    <w:p w14:paraId="35EF3870" w14:textId="2DA328FE" w:rsidR="00FE3BDF" w:rsidRDefault="00FE3BDF" w:rsidP="00D066E7">
      <w:pPr>
        <w:pStyle w:val="RRBody"/>
      </w:pPr>
    </w:p>
    <w:p w14:paraId="67686200" w14:textId="2A849004" w:rsidR="00900E9D" w:rsidRDefault="00900E9D" w:rsidP="00D066E7">
      <w:pPr>
        <w:pStyle w:val="RRBody"/>
      </w:pPr>
    </w:p>
    <w:p w14:paraId="3A95A027" w14:textId="192DC293" w:rsidR="00900E9D" w:rsidRDefault="00900E9D" w:rsidP="00D066E7">
      <w:pPr>
        <w:pStyle w:val="RRBody"/>
      </w:pPr>
    </w:p>
    <w:p w14:paraId="0B8E430B" w14:textId="77777777" w:rsidR="00900E9D" w:rsidRDefault="00900E9D" w:rsidP="00D066E7">
      <w:pPr>
        <w:pStyle w:val="RRBody"/>
      </w:pPr>
    </w:p>
    <w:tbl>
      <w:tblPr>
        <w:tblW w:w="6532" w:type="dxa"/>
        <w:tblLook w:val="04A0" w:firstRow="1" w:lastRow="0" w:firstColumn="1" w:lastColumn="0" w:noHBand="0" w:noVBand="1"/>
      </w:tblPr>
      <w:tblGrid>
        <w:gridCol w:w="3787"/>
        <w:gridCol w:w="1209"/>
        <w:gridCol w:w="327"/>
        <w:gridCol w:w="1209"/>
      </w:tblGrid>
      <w:tr w:rsidR="00B74489" w:rsidRPr="00B74489" w14:paraId="5D889096" w14:textId="77777777" w:rsidTr="00B74489">
        <w:trPr>
          <w:trHeight w:val="240"/>
        </w:trPr>
        <w:tc>
          <w:tcPr>
            <w:tcW w:w="4996" w:type="dxa"/>
            <w:gridSpan w:val="2"/>
            <w:tcBorders>
              <w:top w:val="nil"/>
              <w:left w:val="nil"/>
              <w:bottom w:val="nil"/>
              <w:right w:val="nil"/>
            </w:tcBorders>
            <w:shd w:val="clear" w:color="auto" w:fill="auto"/>
            <w:noWrap/>
            <w:vAlign w:val="center"/>
            <w:hideMark/>
          </w:tcPr>
          <w:p w14:paraId="44B51EC8" w14:textId="5F4CB0F5" w:rsidR="00B74489" w:rsidRPr="00B74489" w:rsidRDefault="00B74489" w:rsidP="00B74489">
            <w:pPr>
              <w:spacing w:after="0" w:line="240" w:lineRule="auto"/>
              <w:rPr>
                <w:rFonts w:ascii="Arial" w:eastAsia="Times New Roman" w:hAnsi="Arial" w:cs="Arial"/>
                <w:b/>
                <w:bCs/>
                <w:color w:val="0081E3"/>
                <w:szCs w:val="18"/>
              </w:rPr>
            </w:pPr>
            <w:r w:rsidRPr="00B74489">
              <w:rPr>
                <w:rFonts w:ascii="Arial" w:eastAsia="Times New Roman" w:hAnsi="Arial" w:cs="Arial"/>
                <w:b/>
                <w:bCs/>
                <w:color w:val="0081E3"/>
                <w:szCs w:val="18"/>
              </w:rPr>
              <w:lastRenderedPageBreak/>
              <w:t xml:space="preserve">FIGURE </w:t>
            </w:r>
            <w:r w:rsidR="00DC7441" w:rsidRPr="00B74489">
              <w:rPr>
                <w:rFonts w:ascii="Arial" w:eastAsia="Times New Roman" w:hAnsi="Arial" w:cs="Arial"/>
                <w:b/>
                <w:bCs/>
                <w:color w:val="0081E3"/>
                <w:szCs w:val="18"/>
              </w:rPr>
              <w:t>1</w:t>
            </w:r>
            <w:r w:rsidR="00704FFB">
              <w:rPr>
                <w:rFonts w:ascii="Arial" w:eastAsia="Times New Roman" w:hAnsi="Arial" w:cs="Arial"/>
                <w:b/>
                <w:bCs/>
                <w:color w:val="0081E3"/>
                <w:szCs w:val="18"/>
              </w:rPr>
              <w:t>3</w:t>
            </w:r>
            <w:r w:rsidRPr="00B74489">
              <w:rPr>
                <w:rFonts w:ascii="Arial" w:eastAsia="Times New Roman" w:hAnsi="Arial" w:cs="Arial"/>
                <w:b/>
                <w:bCs/>
                <w:color w:val="0081E3"/>
                <w:szCs w:val="18"/>
              </w:rPr>
              <w:t>: NON-BENEFIT EXPENSE LOADS</w:t>
            </w:r>
          </w:p>
        </w:tc>
        <w:tc>
          <w:tcPr>
            <w:tcW w:w="1536" w:type="dxa"/>
            <w:gridSpan w:val="2"/>
            <w:tcBorders>
              <w:top w:val="nil"/>
              <w:left w:val="nil"/>
              <w:bottom w:val="nil"/>
              <w:right w:val="nil"/>
            </w:tcBorders>
            <w:shd w:val="clear" w:color="auto" w:fill="auto"/>
            <w:noWrap/>
            <w:vAlign w:val="center"/>
            <w:hideMark/>
          </w:tcPr>
          <w:p w14:paraId="736AA6A9" w14:textId="77777777" w:rsidR="00B74489" w:rsidRPr="00B74489" w:rsidRDefault="00B74489" w:rsidP="00B74489">
            <w:pPr>
              <w:spacing w:after="0" w:line="240" w:lineRule="auto"/>
              <w:rPr>
                <w:rFonts w:ascii="Arial" w:eastAsia="Times New Roman" w:hAnsi="Arial" w:cs="Arial"/>
                <w:b/>
                <w:bCs/>
                <w:color w:val="0081E3"/>
                <w:szCs w:val="18"/>
              </w:rPr>
            </w:pPr>
          </w:p>
        </w:tc>
      </w:tr>
      <w:tr w:rsidR="00FE3BDF" w:rsidRPr="00B74489" w14:paraId="6CE5D2EB" w14:textId="77777777" w:rsidTr="00B74489">
        <w:trPr>
          <w:gridAfter w:val="1"/>
          <w:wAfter w:w="1209" w:type="dxa"/>
          <w:trHeight w:val="480"/>
        </w:trPr>
        <w:tc>
          <w:tcPr>
            <w:tcW w:w="3787" w:type="dxa"/>
            <w:tcBorders>
              <w:top w:val="nil"/>
              <w:left w:val="nil"/>
              <w:bottom w:val="single" w:sz="4" w:space="0" w:color="C6C9CA"/>
              <w:right w:val="nil"/>
            </w:tcBorders>
            <w:shd w:val="clear" w:color="auto" w:fill="auto"/>
            <w:vAlign w:val="center"/>
            <w:hideMark/>
          </w:tcPr>
          <w:p w14:paraId="5B1FB99C" w14:textId="77777777" w:rsidR="00FE3BDF" w:rsidRPr="00B74489" w:rsidRDefault="00FE3BDF" w:rsidP="00B74489">
            <w:pPr>
              <w:spacing w:after="0" w:line="240" w:lineRule="auto"/>
              <w:rPr>
                <w:rFonts w:ascii="Arial" w:eastAsia="Times New Roman" w:hAnsi="Arial" w:cs="Arial"/>
                <w:b/>
                <w:bCs/>
                <w:color w:val="39414D"/>
                <w:szCs w:val="18"/>
              </w:rPr>
            </w:pPr>
            <w:r w:rsidRPr="00B74489">
              <w:rPr>
                <w:rFonts w:ascii="Arial" w:eastAsia="Times New Roman" w:hAnsi="Arial" w:cs="Arial"/>
                <w:b/>
                <w:bCs/>
                <w:color w:val="39414D"/>
                <w:szCs w:val="18"/>
              </w:rPr>
              <w:t>Rate Cell</w:t>
            </w:r>
          </w:p>
        </w:tc>
        <w:tc>
          <w:tcPr>
            <w:tcW w:w="1536" w:type="dxa"/>
            <w:gridSpan w:val="2"/>
            <w:tcBorders>
              <w:top w:val="nil"/>
              <w:left w:val="nil"/>
              <w:bottom w:val="single" w:sz="4" w:space="0" w:color="C6C9CA"/>
              <w:right w:val="nil"/>
            </w:tcBorders>
            <w:shd w:val="clear" w:color="auto" w:fill="auto"/>
            <w:vAlign w:val="center"/>
            <w:hideMark/>
          </w:tcPr>
          <w:p w14:paraId="5887CD8F" w14:textId="1C2D8D6F" w:rsidR="00FE3BDF" w:rsidRPr="00B74489" w:rsidRDefault="00FE3BDF" w:rsidP="00B74489">
            <w:pPr>
              <w:spacing w:after="0" w:line="240" w:lineRule="auto"/>
              <w:jc w:val="center"/>
              <w:rPr>
                <w:rFonts w:ascii="Arial" w:eastAsia="Times New Roman" w:hAnsi="Arial" w:cs="Arial"/>
                <w:b/>
                <w:bCs/>
                <w:color w:val="39414D"/>
                <w:szCs w:val="18"/>
              </w:rPr>
            </w:pPr>
            <w:r w:rsidRPr="00B74489">
              <w:rPr>
                <w:rFonts w:ascii="Arial" w:eastAsia="Times New Roman" w:hAnsi="Arial" w:cs="Arial"/>
                <w:b/>
                <w:bCs/>
                <w:color w:val="39414D"/>
                <w:szCs w:val="18"/>
              </w:rPr>
              <w:t xml:space="preserve">Administrative </w:t>
            </w:r>
            <w:r>
              <w:rPr>
                <w:rFonts w:ascii="Arial" w:eastAsia="Times New Roman" w:hAnsi="Arial" w:cs="Arial"/>
                <w:b/>
                <w:bCs/>
                <w:color w:val="39414D"/>
                <w:szCs w:val="18"/>
              </w:rPr>
              <w:t>Cost PMPM</w:t>
            </w:r>
          </w:p>
        </w:tc>
      </w:tr>
      <w:tr w:rsidR="0045362E" w:rsidRPr="00B74489" w14:paraId="2AC3910F" w14:textId="77777777" w:rsidTr="00962070">
        <w:trPr>
          <w:gridAfter w:val="1"/>
          <w:wAfter w:w="1209" w:type="dxa"/>
          <w:trHeight w:val="240"/>
        </w:trPr>
        <w:tc>
          <w:tcPr>
            <w:tcW w:w="3787" w:type="dxa"/>
            <w:tcBorders>
              <w:top w:val="nil"/>
              <w:left w:val="nil"/>
              <w:bottom w:val="nil"/>
              <w:right w:val="nil"/>
            </w:tcBorders>
            <w:shd w:val="clear" w:color="auto" w:fill="auto"/>
            <w:noWrap/>
          </w:tcPr>
          <w:p w14:paraId="47D977C2" w14:textId="1E0FEC6B" w:rsidR="0045362E" w:rsidRPr="002974E7" w:rsidRDefault="0045362E" w:rsidP="0045362E">
            <w:pPr>
              <w:spacing w:after="0" w:line="240" w:lineRule="auto"/>
              <w:rPr>
                <w:rFonts w:ascii="Arial" w:eastAsia="Times New Roman" w:hAnsi="Arial" w:cs="Arial"/>
                <w:color w:val="39414D"/>
                <w:szCs w:val="18"/>
              </w:rPr>
            </w:pPr>
            <w:r w:rsidRPr="002974E7">
              <w:rPr>
                <w:color w:val="39414D"/>
              </w:rPr>
              <w:t>IC30: MMP - SPMI</w:t>
            </w:r>
          </w:p>
        </w:tc>
        <w:tc>
          <w:tcPr>
            <w:tcW w:w="1536" w:type="dxa"/>
            <w:gridSpan w:val="2"/>
            <w:tcBorders>
              <w:top w:val="nil"/>
              <w:left w:val="nil"/>
              <w:bottom w:val="nil"/>
              <w:right w:val="nil"/>
            </w:tcBorders>
            <w:shd w:val="clear" w:color="auto" w:fill="auto"/>
            <w:noWrap/>
            <w:vAlign w:val="center"/>
          </w:tcPr>
          <w:p w14:paraId="71E9A09D" w14:textId="6AD587EF" w:rsidR="0045362E" w:rsidRPr="002974E7"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$ 70.00 </w:t>
            </w:r>
          </w:p>
        </w:tc>
      </w:tr>
      <w:tr w:rsidR="0045362E" w:rsidRPr="00B74489" w14:paraId="59CCAD7A" w14:textId="77777777" w:rsidTr="00962070">
        <w:trPr>
          <w:gridAfter w:val="1"/>
          <w:wAfter w:w="1209" w:type="dxa"/>
          <w:trHeight w:val="240"/>
        </w:trPr>
        <w:tc>
          <w:tcPr>
            <w:tcW w:w="3787" w:type="dxa"/>
            <w:tcBorders>
              <w:top w:val="nil"/>
              <w:left w:val="nil"/>
              <w:bottom w:val="nil"/>
              <w:right w:val="nil"/>
            </w:tcBorders>
            <w:shd w:val="clear" w:color="000000" w:fill="E8E9E9"/>
            <w:noWrap/>
          </w:tcPr>
          <w:p w14:paraId="2BA0C730" w14:textId="63ED7C9E" w:rsidR="0045362E" w:rsidRPr="002974E7" w:rsidRDefault="0045362E" w:rsidP="0045362E">
            <w:pPr>
              <w:spacing w:after="0" w:line="240" w:lineRule="auto"/>
              <w:rPr>
                <w:rFonts w:ascii="Arial" w:eastAsia="Times New Roman" w:hAnsi="Arial" w:cs="Arial"/>
                <w:color w:val="39414D"/>
                <w:szCs w:val="18"/>
              </w:rPr>
            </w:pPr>
            <w:r w:rsidRPr="002974E7">
              <w:rPr>
                <w:color w:val="39414D"/>
              </w:rPr>
              <w:t>IC40: MMP - ID</w:t>
            </w:r>
          </w:p>
        </w:tc>
        <w:tc>
          <w:tcPr>
            <w:tcW w:w="1536" w:type="dxa"/>
            <w:gridSpan w:val="2"/>
            <w:tcBorders>
              <w:top w:val="nil"/>
              <w:left w:val="nil"/>
              <w:bottom w:val="nil"/>
              <w:right w:val="nil"/>
            </w:tcBorders>
            <w:shd w:val="clear" w:color="000000" w:fill="E8E9E9"/>
            <w:noWrap/>
            <w:vAlign w:val="center"/>
          </w:tcPr>
          <w:p w14:paraId="57F7D5AA" w14:textId="1CCCC088" w:rsidR="0045362E" w:rsidRPr="002974E7"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27.00 </w:t>
            </w:r>
          </w:p>
        </w:tc>
      </w:tr>
      <w:tr w:rsidR="0045362E" w:rsidRPr="00B74489" w14:paraId="0F0D628F" w14:textId="77777777" w:rsidTr="00962070">
        <w:trPr>
          <w:gridAfter w:val="1"/>
          <w:wAfter w:w="1209" w:type="dxa"/>
          <w:trHeight w:val="240"/>
        </w:trPr>
        <w:tc>
          <w:tcPr>
            <w:tcW w:w="3787" w:type="dxa"/>
            <w:tcBorders>
              <w:top w:val="nil"/>
              <w:left w:val="nil"/>
              <w:bottom w:val="nil"/>
              <w:right w:val="nil"/>
            </w:tcBorders>
            <w:shd w:val="clear" w:color="auto" w:fill="auto"/>
            <w:noWrap/>
          </w:tcPr>
          <w:p w14:paraId="1C280F8B" w14:textId="28D298A2" w:rsidR="0045362E" w:rsidRPr="002974E7" w:rsidRDefault="0045362E" w:rsidP="0045362E">
            <w:pPr>
              <w:spacing w:after="0" w:line="240" w:lineRule="auto"/>
              <w:rPr>
                <w:rFonts w:ascii="Arial" w:eastAsia="Times New Roman" w:hAnsi="Arial" w:cs="Arial"/>
                <w:color w:val="39414D"/>
                <w:szCs w:val="18"/>
              </w:rPr>
            </w:pPr>
            <w:r w:rsidRPr="002974E7">
              <w:rPr>
                <w:color w:val="39414D"/>
              </w:rPr>
              <w:t>IC50: MMP - Community LTSS</w:t>
            </w:r>
          </w:p>
        </w:tc>
        <w:tc>
          <w:tcPr>
            <w:tcW w:w="1536" w:type="dxa"/>
            <w:gridSpan w:val="2"/>
            <w:tcBorders>
              <w:top w:val="nil"/>
              <w:left w:val="nil"/>
              <w:bottom w:val="nil"/>
              <w:right w:val="nil"/>
            </w:tcBorders>
            <w:shd w:val="clear" w:color="auto" w:fill="auto"/>
            <w:noWrap/>
            <w:vAlign w:val="center"/>
          </w:tcPr>
          <w:p w14:paraId="510D8753" w14:textId="7602D9AD" w:rsidR="0045362E" w:rsidRPr="002974E7"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240.00 </w:t>
            </w:r>
          </w:p>
        </w:tc>
      </w:tr>
      <w:tr w:rsidR="0045362E" w:rsidRPr="00B74489" w14:paraId="65E129DA" w14:textId="77777777" w:rsidTr="00962070">
        <w:trPr>
          <w:gridAfter w:val="1"/>
          <w:wAfter w:w="1209" w:type="dxa"/>
          <w:trHeight w:val="240"/>
        </w:trPr>
        <w:tc>
          <w:tcPr>
            <w:tcW w:w="3787" w:type="dxa"/>
            <w:tcBorders>
              <w:top w:val="nil"/>
              <w:left w:val="nil"/>
              <w:bottom w:val="nil"/>
              <w:right w:val="nil"/>
            </w:tcBorders>
            <w:shd w:val="clear" w:color="000000" w:fill="E8E9E9"/>
            <w:noWrap/>
          </w:tcPr>
          <w:p w14:paraId="0F8AAE8A" w14:textId="32365386" w:rsidR="0045362E" w:rsidRPr="002974E7" w:rsidRDefault="0045362E" w:rsidP="0045362E">
            <w:pPr>
              <w:spacing w:after="0" w:line="240" w:lineRule="auto"/>
              <w:rPr>
                <w:rFonts w:ascii="Arial" w:eastAsia="Times New Roman" w:hAnsi="Arial" w:cs="Arial"/>
                <w:color w:val="39414D"/>
                <w:szCs w:val="18"/>
              </w:rPr>
            </w:pPr>
            <w:r w:rsidRPr="002974E7">
              <w:rPr>
                <w:color w:val="39414D"/>
              </w:rPr>
              <w:t>IC60: MMP - Nursing Home</w:t>
            </w:r>
          </w:p>
        </w:tc>
        <w:tc>
          <w:tcPr>
            <w:tcW w:w="1536" w:type="dxa"/>
            <w:gridSpan w:val="2"/>
            <w:tcBorders>
              <w:top w:val="nil"/>
              <w:left w:val="nil"/>
              <w:bottom w:val="nil"/>
              <w:right w:val="nil"/>
            </w:tcBorders>
            <w:shd w:val="clear" w:color="000000" w:fill="E8E9E9"/>
            <w:noWrap/>
            <w:vAlign w:val="center"/>
          </w:tcPr>
          <w:p w14:paraId="56250943" w14:textId="6665AB7F" w:rsidR="0045362E" w:rsidRPr="002974E7"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240.00 </w:t>
            </w:r>
          </w:p>
        </w:tc>
      </w:tr>
      <w:tr w:rsidR="0045362E" w:rsidRPr="00B74489" w14:paraId="2D200193" w14:textId="77777777" w:rsidTr="00962070">
        <w:trPr>
          <w:gridAfter w:val="1"/>
          <w:wAfter w:w="1209" w:type="dxa"/>
          <w:trHeight w:val="240"/>
        </w:trPr>
        <w:tc>
          <w:tcPr>
            <w:tcW w:w="3787" w:type="dxa"/>
            <w:tcBorders>
              <w:top w:val="nil"/>
              <w:left w:val="nil"/>
              <w:bottom w:val="nil"/>
              <w:right w:val="nil"/>
            </w:tcBorders>
            <w:shd w:val="clear" w:color="auto" w:fill="auto"/>
            <w:noWrap/>
          </w:tcPr>
          <w:p w14:paraId="0A0F7A39" w14:textId="692EF8E5" w:rsidR="0045362E" w:rsidRPr="002974E7" w:rsidRDefault="0045362E" w:rsidP="0045362E">
            <w:pPr>
              <w:spacing w:after="0" w:line="240" w:lineRule="auto"/>
              <w:rPr>
                <w:rFonts w:ascii="Arial" w:eastAsia="Times New Roman" w:hAnsi="Arial" w:cs="Arial"/>
                <w:color w:val="39414D"/>
                <w:szCs w:val="18"/>
              </w:rPr>
            </w:pPr>
            <w:r w:rsidRPr="002974E7">
              <w:rPr>
                <w:color w:val="39414D"/>
              </w:rPr>
              <w:t>IC70: MMP - Community Non-LTSS</w:t>
            </w:r>
          </w:p>
        </w:tc>
        <w:tc>
          <w:tcPr>
            <w:tcW w:w="1536" w:type="dxa"/>
            <w:gridSpan w:val="2"/>
            <w:tcBorders>
              <w:top w:val="nil"/>
              <w:left w:val="nil"/>
              <w:bottom w:val="nil"/>
              <w:right w:val="nil"/>
            </w:tcBorders>
            <w:shd w:val="clear" w:color="auto" w:fill="auto"/>
            <w:noWrap/>
            <w:vAlign w:val="center"/>
          </w:tcPr>
          <w:p w14:paraId="7257CB52" w14:textId="65710578" w:rsidR="0045362E" w:rsidRPr="002974E7" w:rsidRDefault="0045362E" w:rsidP="0045362E">
            <w:pPr>
              <w:spacing w:after="0" w:line="240" w:lineRule="auto"/>
              <w:jc w:val="right"/>
              <w:rPr>
                <w:rFonts w:ascii="Arial" w:eastAsia="Times New Roman" w:hAnsi="Arial" w:cs="Arial"/>
                <w:color w:val="39414D"/>
                <w:szCs w:val="18"/>
              </w:rPr>
            </w:pPr>
            <w:r>
              <w:rPr>
                <w:rFonts w:ascii="Arial" w:hAnsi="Arial" w:cs="Arial"/>
                <w:color w:val="39414D"/>
                <w:szCs w:val="18"/>
              </w:rPr>
              <w:t xml:space="preserve">16.00 </w:t>
            </w:r>
          </w:p>
        </w:tc>
      </w:tr>
    </w:tbl>
    <w:p w14:paraId="14FE1DB1" w14:textId="58A9568C" w:rsidR="000D3C2C" w:rsidRDefault="000D3C2C" w:rsidP="00210B59"/>
    <w:p w14:paraId="3A3D885F" w14:textId="72D1CE57" w:rsidR="008C6C12" w:rsidRPr="009B069E" w:rsidRDefault="008C6C12" w:rsidP="008C6C12">
      <w:pPr>
        <w:pStyle w:val="Heading4"/>
      </w:pPr>
      <w:bookmarkStart w:id="453" w:name="_Toc109295540"/>
      <w:r>
        <w:t>Historical non-benefit cost</w:t>
      </w:r>
      <w:bookmarkEnd w:id="453"/>
    </w:p>
    <w:p w14:paraId="736A21D5" w14:textId="5D6B71E0" w:rsidR="008C6C12" w:rsidRDefault="008C6C12" w:rsidP="00210B59">
      <w:r w:rsidRPr="008C6C12">
        <w:t xml:space="preserve">Because the non-benefit component of the capitation rate reflects the estimated non-benefit costs for </w:t>
      </w:r>
      <w:r>
        <w:t>MMP-eligible</w:t>
      </w:r>
      <w:r w:rsidRPr="008C6C12">
        <w:t xml:space="preserve"> members while in the </w:t>
      </w:r>
      <w:r w:rsidR="004B3275">
        <w:t xml:space="preserve">fee-for-service </w:t>
      </w:r>
      <w:r w:rsidRPr="008C6C12">
        <w:t>program (i.e., “absent the demonstration”), we did not request historical non-benefit cost data</w:t>
      </w:r>
      <w:r>
        <w:t xml:space="preserve"> from </w:t>
      </w:r>
      <w:r w:rsidR="00AC4F21">
        <w:t>the MCO</w:t>
      </w:r>
      <w:r>
        <w:t>.</w:t>
      </w:r>
      <w:r w:rsidR="00362175">
        <w:t xml:space="preserve"> </w:t>
      </w:r>
    </w:p>
    <w:p w14:paraId="16532C63" w14:textId="383F7CE3" w:rsidR="001A703F" w:rsidRPr="00541C09" w:rsidRDefault="001A703F" w:rsidP="00210B59">
      <w:pPr>
        <w:pStyle w:val="RRBody"/>
        <w:rPr>
          <w:rFonts w:cstheme="minorHAnsi"/>
          <w:szCs w:val="18"/>
        </w:rPr>
      </w:pPr>
      <w:bookmarkStart w:id="454" w:name="_Toc454354233"/>
      <w:bookmarkStart w:id="455" w:name="_Toc484701265"/>
      <w:bookmarkEnd w:id="450"/>
      <w:bookmarkEnd w:id="451"/>
      <w:bookmarkEnd w:id="452"/>
    </w:p>
    <w:bookmarkEnd w:id="454"/>
    <w:bookmarkEnd w:id="455"/>
    <w:p w14:paraId="3AF86564" w14:textId="77777777" w:rsidR="00294D8A" w:rsidRDefault="00294D8A" w:rsidP="00210B59">
      <w:r>
        <w:br w:type="page"/>
      </w:r>
    </w:p>
    <w:p w14:paraId="66566F30" w14:textId="16417CFE" w:rsidR="00CE2634" w:rsidRPr="001D7F4A" w:rsidRDefault="00CE2634" w:rsidP="005C0EEC">
      <w:pPr>
        <w:pStyle w:val="Heading2"/>
      </w:pPr>
      <w:bookmarkStart w:id="456" w:name="_Toc504389114"/>
      <w:bookmarkStart w:id="457" w:name="_Toc8985049"/>
      <w:bookmarkStart w:id="458" w:name="_Toc109295541"/>
      <w:r w:rsidRPr="001D7F4A">
        <w:lastRenderedPageBreak/>
        <w:t>Risk Adjustment and Acuity Adjustments</w:t>
      </w:r>
      <w:bookmarkEnd w:id="456"/>
      <w:bookmarkEnd w:id="457"/>
      <w:bookmarkEnd w:id="458"/>
    </w:p>
    <w:p w14:paraId="1CF477AE" w14:textId="67735541" w:rsidR="00CE2634" w:rsidRDefault="00CE2634" w:rsidP="00210B59">
      <w:r w:rsidRPr="00541C09">
        <w:t>This section</w:t>
      </w:r>
      <w:r w:rsidR="008D332C">
        <w:t xml:space="preserve"> </w:t>
      </w:r>
      <w:r w:rsidR="008D332C" w:rsidRPr="00FA363F">
        <w:t xml:space="preserve">of the CMS Guide is not applicable to </w:t>
      </w:r>
      <w:r w:rsidR="008D332C">
        <w:t>the populations covered under this rate certification</w:t>
      </w:r>
      <w:r w:rsidR="008D332C" w:rsidRPr="00FA363F">
        <w:t xml:space="preserve">. </w:t>
      </w:r>
      <w:r w:rsidR="008D332C">
        <w:t xml:space="preserve">Risk adjustment and acuity adjustments are not applicable as there is only one MCO operating in the </w:t>
      </w:r>
      <w:r w:rsidR="00F172A5">
        <w:t>MMP</w:t>
      </w:r>
      <w:r w:rsidR="008D332C">
        <w:t xml:space="preserve"> program.</w:t>
      </w:r>
    </w:p>
    <w:p w14:paraId="3A0E1C77" w14:textId="77777777" w:rsidR="00C9591F" w:rsidRDefault="00C9591F">
      <w:pPr>
        <w:spacing w:line="264" w:lineRule="auto"/>
      </w:pPr>
      <w:r>
        <w:br w:type="page"/>
      </w:r>
    </w:p>
    <w:p w14:paraId="16C0788C" w14:textId="7C1CB41D" w:rsidR="00CE2634" w:rsidRPr="00CE52C5" w:rsidRDefault="00CE2634" w:rsidP="005C0EEC">
      <w:pPr>
        <w:pStyle w:val="Heading1"/>
      </w:pPr>
      <w:bookmarkStart w:id="459" w:name="_Toc465859034"/>
      <w:bookmarkStart w:id="460" w:name="_Toc465859209"/>
      <w:bookmarkStart w:id="461" w:name="_Toc466027976"/>
      <w:bookmarkStart w:id="462" w:name="_Toc466028151"/>
      <w:bookmarkStart w:id="463" w:name="_Toc465859050"/>
      <w:bookmarkStart w:id="464" w:name="_Toc465859225"/>
      <w:bookmarkStart w:id="465" w:name="_Toc466027992"/>
      <w:bookmarkStart w:id="466" w:name="_Toc466028167"/>
      <w:bookmarkStart w:id="467" w:name="_Toc504389130"/>
      <w:bookmarkStart w:id="468" w:name="_Toc8985059"/>
      <w:bookmarkStart w:id="469" w:name="_Toc109295542"/>
      <w:bookmarkEnd w:id="459"/>
      <w:bookmarkEnd w:id="460"/>
      <w:bookmarkEnd w:id="461"/>
      <w:bookmarkEnd w:id="462"/>
      <w:bookmarkEnd w:id="463"/>
      <w:bookmarkEnd w:id="464"/>
      <w:bookmarkEnd w:id="465"/>
      <w:bookmarkEnd w:id="466"/>
      <w:r w:rsidRPr="00CE52C5">
        <w:lastRenderedPageBreak/>
        <w:t xml:space="preserve">Section II. Medicaid Managed care </w:t>
      </w:r>
      <w:r w:rsidR="00C51185">
        <w:t>r</w:t>
      </w:r>
      <w:r w:rsidRPr="00CE52C5">
        <w:t>ates with long-term services and supports</w:t>
      </w:r>
      <w:bookmarkEnd w:id="467"/>
      <w:bookmarkEnd w:id="468"/>
      <w:bookmarkEnd w:id="469"/>
    </w:p>
    <w:p w14:paraId="7436BDA2" w14:textId="4E9A7D06" w:rsidR="001977F6" w:rsidRPr="001977F6" w:rsidRDefault="001977F6" w:rsidP="001977F6">
      <w:r w:rsidRPr="001977F6">
        <w:t xml:space="preserve">This section provides additional information on the base data and methodologies used to develop the capitation rates for the managed long-term services and supports (LTSS) provided to the </w:t>
      </w:r>
      <w:r w:rsidR="00F172A5">
        <w:t>MMP</w:t>
      </w:r>
      <w:r w:rsidR="0016149C">
        <w:t xml:space="preserve"> </w:t>
      </w:r>
      <w:r w:rsidRPr="001977F6">
        <w:t>population</w:t>
      </w:r>
      <w:r w:rsidR="0016149C">
        <w:t>.</w:t>
      </w:r>
    </w:p>
    <w:p w14:paraId="2CE1B92B" w14:textId="49931892" w:rsidR="000D3C2C" w:rsidRDefault="000D3C2C" w:rsidP="005570C2">
      <w:pPr>
        <w:pStyle w:val="Heading2"/>
        <w:numPr>
          <w:ilvl w:val="0"/>
          <w:numId w:val="33"/>
        </w:numPr>
      </w:pPr>
      <w:bookmarkStart w:id="470" w:name="_Toc109295543"/>
      <w:r>
        <w:t>Managed Long-Term Services and Supports</w:t>
      </w:r>
      <w:bookmarkEnd w:id="470"/>
    </w:p>
    <w:p w14:paraId="2B2280BE" w14:textId="1563C113" w:rsidR="000D3C2C" w:rsidRDefault="000D3C2C" w:rsidP="005570C2">
      <w:pPr>
        <w:pStyle w:val="Heading3"/>
        <w:numPr>
          <w:ilvl w:val="1"/>
          <w:numId w:val="34"/>
        </w:numPr>
      </w:pPr>
      <w:bookmarkStart w:id="471" w:name="_Toc109295544"/>
      <w:r>
        <w:t>Applicability</w:t>
      </w:r>
      <w:bookmarkEnd w:id="471"/>
    </w:p>
    <w:p w14:paraId="651A63A7" w14:textId="68FE4C18" w:rsidR="000D3C2C" w:rsidRDefault="001977F6" w:rsidP="000D3C2C">
      <w:r w:rsidRPr="001977F6">
        <w:t xml:space="preserve">The </w:t>
      </w:r>
      <w:r w:rsidR="00EA5B88">
        <w:t xml:space="preserve">LTSS portion of the MMP </w:t>
      </w:r>
      <w:r w:rsidRPr="001977F6">
        <w:t xml:space="preserve">capitation rates </w:t>
      </w:r>
      <w:r w:rsidR="00EA5B88">
        <w:t xml:space="preserve">were developed consistently </w:t>
      </w:r>
      <w:r w:rsidRPr="001977F6">
        <w:t xml:space="preserve">with </w:t>
      </w:r>
      <w:r w:rsidR="00EA5B88">
        <w:t xml:space="preserve">the required standards for rate development described </w:t>
      </w:r>
      <w:r w:rsidRPr="001977F6">
        <w:t>in Section 1 of this report</w:t>
      </w:r>
      <w:r w:rsidR="000D3C2C">
        <w:t>.</w:t>
      </w:r>
    </w:p>
    <w:p w14:paraId="4DB78B0B" w14:textId="55A21321" w:rsidR="000D3C2C" w:rsidRDefault="000D3C2C" w:rsidP="000D3C2C">
      <w:pPr>
        <w:pStyle w:val="Heading3"/>
      </w:pPr>
      <w:bookmarkStart w:id="472" w:name="_Toc109295545"/>
      <w:r>
        <w:t>Rate Development Standards</w:t>
      </w:r>
      <w:bookmarkEnd w:id="472"/>
    </w:p>
    <w:p w14:paraId="45C4CA48" w14:textId="46FD8562" w:rsidR="000D3C2C" w:rsidRDefault="00043705" w:rsidP="000D3C2C">
      <w:pPr>
        <w:pStyle w:val="Heading4"/>
      </w:pPr>
      <w:bookmarkStart w:id="473" w:name="_Toc109295546"/>
      <w:r>
        <w:t xml:space="preserve">Rate </w:t>
      </w:r>
      <w:r w:rsidR="00E11D0F">
        <w:t>cell structure</w:t>
      </w:r>
      <w:bookmarkEnd w:id="473"/>
    </w:p>
    <w:p w14:paraId="3C53A6AC" w14:textId="0A15F0F9" w:rsidR="00043705" w:rsidRDefault="001977F6" w:rsidP="00043705">
      <w:r w:rsidRPr="001977F6">
        <w:t>The</w:t>
      </w:r>
      <w:r>
        <w:t xml:space="preserve"> community LTSS and nursing home</w:t>
      </w:r>
      <w:r w:rsidRPr="001977F6">
        <w:t xml:space="preserve"> rate cell</w:t>
      </w:r>
      <w:r>
        <w:t xml:space="preserve"> members </w:t>
      </w:r>
      <w:r w:rsidR="007A24EB">
        <w:t xml:space="preserve">have </w:t>
      </w:r>
      <w:r>
        <w:t>a nursing home level of care and are blended into a single payment rate.</w:t>
      </w:r>
      <w:r w:rsidRPr="001977F6">
        <w:t xml:space="preserve"> </w:t>
      </w:r>
      <w:r>
        <w:t>The remaining rate cells are not blended</w:t>
      </w:r>
      <w:r w:rsidR="00043705">
        <w:t>.</w:t>
      </w:r>
    </w:p>
    <w:p w14:paraId="41D0DFBB" w14:textId="7AAD0EF0" w:rsidR="00043705" w:rsidRDefault="00043705" w:rsidP="00043705">
      <w:pPr>
        <w:pStyle w:val="Heading3"/>
      </w:pPr>
      <w:bookmarkStart w:id="474" w:name="_Toc109295547"/>
      <w:r>
        <w:t>Appropriate Documentation</w:t>
      </w:r>
      <w:bookmarkEnd w:id="474"/>
    </w:p>
    <w:p w14:paraId="5C2317A7" w14:textId="06CA3FB3" w:rsidR="00043705" w:rsidRDefault="00043705" w:rsidP="00043705">
      <w:pPr>
        <w:pStyle w:val="Heading4"/>
      </w:pPr>
      <w:bookmarkStart w:id="475" w:name="_Toc109295548"/>
      <w:r>
        <w:t xml:space="preserve">Covered </w:t>
      </w:r>
      <w:r w:rsidR="00E11D0F">
        <w:t>benefits</w:t>
      </w:r>
      <w:bookmarkEnd w:id="475"/>
    </w:p>
    <w:p w14:paraId="4C4793A1" w14:textId="2D7C5F14" w:rsidR="00043705" w:rsidRDefault="00043705" w:rsidP="00043705">
      <w:pPr>
        <w:pStyle w:val="Heading5"/>
      </w:pPr>
      <w:r>
        <w:t>Structure of rate cells</w:t>
      </w:r>
    </w:p>
    <w:p w14:paraId="175842B5" w14:textId="2AF60625" w:rsidR="00043705" w:rsidRPr="007D779E" w:rsidRDefault="001977F6" w:rsidP="00C9591F">
      <w:r>
        <w:t>The community LTSS and nursing home</w:t>
      </w:r>
      <w:r w:rsidRPr="001977F6">
        <w:t xml:space="preserve"> rate cells</w:t>
      </w:r>
      <w:r>
        <w:t xml:space="preserve"> are blended into a single payment rate</w:t>
      </w:r>
      <w:r w:rsidR="004D2254">
        <w:t>.</w:t>
      </w:r>
    </w:p>
    <w:p w14:paraId="34AEB5AC" w14:textId="057E5AFE" w:rsidR="00043705" w:rsidRDefault="00043705" w:rsidP="00043705">
      <w:pPr>
        <w:pStyle w:val="Heading5"/>
      </w:pPr>
      <w:r>
        <w:t>Data, assumptions, and methodology</w:t>
      </w:r>
    </w:p>
    <w:p w14:paraId="576F0065" w14:textId="7E6EB75B" w:rsidR="00C63F17" w:rsidRDefault="001977F6" w:rsidP="00043705">
      <w:r>
        <w:t xml:space="preserve">Baseline costs for the community LTSS and nursing home rate cells are developed based on </w:t>
      </w:r>
      <w:r w:rsidR="00332533">
        <w:t>SFY 2021</w:t>
      </w:r>
      <w:r w:rsidR="004D1268">
        <w:t xml:space="preserve"> fee-for-service</w:t>
      </w:r>
      <w:r>
        <w:t xml:space="preserve"> experience. Assumptions utilized in the development of </w:t>
      </w:r>
      <w:r w:rsidR="00162D88">
        <w:t xml:space="preserve">the rate-cell specific costs are outlined in Section I. </w:t>
      </w:r>
      <w:r w:rsidR="00C63F17">
        <w:t xml:space="preserve">The SFY </w:t>
      </w:r>
      <w:r w:rsidR="00332533">
        <w:t xml:space="preserve">2023 </w:t>
      </w:r>
      <w:r w:rsidR="00C63F17">
        <w:t>enrollment estimates, which were used to blend the community LTSS and nursing home rate cell into a single payment rate, were developed with the following methodology.</w:t>
      </w:r>
    </w:p>
    <w:p w14:paraId="1961F2D5" w14:textId="3AFBDA42" w:rsidR="00C63F17" w:rsidRDefault="0045362E" w:rsidP="00C63F17">
      <w:pPr>
        <w:pStyle w:val="RRNumberedBullet1"/>
        <w:spacing w:before="60"/>
      </w:pPr>
      <w:r>
        <w:rPr>
          <w:u w:val="single"/>
        </w:rPr>
        <w:t>Step 1</w:t>
      </w:r>
      <w:r w:rsidRPr="00BD03D9">
        <w:t xml:space="preserve">: </w:t>
      </w:r>
      <w:r w:rsidR="00E5202C">
        <w:t xml:space="preserve">MMP </w:t>
      </w:r>
      <w:r w:rsidR="00C63F17">
        <w:t xml:space="preserve">enrollment </w:t>
      </w:r>
      <w:r w:rsidR="004E07DC">
        <w:t xml:space="preserve">as of June 1, 2022 </w:t>
      </w:r>
      <w:r w:rsidR="00C63F17">
        <w:t xml:space="preserve">was utilized as </w:t>
      </w:r>
      <w:r w:rsidR="000552EB">
        <w:t xml:space="preserve">the </w:t>
      </w:r>
      <w:r w:rsidR="00C63F17">
        <w:t>baseline</w:t>
      </w:r>
      <w:r w:rsidR="00E70BA4">
        <w:t xml:space="preserve"> </w:t>
      </w:r>
      <w:r w:rsidR="002C6D52">
        <w:t>rate cell</w:t>
      </w:r>
      <w:r w:rsidR="00E70BA4">
        <w:t xml:space="preserve"> distribution</w:t>
      </w:r>
      <w:r w:rsidR="00C63F17">
        <w:t>.</w:t>
      </w:r>
    </w:p>
    <w:p w14:paraId="7887369D" w14:textId="6289A835" w:rsidR="00553299" w:rsidRPr="00E70BA4" w:rsidRDefault="0045362E" w:rsidP="00C63F17">
      <w:pPr>
        <w:pStyle w:val="RRNumberedBullet1"/>
        <w:spacing w:before="60"/>
      </w:pPr>
      <w:r>
        <w:rPr>
          <w:u w:val="single"/>
        </w:rPr>
        <w:t>Step 2</w:t>
      </w:r>
      <w:r w:rsidRPr="00BD03D9">
        <w:t xml:space="preserve">: </w:t>
      </w:r>
      <w:r w:rsidR="00553299" w:rsidRPr="00E70BA4">
        <w:t xml:space="preserve">Total enrollment was </w:t>
      </w:r>
      <w:r w:rsidR="000D7F92">
        <w:t>adjusted</w:t>
      </w:r>
      <w:r w:rsidR="000D7F92" w:rsidRPr="00E70BA4">
        <w:t xml:space="preserve"> </w:t>
      </w:r>
      <w:r w:rsidR="00553299" w:rsidRPr="00E70BA4">
        <w:t xml:space="preserve">to </w:t>
      </w:r>
      <w:r w:rsidR="000D7F92">
        <w:t>the</w:t>
      </w:r>
      <w:r w:rsidR="000D7F92" w:rsidRPr="00E70BA4">
        <w:t xml:space="preserve"> </w:t>
      </w:r>
      <w:r w:rsidR="00553299" w:rsidRPr="00E70BA4">
        <w:t xml:space="preserve">average monthly enrollment for the July </w:t>
      </w:r>
      <w:r w:rsidR="00332533">
        <w:t xml:space="preserve">1, </w:t>
      </w:r>
      <w:r w:rsidR="00332533" w:rsidRPr="00E70BA4">
        <w:t>202</w:t>
      </w:r>
      <w:r w:rsidR="00332533">
        <w:t>2</w:t>
      </w:r>
      <w:r w:rsidR="00332533" w:rsidRPr="00E70BA4">
        <w:t xml:space="preserve"> </w:t>
      </w:r>
      <w:r w:rsidR="00553299" w:rsidRPr="00E70BA4">
        <w:t xml:space="preserve">through </w:t>
      </w:r>
      <w:r w:rsidR="00E70BA4" w:rsidRPr="000D7F92">
        <w:t>June</w:t>
      </w:r>
      <w:r w:rsidR="00332533">
        <w:t xml:space="preserve"> 30,</w:t>
      </w:r>
      <w:r w:rsidR="00E70BA4" w:rsidRPr="000D7F92">
        <w:t xml:space="preserve"> </w:t>
      </w:r>
      <w:r w:rsidR="00332533" w:rsidRPr="00E70BA4">
        <w:t>202</w:t>
      </w:r>
      <w:r w:rsidR="00332533">
        <w:t>3</w:t>
      </w:r>
      <w:r w:rsidR="00332533" w:rsidRPr="00E70BA4">
        <w:t xml:space="preserve"> </w:t>
      </w:r>
      <w:r w:rsidR="00553299" w:rsidRPr="00E70BA4">
        <w:t xml:space="preserve">period estimates </w:t>
      </w:r>
      <w:r w:rsidR="000D7F92">
        <w:t xml:space="preserve">from the May </w:t>
      </w:r>
      <w:r w:rsidR="00332533">
        <w:t xml:space="preserve">2022 </w:t>
      </w:r>
      <w:r w:rsidR="000D7F92">
        <w:t>EOHHS Caseload estimates</w:t>
      </w:r>
      <w:r w:rsidR="00553299" w:rsidRPr="00E70BA4">
        <w:t>.</w:t>
      </w:r>
    </w:p>
    <w:p w14:paraId="1E4C91C0" w14:textId="5265FE18" w:rsidR="00094331" w:rsidRDefault="0045362E" w:rsidP="00C63F17">
      <w:pPr>
        <w:pStyle w:val="RRNumberedBullet1"/>
        <w:spacing w:before="60"/>
      </w:pPr>
      <w:r>
        <w:rPr>
          <w:u w:val="single"/>
        </w:rPr>
        <w:t>Step 3</w:t>
      </w:r>
      <w:r w:rsidRPr="00BD03D9">
        <w:t xml:space="preserve">: </w:t>
      </w:r>
      <w:r w:rsidR="00094331">
        <w:t xml:space="preserve">The final </w:t>
      </w:r>
      <w:r w:rsidR="00BE705D">
        <w:t xml:space="preserve">SFY 2023 </w:t>
      </w:r>
      <w:r>
        <w:t>estimated monthly enrollment</w:t>
      </w:r>
      <w:r w:rsidR="00B84C84">
        <w:t xml:space="preserve"> distribution</w:t>
      </w:r>
      <w:r>
        <w:t xml:space="preserve"> reflects passive enrollment </w:t>
      </w:r>
      <w:r w:rsidR="00BE705D">
        <w:t>estimates</w:t>
      </w:r>
      <w:r>
        <w:t xml:space="preserve"> impacting all rate cells</w:t>
      </w:r>
      <w:r w:rsidR="00BE705D">
        <w:t xml:space="preserve"> and is based on data provided by EOHHS</w:t>
      </w:r>
      <w:r>
        <w:t xml:space="preserve">. In addition, the final </w:t>
      </w:r>
      <w:r w:rsidR="00094331">
        <w:t xml:space="preserve">community non-LTSS / nursing home blend of </w:t>
      </w:r>
      <w:r w:rsidR="00EA5B88">
        <w:t>6</w:t>
      </w:r>
      <w:r w:rsidR="00BF4C51">
        <w:t>7</w:t>
      </w:r>
      <w:r w:rsidR="00094331">
        <w:t>%/</w:t>
      </w:r>
      <w:r w:rsidR="00EA5B88">
        <w:t>3</w:t>
      </w:r>
      <w:r w:rsidR="00BF4C51">
        <w:t>3</w:t>
      </w:r>
      <w:r w:rsidR="00094331">
        <w:t xml:space="preserve">% was based on a review of the </w:t>
      </w:r>
      <w:r w:rsidR="00EA5B88">
        <w:t>emerging MMP</w:t>
      </w:r>
      <w:r w:rsidR="00094331">
        <w:t xml:space="preserve"> enrollment distribution</w:t>
      </w:r>
      <w:r w:rsidR="00BE705D">
        <w:t xml:space="preserve"> and</w:t>
      </w:r>
      <w:r w:rsidR="00094331">
        <w:t xml:space="preserve"> historical enrollment changes. The </w:t>
      </w:r>
      <w:r w:rsidR="00EA5B88">
        <w:t>6</w:t>
      </w:r>
      <w:r w:rsidR="00BF4C51">
        <w:t>7</w:t>
      </w:r>
      <w:r w:rsidR="00094331">
        <w:t>%/</w:t>
      </w:r>
      <w:r w:rsidR="00EA5B88">
        <w:t>3</w:t>
      </w:r>
      <w:r w:rsidR="00BF4C51">
        <w:t>3</w:t>
      </w:r>
      <w:r w:rsidR="00094331">
        <w:t xml:space="preserve">% blend was estimated as an appropriate “absent the demonstration” </w:t>
      </w:r>
      <w:r w:rsidR="002C6D52">
        <w:t>distribution</w:t>
      </w:r>
      <w:r w:rsidR="00094331">
        <w:t xml:space="preserve"> used to develop the blended LTSS rate.</w:t>
      </w:r>
    </w:p>
    <w:p w14:paraId="4AD6D290" w14:textId="23679C4E" w:rsidR="004D2254" w:rsidRDefault="004D2254" w:rsidP="00043705">
      <w:r w:rsidRPr="00163E0C">
        <w:t xml:space="preserve">Figure </w:t>
      </w:r>
      <w:r w:rsidR="00DC7441" w:rsidRPr="006B42A9">
        <w:t>1</w:t>
      </w:r>
      <w:r w:rsidR="00704FFB">
        <w:t>4</w:t>
      </w:r>
      <w:r w:rsidR="00DC7441" w:rsidRPr="00163E0C">
        <w:t xml:space="preserve"> </w:t>
      </w:r>
      <w:r w:rsidRPr="00163E0C">
        <w:t xml:space="preserve">illustrates the </w:t>
      </w:r>
      <w:r w:rsidR="00553299" w:rsidRPr="00163E0C">
        <w:t xml:space="preserve">development of the SFY </w:t>
      </w:r>
      <w:r w:rsidR="00332533" w:rsidRPr="00163E0C">
        <w:t>202</w:t>
      </w:r>
      <w:r w:rsidR="00332533">
        <w:t>3</w:t>
      </w:r>
      <w:r w:rsidR="00332533" w:rsidRPr="00163E0C">
        <w:t xml:space="preserve"> </w:t>
      </w:r>
      <w:r w:rsidR="00553299" w:rsidRPr="00163E0C">
        <w:t>projected enrollment</w:t>
      </w:r>
      <w:r w:rsidRPr="00163E0C">
        <w:t xml:space="preserve">. </w:t>
      </w:r>
    </w:p>
    <w:tbl>
      <w:tblPr>
        <w:tblW w:w="9060" w:type="dxa"/>
        <w:tblLook w:val="04A0" w:firstRow="1" w:lastRow="0" w:firstColumn="1" w:lastColumn="0" w:noHBand="0" w:noVBand="1"/>
      </w:tblPr>
      <w:tblGrid>
        <w:gridCol w:w="3348"/>
        <w:gridCol w:w="217"/>
        <w:gridCol w:w="1617"/>
        <w:gridCol w:w="1417"/>
        <w:gridCol w:w="264"/>
        <w:gridCol w:w="2197"/>
      </w:tblGrid>
      <w:tr w:rsidR="005909BC" w:rsidRPr="003A627B" w14:paraId="3225B49C" w14:textId="77777777" w:rsidTr="007A4BF8">
        <w:trPr>
          <w:trHeight w:val="369"/>
        </w:trPr>
        <w:tc>
          <w:tcPr>
            <w:tcW w:w="6599" w:type="dxa"/>
            <w:gridSpan w:val="4"/>
            <w:tcBorders>
              <w:top w:val="nil"/>
              <w:left w:val="nil"/>
              <w:bottom w:val="nil"/>
              <w:right w:val="nil"/>
            </w:tcBorders>
            <w:shd w:val="clear" w:color="auto" w:fill="auto"/>
            <w:noWrap/>
            <w:vAlign w:val="center"/>
            <w:hideMark/>
          </w:tcPr>
          <w:p w14:paraId="7BCD477F" w14:textId="3117392E" w:rsidR="005909BC" w:rsidRPr="003A627B" w:rsidRDefault="005909BC" w:rsidP="003A627B">
            <w:pPr>
              <w:spacing w:after="0" w:line="240" w:lineRule="auto"/>
              <w:rPr>
                <w:rFonts w:ascii="Arial" w:eastAsia="Times New Roman" w:hAnsi="Arial" w:cs="Arial"/>
                <w:b/>
                <w:bCs/>
                <w:color w:val="0081E3"/>
                <w:szCs w:val="18"/>
              </w:rPr>
            </w:pPr>
            <w:r w:rsidRPr="003A627B">
              <w:rPr>
                <w:rFonts w:ascii="Arial" w:eastAsia="Times New Roman" w:hAnsi="Arial" w:cs="Arial"/>
                <w:b/>
                <w:bCs/>
                <w:color w:val="0081E3"/>
                <w:szCs w:val="18"/>
              </w:rPr>
              <w:t xml:space="preserve">FIGURE </w:t>
            </w:r>
            <w:r w:rsidR="00DC7441" w:rsidRPr="003A627B">
              <w:rPr>
                <w:rFonts w:ascii="Arial" w:eastAsia="Times New Roman" w:hAnsi="Arial" w:cs="Arial"/>
                <w:b/>
                <w:bCs/>
                <w:color w:val="0081E3"/>
                <w:szCs w:val="18"/>
              </w:rPr>
              <w:t>1</w:t>
            </w:r>
            <w:r w:rsidR="00704FFB">
              <w:rPr>
                <w:rFonts w:ascii="Arial" w:eastAsia="Times New Roman" w:hAnsi="Arial" w:cs="Arial"/>
                <w:b/>
                <w:bCs/>
                <w:color w:val="0081E3"/>
                <w:szCs w:val="18"/>
              </w:rPr>
              <w:t>4</w:t>
            </w:r>
            <w:r w:rsidRPr="003A627B">
              <w:rPr>
                <w:rFonts w:ascii="Arial" w:eastAsia="Times New Roman" w:hAnsi="Arial" w:cs="Arial"/>
                <w:b/>
                <w:bCs/>
                <w:color w:val="0081E3"/>
                <w:szCs w:val="18"/>
              </w:rPr>
              <w:t>: PROJECTED ENROLLMENT DEVELOPMENT</w:t>
            </w:r>
          </w:p>
        </w:tc>
        <w:tc>
          <w:tcPr>
            <w:tcW w:w="264" w:type="dxa"/>
            <w:tcBorders>
              <w:top w:val="nil"/>
              <w:left w:val="nil"/>
              <w:bottom w:val="nil"/>
              <w:right w:val="nil"/>
            </w:tcBorders>
            <w:shd w:val="clear" w:color="auto" w:fill="auto"/>
            <w:noWrap/>
            <w:vAlign w:val="center"/>
            <w:hideMark/>
          </w:tcPr>
          <w:p w14:paraId="0D3CCFBF" w14:textId="77777777" w:rsidR="005909BC" w:rsidRPr="003A627B" w:rsidRDefault="005909BC" w:rsidP="003A627B">
            <w:pPr>
              <w:spacing w:after="0" w:line="240" w:lineRule="auto"/>
              <w:rPr>
                <w:rFonts w:ascii="Arial" w:eastAsia="Times New Roman" w:hAnsi="Arial" w:cs="Arial"/>
                <w:b/>
                <w:bCs/>
                <w:color w:val="0081E3"/>
                <w:szCs w:val="18"/>
              </w:rPr>
            </w:pPr>
          </w:p>
        </w:tc>
        <w:tc>
          <w:tcPr>
            <w:tcW w:w="2197" w:type="dxa"/>
            <w:tcBorders>
              <w:top w:val="nil"/>
              <w:left w:val="nil"/>
              <w:bottom w:val="nil"/>
              <w:right w:val="nil"/>
            </w:tcBorders>
            <w:shd w:val="clear" w:color="auto" w:fill="auto"/>
            <w:noWrap/>
            <w:vAlign w:val="center"/>
            <w:hideMark/>
          </w:tcPr>
          <w:p w14:paraId="70FA888F" w14:textId="77777777" w:rsidR="005909BC" w:rsidRPr="003A627B" w:rsidRDefault="005909BC" w:rsidP="003A627B">
            <w:pPr>
              <w:spacing w:after="0" w:line="240" w:lineRule="auto"/>
              <w:rPr>
                <w:rFonts w:ascii="Times New Roman" w:eastAsia="Times New Roman" w:hAnsi="Times New Roman" w:cs="Times New Roman"/>
                <w:sz w:val="20"/>
                <w:szCs w:val="20"/>
              </w:rPr>
            </w:pPr>
          </w:p>
        </w:tc>
      </w:tr>
      <w:tr w:rsidR="005909BC" w:rsidRPr="003A627B" w14:paraId="0FE68DA6" w14:textId="77777777" w:rsidTr="0094562F">
        <w:trPr>
          <w:trHeight w:val="80"/>
        </w:trPr>
        <w:tc>
          <w:tcPr>
            <w:tcW w:w="3348" w:type="dxa"/>
            <w:tcBorders>
              <w:top w:val="nil"/>
              <w:left w:val="nil"/>
              <w:bottom w:val="single" w:sz="4" w:space="0" w:color="C6C9CA"/>
              <w:right w:val="nil"/>
            </w:tcBorders>
            <w:shd w:val="clear" w:color="auto" w:fill="auto"/>
            <w:vAlign w:val="center"/>
            <w:hideMark/>
          </w:tcPr>
          <w:p w14:paraId="6B8E87F5" w14:textId="77777777" w:rsidR="005909BC" w:rsidRPr="003A627B" w:rsidRDefault="005909BC" w:rsidP="00BE705D">
            <w:pPr>
              <w:spacing w:after="0" w:line="240" w:lineRule="auto"/>
              <w:jc w:val="center"/>
              <w:rPr>
                <w:rFonts w:ascii="Arial" w:eastAsia="Times New Roman" w:hAnsi="Arial" w:cs="Arial"/>
                <w:b/>
                <w:bCs/>
                <w:color w:val="39414D"/>
                <w:szCs w:val="18"/>
              </w:rPr>
            </w:pPr>
            <w:r w:rsidRPr="003A627B">
              <w:rPr>
                <w:rFonts w:ascii="Arial" w:eastAsia="Times New Roman" w:hAnsi="Arial" w:cs="Arial"/>
                <w:b/>
                <w:bCs/>
                <w:color w:val="39414D"/>
                <w:szCs w:val="18"/>
              </w:rPr>
              <w:t>Rate Cell</w:t>
            </w:r>
          </w:p>
        </w:tc>
        <w:tc>
          <w:tcPr>
            <w:tcW w:w="1834" w:type="dxa"/>
            <w:gridSpan w:val="2"/>
            <w:tcBorders>
              <w:top w:val="nil"/>
              <w:left w:val="nil"/>
              <w:bottom w:val="single" w:sz="4" w:space="0" w:color="C6C9CA"/>
              <w:right w:val="nil"/>
            </w:tcBorders>
            <w:shd w:val="clear" w:color="auto" w:fill="auto"/>
            <w:vAlign w:val="center"/>
            <w:hideMark/>
          </w:tcPr>
          <w:p w14:paraId="1C01A939" w14:textId="77777777" w:rsidR="00BE705D" w:rsidRDefault="00BE705D" w:rsidP="00BE705D">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Step 1:</w:t>
            </w:r>
          </w:p>
          <w:p w14:paraId="5602A030" w14:textId="1F871371" w:rsidR="005909BC" w:rsidRPr="003A627B" w:rsidRDefault="00BA78E7" w:rsidP="00BE705D">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June</w:t>
            </w:r>
            <w:r w:rsidR="00181E47">
              <w:rPr>
                <w:rFonts w:ascii="Arial" w:eastAsia="Times New Roman" w:hAnsi="Arial" w:cs="Arial"/>
                <w:b/>
                <w:bCs/>
                <w:color w:val="39414D"/>
                <w:szCs w:val="18"/>
              </w:rPr>
              <w:t xml:space="preserve"> 2022 Enrollment</w:t>
            </w:r>
          </w:p>
        </w:tc>
        <w:tc>
          <w:tcPr>
            <w:tcW w:w="1681" w:type="dxa"/>
            <w:gridSpan w:val="2"/>
            <w:tcBorders>
              <w:top w:val="nil"/>
              <w:left w:val="nil"/>
              <w:bottom w:val="single" w:sz="4" w:space="0" w:color="C6C9CA"/>
              <w:right w:val="nil"/>
            </w:tcBorders>
            <w:shd w:val="clear" w:color="auto" w:fill="auto"/>
            <w:vAlign w:val="center"/>
            <w:hideMark/>
          </w:tcPr>
          <w:p w14:paraId="21C280B2" w14:textId="77777777" w:rsidR="00BE705D" w:rsidRDefault="00BE705D" w:rsidP="00BE705D">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Step 2:</w:t>
            </w:r>
          </w:p>
          <w:p w14:paraId="3DC837B7" w14:textId="417ADECF" w:rsidR="005909BC" w:rsidRPr="003A627B" w:rsidRDefault="005909BC" w:rsidP="00BE705D">
            <w:pPr>
              <w:spacing w:after="0" w:line="240" w:lineRule="auto"/>
              <w:jc w:val="center"/>
              <w:rPr>
                <w:rFonts w:ascii="Arial" w:eastAsia="Times New Roman" w:hAnsi="Arial" w:cs="Arial"/>
                <w:b/>
                <w:bCs/>
                <w:color w:val="39414D"/>
                <w:szCs w:val="18"/>
              </w:rPr>
            </w:pPr>
            <w:r w:rsidRPr="005909BC">
              <w:rPr>
                <w:rFonts w:ascii="Arial" w:eastAsia="Times New Roman" w:hAnsi="Arial" w:cs="Arial"/>
                <w:b/>
                <w:bCs/>
                <w:color w:val="39414D"/>
                <w:szCs w:val="18"/>
              </w:rPr>
              <w:t xml:space="preserve">Adjusted for </w:t>
            </w:r>
            <w:r w:rsidR="007A4BF8">
              <w:rPr>
                <w:rFonts w:ascii="Arial" w:eastAsia="Times New Roman" w:hAnsi="Arial" w:cs="Arial"/>
                <w:b/>
                <w:bCs/>
                <w:color w:val="39414D"/>
                <w:szCs w:val="18"/>
              </w:rPr>
              <w:t xml:space="preserve">SFY 2023 </w:t>
            </w:r>
            <w:r w:rsidRPr="005909BC">
              <w:rPr>
                <w:rFonts w:ascii="Arial" w:eastAsia="Times New Roman" w:hAnsi="Arial" w:cs="Arial"/>
                <w:b/>
                <w:bCs/>
                <w:color w:val="39414D"/>
                <w:szCs w:val="18"/>
              </w:rPr>
              <w:t>Caseload</w:t>
            </w:r>
            <w:r w:rsidR="00E5202C">
              <w:rPr>
                <w:rFonts w:ascii="Arial" w:eastAsia="Times New Roman" w:hAnsi="Arial" w:cs="Arial"/>
                <w:b/>
                <w:bCs/>
                <w:color w:val="39414D"/>
                <w:szCs w:val="18"/>
              </w:rPr>
              <w:t xml:space="preserve"> Estimate</w:t>
            </w:r>
          </w:p>
        </w:tc>
        <w:tc>
          <w:tcPr>
            <w:tcW w:w="2197" w:type="dxa"/>
            <w:tcBorders>
              <w:top w:val="nil"/>
              <w:left w:val="nil"/>
              <w:bottom w:val="single" w:sz="4" w:space="0" w:color="C6C9CA"/>
              <w:right w:val="nil"/>
            </w:tcBorders>
            <w:shd w:val="clear" w:color="auto" w:fill="auto"/>
            <w:vAlign w:val="center"/>
            <w:hideMark/>
          </w:tcPr>
          <w:p w14:paraId="3107993E" w14:textId="77777777" w:rsidR="00BE705D" w:rsidRDefault="00BE705D" w:rsidP="00BE705D">
            <w:pPr>
              <w:spacing w:after="0" w:line="240" w:lineRule="auto"/>
              <w:jc w:val="center"/>
              <w:rPr>
                <w:rFonts w:ascii="Arial" w:eastAsia="Times New Roman" w:hAnsi="Arial" w:cs="Arial"/>
                <w:b/>
                <w:bCs/>
                <w:color w:val="39414D"/>
                <w:szCs w:val="18"/>
              </w:rPr>
            </w:pPr>
            <w:r>
              <w:rPr>
                <w:rFonts w:ascii="Arial" w:eastAsia="Times New Roman" w:hAnsi="Arial" w:cs="Arial"/>
                <w:b/>
                <w:bCs/>
                <w:color w:val="39414D"/>
                <w:szCs w:val="18"/>
              </w:rPr>
              <w:t>Step 3:</w:t>
            </w:r>
          </w:p>
          <w:p w14:paraId="450E3EFF" w14:textId="122BAFE5" w:rsidR="005909BC" w:rsidRPr="003A627B" w:rsidRDefault="005909BC">
            <w:pPr>
              <w:spacing w:after="0" w:line="240" w:lineRule="auto"/>
              <w:jc w:val="center"/>
              <w:rPr>
                <w:rFonts w:ascii="Arial" w:eastAsia="Times New Roman" w:hAnsi="Arial" w:cs="Arial"/>
                <w:b/>
                <w:bCs/>
                <w:color w:val="39414D"/>
                <w:szCs w:val="18"/>
              </w:rPr>
            </w:pPr>
            <w:r w:rsidRPr="005909BC">
              <w:rPr>
                <w:rFonts w:ascii="Arial" w:eastAsia="Times New Roman" w:hAnsi="Arial" w:cs="Arial"/>
                <w:b/>
                <w:bCs/>
                <w:color w:val="39414D"/>
                <w:szCs w:val="18"/>
              </w:rPr>
              <w:t xml:space="preserve">Average Monthly Projected Enrollment SFY </w:t>
            </w:r>
            <w:r w:rsidR="00332533" w:rsidRPr="005909BC">
              <w:rPr>
                <w:rFonts w:ascii="Arial" w:eastAsia="Times New Roman" w:hAnsi="Arial" w:cs="Arial"/>
                <w:b/>
                <w:bCs/>
                <w:color w:val="39414D"/>
                <w:szCs w:val="18"/>
              </w:rPr>
              <w:t>202</w:t>
            </w:r>
            <w:r w:rsidR="00332533">
              <w:rPr>
                <w:rFonts w:ascii="Arial" w:eastAsia="Times New Roman" w:hAnsi="Arial" w:cs="Arial"/>
                <w:b/>
                <w:bCs/>
                <w:color w:val="39414D"/>
                <w:szCs w:val="18"/>
              </w:rPr>
              <w:t>3</w:t>
            </w:r>
          </w:p>
        </w:tc>
      </w:tr>
      <w:tr w:rsidR="0094562F" w:rsidRPr="003A627B" w14:paraId="01A79F28" w14:textId="77777777" w:rsidTr="0094562F">
        <w:trPr>
          <w:trHeight w:val="70"/>
        </w:trPr>
        <w:tc>
          <w:tcPr>
            <w:tcW w:w="3565" w:type="dxa"/>
            <w:gridSpan w:val="2"/>
            <w:tcBorders>
              <w:top w:val="nil"/>
              <w:left w:val="nil"/>
              <w:bottom w:val="nil"/>
              <w:right w:val="nil"/>
            </w:tcBorders>
            <w:shd w:val="clear" w:color="auto" w:fill="auto"/>
            <w:noWrap/>
          </w:tcPr>
          <w:p w14:paraId="1AD4DBEB" w14:textId="7C686DCA" w:rsidR="0094562F" w:rsidRPr="00EF57BA" w:rsidRDefault="0094562F" w:rsidP="0094562F">
            <w:pPr>
              <w:spacing w:after="0" w:line="240" w:lineRule="auto"/>
              <w:rPr>
                <w:rFonts w:ascii="Arial" w:eastAsia="Times New Roman" w:hAnsi="Arial" w:cs="Arial"/>
                <w:color w:val="39414D"/>
                <w:szCs w:val="18"/>
              </w:rPr>
            </w:pPr>
            <w:r w:rsidRPr="00EF57BA">
              <w:rPr>
                <w:color w:val="39414D"/>
              </w:rPr>
              <w:t>IC30: MMP - SPMI</w:t>
            </w:r>
          </w:p>
        </w:tc>
        <w:tc>
          <w:tcPr>
            <w:tcW w:w="1617" w:type="dxa"/>
            <w:tcBorders>
              <w:top w:val="nil"/>
              <w:left w:val="nil"/>
              <w:bottom w:val="nil"/>
              <w:right w:val="nil"/>
            </w:tcBorders>
            <w:shd w:val="clear" w:color="auto" w:fill="auto"/>
            <w:noWrap/>
            <w:vAlign w:val="center"/>
          </w:tcPr>
          <w:p w14:paraId="73058C34" w14:textId="0C732835"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1,083 </w:t>
            </w:r>
          </w:p>
        </w:tc>
        <w:tc>
          <w:tcPr>
            <w:tcW w:w="1681" w:type="dxa"/>
            <w:gridSpan w:val="2"/>
            <w:tcBorders>
              <w:top w:val="nil"/>
              <w:left w:val="nil"/>
              <w:bottom w:val="nil"/>
              <w:right w:val="nil"/>
            </w:tcBorders>
            <w:shd w:val="clear" w:color="auto" w:fill="auto"/>
            <w:noWrap/>
            <w:vAlign w:val="center"/>
          </w:tcPr>
          <w:p w14:paraId="36E08BD2" w14:textId="38DA40BC"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1,118 </w:t>
            </w:r>
          </w:p>
        </w:tc>
        <w:tc>
          <w:tcPr>
            <w:tcW w:w="2197" w:type="dxa"/>
            <w:tcBorders>
              <w:top w:val="nil"/>
              <w:left w:val="nil"/>
              <w:bottom w:val="nil"/>
              <w:right w:val="nil"/>
            </w:tcBorders>
            <w:shd w:val="clear" w:color="auto" w:fill="auto"/>
            <w:noWrap/>
            <w:vAlign w:val="center"/>
          </w:tcPr>
          <w:p w14:paraId="5F60C48A" w14:textId="27F25114"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1,132 </w:t>
            </w:r>
          </w:p>
        </w:tc>
      </w:tr>
      <w:tr w:rsidR="0094562F" w:rsidRPr="003A627B" w14:paraId="54033652" w14:textId="77777777" w:rsidTr="0094562F">
        <w:trPr>
          <w:trHeight w:val="80"/>
        </w:trPr>
        <w:tc>
          <w:tcPr>
            <w:tcW w:w="3565" w:type="dxa"/>
            <w:gridSpan w:val="2"/>
            <w:tcBorders>
              <w:top w:val="nil"/>
              <w:left w:val="nil"/>
              <w:bottom w:val="nil"/>
              <w:right w:val="nil"/>
            </w:tcBorders>
            <w:shd w:val="clear" w:color="000000" w:fill="E8E9E9"/>
            <w:noWrap/>
          </w:tcPr>
          <w:p w14:paraId="1691772F" w14:textId="4D48D8BD" w:rsidR="0094562F" w:rsidRPr="00EF57BA" w:rsidRDefault="0094562F" w:rsidP="0094562F">
            <w:pPr>
              <w:spacing w:after="0" w:line="240" w:lineRule="auto"/>
              <w:rPr>
                <w:rFonts w:ascii="Arial" w:eastAsia="Times New Roman" w:hAnsi="Arial" w:cs="Arial"/>
                <w:color w:val="39414D"/>
                <w:szCs w:val="18"/>
              </w:rPr>
            </w:pPr>
            <w:r w:rsidRPr="00EF57BA">
              <w:rPr>
                <w:color w:val="39414D"/>
              </w:rPr>
              <w:t>IC40: MMP - ID</w:t>
            </w:r>
          </w:p>
        </w:tc>
        <w:tc>
          <w:tcPr>
            <w:tcW w:w="1617" w:type="dxa"/>
            <w:tcBorders>
              <w:top w:val="nil"/>
              <w:left w:val="nil"/>
              <w:bottom w:val="nil"/>
              <w:right w:val="nil"/>
            </w:tcBorders>
            <w:shd w:val="clear" w:color="000000" w:fill="E8E9E9"/>
            <w:noWrap/>
            <w:vAlign w:val="center"/>
          </w:tcPr>
          <w:p w14:paraId="6595FBA6" w14:textId="161D2B82"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1,386 </w:t>
            </w:r>
          </w:p>
        </w:tc>
        <w:tc>
          <w:tcPr>
            <w:tcW w:w="1681" w:type="dxa"/>
            <w:gridSpan w:val="2"/>
            <w:tcBorders>
              <w:top w:val="nil"/>
              <w:left w:val="nil"/>
              <w:bottom w:val="nil"/>
              <w:right w:val="nil"/>
            </w:tcBorders>
            <w:shd w:val="clear" w:color="000000" w:fill="E8E9E9"/>
            <w:noWrap/>
            <w:vAlign w:val="center"/>
          </w:tcPr>
          <w:p w14:paraId="45E3EFC6" w14:textId="781AD963"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1,432 </w:t>
            </w:r>
          </w:p>
        </w:tc>
        <w:tc>
          <w:tcPr>
            <w:tcW w:w="2197" w:type="dxa"/>
            <w:tcBorders>
              <w:top w:val="nil"/>
              <w:left w:val="nil"/>
              <w:bottom w:val="nil"/>
              <w:right w:val="nil"/>
            </w:tcBorders>
            <w:shd w:val="clear" w:color="000000" w:fill="E8E9E9"/>
            <w:noWrap/>
            <w:vAlign w:val="center"/>
          </w:tcPr>
          <w:p w14:paraId="547266A1" w14:textId="3912AFE3"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1,411 </w:t>
            </w:r>
          </w:p>
        </w:tc>
      </w:tr>
      <w:tr w:rsidR="0094562F" w:rsidRPr="003A627B" w14:paraId="5779E0EB" w14:textId="77777777" w:rsidTr="0094562F">
        <w:trPr>
          <w:trHeight w:val="80"/>
        </w:trPr>
        <w:tc>
          <w:tcPr>
            <w:tcW w:w="3565" w:type="dxa"/>
            <w:gridSpan w:val="2"/>
            <w:tcBorders>
              <w:top w:val="nil"/>
              <w:left w:val="nil"/>
              <w:bottom w:val="nil"/>
              <w:right w:val="nil"/>
            </w:tcBorders>
            <w:shd w:val="clear" w:color="auto" w:fill="auto"/>
            <w:noWrap/>
          </w:tcPr>
          <w:p w14:paraId="1A47D4F6" w14:textId="7EAFBC53" w:rsidR="0094562F" w:rsidRPr="00EF57BA" w:rsidRDefault="0094562F" w:rsidP="0094562F">
            <w:pPr>
              <w:spacing w:after="0" w:line="240" w:lineRule="auto"/>
              <w:rPr>
                <w:rFonts w:ascii="Arial" w:eastAsia="Times New Roman" w:hAnsi="Arial" w:cs="Arial"/>
                <w:color w:val="39414D"/>
                <w:szCs w:val="18"/>
              </w:rPr>
            </w:pPr>
            <w:r w:rsidRPr="00EF57BA">
              <w:rPr>
                <w:color w:val="39414D"/>
              </w:rPr>
              <w:t>IC50: MMP - Community LTSS</w:t>
            </w:r>
          </w:p>
        </w:tc>
        <w:tc>
          <w:tcPr>
            <w:tcW w:w="1617" w:type="dxa"/>
            <w:tcBorders>
              <w:top w:val="nil"/>
              <w:left w:val="nil"/>
              <w:bottom w:val="nil"/>
              <w:right w:val="nil"/>
            </w:tcBorders>
            <w:shd w:val="clear" w:color="auto" w:fill="auto"/>
            <w:noWrap/>
            <w:vAlign w:val="center"/>
          </w:tcPr>
          <w:p w14:paraId="50C1ADCB" w14:textId="1CF27A4C"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1,653 </w:t>
            </w:r>
          </w:p>
        </w:tc>
        <w:tc>
          <w:tcPr>
            <w:tcW w:w="1681" w:type="dxa"/>
            <w:gridSpan w:val="2"/>
            <w:tcBorders>
              <w:top w:val="nil"/>
              <w:left w:val="nil"/>
              <w:bottom w:val="nil"/>
              <w:right w:val="nil"/>
            </w:tcBorders>
            <w:shd w:val="clear" w:color="auto" w:fill="auto"/>
            <w:noWrap/>
            <w:vAlign w:val="center"/>
          </w:tcPr>
          <w:p w14:paraId="31352914" w14:textId="1D4A7F7E"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1,707 </w:t>
            </w:r>
          </w:p>
        </w:tc>
        <w:tc>
          <w:tcPr>
            <w:tcW w:w="2197" w:type="dxa"/>
            <w:tcBorders>
              <w:top w:val="nil"/>
              <w:left w:val="nil"/>
              <w:bottom w:val="nil"/>
              <w:right w:val="nil"/>
            </w:tcBorders>
            <w:shd w:val="clear" w:color="auto" w:fill="auto"/>
            <w:noWrap/>
            <w:vAlign w:val="center"/>
          </w:tcPr>
          <w:p w14:paraId="5F75A00F" w14:textId="4E09BBFF"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1,646 </w:t>
            </w:r>
          </w:p>
        </w:tc>
      </w:tr>
      <w:tr w:rsidR="0094562F" w:rsidRPr="003A627B" w14:paraId="08F5C6E2" w14:textId="77777777" w:rsidTr="0094562F">
        <w:trPr>
          <w:trHeight w:val="80"/>
        </w:trPr>
        <w:tc>
          <w:tcPr>
            <w:tcW w:w="3565" w:type="dxa"/>
            <w:gridSpan w:val="2"/>
            <w:tcBorders>
              <w:top w:val="nil"/>
              <w:left w:val="nil"/>
              <w:bottom w:val="nil"/>
              <w:right w:val="nil"/>
            </w:tcBorders>
            <w:shd w:val="clear" w:color="000000" w:fill="E8E9E9"/>
            <w:noWrap/>
          </w:tcPr>
          <w:p w14:paraId="79B668D1" w14:textId="36D8AB0C" w:rsidR="0094562F" w:rsidRPr="00EF57BA" w:rsidRDefault="0094562F" w:rsidP="0094562F">
            <w:pPr>
              <w:spacing w:after="0" w:line="240" w:lineRule="auto"/>
              <w:rPr>
                <w:rFonts w:ascii="Arial" w:eastAsia="Times New Roman" w:hAnsi="Arial" w:cs="Arial"/>
                <w:color w:val="39414D"/>
                <w:szCs w:val="18"/>
              </w:rPr>
            </w:pPr>
            <w:r w:rsidRPr="00EF57BA">
              <w:rPr>
                <w:color w:val="39414D"/>
              </w:rPr>
              <w:t>IC60: MMP - Nursing Home</w:t>
            </w:r>
          </w:p>
        </w:tc>
        <w:tc>
          <w:tcPr>
            <w:tcW w:w="1617" w:type="dxa"/>
            <w:tcBorders>
              <w:top w:val="nil"/>
              <w:left w:val="nil"/>
              <w:bottom w:val="nil"/>
              <w:right w:val="nil"/>
            </w:tcBorders>
            <w:shd w:val="clear" w:color="auto" w:fill="E8E9E9"/>
            <w:noWrap/>
            <w:vAlign w:val="center"/>
          </w:tcPr>
          <w:p w14:paraId="65E004C6" w14:textId="667DFA74"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684 </w:t>
            </w:r>
          </w:p>
        </w:tc>
        <w:tc>
          <w:tcPr>
            <w:tcW w:w="1681" w:type="dxa"/>
            <w:gridSpan w:val="2"/>
            <w:tcBorders>
              <w:top w:val="nil"/>
              <w:left w:val="nil"/>
              <w:bottom w:val="nil"/>
              <w:right w:val="nil"/>
            </w:tcBorders>
            <w:shd w:val="clear" w:color="000000" w:fill="E8E9E9"/>
            <w:noWrap/>
            <w:vAlign w:val="center"/>
          </w:tcPr>
          <w:p w14:paraId="5E23FAAB" w14:textId="09FE25A9"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707 </w:t>
            </w:r>
          </w:p>
        </w:tc>
        <w:tc>
          <w:tcPr>
            <w:tcW w:w="2197" w:type="dxa"/>
            <w:tcBorders>
              <w:top w:val="nil"/>
              <w:left w:val="nil"/>
              <w:bottom w:val="nil"/>
              <w:right w:val="nil"/>
            </w:tcBorders>
            <w:shd w:val="clear" w:color="000000" w:fill="E8E9E9"/>
            <w:noWrap/>
            <w:vAlign w:val="center"/>
          </w:tcPr>
          <w:p w14:paraId="25544AB0" w14:textId="75F77EFC"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811 </w:t>
            </w:r>
          </w:p>
        </w:tc>
      </w:tr>
      <w:tr w:rsidR="0094562F" w:rsidRPr="003A627B" w14:paraId="1C80D793" w14:textId="77777777" w:rsidTr="0094562F">
        <w:trPr>
          <w:trHeight w:val="80"/>
        </w:trPr>
        <w:tc>
          <w:tcPr>
            <w:tcW w:w="3565" w:type="dxa"/>
            <w:gridSpan w:val="2"/>
            <w:tcBorders>
              <w:top w:val="nil"/>
              <w:left w:val="nil"/>
              <w:bottom w:val="nil"/>
              <w:right w:val="nil"/>
            </w:tcBorders>
            <w:shd w:val="clear" w:color="auto" w:fill="auto"/>
            <w:noWrap/>
          </w:tcPr>
          <w:p w14:paraId="57DB93F5" w14:textId="3126BE9B" w:rsidR="0094562F" w:rsidRPr="00EF57BA" w:rsidRDefault="0094562F" w:rsidP="0094562F">
            <w:pPr>
              <w:spacing w:after="0" w:line="240" w:lineRule="auto"/>
              <w:rPr>
                <w:rFonts w:ascii="Arial" w:eastAsia="Times New Roman" w:hAnsi="Arial" w:cs="Arial"/>
                <w:color w:val="39414D"/>
                <w:szCs w:val="18"/>
              </w:rPr>
            </w:pPr>
            <w:r w:rsidRPr="00EF57BA">
              <w:rPr>
                <w:color w:val="39414D"/>
              </w:rPr>
              <w:t>IC70: MMP - Community Non-LTSS</w:t>
            </w:r>
          </w:p>
        </w:tc>
        <w:tc>
          <w:tcPr>
            <w:tcW w:w="1617" w:type="dxa"/>
            <w:tcBorders>
              <w:top w:val="nil"/>
              <w:left w:val="nil"/>
              <w:bottom w:val="nil"/>
              <w:right w:val="nil"/>
            </w:tcBorders>
            <w:shd w:val="clear" w:color="auto" w:fill="auto"/>
            <w:noWrap/>
            <w:vAlign w:val="center"/>
          </w:tcPr>
          <w:p w14:paraId="1DC7FF43" w14:textId="32CF8B66"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8,194 </w:t>
            </w:r>
          </w:p>
        </w:tc>
        <w:tc>
          <w:tcPr>
            <w:tcW w:w="1681" w:type="dxa"/>
            <w:gridSpan w:val="2"/>
            <w:tcBorders>
              <w:top w:val="nil"/>
              <w:left w:val="nil"/>
              <w:bottom w:val="nil"/>
              <w:right w:val="nil"/>
            </w:tcBorders>
            <w:shd w:val="clear" w:color="auto" w:fill="auto"/>
            <w:noWrap/>
            <w:vAlign w:val="center"/>
          </w:tcPr>
          <w:p w14:paraId="1C987E57" w14:textId="5F2399A6"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8,463 </w:t>
            </w:r>
          </w:p>
        </w:tc>
        <w:tc>
          <w:tcPr>
            <w:tcW w:w="2197" w:type="dxa"/>
            <w:tcBorders>
              <w:top w:val="nil"/>
              <w:left w:val="nil"/>
              <w:bottom w:val="nil"/>
              <w:right w:val="nil"/>
            </w:tcBorders>
            <w:shd w:val="clear" w:color="auto" w:fill="auto"/>
            <w:noWrap/>
            <w:vAlign w:val="center"/>
          </w:tcPr>
          <w:p w14:paraId="213390A5" w14:textId="73CA6E16" w:rsidR="0094562F" w:rsidRPr="00EF57BA" w:rsidRDefault="0094562F" w:rsidP="0094562F">
            <w:pPr>
              <w:spacing w:after="0" w:line="240" w:lineRule="auto"/>
              <w:jc w:val="right"/>
              <w:rPr>
                <w:rFonts w:ascii="Arial" w:eastAsia="Times New Roman" w:hAnsi="Arial" w:cs="Arial"/>
                <w:color w:val="39414D"/>
                <w:szCs w:val="18"/>
              </w:rPr>
            </w:pPr>
            <w:r>
              <w:rPr>
                <w:rFonts w:ascii="Arial" w:hAnsi="Arial" w:cs="Arial"/>
                <w:color w:val="39414D"/>
                <w:szCs w:val="18"/>
              </w:rPr>
              <w:t xml:space="preserve">8,427 </w:t>
            </w:r>
          </w:p>
        </w:tc>
      </w:tr>
      <w:tr w:rsidR="0094562F" w:rsidRPr="003A627B" w14:paraId="335B80BE" w14:textId="77777777" w:rsidTr="0094562F">
        <w:trPr>
          <w:trHeight w:val="138"/>
        </w:trPr>
        <w:tc>
          <w:tcPr>
            <w:tcW w:w="3565" w:type="dxa"/>
            <w:gridSpan w:val="2"/>
            <w:shd w:val="clear" w:color="auto" w:fill="E8E9E9"/>
            <w:noWrap/>
          </w:tcPr>
          <w:p w14:paraId="3C87AE54" w14:textId="366B1295" w:rsidR="0094562F" w:rsidRPr="00EF57BA" w:rsidRDefault="0094562F" w:rsidP="0094562F">
            <w:pPr>
              <w:spacing w:after="0" w:line="240" w:lineRule="auto"/>
              <w:rPr>
                <w:rFonts w:ascii="Arial" w:eastAsia="Times New Roman" w:hAnsi="Arial" w:cs="Arial"/>
                <w:b/>
                <w:bCs/>
                <w:color w:val="39414D"/>
                <w:szCs w:val="18"/>
              </w:rPr>
            </w:pPr>
            <w:r w:rsidRPr="00EF57BA">
              <w:rPr>
                <w:b/>
                <w:bCs/>
                <w:color w:val="39414D"/>
              </w:rPr>
              <w:t>Total MMP</w:t>
            </w:r>
          </w:p>
        </w:tc>
        <w:tc>
          <w:tcPr>
            <w:tcW w:w="1617" w:type="dxa"/>
            <w:shd w:val="clear" w:color="auto" w:fill="E8E9E9"/>
            <w:noWrap/>
            <w:vAlign w:val="center"/>
          </w:tcPr>
          <w:p w14:paraId="3C37A562" w14:textId="37EE3AB4" w:rsidR="0094562F" w:rsidRPr="0094562F" w:rsidRDefault="0094562F" w:rsidP="0094562F">
            <w:pPr>
              <w:spacing w:after="0" w:line="240" w:lineRule="auto"/>
              <w:jc w:val="right"/>
              <w:rPr>
                <w:rFonts w:ascii="Arial" w:eastAsia="Times New Roman" w:hAnsi="Arial" w:cs="Arial"/>
                <w:b/>
                <w:bCs/>
                <w:color w:val="39414D"/>
                <w:szCs w:val="18"/>
              </w:rPr>
            </w:pPr>
            <w:r w:rsidRPr="0094562F">
              <w:rPr>
                <w:rFonts w:ascii="Arial" w:hAnsi="Arial" w:cs="Arial"/>
                <w:b/>
                <w:bCs/>
                <w:color w:val="39414D"/>
                <w:szCs w:val="18"/>
              </w:rPr>
              <w:t xml:space="preserve">13,000 </w:t>
            </w:r>
          </w:p>
        </w:tc>
        <w:tc>
          <w:tcPr>
            <w:tcW w:w="1681" w:type="dxa"/>
            <w:gridSpan w:val="2"/>
            <w:shd w:val="clear" w:color="auto" w:fill="E8E9E9"/>
            <w:noWrap/>
            <w:vAlign w:val="center"/>
          </w:tcPr>
          <w:p w14:paraId="3DD0646A" w14:textId="494ED6D8" w:rsidR="0094562F" w:rsidRPr="0094562F" w:rsidRDefault="0094562F" w:rsidP="0094562F">
            <w:pPr>
              <w:spacing w:after="0" w:line="240" w:lineRule="auto"/>
              <w:jc w:val="right"/>
              <w:rPr>
                <w:rFonts w:ascii="Arial" w:eastAsia="Times New Roman" w:hAnsi="Arial" w:cs="Arial"/>
                <w:b/>
                <w:bCs/>
                <w:color w:val="39414D"/>
                <w:szCs w:val="18"/>
              </w:rPr>
            </w:pPr>
            <w:r w:rsidRPr="0094562F">
              <w:rPr>
                <w:rFonts w:ascii="Arial" w:hAnsi="Arial" w:cs="Arial"/>
                <w:b/>
                <w:bCs/>
                <w:color w:val="39414D"/>
                <w:szCs w:val="18"/>
              </w:rPr>
              <w:t xml:space="preserve">13,427 </w:t>
            </w:r>
          </w:p>
        </w:tc>
        <w:tc>
          <w:tcPr>
            <w:tcW w:w="2197" w:type="dxa"/>
            <w:shd w:val="clear" w:color="auto" w:fill="E8E9E9"/>
            <w:noWrap/>
            <w:vAlign w:val="center"/>
          </w:tcPr>
          <w:p w14:paraId="7EA8F8BE" w14:textId="7094F2EF" w:rsidR="0094562F" w:rsidRPr="0094562F" w:rsidRDefault="0094562F" w:rsidP="0094562F">
            <w:pPr>
              <w:spacing w:after="0" w:line="240" w:lineRule="auto"/>
              <w:jc w:val="right"/>
              <w:rPr>
                <w:rFonts w:ascii="Arial" w:eastAsia="Times New Roman" w:hAnsi="Arial" w:cs="Arial"/>
                <w:b/>
                <w:bCs/>
                <w:color w:val="39414D"/>
                <w:szCs w:val="18"/>
              </w:rPr>
            </w:pPr>
            <w:r w:rsidRPr="0094562F">
              <w:rPr>
                <w:rFonts w:ascii="Arial" w:hAnsi="Arial" w:cs="Arial"/>
                <w:b/>
                <w:bCs/>
                <w:color w:val="39414D"/>
                <w:szCs w:val="18"/>
              </w:rPr>
              <w:t xml:space="preserve">13,427 </w:t>
            </w:r>
          </w:p>
        </w:tc>
      </w:tr>
      <w:tr w:rsidR="00B93D46" w:rsidRPr="003A627B" w14:paraId="42EC1E1C" w14:textId="77777777" w:rsidTr="0094562F">
        <w:trPr>
          <w:trHeight w:val="369"/>
        </w:trPr>
        <w:tc>
          <w:tcPr>
            <w:tcW w:w="3565" w:type="dxa"/>
            <w:gridSpan w:val="2"/>
            <w:shd w:val="clear" w:color="auto" w:fill="auto"/>
            <w:noWrap/>
            <w:vAlign w:val="center"/>
          </w:tcPr>
          <w:p w14:paraId="65F63785" w14:textId="12C866EC" w:rsidR="00B93D46" w:rsidRPr="003A627B" w:rsidRDefault="00B93D46" w:rsidP="00B93D46">
            <w:pPr>
              <w:spacing w:after="0" w:line="240" w:lineRule="auto"/>
              <w:rPr>
                <w:rFonts w:ascii="Arial" w:eastAsia="Times New Roman" w:hAnsi="Arial" w:cs="Arial"/>
                <w:color w:val="39414D"/>
                <w:szCs w:val="18"/>
              </w:rPr>
            </w:pPr>
          </w:p>
        </w:tc>
        <w:tc>
          <w:tcPr>
            <w:tcW w:w="1617" w:type="dxa"/>
            <w:shd w:val="clear" w:color="auto" w:fill="auto"/>
            <w:noWrap/>
            <w:vAlign w:val="center"/>
          </w:tcPr>
          <w:p w14:paraId="31BCE1BA" w14:textId="2B08FC6B" w:rsidR="00B93D46" w:rsidRDefault="00B93D46" w:rsidP="00B93D46">
            <w:pPr>
              <w:spacing w:after="0" w:line="240" w:lineRule="auto"/>
              <w:jc w:val="right"/>
              <w:rPr>
                <w:rFonts w:ascii="Arial" w:hAnsi="Arial" w:cs="Arial"/>
                <w:color w:val="39414D"/>
                <w:szCs w:val="18"/>
              </w:rPr>
            </w:pPr>
          </w:p>
        </w:tc>
        <w:tc>
          <w:tcPr>
            <w:tcW w:w="1681" w:type="dxa"/>
            <w:gridSpan w:val="2"/>
            <w:shd w:val="clear" w:color="auto" w:fill="auto"/>
            <w:noWrap/>
            <w:vAlign w:val="center"/>
          </w:tcPr>
          <w:p w14:paraId="362C7270" w14:textId="060C9050" w:rsidR="00B93D46" w:rsidRDefault="00B93D46" w:rsidP="00B93D46">
            <w:pPr>
              <w:spacing w:after="0" w:line="240" w:lineRule="auto"/>
              <w:jc w:val="right"/>
              <w:rPr>
                <w:rFonts w:ascii="Arial" w:hAnsi="Arial" w:cs="Arial"/>
                <w:color w:val="39414D"/>
                <w:szCs w:val="18"/>
              </w:rPr>
            </w:pPr>
          </w:p>
        </w:tc>
        <w:tc>
          <w:tcPr>
            <w:tcW w:w="2197" w:type="dxa"/>
            <w:shd w:val="clear" w:color="auto" w:fill="auto"/>
            <w:noWrap/>
            <w:vAlign w:val="center"/>
          </w:tcPr>
          <w:p w14:paraId="622F12AB" w14:textId="59900B41" w:rsidR="00B93D46" w:rsidRDefault="00B93D46" w:rsidP="00B93D46">
            <w:pPr>
              <w:spacing w:after="0" w:line="240" w:lineRule="auto"/>
              <w:jc w:val="right"/>
              <w:rPr>
                <w:rFonts w:ascii="Arial" w:hAnsi="Arial" w:cs="Arial"/>
                <w:color w:val="39414D"/>
                <w:szCs w:val="18"/>
              </w:rPr>
            </w:pPr>
          </w:p>
        </w:tc>
      </w:tr>
    </w:tbl>
    <w:p w14:paraId="72EF1498" w14:textId="77777777" w:rsidR="006E0D85" w:rsidRDefault="006E0D85" w:rsidP="004E54E8">
      <w:pPr>
        <w:pStyle w:val="Heading5"/>
        <w:numPr>
          <w:ilvl w:val="0"/>
          <w:numId w:val="0"/>
        </w:numPr>
        <w:ind w:left="2880"/>
      </w:pPr>
    </w:p>
    <w:p w14:paraId="585798F7" w14:textId="0D683CBF" w:rsidR="00043705" w:rsidRDefault="00043705" w:rsidP="00043705">
      <w:pPr>
        <w:pStyle w:val="Heading5"/>
      </w:pPr>
      <w:r>
        <w:t>Payment structure</w:t>
      </w:r>
    </w:p>
    <w:p w14:paraId="2B0FA5CF" w14:textId="5F5EE22B" w:rsidR="00043705" w:rsidRDefault="004D2254" w:rsidP="00043705">
      <w:r>
        <w:t>There are not any</w:t>
      </w:r>
      <w:r w:rsidRPr="004D2254">
        <w:t xml:space="preserve"> other payment structures, incentives, or disincentives </w:t>
      </w:r>
      <w:r>
        <w:t xml:space="preserve">used to pay </w:t>
      </w:r>
      <w:r w:rsidR="00AC4F21">
        <w:t xml:space="preserve">the MCO </w:t>
      </w:r>
      <w:r>
        <w:t>for transitioning the setting of care for the members</w:t>
      </w:r>
      <w:r w:rsidR="00043705">
        <w:t>.</w:t>
      </w:r>
    </w:p>
    <w:p w14:paraId="1FBE5B38" w14:textId="5125B5C4" w:rsidR="00043705" w:rsidRDefault="00043705" w:rsidP="00043705">
      <w:pPr>
        <w:pStyle w:val="Heading5"/>
      </w:pPr>
      <w:r>
        <w:t>LTSS management</w:t>
      </w:r>
    </w:p>
    <w:p w14:paraId="2EBB134B" w14:textId="5E174972" w:rsidR="00043705" w:rsidRDefault="00030033" w:rsidP="00043705">
      <w:r w:rsidRPr="00030033">
        <w:t xml:space="preserve">The rate cell structure encourages </w:t>
      </w:r>
      <w:r w:rsidR="00AC4F21">
        <w:t>the MCO</w:t>
      </w:r>
      <w:r w:rsidR="00AC4F21" w:rsidDel="00AC4F21">
        <w:t xml:space="preserve"> </w:t>
      </w:r>
      <w:r w:rsidRPr="00030033">
        <w:t>to manage the population towards lower cost settings by way of the blended LTSS rate.</w:t>
      </w:r>
    </w:p>
    <w:p w14:paraId="7CABA365" w14:textId="379D023E" w:rsidR="00043705" w:rsidRDefault="00043705" w:rsidP="00043705">
      <w:pPr>
        <w:pStyle w:val="Heading5"/>
      </w:pPr>
      <w:r>
        <w:t>Effects of managed care</w:t>
      </w:r>
    </w:p>
    <w:p w14:paraId="1D6BDCCB" w14:textId="7B4309AE" w:rsidR="00043705" w:rsidRDefault="00AC4F21" w:rsidP="00043705">
      <w:r>
        <w:t>The MCO</w:t>
      </w:r>
      <w:r w:rsidDel="00AC4F21">
        <w:t xml:space="preserve"> </w:t>
      </w:r>
      <w:r w:rsidR="00030033">
        <w:t xml:space="preserve">is expected to deliver care in the most efficient setting of care, often transitioning service utilization from nursing homes to home and </w:t>
      </w:r>
      <w:r w:rsidR="0016149C">
        <w:t>community-based</w:t>
      </w:r>
      <w:r w:rsidR="00030033">
        <w:t xml:space="preserve"> services. </w:t>
      </w:r>
      <w:r w:rsidR="000D7F92">
        <w:t>In addition</w:t>
      </w:r>
      <w:r w:rsidR="00030033">
        <w:t xml:space="preserve">, certain opportunities may be available to reduce or postpone the use of certain home and </w:t>
      </w:r>
      <w:r w:rsidR="00EC6C23">
        <w:t>community-based</w:t>
      </w:r>
      <w:r w:rsidR="00030033">
        <w:t xml:space="preserve"> services.</w:t>
      </w:r>
    </w:p>
    <w:p w14:paraId="70EB8773" w14:textId="5A79E6D3" w:rsidR="00043705" w:rsidRDefault="00043705" w:rsidP="00043705">
      <w:pPr>
        <w:pStyle w:val="Heading4"/>
      </w:pPr>
      <w:bookmarkStart w:id="476" w:name="_Toc109295549"/>
      <w:r>
        <w:t xml:space="preserve">Projected </w:t>
      </w:r>
      <w:r w:rsidR="00732212">
        <w:t>non</w:t>
      </w:r>
      <w:r>
        <w:t>-</w:t>
      </w:r>
      <w:r w:rsidR="00732212">
        <w:t>benefit costs</w:t>
      </w:r>
      <w:bookmarkEnd w:id="476"/>
    </w:p>
    <w:p w14:paraId="31FE4ED4" w14:textId="477FA7BD" w:rsidR="00043705" w:rsidRDefault="00030033" w:rsidP="00043705">
      <w:r>
        <w:t>The projected non-benefit costs included in the rate development are fully described in Section I.5</w:t>
      </w:r>
      <w:r w:rsidR="00043705">
        <w:t>.</w:t>
      </w:r>
    </w:p>
    <w:p w14:paraId="53CDDD57" w14:textId="47AE1A8A" w:rsidR="00043705" w:rsidRDefault="00043705" w:rsidP="00043705">
      <w:pPr>
        <w:pStyle w:val="Heading4"/>
      </w:pPr>
      <w:bookmarkStart w:id="477" w:name="_Toc109295550"/>
      <w:r>
        <w:t>Assumptions</w:t>
      </w:r>
      <w:bookmarkEnd w:id="477"/>
    </w:p>
    <w:p w14:paraId="7D3CF399" w14:textId="6BC0B1FE" w:rsidR="00043705" w:rsidRPr="00043705" w:rsidRDefault="00030033" w:rsidP="00C9591F">
      <w:r w:rsidRPr="00030033">
        <w:t xml:space="preserve">Section I details the experience and assumptions employed for the </w:t>
      </w:r>
      <w:r>
        <w:t xml:space="preserve">development of the LTSS service costs included in the </w:t>
      </w:r>
      <w:r w:rsidR="00CF3F10">
        <w:t>MMP</w:t>
      </w:r>
      <w:r>
        <w:t xml:space="preserve"> capitation rates.</w:t>
      </w:r>
    </w:p>
    <w:p w14:paraId="72B2507E" w14:textId="77777777" w:rsidR="00CE2634" w:rsidRPr="00541C09" w:rsidRDefault="00CE2634" w:rsidP="00210B59"/>
    <w:p w14:paraId="3DC6D5F4" w14:textId="77777777" w:rsidR="00CE52C5" w:rsidRDefault="00CE52C5" w:rsidP="00210B59">
      <w:pPr>
        <w:pStyle w:val="RRSubhead1"/>
      </w:pPr>
      <w:bookmarkStart w:id="478" w:name="_Toc504389131"/>
      <w:r>
        <w:br w:type="page"/>
      </w:r>
    </w:p>
    <w:p w14:paraId="100AC5F0" w14:textId="38F7A440" w:rsidR="00CE2634" w:rsidRDefault="00CE2634" w:rsidP="005C0EEC">
      <w:pPr>
        <w:pStyle w:val="Heading1"/>
      </w:pPr>
      <w:bookmarkStart w:id="479" w:name="_Toc8985060"/>
      <w:bookmarkStart w:id="480" w:name="_Toc109295551"/>
      <w:r w:rsidRPr="00541C09">
        <w:lastRenderedPageBreak/>
        <w:t xml:space="preserve">Section III. New adult group capitation </w:t>
      </w:r>
      <w:r w:rsidR="00CD1333">
        <w:t>r</w:t>
      </w:r>
      <w:r w:rsidRPr="00541C09">
        <w:t>ates</w:t>
      </w:r>
      <w:bookmarkEnd w:id="478"/>
      <w:bookmarkEnd w:id="479"/>
      <w:bookmarkEnd w:id="480"/>
    </w:p>
    <w:p w14:paraId="2EB8351A" w14:textId="02C1A626" w:rsidR="000D3C2C" w:rsidRPr="00933BDB" w:rsidRDefault="000D3C2C" w:rsidP="000D3C2C">
      <w:pPr>
        <w:pStyle w:val="RRBody"/>
      </w:pPr>
      <w:r w:rsidRPr="00FA363F">
        <w:t>Section II</w:t>
      </w:r>
      <w:r>
        <w:t>I</w:t>
      </w:r>
      <w:r w:rsidRPr="00FA363F">
        <w:t xml:space="preserve"> of the CMS Guide is not applicable to </w:t>
      </w:r>
      <w:r>
        <w:t>the populations covered under this rate certification</w:t>
      </w:r>
      <w:r w:rsidRPr="00FA363F">
        <w:t xml:space="preserve">. </w:t>
      </w:r>
      <w:r>
        <w:t>The state operates a new adult group program for Medicaid Expansion that is outlined in a separate capitation rate certification document.</w:t>
      </w:r>
    </w:p>
    <w:p w14:paraId="123D50D1" w14:textId="77777777" w:rsidR="00CE2634" w:rsidRPr="00CE2634" w:rsidRDefault="00CE2634" w:rsidP="00210B59">
      <w:bookmarkStart w:id="481" w:name="_Toc434745431"/>
      <w:bookmarkEnd w:id="481"/>
      <w:r w:rsidRPr="00CE2634">
        <w:br w:type="page"/>
      </w:r>
    </w:p>
    <w:p w14:paraId="55522D3A" w14:textId="0CC06BE7" w:rsidR="00A254F5" w:rsidRDefault="00A254F5" w:rsidP="005E3730">
      <w:pPr>
        <w:pStyle w:val="Heading1"/>
      </w:pPr>
      <w:bookmarkStart w:id="482" w:name="_Toc8985087"/>
      <w:bookmarkStart w:id="483" w:name="_Toc109295552"/>
      <w:r>
        <w:lastRenderedPageBreak/>
        <w:t>Limitations</w:t>
      </w:r>
      <w:bookmarkEnd w:id="482"/>
      <w:bookmarkEnd w:id="483"/>
    </w:p>
    <w:p w14:paraId="4C9DF8F7" w14:textId="77777777" w:rsidR="005E3730" w:rsidRPr="00CB2F8A" w:rsidRDefault="005E3730" w:rsidP="005E3730">
      <w:pPr>
        <w:pStyle w:val="RRSubhead2"/>
        <w:spacing w:line="240" w:lineRule="auto"/>
        <w:contextualSpacing/>
        <w:rPr>
          <w:szCs w:val="18"/>
        </w:rPr>
      </w:pPr>
    </w:p>
    <w:p w14:paraId="6364EEF9" w14:textId="35BD8B68" w:rsidR="005E3730" w:rsidRDefault="005E3730" w:rsidP="00FD70A8">
      <w:pPr>
        <w:pStyle w:val="RRBody"/>
      </w:pPr>
      <w:r w:rsidRPr="00CB2F8A">
        <w:t xml:space="preserve">The information contained in this report has been prepared for </w:t>
      </w:r>
      <w:r w:rsidRPr="006F6771">
        <w:t xml:space="preserve">the Rhode Island Executive Office of Health </w:t>
      </w:r>
      <w:r>
        <w:t>and</w:t>
      </w:r>
      <w:r w:rsidRPr="006F6771">
        <w:t xml:space="preserve"> Human Services (EOHHS)</w:t>
      </w:r>
      <w:r>
        <w:t xml:space="preserve"> </w:t>
      </w:r>
      <w:r w:rsidRPr="00CB2F8A">
        <w:t xml:space="preserve">to provide documentation of the methodology and data sources used for developing the certified </w:t>
      </w:r>
      <w:r w:rsidR="005211EA">
        <w:t xml:space="preserve">Medicaid component of the </w:t>
      </w:r>
      <w:r w:rsidR="00FD70A8">
        <w:t xml:space="preserve">July 1, </w:t>
      </w:r>
      <w:r w:rsidR="006F14D1">
        <w:t xml:space="preserve">2022 </w:t>
      </w:r>
      <w:r w:rsidR="00FD70A8">
        <w:t xml:space="preserve">through </w:t>
      </w:r>
      <w:r w:rsidR="00631625">
        <w:t xml:space="preserve">June 30, </w:t>
      </w:r>
      <w:r w:rsidR="006F14D1">
        <w:t xml:space="preserve">2023 </w:t>
      </w:r>
      <w:r w:rsidRPr="00CB2F8A">
        <w:t>capitation rates</w:t>
      </w:r>
      <w:r>
        <w:t xml:space="preserve"> for the Rhode Island </w:t>
      </w:r>
      <w:r w:rsidR="005211EA">
        <w:t xml:space="preserve">Medicare-Medicaid Plan </w:t>
      </w:r>
      <w:r w:rsidR="00CF3F10">
        <w:t xml:space="preserve">(MMP) </w:t>
      </w:r>
      <w:r w:rsidR="005211EA">
        <w:t>program</w:t>
      </w:r>
      <w:r w:rsidRPr="00CB2F8A">
        <w:t>. The data and information presented may not be appropriate for any other purpose.</w:t>
      </w:r>
    </w:p>
    <w:p w14:paraId="3230BF18" w14:textId="27472A4B" w:rsidR="005E3730" w:rsidRPr="00CB2F8A" w:rsidRDefault="005E3730" w:rsidP="00FD70A8">
      <w:pPr>
        <w:pStyle w:val="RRBody"/>
      </w:pPr>
      <w:r w:rsidRPr="00CB2F8A">
        <w:t xml:space="preserve">The information contained in this report, including the enclosures, has been prepared for </w:t>
      </w:r>
      <w:r>
        <w:t>EOHHS</w:t>
      </w:r>
      <w:r w:rsidRPr="00CB2F8A">
        <w:t xml:space="preserve"> and their consultants and advisors.</w:t>
      </w:r>
      <w:r w:rsidR="005178EA">
        <w:t xml:space="preserve"> </w:t>
      </w:r>
      <w:r w:rsidRPr="00CB2F8A">
        <w:t xml:space="preserve">It is our understanding that the information contained in this report may be shared with </w:t>
      </w:r>
      <w:r w:rsidR="00D066E7" w:rsidRPr="00D066E7">
        <w:t xml:space="preserve">the Center for Medicare and Medicaid Services </w:t>
      </w:r>
      <w:r w:rsidR="00D066E7">
        <w:t>(</w:t>
      </w:r>
      <w:r w:rsidR="008C202B">
        <w:t>CMS</w:t>
      </w:r>
      <w:r w:rsidR="00D066E7">
        <w:t>)</w:t>
      </w:r>
      <w:r w:rsidR="008C202B">
        <w:t xml:space="preserve"> and </w:t>
      </w:r>
      <w:r w:rsidR="00707FB3">
        <w:t>the managed care organization (MCO) operating in the MMP program</w:t>
      </w:r>
      <w:r w:rsidRPr="00CB2F8A">
        <w:t xml:space="preserve">. Any distribution of the information should be in its entirety. Any user of the data must possess a certain level of expertise in actuarial science and healthcare modeling so as not to misinterpret the information presented. </w:t>
      </w:r>
    </w:p>
    <w:p w14:paraId="1B856492" w14:textId="0FA936AE" w:rsidR="00E012EA" w:rsidRPr="00CB2F8A" w:rsidRDefault="00E012EA" w:rsidP="00FD70A8">
      <w:pPr>
        <w:pStyle w:val="RRBody"/>
      </w:pPr>
      <w:r w:rsidRPr="00CB2F8A">
        <w:t xml:space="preserve">Milliman makes no representations or warranties regarding the contents of this report to third parties. Likewise, third parties are instructed that they are to place no reliance upon this report prepared for </w:t>
      </w:r>
      <w:r>
        <w:t>EOHHS</w:t>
      </w:r>
      <w:r w:rsidRPr="00CB2F8A">
        <w:t xml:space="preserve"> by Milliman that would result in the creation of any duty or liability under any theory of law by Milliman or its employees to third parties.</w:t>
      </w:r>
      <w:r w:rsidR="005178EA">
        <w:t xml:space="preserve"> </w:t>
      </w:r>
      <w:r w:rsidRPr="00CB2F8A">
        <w:t>Other parties receiving this report must rely upon their own experts in drawing conclusions about the capitation rates, assumptions, and trends.</w:t>
      </w:r>
    </w:p>
    <w:p w14:paraId="4BDE9A20" w14:textId="4399D239" w:rsidR="00E012EA" w:rsidRPr="00F1669C" w:rsidRDefault="002E5C82" w:rsidP="00FD70A8">
      <w:r w:rsidRPr="002E5C82">
        <w:t xml:space="preserve">Milliman has developed certain models to estimate the values included in this correspondence. The intent of the models was to </w:t>
      </w:r>
      <w:r>
        <w:t xml:space="preserve">develop the SFY </w:t>
      </w:r>
      <w:r w:rsidR="006F14D1">
        <w:t xml:space="preserve">2023 </w:t>
      </w:r>
      <w:r>
        <w:t>Medicare-Medicaid Plan capitation rates</w:t>
      </w:r>
      <w:r w:rsidRPr="002E5C82">
        <w:t xml:space="preserve">. We have reviewed the models, including their inputs, calculations, and outputs for consistency, reasonableness, and appropriateness to the intended purpose and in compliance with generally accepted actuarial practice and relevant actuarial standards of practice (ASOP). </w:t>
      </w:r>
      <w:r w:rsidR="00163E0C">
        <w:t xml:space="preserve">The methodology for these models follows the </w:t>
      </w:r>
      <w:r w:rsidR="00163E0C" w:rsidRPr="00F0656A">
        <w:t xml:space="preserve">guidance prescribed by CMS in the Joint Rate-Setting Process for the Financial Alignment Initiative’s Capitated Model. </w:t>
      </w:r>
      <w:r w:rsidRPr="002E5C82">
        <w:t xml:space="preserve">The models rely on data and information as input to the models. We have relied upon certain data and information provided by EOHHS </w:t>
      </w:r>
      <w:r w:rsidR="0084059A">
        <w:t xml:space="preserve">and </w:t>
      </w:r>
      <w:r w:rsidR="00707FB3">
        <w:t xml:space="preserve">the MCO </w:t>
      </w:r>
      <w:r w:rsidRPr="002E5C82">
        <w:t xml:space="preserve">for this purpose and accepted it without audit. To the extent that the data and information provided is not accurate, or is not complete, the values provided in this correspondence may likewise be inaccurate or incomplete. Milliman’s data and information reliance includes </w:t>
      </w:r>
      <w:r>
        <w:t>the data sources outlined in the body of this report</w:t>
      </w:r>
      <w:r w:rsidRPr="002E5C82">
        <w:t>. The models, including all input, calculations, and output may not be appropriate for any other purpose</w:t>
      </w:r>
      <w:r w:rsidR="00E012EA" w:rsidRPr="00F1669C">
        <w:t>.</w:t>
      </w:r>
    </w:p>
    <w:p w14:paraId="35CB8E2D" w14:textId="77777777" w:rsidR="00E012EA" w:rsidRDefault="00E012EA" w:rsidP="00FD70A8">
      <w:pPr>
        <w:pStyle w:val="RRBody"/>
      </w:pPr>
      <w:r>
        <w:t xml:space="preserve">It should be emphasized that capitation rates are a projection of future costs based on a set of assumptions. </w:t>
      </w:r>
      <w:r w:rsidRPr="00BA283A">
        <w:t>Differences between our projections and actual amounts depend on the extent to which future experience conforms to the assumptions made for this analysis. It is certain that actual experience will not conform exactly to the assumptions used in this analysis. Actual amounts will differ from projected amounts to the extent that actual experience deviates from expected experience</w:t>
      </w:r>
      <w:r>
        <w:t>.</w:t>
      </w:r>
    </w:p>
    <w:p w14:paraId="5D1A11F0" w14:textId="0C31D18D" w:rsidR="00E012EA" w:rsidRPr="0084059A" w:rsidRDefault="00E012EA" w:rsidP="00FD70A8">
      <w:pPr>
        <w:pStyle w:val="RRBody"/>
        <w:spacing w:after="200"/>
      </w:pPr>
      <w:r w:rsidRPr="0084059A">
        <w:rPr>
          <w:rFonts w:cs="Arial"/>
          <w:bCs/>
        </w:rPr>
        <w:t xml:space="preserve">At the time of this report, we acknowledge there is substantial uncertainty regarding the impact of the COVID-19 pandemic on future projections. It is possible that the COVID-19 pandemic could have a material impact on the projected enrollment and capitation rates presented in this report. </w:t>
      </w:r>
    </w:p>
    <w:p w14:paraId="4C2F09DD" w14:textId="3A574851" w:rsidR="00E012EA" w:rsidRPr="00CB2F8A" w:rsidRDefault="00E012EA" w:rsidP="00FD70A8">
      <w:pPr>
        <w:pStyle w:val="RRBody"/>
      </w:pPr>
      <w:r w:rsidRPr="00B9110E">
        <w:t xml:space="preserve">The services provided by Milliman to EOHHS were performed under the signed contract agreement between Milliman and EOHHS dated </w:t>
      </w:r>
      <w:r w:rsidR="006F14D1">
        <w:t>March 10</w:t>
      </w:r>
      <w:r w:rsidR="00631625">
        <w:t xml:space="preserve">, </w:t>
      </w:r>
      <w:r w:rsidR="006F14D1">
        <w:t>2022</w:t>
      </w:r>
      <w:r w:rsidR="007C78BF">
        <w:t>.</w:t>
      </w:r>
      <w:r w:rsidRPr="00B9110E">
        <w:t xml:space="preserve"> </w:t>
      </w:r>
    </w:p>
    <w:p w14:paraId="069CEF27" w14:textId="164A625E" w:rsidR="00960F51" w:rsidRDefault="005E3730" w:rsidP="00FD70A8">
      <w:pPr>
        <w:pStyle w:val="RRBody"/>
        <w:sectPr w:rsidR="00960F51" w:rsidSect="0019294E">
          <w:headerReference w:type="even" r:id="rId25"/>
          <w:headerReference w:type="default" r:id="rId26"/>
          <w:footerReference w:type="default" r:id="rId27"/>
          <w:headerReference w:type="first" r:id="rId28"/>
          <w:pgSz w:w="12240" w:h="15840" w:code="1"/>
          <w:pgMar w:top="1440" w:right="1440" w:bottom="1440" w:left="1440" w:header="720" w:footer="720" w:gutter="0"/>
          <w:cols w:space="720"/>
          <w:titlePg/>
          <w:docGrid w:linePitch="360"/>
        </w:sectPr>
      </w:pPr>
      <w:r w:rsidRPr="00CB2F8A">
        <w:rPr>
          <w:rFonts w:cs="Arial"/>
        </w:rPr>
        <w:t>Guidelines issued by the American Academy of Actuaries require actuaries to include their professional qualifications in all actuarial communications. The authors of this report are members of the American Academy of Actuaries and meet the qualification standards for performing the analyses contained herein.</w:t>
      </w:r>
    </w:p>
    <w:p w14:paraId="08BF1615" w14:textId="77777777" w:rsidR="00ED251C" w:rsidRDefault="002E07B6" w:rsidP="00ED251C">
      <w:pPr>
        <w:pStyle w:val="Heading1"/>
        <w:jc w:val="center"/>
      </w:pPr>
      <w:bookmarkStart w:id="484" w:name="_Toc8985088"/>
      <w:bookmarkStart w:id="485" w:name="_Toc109295553"/>
      <w:r>
        <w:lastRenderedPageBreak/>
        <w:t xml:space="preserve">Appendix </w:t>
      </w:r>
      <w:r w:rsidR="00805A9B">
        <w:t>1</w:t>
      </w:r>
      <w:r>
        <w:t xml:space="preserve">: </w:t>
      </w:r>
      <w:r w:rsidR="00CE2634">
        <w:t xml:space="preserve">Actuarial </w:t>
      </w:r>
      <w:r w:rsidR="00871AB1">
        <w:t>C</w:t>
      </w:r>
      <w:r w:rsidR="00CE2634">
        <w:t>ertification</w:t>
      </w:r>
      <w:bookmarkEnd w:id="484"/>
      <w:bookmarkEnd w:id="485"/>
      <w:r w:rsidR="0099403C">
        <w:t xml:space="preserve"> </w:t>
      </w:r>
    </w:p>
    <w:p w14:paraId="27FB19B4" w14:textId="77777777" w:rsidR="00ED251C" w:rsidRDefault="00ED251C">
      <w:pPr>
        <w:spacing w:line="264" w:lineRule="auto"/>
        <w:rPr>
          <w:rFonts w:asciiTheme="majorHAnsi" w:hAnsiTheme="majorHAnsi" w:cstheme="majorHAnsi"/>
          <w:color w:val="0081E3" w:themeColor="accent4"/>
          <w:sz w:val="30"/>
        </w:rPr>
      </w:pPr>
      <w:r>
        <w:br w:type="page"/>
      </w:r>
    </w:p>
    <w:p w14:paraId="1DA648CF" w14:textId="77777777" w:rsidR="00ED251C" w:rsidRPr="00416DBE" w:rsidRDefault="00ED251C" w:rsidP="00ED251C">
      <w:pPr>
        <w:spacing w:after="0"/>
        <w:jc w:val="center"/>
        <w:rPr>
          <w:rFonts w:cs="Arial"/>
          <w:b/>
          <w:szCs w:val="18"/>
        </w:rPr>
      </w:pPr>
      <w:r w:rsidRPr="00416DBE">
        <w:rPr>
          <w:rFonts w:cs="Arial"/>
          <w:b/>
          <w:szCs w:val="18"/>
        </w:rPr>
        <w:lastRenderedPageBreak/>
        <w:t>State of Rhode Island</w:t>
      </w:r>
    </w:p>
    <w:p w14:paraId="0F43FF53" w14:textId="77777777" w:rsidR="00ED251C" w:rsidRPr="00416DBE" w:rsidRDefault="00ED251C" w:rsidP="00ED251C">
      <w:pPr>
        <w:spacing w:after="0"/>
        <w:jc w:val="center"/>
        <w:rPr>
          <w:rFonts w:cs="Arial"/>
          <w:b/>
          <w:szCs w:val="18"/>
        </w:rPr>
      </w:pPr>
      <w:r w:rsidRPr="00416DBE">
        <w:rPr>
          <w:rFonts w:cs="Arial"/>
          <w:b/>
          <w:szCs w:val="18"/>
        </w:rPr>
        <w:t>Executive Office of Health and Human Services</w:t>
      </w:r>
    </w:p>
    <w:p w14:paraId="3EA6C9A0" w14:textId="388104DF" w:rsidR="00ED251C" w:rsidRPr="00416DBE" w:rsidRDefault="00ED251C" w:rsidP="00ED251C">
      <w:pPr>
        <w:spacing w:after="0"/>
        <w:jc w:val="center"/>
        <w:rPr>
          <w:rFonts w:cs="Arial"/>
          <w:b/>
          <w:szCs w:val="18"/>
        </w:rPr>
      </w:pPr>
      <w:r w:rsidRPr="00416DBE">
        <w:rPr>
          <w:rFonts w:cs="Arial"/>
          <w:b/>
          <w:szCs w:val="18"/>
        </w:rPr>
        <w:t xml:space="preserve">State Fiscal Year </w:t>
      </w:r>
      <w:r w:rsidR="006F14D1" w:rsidRPr="00416DBE">
        <w:rPr>
          <w:rFonts w:cs="Arial"/>
          <w:b/>
          <w:szCs w:val="18"/>
        </w:rPr>
        <w:t xml:space="preserve">2023 </w:t>
      </w:r>
      <w:r w:rsidRPr="00416DBE">
        <w:rPr>
          <w:rFonts w:cs="Arial"/>
          <w:b/>
          <w:szCs w:val="18"/>
        </w:rPr>
        <w:t xml:space="preserve">Capitation Rates </w:t>
      </w:r>
    </w:p>
    <w:p w14:paraId="1F91DAFD" w14:textId="54EB0B58" w:rsidR="00ED251C" w:rsidRPr="00416DBE" w:rsidRDefault="00ED251C" w:rsidP="00ED251C">
      <w:pPr>
        <w:spacing w:after="0"/>
        <w:jc w:val="center"/>
        <w:rPr>
          <w:rFonts w:cs="Arial"/>
          <w:b/>
          <w:szCs w:val="18"/>
        </w:rPr>
      </w:pPr>
      <w:r w:rsidRPr="00416DBE">
        <w:rPr>
          <w:rFonts w:cs="Arial"/>
          <w:b/>
          <w:szCs w:val="18"/>
        </w:rPr>
        <w:t>Medicare-Medicaid Plan Actuarial Certification</w:t>
      </w:r>
    </w:p>
    <w:p w14:paraId="398AE9E9" w14:textId="77777777" w:rsidR="00ED251C" w:rsidRPr="0086341A" w:rsidRDefault="00ED251C" w:rsidP="00ED251C">
      <w:pPr>
        <w:spacing w:after="0"/>
        <w:jc w:val="center"/>
        <w:rPr>
          <w:rFonts w:cs="Arial"/>
          <w:b/>
          <w:sz w:val="8"/>
          <w:szCs w:val="8"/>
        </w:rPr>
      </w:pPr>
    </w:p>
    <w:p w14:paraId="0A088851" w14:textId="77633851" w:rsidR="00ED251C" w:rsidRPr="00416DBE" w:rsidRDefault="00ED251C" w:rsidP="00ED251C">
      <w:pPr>
        <w:spacing w:after="60"/>
        <w:jc w:val="both"/>
        <w:rPr>
          <w:rFonts w:cs="Arial"/>
          <w:sz w:val="16"/>
          <w:szCs w:val="16"/>
        </w:rPr>
      </w:pPr>
      <w:r w:rsidRPr="00416DBE">
        <w:rPr>
          <w:rFonts w:cs="Arial"/>
          <w:sz w:val="16"/>
          <w:szCs w:val="16"/>
        </w:rPr>
        <w:t xml:space="preserve">I, Ian M. McCulla, am a Principal and Consulting Actuary with the firm of Milliman, Inc. I am a Member of the American Academy of Actuaries and a Fellow of the Society of Actuaries. I meet the qualification standards established by the American Academy of Actuaries and have followed the standards of practice established by the Actuarial Standards Board. I have been contracted by the State of Rhode Island, Executive Office of Health and Human Services to perform an actuarial review and certification regarding the development of capitation rates for the Medicare-Medicaid Plan (MMP) effective July 1, </w:t>
      </w:r>
      <w:r w:rsidR="006F14D1" w:rsidRPr="00416DBE">
        <w:rPr>
          <w:rFonts w:cs="Arial"/>
          <w:sz w:val="16"/>
          <w:szCs w:val="16"/>
        </w:rPr>
        <w:t>2022</w:t>
      </w:r>
      <w:r w:rsidRPr="00416DBE">
        <w:rPr>
          <w:rFonts w:cs="Arial"/>
          <w:sz w:val="16"/>
          <w:szCs w:val="16"/>
        </w:rPr>
        <w:t>. I am generally familiar with the state-specific Medicaid program, eligibility rules, and benefit provisions.</w:t>
      </w:r>
    </w:p>
    <w:p w14:paraId="04624427" w14:textId="0A0FB514" w:rsidR="00ED251C" w:rsidRPr="00416DBE" w:rsidRDefault="00ED251C" w:rsidP="00ED251C">
      <w:pPr>
        <w:spacing w:after="60"/>
        <w:jc w:val="both"/>
        <w:rPr>
          <w:rFonts w:cs="Arial"/>
          <w:sz w:val="16"/>
          <w:szCs w:val="16"/>
        </w:rPr>
      </w:pPr>
      <w:r w:rsidRPr="00416DBE">
        <w:rPr>
          <w:rFonts w:eastAsia="Times New Roman" w:cstheme="minorHAnsi"/>
          <w:iCs/>
          <w:sz w:val="16"/>
          <w:szCs w:val="16"/>
        </w:rPr>
        <w:t xml:space="preserve">Assessment of actuarial soundness, in the context of the Medicare-Medicaid Alignment Initiative program, should consider both Medicare and Medicaid contributions and the opportunities for efficiencies unique to an integrated care program. The Center for Medicare and Medicaid Services (CMS) considers the Medicaid actuarial soundness requirements to be flexible enough to consider efficiencies and savings that may be associated with Medicare. </w:t>
      </w:r>
      <w:r w:rsidRPr="00416DBE">
        <w:rPr>
          <w:rFonts w:cs="Arial"/>
          <w:sz w:val="16"/>
          <w:szCs w:val="16"/>
        </w:rPr>
        <w:t xml:space="preserve">The capitation rates provided with this certification are considered actuarially sound for purposes of 42 CFR 438.4(a), according to the following criteria: </w:t>
      </w:r>
    </w:p>
    <w:p w14:paraId="48DD2C89" w14:textId="77777777" w:rsidR="00ED251C" w:rsidRPr="00416DBE" w:rsidRDefault="00ED251C" w:rsidP="00ED251C">
      <w:pPr>
        <w:pStyle w:val="ListParagraph"/>
        <w:numPr>
          <w:ilvl w:val="0"/>
          <w:numId w:val="11"/>
        </w:numPr>
        <w:spacing w:after="60" w:line="264" w:lineRule="auto"/>
        <w:jc w:val="both"/>
        <w:rPr>
          <w:rFonts w:cs="Arial"/>
          <w:sz w:val="16"/>
          <w:szCs w:val="16"/>
        </w:rPr>
      </w:pPr>
      <w:r w:rsidRPr="00416DBE">
        <w:rPr>
          <w:rFonts w:cs="Arial"/>
          <w:sz w:val="16"/>
          <w:szCs w:val="16"/>
        </w:rPr>
        <w:t>the capitation rates provide for all reasonable, appropriate, and attainable costs that are required under terms of the contract and for the operation of the MCO for the time period and population covered under the terms of the contract, and such capitation rates were developed in accordance with the requirements under 42 CFR 438.4(b).</w:t>
      </w:r>
    </w:p>
    <w:p w14:paraId="68026F97" w14:textId="4CACA3CD" w:rsidR="00ED251C" w:rsidRPr="00416DBE" w:rsidRDefault="00ED251C" w:rsidP="00ED251C">
      <w:pPr>
        <w:spacing w:after="60"/>
        <w:jc w:val="both"/>
        <w:rPr>
          <w:sz w:val="16"/>
          <w:szCs w:val="16"/>
        </w:rPr>
      </w:pPr>
      <w:r w:rsidRPr="00416DBE">
        <w:rPr>
          <w:sz w:val="16"/>
          <w:szCs w:val="16"/>
        </w:rPr>
        <w:t xml:space="preserve">For the purposes of this certification and consistent with the requirements under 42 CFR 438.4(a), actuarial soundness is defined as in ASOP 49: </w:t>
      </w:r>
    </w:p>
    <w:p w14:paraId="407FDC4E" w14:textId="77777777" w:rsidR="00ED251C" w:rsidRPr="00416DBE" w:rsidRDefault="00ED251C" w:rsidP="00ED251C">
      <w:pPr>
        <w:spacing w:after="60"/>
        <w:jc w:val="both"/>
        <w:rPr>
          <w:rFonts w:cs="Arial"/>
          <w:sz w:val="16"/>
          <w:szCs w:val="16"/>
        </w:rPr>
      </w:pPr>
      <w:r w:rsidRPr="00416DBE">
        <w:rPr>
          <w:i/>
          <w:sz w:val="16"/>
          <w:szCs w:val="16"/>
        </w:rPr>
        <w:t>“Medicaid capitation rates are “actuarially sound” if, for business for which the certification is being prepared and for the period covered by the certification, projected capitation rates and other revenue sources provide for all reasonable, appropriate, and attainable costs. For purposes of this definition, other revenue sources include, but are not limited to, expected reinsurance and governmental stop-loss cash flows, governmental risk-adjustment cash flows, and investment income. For purposes of this definition, costs include, but are not limited to, expected health benefits; health benefit settlement expenses; administrative expenses; the cost of capital, and government-mandated assessments, fees, and taxes.”</w:t>
      </w:r>
    </w:p>
    <w:p w14:paraId="3302C7FA" w14:textId="5C61CF09" w:rsidR="00D72F78" w:rsidRPr="00416DBE" w:rsidRDefault="00D72F78" w:rsidP="00ED251C">
      <w:pPr>
        <w:spacing w:after="60"/>
        <w:jc w:val="both"/>
        <w:rPr>
          <w:rFonts w:cs="Arial"/>
          <w:sz w:val="16"/>
          <w:szCs w:val="16"/>
        </w:rPr>
      </w:pPr>
      <w:r w:rsidRPr="00416DBE">
        <w:rPr>
          <w:rFonts w:cs="Arial"/>
          <w:sz w:val="16"/>
          <w:szCs w:val="16"/>
        </w:rPr>
        <w:t xml:space="preserve">The assumptions used in the development of the actuarially sound capitation rates have been documented in my correspondence with the State of Rhode Island. The actuarially sound capitation rates that are associated with this certification are effective July 1, </w:t>
      </w:r>
      <w:r w:rsidR="006F14D1" w:rsidRPr="00416DBE">
        <w:rPr>
          <w:rFonts w:cs="Arial"/>
          <w:sz w:val="16"/>
          <w:szCs w:val="16"/>
        </w:rPr>
        <w:t xml:space="preserve">2022 </w:t>
      </w:r>
      <w:r w:rsidRPr="00416DBE">
        <w:rPr>
          <w:rFonts w:cs="Arial"/>
          <w:sz w:val="16"/>
          <w:szCs w:val="16"/>
        </w:rPr>
        <w:t xml:space="preserve">through June 30, </w:t>
      </w:r>
      <w:r w:rsidR="006F14D1" w:rsidRPr="00416DBE">
        <w:rPr>
          <w:rFonts w:cs="Arial"/>
          <w:sz w:val="16"/>
          <w:szCs w:val="16"/>
        </w:rPr>
        <w:t>2023</w:t>
      </w:r>
      <w:r w:rsidRPr="00416DBE">
        <w:rPr>
          <w:rFonts w:cs="Arial"/>
          <w:sz w:val="16"/>
          <w:szCs w:val="16"/>
        </w:rPr>
        <w:t xml:space="preserve">. </w:t>
      </w:r>
      <w:bookmarkStart w:id="486" w:name="_Hlk11839976"/>
      <w:r w:rsidRPr="00416DBE">
        <w:rPr>
          <w:rFonts w:cs="Arial"/>
          <w:sz w:val="16"/>
          <w:szCs w:val="16"/>
        </w:rPr>
        <w:t xml:space="preserve">The capitation rates are considered actuarially sound after adjustment for the amount of the withhold not expected to be earned. </w:t>
      </w:r>
      <w:bookmarkEnd w:id="486"/>
      <w:r w:rsidRPr="00416DBE">
        <w:rPr>
          <w:rFonts w:cs="Arial"/>
          <w:sz w:val="16"/>
          <w:szCs w:val="16"/>
        </w:rPr>
        <w:t>The actuarially sound capitation rates are based on a projection of future events. Actual experience may be expected to vary from the experience assumed in the rates</w:t>
      </w:r>
      <w:r w:rsidR="00ED251C" w:rsidRPr="00416DBE">
        <w:rPr>
          <w:rFonts w:cs="Arial"/>
          <w:sz w:val="16"/>
          <w:szCs w:val="16"/>
        </w:rPr>
        <w:t xml:space="preserve">. </w:t>
      </w:r>
    </w:p>
    <w:p w14:paraId="467A2050" w14:textId="1CFE264D" w:rsidR="00ED251C" w:rsidRPr="00416DBE" w:rsidRDefault="00ED251C" w:rsidP="00ED251C">
      <w:pPr>
        <w:spacing w:after="60"/>
        <w:jc w:val="both"/>
        <w:rPr>
          <w:rFonts w:cs="Arial"/>
          <w:sz w:val="16"/>
          <w:szCs w:val="16"/>
        </w:rPr>
      </w:pPr>
      <w:r w:rsidRPr="00416DBE">
        <w:rPr>
          <w:rFonts w:cs="Arial"/>
          <w:sz w:val="16"/>
          <w:szCs w:val="16"/>
        </w:rPr>
        <w:t xml:space="preserve">In developing the actuarially sound capitation rates, I have relied upon data and information provided by the State. I have relied upon the State for audit of the data. However, I did review the data for reasonableness and consistency. </w:t>
      </w:r>
    </w:p>
    <w:p w14:paraId="5636679D" w14:textId="1D128E47" w:rsidR="00ED251C" w:rsidRPr="00416DBE" w:rsidRDefault="00ED251C" w:rsidP="00ED251C">
      <w:pPr>
        <w:spacing w:after="60"/>
        <w:jc w:val="both"/>
        <w:rPr>
          <w:rFonts w:cs="Arial"/>
          <w:sz w:val="16"/>
          <w:szCs w:val="16"/>
        </w:rPr>
      </w:pPr>
      <w:r w:rsidRPr="00416DBE">
        <w:rPr>
          <w:rFonts w:cs="Arial"/>
          <w:sz w:val="16"/>
          <w:szCs w:val="16"/>
        </w:rPr>
        <w:t>I acknowledge that the state may elect to amend the capitation rates in accordance with 42 CFR 438.7(c)(3), which indicates that a capitation rate certification is not required for adjustments that increase or decrease capitation rates by 1.5% or less. The capitation rates developed may not be appropriate for any specific managed care plan. An individual managed care plan will need to review the rates in relation to the benefits that it will be obligated to provide. The managed care plan should evaluate the rates in the context of its own experience, expenses, capital and surplus, and profit requirements prior to agreeing to contract with the State. The managed care plan may require rates above, equal to, or below the actuarially sound capitation rates that are associated with this certification.</w:t>
      </w:r>
    </w:p>
    <w:p w14:paraId="1C8146CD" w14:textId="2AB284DA" w:rsidR="004A40A6" w:rsidRDefault="00ED251C" w:rsidP="00ED251C">
      <w:pPr>
        <w:spacing w:after="60"/>
        <w:jc w:val="both"/>
        <w:rPr>
          <w:rFonts w:cs="Arial"/>
          <w:sz w:val="16"/>
          <w:szCs w:val="16"/>
        </w:rPr>
      </w:pPr>
      <w:r w:rsidRPr="00416DBE">
        <w:rPr>
          <w:rFonts w:eastAsia="Times New Roman" w:cstheme="minorHAnsi"/>
          <w:sz w:val="16"/>
          <w:szCs w:val="16"/>
        </w:rPr>
        <w:t>As allowed by ASOP 49 and ASOP 1, I relied upon a capitation rate setting methodology selected by another party.  Specifically, I followed guidance prescribed by CMS in the Joint Rate-Setting Process for the Financial Alignment Initiative’s Capitated Model (Joint Rate-Setting Process), updated March 19, 2019, for Medicare-Medicaid plans participating in the demonstration</w:t>
      </w:r>
      <w:r w:rsidRPr="00416DBE">
        <w:rPr>
          <w:rFonts w:cs="Arial"/>
          <w:sz w:val="16"/>
          <w:szCs w:val="16"/>
        </w:rPr>
        <w:t xml:space="preserve">. </w:t>
      </w:r>
    </w:p>
    <w:p w14:paraId="1D9F6D0C" w14:textId="4ED1716E" w:rsidR="004A40A6" w:rsidRPr="00416DBE" w:rsidRDefault="004A40A6" w:rsidP="00416DBE">
      <w:pPr>
        <w:spacing w:after="60"/>
        <w:jc w:val="both"/>
        <w:rPr>
          <w:rFonts w:cs="Arial"/>
          <w:sz w:val="17"/>
          <w:szCs w:val="17"/>
        </w:rPr>
      </w:pPr>
    </w:p>
    <w:p w14:paraId="7C0BA3DC" w14:textId="77777777" w:rsidR="004A40A6" w:rsidRDefault="004A40A6" w:rsidP="00ED251C">
      <w:pPr>
        <w:spacing w:after="0"/>
        <w:jc w:val="both"/>
        <w:rPr>
          <w:rFonts w:cs="Arial"/>
          <w:sz w:val="16"/>
          <w:szCs w:val="16"/>
        </w:rPr>
      </w:pPr>
    </w:p>
    <w:p w14:paraId="159D118D" w14:textId="690B90F1" w:rsidR="00ED251C" w:rsidRPr="00416DBE" w:rsidRDefault="00ED251C" w:rsidP="00ED251C">
      <w:pPr>
        <w:spacing w:after="0"/>
        <w:jc w:val="both"/>
        <w:rPr>
          <w:rFonts w:cs="Arial"/>
          <w:sz w:val="16"/>
          <w:szCs w:val="16"/>
        </w:rPr>
      </w:pPr>
    </w:p>
    <w:p w14:paraId="45B71CC0" w14:textId="77777777" w:rsidR="00ED251C" w:rsidRPr="00416DBE" w:rsidRDefault="00ED251C" w:rsidP="00ED251C">
      <w:pPr>
        <w:spacing w:after="0"/>
        <w:jc w:val="both"/>
        <w:rPr>
          <w:rFonts w:cs="Arial"/>
          <w:sz w:val="16"/>
          <w:szCs w:val="16"/>
          <w:u w:val="single"/>
        </w:rPr>
      </w:pPr>
      <w:r w:rsidRPr="00416DBE">
        <w:rPr>
          <w:rFonts w:cs="Arial"/>
          <w:sz w:val="16"/>
          <w:szCs w:val="16"/>
          <w:u w:val="single"/>
        </w:rPr>
        <w:tab/>
      </w:r>
      <w:r w:rsidRPr="00416DBE">
        <w:rPr>
          <w:rFonts w:cs="Arial"/>
          <w:sz w:val="16"/>
          <w:szCs w:val="16"/>
          <w:u w:val="single"/>
        </w:rPr>
        <w:tab/>
      </w:r>
      <w:r w:rsidRPr="00416DBE">
        <w:rPr>
          <w:rFonts w:cs="Arial"/>
          <w:sz w:val="16"/>
          <w:szCs w:val="16"/>
          <w:u w:val="single"/>
        </w:rPr>
        <w:tab/>
      </w:r>
      <w:r w:rsidRPr="00416DBE">
        <w:rPr>
          <w:rFonts w:cs="Arial"/>
          <w:sz w:val="16"/>
          <w:szCs w:val="16"/>
          <w:u w:val="single"/>
        </w:rPr>
        <w:tab/>
      </w:r>
      <w:r w:rsidRPr="00416DBE">
        <w:rPr>
          <w:rFonts w:cs="Arial"/>
          <w:sz w:val="16"/>
          <w:szCs w:val="16"/>
          <w:u w:val="single"/>
        </w:rPr>
        <w:tab/>
        <w:t xml:space="preserve">  </w:t>
      </w:r>
    </w:p>
    <w:p w14:paraId="1CD6C162" w14:textId="0EF33FB7" w:rsidR="00ED251C" w:rsidRPr="00416DBE" w:rsidRDefault="00ED251C" w:rsidP="00ED251C">
      <w:pPr>
        <w:spacing w:after="0" w:line="240" w:lineRule="auto"/>
        <w:rPr>
          <w:rFonts w:cs="Arial"/>
          <w:sz w:val="16"/>
          <w:szCs w:val="16"/>
        </w:rPr>
      </w:pPr>
      <w:r w:rsidRPr="00416DBE">
        <w:rPr>
          <w:rFonts w:cs="Arial"/>
          <w:sz w:val="16"/>
          <w:szCs w:val="16"/>
        </w:rPr>
        <w:t>Ian M. McCulla, FSA</w:t>
      </w:r>
    </w:p>
    <w:p w14:paraId="75C58B2A" w14:textId="77777777" w:rsidR="00ED251C" w:rsidRPr="00416DBE" w:rsidRDefault="00ED251C" w:rsidP="00ED251C">
      <w:pPr>
        <w:spacing w:after="0" w:line="240" w:lineRule="auto"/>
        <w:rPr>
          <w:rFonts w:cs="Arial"/>
          <w:sz w:val="16"/>
          <w:szCs w:val="16"/>
        </w:rPr>
      </w:pPr>
      <w:r w:rsidRPr="00416DBE">
        <w:rPr>
          <w:rFonts w:cs="Arial"/>
          <w:sz w:val="16"/>
          <w:szCs w:val="16"/>
        </w:rPr>
        <w:t>Member, American Academy of Actuaries</w:t>
      </w:r>
    </w:p>
    <w:p w14:paraId="3678BDCC" w14:textId="77777777" w:rsidR="00ED251C" w:rsidRPr="00416DBE" w:rsidRDefault="00ED251C" w:rsidP="00ED251C">
      <w:pPr>
        <w:rPr>
          <w:rFonts w:cs="Arial"/>
          <w:sz w:val="16"/>
          <w:szCs w:val="16"/>
        </w:rPr>
      </w:pPr>
    </w:p>
    <w:p w14:paraId="5116188B" w14:textId="5269779A" w:rsidR="00ED251C" w:rsidRPr="00416DBE" w:rsidRDefault="00ED251C" w:rsidP="00ED251C">
      <w:pPr>
        <w:spacing w:after="0" w:line="240" w:lineRule="auto"/>
        <w:rPr>
          <w:rFonts w:cs="Arial"/>
          <w:sz w:val="16"/>
          <w:szCs w:val="16"/>
          <w:u w:val="single"/>
        </w:rPr>
      </w:pPr>
      <w:r w:rsidRPr="00416DBE">
        <w:rPr>
          <w:rFonts w:cs="Arial"/>
          <w:sz w:val="16"/>
          <w:szCs w:val="16"/>
          <w:u w:val="single"/>
        </w:rPr>
        <w:fldChar w:fldCharType="begin"/>
      </w:r>
      <w:r w:rsidRPr="00416DBE">
        <w:rPr>
          <w:rFonts w:cs="Arial"/>
          <w:sz w:val="16"/>
          <w:szCs w:val="16"/>
          <w:u w:val="single"/>
        </w:rPr>
        <w:instrText xml:space="preserve"> DATE \@ "MMMM d, yyyy" </w:instrText>
      </w:r>
      <w:r w:rsidRPr="00416DBE">
        <w:rPr>
          <w:rFonts w:cs="Arial"/>
          <w:sz w:val="16"/>
          <w:szCs w:val="16"/>
          <w:u w:val="single"/>
        </w:rPr>
        <w:fldChar w:fldCharType="separate"/>
      </w:r>
      <w:r w:rsidR="00DC1BCB">
        <w:rPr>
          <w:rFonts w:cs="Arial"/>
          <w:noProof/>
          <w:sz w:val="16"/>
          <w:szCs w:val="16"/>
          <w:u w:val="single"/>
        </w:rPr>
        <w:t>July 22, 2022</w:t>
      </w:r>
      <w:r w:rsidRPr="00416DBE">
        <w:rPr>
          <w:rFonts w:cs="Arial"/>
          <w:sz w:val="16"/>
          <w:szCs w:val="16"/>
          <w:u w:val="single"/>
        </w:rPr>
        <w:fldChar w:fldCharType="end"/>
      </w:r>
      <w:r w:rsidRPr="00416DBE">
        <w:rPr>
          <w:rFonts w:cs="Arial"/>
          <w:sz w:val="16"/>
          <w:szCs w:val="16"/>
          <w:u w:val="single"/>
        </w:rPr>
        <w:t xml:space="preserve">                            </w:t>
      </w:r>
      <w:r w:rsidRPr="00416DBE">
        <w:rPr>
          <w:rFonts w:cs="Arial"/>
          <w:sz w:val="16"/>
          <w:szCs w:val="16"/>
          <w:u w:val="single"/>
        </w:rPr>
        <w:tab/>
      </w:r>
      <w:r w:rsidRPr="00416DBE">
        <w:rPr>
          <w:rFonts w:cs="Arial"/>
          <w:sz w:val="16"/>
          <w:szCs w:val="16"/>
          <w:u w:val="single"/>
        </w:rPr>
        <w:tab/>
      </w:r>
    </w:p>
    <w:p w14:paraId="57B879BE" w14:textId="77777777" w:rsidR="00ED251C" w:rsidRPr="00416DBE" w:rsidRDefault="00ED251C" w:rsidP="00ED251C">
      <w:pPr>
        <w:pStyle w:val="RRBody"/>
        <w:spacing w:after="0"/>
        <w:rPr>
          <w:noProof/>
          <w:sz w:val="16"/>
          <w:szCs w:val="16"/>
        </w:rPr>
        <w:sectPr w:rsidR="00ED251C" w:rsidRPr="00416DBE" w:rsidSect="005A641B">
          <w:headerReference w:type="even" r:id="rId29"/>
          <w:headerReference w:type="default" r:id="rId30"/>
          <w:footerReference w:type="default" r:id="rId31"/>
          <w:headerReference w:type="first" r:id="rId32"/>
          <w:pgSz w:w="12240" w:h="15840" w:code="1"/>
          <w:pgMar w:top="1440" w:right="1440" w:bottom="1440" w:left="1440" w:header="720" w:footer="720" w:gutter="0"/>
          <w:cols w:space="720"/>
          <w:vAlign w:val="center"/>
          <w:docGrid w:linePitch="360"/>
        </w:sectPr>
      </w:pPr>
      <w:r w:rsidRPr="00416DBE">
        <w:rPr>
          <w:rFonts w:cs="Arial"/>
          <w:sz w:val="16"/>
          <w:szCs w:val="16"/>
        </w:rPr>
        <w:t>Date</w:t>
      </w:r>
      <w:r w:rsidRPr="00416DBE">
        <w:rPr>
          <w:sz w:val="16"/>
          <w:szCs w:val="16"/>
        </w:rPr>
        <w:t xml:space="preserve"> </w:t>
      </w:r>
    </w:p>
    <w:p w14:paraId="46EDBF6A" w14:textId="514B349F" w:rsidR="00EB7730" w:rsidRDefault="00EB7730" w:rsidP="00774F4A">
      <w:pPr>
        <w:pStyle w:val="Heading1"/>
        <w:jc w:val="center"/>
      </w:pPr>
      <w:bookmarkStart w:id="487" w:name="_Toc109295554"/>
      <w:bookmarkStart w:id="488" w:name="_Toc8985091"/>
      <w:r>
        <w:lastRenderedPageBreak/>
        <w:t xml:space="preserve">Appendix 2: </w:t>
      </w:r>
      <w:r w:rsidR="00477A63">
        <w:t>Out-of-Plan Services</w:t>
      </w:r>
      <w:bookmarkEnd w:id="487"/>
    </w:p>
    <w:p w14:paraId="6F939157" w14:textId="0358CF6D" w:rsidR="00EB7730" w:rsidRDefault="001124F1">
      <w:pPr>
        <w:spacing w:line="264" w:lineRule="auto"/>
      </w:pPr>
      <w:r>
        <w:rPr>
          <w:noProof/>
        </w:rPr>
        <mc:AlternateContent>
          <mc:Choice Requires="wps">
            <w:drawing>
              <wp:anchor distT="0" distB="0" distL="114300" distR="114300" simplePos="0" relativeHeight="251660293" behindDoc="0" locked="0" layoutInCell="1" allowOverlap="1" wp14:anchorId="011A28BF" wp14:editId="3152B0A9">
                <wp:simplePos x="0" y="0"/>
                <wp:positionH relativeFrom="column">
                  <wp:posOffset>2829464</wp:posOffset>
                </wp:positionH>
                <wp:positionV relativeFrom="paragraph">
                  <wp:posOffset>8070239</wp:posOffset>
                </wp:positionV>
                <wp:extent cx="250166" cy="103517"/>
                <wp:effectExtent l="0" t="0" r="0" b="0"/>
                <wp:wrapNone/>
                <wp:docPr id="7" name="Rectangle 7"/>
                <wp:cNvGraphicFramePr/>
                <a:graphic xmlns:a="http://schemas.openxmlformats.org/drawingml/2006/main">
                  <a:graphicData uri="http://schemas.microsoft.com/office/word/2010/wordprocessingShape">
                    <wps:wsp>
                      <wps:cNvSpPr/>
                      <wps:spPr>
                        <a:xfrm>
                          <a:off x="0" y="0"/>
                          <a:ext cx="250166" cy="10351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BF78A" id="Rectangle 7" o:spid="_x0000_s1026" style="position:absolute;margin-left:222.8pt;margin-top:635.45pt;width:19.7pt;height:8.15pt;z-index:2516602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" fillcolor="white [3212]" stroked="f" strokeweight="1pt"/>
            </w:pict>
          </mc:Fallback>
        </mc:AlternateContent>
      </w:r>
      <w:r w:rsidR="00EB7730">
        <w:br w:type="page"/>
      </w:r>
    </w:p>
    <w:p w14:paraId="7F8F6AF3" w14:textId="77777777" w:rsidR="00E21577" w:rsidRDefault="00E21577">
      <w:pPr>
        <w:spacing w:line="264" w:lineRule="auto"/>
        <w:rPr>
          <w:rFonts w:asciiTheme="majorHAnsi" w:hAnsiTheme="majorHAnsi" w:cstheme="majorHAnsi"/>
          <w:color w:val="0081E3" w:themeColor="accent4"/>
          <w:sz w:val="30"/>
        </w:rPr>
      </w:pPr>
    </w:p>
    <w:p w14:paraId="2CFFF08A" w14:textId="7F717D2E" w:rsidR="00EB7730" w:rsidRDefault="00EB7730" w:rsidP="00774F4A">
      <w:pPr>
        <w:pStyle w:val="Heading1"/>
        <w:jc w:val="center"/>
      </w:pPr>
      <w:bookmarkStart w:id="489" w:name="_Toc109295555"/>
      <w:r>
        <w:t>Appendix 3: Retrospective Benefit Expense Development</w:t>
      </w:r>
      <w:bookmarkEnd w:id="489"/>
    </w:p>
    <w:p w14:paraId="486B4A31" w14:textId="77777777" w:rsidR="00EB7730" w:rsidRDefault="00EB7730">
      <w:pPr>
        <w:spacing w:line="264" w:lineRule="auto"/>
        <w:rPr>
          <w:rFonts w:asciiTheme="majorHAnsi" w:hAnsiTheme="majorHAnsi" w:cstheme="majorHAnsi"/>
          <w:color w:val="0081E3" w:themeColor="accent4"/>
          <w:sz w:val="30"/>
        </w:rPr>
      </w:pPr>
      <w:r>
        <w:br w:type="page"/>
      </w:r>
    </w:p>
    <w:p w14:paraId="276962E1" w14:textId="594DA78B" w:rsidR="005A641B" w:rsidRDefault="005A641B" w:rsidP="00774F4A">
      <w:pPr>
        <w:pStyle w:val="Heading1"/>
        <w:jc w:val="center"/>
        <w:sectPr w:rsidR="005A641B" w:rsidSect="00F97655">
          <w:headerReference w:type="even" r:id="rId33"/>
          <w:headerReference w:type="default" r:id="rId34"/>
          <w:footerReference w:type="default" r:id="rId35"/>
          <w:headerReference w:type="first" r:id="rId36"/>
          <w:pgSz w:w="12240" w:h="15840" w:code="1"/>
          <w:pgMar w:top="1440" w:right="1440" w:bottom="1440" w:left="1440" w:header="720" w:footer="720" w:gutter="0"/>
          <w:cols w:space="720"/>
          <w:vAlign w:val="center"/>
          <w:titlePg/>
          <w:docGrid w:linePitch="360"/>
        </w:sectPr>
      </w:pPr>
      <w:bookmarkStart w:id="490" w:name="_Toc109295556"/>
      <w:r>
        <w:lastRenderedPageBreak/>
        <w:t xml:space="preserve">Appendix </w:t>
      </w:r>
      <w:r w:rsidR="00EB7730">
        <w:t>4</w:t>
      </w:r>
      <w:r>
        <w:t xml:space="preserve">: </w:t>
      </w:r>
      <w:r w:rsidR="00705903">
        <w:t xml:space="preserve">SFY </w:t>
      </w:r>
      <w:r w:rsidR="006F14D1">
        <w:t xml:space="preserve">2023 </w:t>
      </w:r>
      <w:r w:rsidR="00EB7730">
        <w:t xml:space="preserve">Prospective </w:t>
      </w:r>
      <w:r w:rsidR="00557670">
        <w:t>Benefit Expense Development</w:t>
      </w:r>
      <w:bookmarkEnd w:id="488"/>
      <w:bookmarkEnd w:id="490"/>
    </w:p>
    <w:bookmarkStart w:id="491" w:name="_Toc8985092"/>
    <w:bookmarkStart w:id="492" w:name="_Toc109295557"/>
    <w:p w14:paraId="110306A4" w14:textId="7A5008FA" w:rsidR="005A641B" w:rsidRDefault="004C7347" w:rsidP="00560B03">
      <w:pPr>
        <w:pStyle w:val="Heading1"/>
        <w:jc w:val="center"/>
        <w:sectPr w:rsidR="005A641B" w:rsidSect="00F97655">
          <w:pgSz w:w="12240" w:h="15840" w:code="1"/>
          <w:pgMar w:top="1440" w:right="1440" w:bottom="1440" w:left="1440" w:header="720" w:footer="720" w:gutter="0"/>
          <w:cols w:space="720"/>
          <w:vAlign w:val="center"/>
          <w:titlePg/>
          <w:docGrid w:linePitch="360"/>
        </w:sectPr>
      </w:pPr>
      <w:r>
        <w:rPr>
          <w:noProof/>
        </w:rPr>
        <w:lastRenderedPageBreak/>
        <mc:AlternateContent>
          <mc:Choice Requires="wps">
            <w:drawing>
              <wp:anchor distT="0" distB="0" distL="114300" distR="114300" simplePos="0" relativeHeight="251661317" behindDoc="0" locked="0" layoutInCell="1" allowOverlap="1" wp14:anchorId="51640D3F" wp14:editId="3EEBE62A">
                <wp:simplePos x="0" y="0"/>
                <wp:positionH relativeFrom="column">
                  <wp:posOffset>2846717</wp:posOffset>
                </wp:positionH>
                <wp:positionV relativeFrom="paragraph">
                  <wp:posOffset>8453887</wp:posOffset>
                </wp:positionV>
                <wp:extent cx="215660" cy="103517"/>
                <wp:effectExtent l="0" t="0" r="0" b="0"/>
                <wp:wrapNone/>
                <wp:docPr id="9" name="Rectangle 9"/>
                <wp:cNvGraphicFramePr/>
                <a:graphic xmlns:a="http://schemas.openxmlformats.org/drawingml/2006/main">
                  <a:graphicData uri="http://schemas.microsoft.com/office/word/2010/wordprocessingShape">
                    <wps:wsp>
                      <wps:cNvSpPr/>
                      <wps:spPr>
                        <a:xfrm>
                          <a:off x="0" y="0"/>
                          <a:ext cx="215660" cy="10351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8EC25" id="Rectangle 9" o:spid="_x0000_s1026" style="position:absolute;margin-left:224.15pt;margin-top:665.65pt;width:17pt;height:8.15pt;z-index:25166131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" fillcolor="white [3212]" stroked="f" strokeweight="1pt"/>
            </w:pict>
          </mc:Fallback>
        </mc:AlternateContent>
      </w:r>
      <w:r w:rsidR="00557670">
        <w:t xml:space="preserve">Appendix </w:t>
      </w:r>
      <w:r w:rsidR="00EB7730">
        <w:t>5</w:t>
      </w:r>
      <w:r w:rsidR="005A641B">
        <w:t xml:space="preserve">: </w:t>
      </w:r>
      <w:r w:rsidR="00705903">
        <w:t xml:space="preserve">SFY </w:t>
      </w:r>
      <w:r w:rsidR="006F14D1">
        <w:t xml:space="preserve">2023 </w:t>
      </w:r>
      <w:r w:rsidR="00557670">
        <w:t>Capitation Rate Development</w:t>
      </w:r>
      <w:bookmarkEnd w:id="491"/>
      <w:bookmarkEnd w:id="492"/>
    </w:p>
    <w:p w14:paraId="755B823F" w14:textId="77777777" w:rsidR="00717A2D" w:rsidRDefault="00732862" w:rsidP="00210B59">
      <w:r>
        <w:rPr>
          <w:noProof/>
        </w:rPr>
        <w:lastRenderedPageBreak/>
        <w:drawing>
          <wp:anchor distT="0" distB="0" distL="114300" distR="114300" simplePos="0" relativeHeight="251658242" behindDoc="0" locked="1" layoutInCell="1" allowOverlap="1" wp14:anchorId="136313F2" wp14:editId="5B00D8F5">
            <wp:simplePos x="0" y="0"/>
            <wp:positionH relativeFrom="column">
              <wp:posOffset>-7620</wp:posOffset>
            </wp:positionH>
            <wp:positionV relativeFrom="page">
              <wp:posOffset>6951345</wp:posOffset>
            </wp:positionV>
            <wp:extent cx="1188720" cy="2743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88720" cy="274320"/>
                    </a:xfrm>
                    <a:prstGeom prst="rect">
                      <a:avLst/>
                    </a:prstGeom>
                    <a:noFill/>
                  </pic:spPr>
                </pic:pic>
              </a:graphicData>
            </a:graphic>
            <wp14:sizeRelH relativeFrom="page">
              <wp14:pctWidth>0</wp14:pctWidth>
            </wp14:sizeRelH>
            <wp14:sizeRelV relativeFrom="page">
              <wp14:pctHeight>0</wp14:pctHeight>
            </wp14:sizeRelV>
          </wp:anchor>
        </w:drawing>
      </w:r>
      <w:r w:rsidR="00121069">
        <w:rPr>
          <w:noProof/>
        </w:rPr>
        <mc:AlternateContent>
          <mc:Choice Requires="wps">
            <w:drawing>
              <wp:anchor distT="0" distB="0" distL="114300" distR="114300" simplePos="0" relativeHeight="251658241" behindDoc="0" locked="1" layoutInCell="1" allowOverlap="1" wp14:anchorId="4A900D60" wp14:editId="135E0048">
                <wp:simplePos x="0" y="0"/>
                <wp:positionH relativeFrom="margin">
                  <wp:posOffset>0</wp:posOffset>
                </wp:positionH>
                <wp:positionV relativeFrom="page">
                  <wp:posOffset>7219315</wp:posOffset>
                </wp:positionV>
                <wp:extent cx="3108960" cy="1341120"/>
                <wp:effectExtent l="0" t="0" r="15240" b="11430"/>
                <wp:wrapNone/>
                <wp:docPr id="26" name="Text Box 26"/>
                <wp:cNvGraphicFramePr/>
                <a:graphic xmlns:a="http://schemas.openxmlformats.org/drawingml/2006/main">
                  <a:graphicData uri="http://schemas.microsoft.com/office/word/2010/wordprocessingShape">
                    <wps:wsp>
                      <wps:cNvSpPr txBox="1"/>
                      <wps:spPr>
                        <a:xfrm>
                          <a:off x="0" y="0"/>
                          <a:ext cx="3108960" cy="134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2C1DE" w14:textId="77777777" w:rsidR="00F0656A" w:rsidRPr="004D2869" w:rsidRDefault="00F0656A" w:rsidP="00210B59">
                            <w:pPr>
                              <w:pStyle w:val="RRLastPageBottomText"/>
                            </w:pPr>
                            <w:r w:rsidRPr="004D2869">
                              <w:t>Milliman is among the world’s largest providers of actuarial and related products and services. The firm has consulting practices in life insurance and financial services, property &amp; casualty insurance, healthcare, and employee benefits. Founded in 1947, Milliman is an independent firm with offices in major cities around the globe.</w:t>
                            </w:r>
                          </w:p>
                          <w:p w14:paraId="1CD46590" w14:textId="77777777" w:rsidR="00F0656A" w:rsidRPr="00937776" w:rsidRDefault="00DC1BCB" w:rsidP="00210B59">
                            <w:pPr>
                              <w:rPr>
                                <w:rStyle w:val="Hyperlink"/>
                                <w:sz w:val="20"/>
                              </w:rPr>
                            </w:pPr>
                            <w:hyperlink r:id="rId38" w:history="1">
                              <w:r w:rsidR="00F0656A" w:rsidRPr="00937776">
                                <w:rPr>
                                  <w:rStyle w:val="Hyperlink"/>
                                  <w:sz w:val="16"/>
                                </w:rPr>
                                <w:t>milliman.com</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00D60" id="_x0000_t202" coordsize="21600,21600" o:spt="202" path="m,l,21600r21600,l21600,xe">
                <v:stroke joinstyle="miter"/>
                <v:path gradientshapeok="t" o:connecttype="rect"/>
              </v:shapetype>
              <v:shape id="Text Box 26" o:spid="_x0000_s1026" type="#_x0000_t202" style="position:absolute;margin-left:0;margin-top:568.45pt;width:244.8pt;height:105.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" filled="f" stroked="f" strokeweight=".5pt">
                <v:textbox inset="0,0,0,0">
                  <w:txbxContent>
                    <w:p w14:paraId="7802C1DE" w14:textId="77777777" w:rsidR="00F0656A" w:rsidRPr="004D2869" w:rsidRDefault="00F0656A" w:rsidP="00210B59">
                      <w:pPr>
                        <w:pStyle w:val="RRLastPageBottomText"/>
                      </w:pPr>
                      <w:r w:rsidRPr="004D2869">
                        <w:t>Milliman is among the world’s largest providers of actuarial and related products and services. The firm has consulting practices in life insurance and financial services, property &amp; casualty insurance, healthcare, and employee benefits. Founded in 1947, Milliman is an independent firm with offices in major cities around the globe.</w:t>
                      </w:r>
                    </w:p>
                    <w:p w14:paraId="1CD46590" w14:textId="77777777" w:rsidR="00F0656A" w:rsidRPr="00937776" w:rsidRDefault="00DC1BCB" w:rsidP="00210B59">
                      <w:pPr>
                        <w:rPr>
                          <w:rStyle w:val="Hyperlink"/>
                          <w:sz w:val="20"/>
                        </w:rPr>
                      </w:pPr>
                      <w:hyperlink r:id="rId39" w:history="1">
                        <w:r w:rsidR="00F0656A" w:rsidRPr="00937776">
                          <w:rPr>
                            <w:rStyle w:val="Hyperlink"/>
                            <w:sz w:val="16"/>
                          </w:rPr>
                          <w:t>milliman.com</w:t>
                        </w:r>
                      </w:hyperlink>
                    </w:p>
                  </w:txbxContent>
                </v:textbox>
                <w10:wrap anchorx="margin" anchory="page"/>
                <w10:anchorlock/>
              </v:shape>
            </w:pict>
          </mc:Fallback>
        </mc:AlternateContent>
      </w:r>
    </w:p>
    <w:sectPr w:rsidR="00717A2D" w:rsidSect="003871A8">
      <w:headerReference w:type="even" r:id="rId40"/>
      <w:headerReference w:type="default" r:id="rId41"/>
      <w:footerReference w:type="default" r:id="rId42"/>
      <w:headerReference w:type="first" r:id="rId4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E64E6" w14:textId="77777777" w:rsidR="00F0656A" w:rsidRDefault="00F0656A" w:rsidP="00210B59">
      <w:r>
        <w:separator/>
      </w:r>
    </w:p>
  </w:endnote>
  <w:endnote w:type="continuationSeparator" w:id="0">
    <w:p w14:paraId="4AE9BD38" w14:textId="77777777" w:rsidR="00F0656A" w:rsidRDefault="00F0656A" w:rsidP="00210B59">
      <w:r>
        <w:continuationSeparator/>
      </w:r>
    </w:p>
  </w:endnote>
  <w:endnote w:type="continuationNotice" w:id="1">
    <w:p w14:paraId="7FCB53B2" w14:textId="77777777" w:rsidR="00F0656A" w:rsidRDefault="00F065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D826" w14:textId="77777777" w:rsidR="00F0656A" w:rsidRPr="00121069" w:rsidRDefault="00F0656A" w:rsidP="00210B59">
    <w:pPr>
      <w:pStyle w:val="RRFooter"/>
    </w:pPr>
    <w:r>
      <w:tab/>
    </w:r>
    <w:r>
      <w:tab/>
    </w:r>
  </w:p>
  <w:p w14:paraId="406AE2AD" w14:textId="77777777" w:rsidR="00F0656A" w:rsidRPr="00E76A3D" w:rsidRDefault="00F0656A" w:rsidP="00210B59">
    <w:pPr>
      <w:pStyle w:val="Footer"/>
    </w:pPr>
    <w:r w:rsidRPr="00E76A3D">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3187E" w14:textId="16C4F45D" w:rsidR="00F0656A" w:rsidRDefault="00F0656A" w:rsidP="009503CA">
    <w:pPr>
      <w:pStyle w:val="RRFooter"/>
      <w:tabs>
        <w:tab w:val="clear" w:pos="9360"/>
        <w:tab w:val="left" w:pos="4621"/>
        <w:tab w:val="right" w:pos="10080"/>
      </w:tabs>
    </w:pPr>
    <w:r>
      <w:t xml:space="preserve">SFY </w:t>
    </w:r>
    <w:r w:rsidR="000750F1">
      <w:t xml:space="preserve">2023 </w:t>
    </w:r>
    <w:r w:rsidR="000A37DF">
      <w:t>Medicare-Medicaid Plan</w:t>
    </w:r>
    <w:r w:rsidRPr="00102B69">
      <w:t xml:space="preserve"> Capitation Rate </w:t>
    </w:r>
    <w:r>
      <w:t>Certification</w:t>
    </w:r>
    <w:r>
      <w:tab/>
    </w:r>
    <w:r>
      <w:tab/>
    </w:r>
    <w:r>
      <w:tab/>
    </w:r>
    <w:r>
      <w:fldChar w:fldCharType="begin"/>
    </w:r>
    <w:r>
      <w:instrText xml:space="preserve"> DATE \@ "MMMM d, yyyy" </w:instrText>
    </w:r>
    <w:r>
      <w:fldChar w:fldCharType="separate"/>
    </w:r>
    <w:r w:rsidR="00DC1BCB">
      <w:rPr>
        <w:noProof/>
      </w:rPr>
      <w:t>July 22, 2022</w:t>
    </w:r>
    <w:r>
      <w:fldChar w:fldCharType="end"/>
    </w:r>
  </w:p>
  <w:p w14:paraId="5DEF9AB9" w14:textId="40701875" w:rsidR="00F0656A" w:rsidRPr="00121069" w:rsidRDefault="00F0656A" w:rsidP="00647DE7">
    <w:pPr>
      <w:pStyle w:val="RRFooter"/>
      <w:tabs>
        <w:tab w:val="clear" w:pos="9360"/>
        <w:tab w:val="right" w:pos="9720"/>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0318E" w14:textId="1CC89E5F" w:rsidR="00F0656A" w:rsidRDefault="000A37DF" w:rsidP="00210B59">
    <w:pPr>
      <w:pStyle w:val="RRFooter"/>
    </w:pPr>
    <w:r>
      <w:t>SFY 2023 Medicare-Medicaid Plan</w:t>
    </w:r>
    <w:r w:rsidRPr="00102B69">
      <w:t xml:space="preserve"> Capitation Rate </w:t>
    </w:r>
    <w:r>
      <w:t>Certification</w:t>
    </w:r>
    <w:r w:rsidDel="000A37DF">
      <w:t xml:space="preserve"> </w:t>
    </w:r>
    <w:r w:rsidR="00F0656A">
      <w:tab/>
    </w:r>
    <w:r w:rsidR="00F0656A">
      <w:fldChar w:fldCharType="begin"/>
    </w:r>
    <w:r w:rsidR="00F0656A">
      <w:instrText xml:space="preserve"> PAGE   \* MERGEFORMAT </w:instrText>
    </w:r>
    <w:r w:rsidR="00F0656A">
      <w:fldChar w:fldCharType="separate"/>
    </w:r>
    <w:r w:rsidR="00F0656A">
      <w:rPr>
        <w:noProof/>
      </w:rPr>
      <w:t>2</w:t>
    </w:r>
    <w:r w:rsidR="00F0656A">
      <w:rPr>
        <w:noProof/>
      </w:rPr>
      <w:fldChar w:fldCharType="end"/>
    </w:r>
    <w:r w:rsidR="00F0656A">
      <w:tab/>
    </w:r>
    <w:r w:rsidR="00F0656A">
      <w:fldChar w:fldCharType="begin"/>
    </w:r>
    <w:r w:rsidR="00F0656A">
      <w:instrText xml:space="preserve"> DATE \@ "MMMM d, yyyy" </w:instrText>
    </w:r>
    <w:r w:rsidR="00F0656A">
      <w:fldChar w:fldCharType="separate"/>
    </w:r>
    <w:r w:rsidR="00DC1BCB">
      <w:rPr>
        <w:noProof/>
      </w:rPr>
      <w:t>July 22, 2022</w:t>
    </w:r>
    <w:r w:rsidR="00F0656A">
      <w:fldChar w:fldCharType="end"/>
    </w:r>
  </w:p>
  <w:p w14:paraId="11B9D673" w14:textId="04130307" w:rsidR="00F0656A" w:rsidRPr="00AA5A01" w:rsidRDefault="00F0656A" w:rsidP="009B1F77">
    <w:pPr>
      <w:pStyle w:val="RRFooter"/>
      <w:tabs>
        <w:tab w:val="left" w:pos="1740"/>
        <w:tab w:val="left" w:pos="4110"/>
      </w:tabs>
    </w:pPr>
    <w:r>
      <w:tab/>
    </w:r>
    <w:r w:rsidR="000750F1">
      <w:tab/>
    </w:r>
    <w:r w:rsidR="000750F1">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3BFD" w14:textId="6AD99053" w:rsidR="00F0656A" w:rsidRDefault="000A37DF" w:rsidP="009503CA">
    <w:pPr>
      <w:pStyle w:val="RRFooter"/>
      <w:tabs>
        <w:tab w:val="clear" w:pos="9360"/>
        <w:tab w:val="left" w:pos="4621"/>
        <w:tab w:val="right" w:pos="10080"/>
      </w:tabs>
    </w:pPr>
    <w:r>
      <w:t>SFY 2023 Medicare-Medicaid Plan</w:t>
    </w:r>
    <w:r w:rsidRPr="00102B69">
      <w:t xml:space="preserve"> Capitation Rate </w:t>
    </w:r>
    <w:r>
      <w:t>Certification</w:t>
    </w:r>
    <w:r w:rsidDel="000A37DF">
      <w:t xml:space="preserve"> </w:t>
    </w:r>
    <w:r w:rsidR="00F0656A">
      <w:tab/>
    </w:r>
    <w:r w:rsidR="00F0656A">
      <w:tab/>
    </w:r>
    <w:r w:rsidR="00F0656A">
      <w:fldChar w:fldCharType="begin"/>
    </w:r>
    <w:r w:rsidR="00F0656A">
      <w:instrText xml:space="preserve"> PAGE   \* MERGEFORMAT </w:instrText>
    </w:r>
    <w:r w:rsidR="00F0656A">
      <w:fldChar w:fldCharType="separate"/>
    </w:r>
    <w:r w:rsidR="00F0656A">
      <w:rPr>
        <w:noProof/>
      </w:rPr>
      <w:t>16</w:t>
    </w:r>
    <w:r w:rsidR="00F0656A">
      <w:rPr>
        <w:noProof/>
      </w:rPr>
      <w:fldChar w:fldCharType="end"/>
    </w:r>
    <w:r w:rsidR="00F0656A">
      <w:tab/>
    </w:r>
    <w:r w:rsidR="00F0656A">
      <w:fldChar w:fldCharType="begin"/>
    </w:r>
    <w:r w:rsidR="00F0656A">
      <w:instrText xml:space="preserve"> DATE \@ "MMMM d, yyyy" </w:instrText>
    </w:r>
    <w:r w:rsidR="00F0656A">
      <w:fldChar w:fldCharType="separate"/>
    </w:r>
    <w:r w:rsidR="00DC1BCB">
      <w:rPr>
        <w:noProof/>
      </w:rPr>
      <w:t>July 22, 2022</w:t>
    </w:r>
    <w:r w:rsidR="00F0656A">
      <w:fldChar w:fldCharType="end"/>
    </w:r>
    <w:r w:rsidR="00F0656A">
      <w:t xml:space="preserve"> </w:t>
    </w:r>
  </w:p>
  <w:p w14:paraId="49D81E25" w14:textId="7A800C8F" w:rsidR="00F0656A" w:rsidRPr="00121069" w:rsidRDefault="00F0656A" w:rsidP="00647DE7">
    <w:pPr>
      <w:pStyle w:val="RRFooter"/>
      <w:tabs>
        <w:tab w:val="clear" w:pos="9360"/>
        <w:tab w:val="right" w:pos="9720"/>
      </w:tabs>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5FBF" w14:textId="6E471525" w:rsidR="00F0656A" w:rsidRDefault="000A37DF" w:rsidP="00210B59">
    <w:pPr>
      <w:pStyle w:val="RRFooter"/>
    </w:pPr>
    <w:r>
      <w:t>SFY 2023 Medicare-Medicaid Plan</w:t>
    </w:r>
    <w:r w:rsidRPr="00102B69">
      <w:t xml:space="preserve"> Capitation Rate </w:t>
    </w:r>
    <w:r>
      <w:t>Certification</w:t>
    </w:r>
    <w:r w:rsidDel="000A37DF">
      <w:t xml:space="preserve"> </w:t>
    </w:r>
    <w:r w:rsidR="00F0656A">
      <w:tab/>
    </w:r>
    <w:r w:rsidR="00F0656A">
      <w:tab/>
    </w:r>
    <w:r w:rsidR="00F0656A">
      <w:fldChar w:fldCharType="begin"/>
    </w:r>
    <w:r w:rsidR="00F0656A">
      <w:instrText xml:space="preserve"> DATE \@ "MMMM d, yyyy" </w:instrText>
    </w:r>
    <w:r w:rsidR="00F0656A">
      <w:fldChar w:fldCharType="separate"/>
    </w:r>
    <w:r w:rsidR="00DC1BCB">
      <w:rPr>
        <w:noProof/>
      </w:rPr>
      <w:t>July 22, 2022</w:t>
    </w:r>
    <w:r w:rsidR="00F0656A">
      <w:fldChar w:fldCharType="end"/>
    </w:r>
  </w:p>
  <w:p w14:paraId="59DF0584" w14:textId="77777777" w:rsidR="00F0656A" w:rsidRPr="00121069" w:rsidRDefault="00F0656A" w:rsidP="00210B59">
    <w:pPr>
      <w:pStyle w:val="RRFooter"/>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19EF" w14:textId="0A664971" w:rsidR="00F0656A" w:rsidRDefault="000A37DF" w:rsidP="00210B59">
    <w:pPr>
      <w:pStyle w:val="RRFooter"/>
    </w:pPr>
    <w:r>
      <w:t>SFY 2023 Medicare-Medicaid Plan</w:t>
    </w:r>
    <w:r w:rsidRPr="00102B69">
      <w:t xml:space="preserve"> Capitation Rate </w:t>
    </w:r>
    <w:r>
      <w:t>Certification</w:t>
    </w:r>
    <w:r w:rsidDel="000A37DF">
      <w:t xml:space="preserve"> </w:t>
    </w:r>
    <w:r w:rsidR="00F0656A" w:rsidRPr="004E3708" w:rsidDel="00B165CC">
      <w:tab/>
    </w:r>
    <w:r w:rsidR="00F0656A">
      <w:tab/>
    </w:r>
    <w:r w:rsidR="00F0656A">
      <w:fldChar w:fldCharType="begin"/>
    </w:r>
    <w:r w:rsidR="00F0656A">
      <w:instrText xml:space="preserve"> DATE \@ "MMMM d, yyyy" </w:instrText>
    </w:r>
    <w:r w:rsidR="00F0656A">
      <w:fldChar w:fldCharType="separate"/>
    </w:r>
    <w:r w:rsidR="00DC1BCB">
      <w:rPr>
        <w:noProof/>
      </w:rPr>
      <w:t>July 22, 2022</w:t>
    </w:r>
    <w:r w:rsidR="00F0656A">
      <w:fldChar w:fldCharType="end"/>
    </w:r>
  </w:p>
  <w:p w14:paraId="59678F55" w14:textId="7796097F" w:rsidR="00F0656A" w:rsidRPr="00121069" w:rsidRDefault="00F0656A" w:rsidP="00210B59">
    <w:pPr>
      <w:pStyle w:val="RRFooter"/>
    </w:pPr>
    <w:r>
      <w:tab/>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8D7C" w14:textId="77777777" w:rsidR="00F0656A" w:rsidRPr="002D0D28" w:rsidRDefault="00F0656A" w:rsidP="00210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9E335" w14:textId="77777777" w:rsidR="00F0656A" w:rsidRPr="00D90323" w:rsidRDefault="00F0656A" w:rsidP="00210B59">
      <w:pPr>
        <w:pStyle w:val="Footer"/>
      </w:pPr>
    </w:p>
  </w:footnote>
  <w:footnote w:type="continuationSeparator" w:id="0">
    <w:p w14:paraId="226634BF" w14:textId="77777777" w:rsidR="00F0656A" w:rsidRDefault="00F0656A" w:rsidP="00210B59">
      <w:r>
        <w:continuationSeparator/>
      </w:r>
    </w:p>
  </w:footnote>
  <w:footnote w:type="continuationNotice" w:id="1">
    <w:p w14:paraId="5DF12E9A" w14:textId="77777777" w:rsidR="00F0656A" w:rsidRDefault="00F0656A">
      <w:pPr>
        <w:spacing w:after="0" w:line="240" w:lineRule="auto"/>
      </w:pPr>
    </w:p>
  </w:footnote>
  <w:footnote w:id="2">
    <w:p w14:paraId="5C967094" w14:textId="23B50A30" w:rsidR="00F0656A" w:rsidRPr="00B97205" w:rsidRDefault="00F0656A" w:rsidP="00210B59">
      <w:pPr>
        <w:pStyle w:val="FootnoteText"/>
        <w:rPr>
          <w:rStyle w:val="Hyperlink"/>
          <w:sz w:val="14"/>
          <w:szCs w:val="14"/>
        </w:rPr>
      </w:pPr>
      <w:r w:rsidRPr="006B2FA5">
        <w:rPr>
          <w:rStyle w:val="FootnoteReference"/>
          <w:sz w:val="16"/>
        </w:rPr>
        <w:footnoteRef/>
      </w:r>
      <w:r w:rsidRPr="006B2FA5">
        <w:t xml:space="preserve"> </w:t>
      </w:r>
      <w:hyperlink r:id="rId1" w:history="1">
        <w:r w:rsidRPr="00B97205">
          <w:rPr>
            <w:rStyle w:val="Hyperlink"/>
            <w:sz w:val="14"/>
            <w:szCs w:val="14"/>
          </w:rPr>
          <w:t>http://www.actuarialstandardsboard.org/asops/medicaid-managed-care-capitation-rate-development-and-certification/</w:t>
        </w:r>
      </w:hyperlink>
    </w:p>
  </w:footnote>
  <w:footnote w:id="3">
    <w:p w14:paraId="4031B6FB" w14:textId="77777777" w:rsidR="00365CE6" w:rsidRDefault="00365CE6" w:rsidP="00365CE6">
      <w:pPr>
        <w:pStyle w:val="FootnoteText"/>
      </w:pPr>
      <w:r w:rsidRPr="00423EAC">
        <w:rPr>
          <w:rStyle w:val="FootnoteReference"/>
          <w:sz w:val="16"/>
        </w:rPr>
        <w:footnoteRef/>
      </w:r>
      <w:r w:rsidRPr="00423EAC">
        <w:rPr>
          <w:rStyle w:val="FootnoteReference"/>
          <w:sz w:val="16"/>
        </w:rPr>
        <w:t xml:space="preserve"> </w:t>
      </w:r>
      <w:r w:rsidRPr="00423EAC">
        <w:rPr>
          <w:rStyle w:val="Hyperlink"/>
          <w:sz w:val="14"/>
          <w:szCs w:val="14"/>
        </w:rPr>
        <w:t>https://www.cms.gov/files/document/capitatedmodelratesettingprocess03192019.pdf</w:t>
      </w:r>
    </w:p>
  </w:footnote>
  <w:footnote w:id="4">
    <w:p w14:paraId="15E35819" w14:textId="1543371D" w:rsidR="00F0656A" w:rsidRPr="00F24008" w:rsidRDefault="00F0656A" w:rsidP="00F24008">
      <w:pPr>
        <w:pStyle w:val="FootnoteText"/>
        <w:ind w:left="0" w:firstLine="0"/>
        <w:rPr>
          <w:sz w:val="14"/>
          <w:szCs w:val="14"/>
        </w:rPr>
      </w:pPr>
      <w:r w:rsidRPr="00F24008">
        <w:rPr>
          <w:rStyle w:val="FootnoteReference"/>
          <w:sz w:val="14"/>
          <w:szCs w:val="14"/>
        </w:rPr>
        <w:footnoteRef/>
      </w:r>
      <w:r w:rsidRPr="00F24008">
        <w:rPr>
          <w:sz w:val="14"/>
          <w:szCs w:val="14"/>
        </w:rPr>
        <w:t xml:space="preserve"> </w:t>
      </w:r>
      <w:hyperlink r:id="rId2" w:history="1">
        <w:r w:rsidRPr="00F24008">
          <w:rPr>
            <w:rStyle w:val="Hyperlink"/>
            <w:sz w:val="14"/>
            <w:szCs w:val="14"/>
          </w:rPr>
          <w:t>https://www.cms.gov/Medicare-Medicaid-Coordination/Medicare-and-Medicaid-Coordination/Medicare-Medicaid-Coordination-Office/FinancialAlignmentInitiative/Downloads/RIMOU.pdf</w:t>
        </w:r>
      </w:hyperlink>
    </w:p>
  </w:footnote>
  <w:footnote w:id="5">
    <w:p w14:paraId="782198AC" w14:textId="77777777" w:rsidR="00F0656A" w:rsidRPr="00C07983" w:rsidRDefault="00F0656A" w:rsidP="0022132B">
      <w:pPr>
        <w:pStyle w:val="FootnoteText"/>
        <w:ind w:left="90" w:hanging="90"/>
        <w:rPr>
          <w:sz w:val="16"/>
        </w:rPr>
      </w:pPr>
      <w:r w:rsidRPr="00C07983">
        <w:rPr>
          <w:rStyle w:val="FootnoteReference"/>
          <w:sz w:val="16"/>
        </w:rPr>
        <w:footnoteRef/>
      </w:r>
      <w:r w:rsidRPr="00C07983">
        <w:rPr>
          <w:sz w:val="16"/>
        </w:rPr>
        <w:t xml:space="preserve"> </w:t>
      </w:r>
      <w:hyperlink r:id="rId3" w:history="1">
        <w:r w:rsidRPr="00C07983">
          <w:rPr>
            <w:rStyle w:val="Hyperlink"/>
            <w:sz w:val="16"/>
          </w:rPr>
          <w:t>https://www.cms.gov/research-statistics-data-and-systems/statistics-trends-and-reports/nationalhealthexpenddata/nationalhealthaccountsprojected.html</w:t>
        </w:r>
      </w:hyperlink>
    </w:p>
  </w:footnote>
  <w:footnote w:id="6">
    <w:p w14:paraId="07E2F464" w14:textId="3F29F352" w:rsidR="00F0656A" w:rsidRPr="00D12C61" w:rsidRDefault="00F0656A" w:rsidP="00676D14">
      <w:pPr>
        <w:spacing w:after="0"/>
        <w:rPr>
          <w:sz w:val="16"/>
          <w:szCs w:val="16"/>
        </w:rPr>
      </w:pPr>
      <w:r w:rsidRPr="00D12C61">
        <w:rPr>
          <w:rStyle w:val="FootnoteReference"/>
          <w:sz w:val="16"/>
          <w:szCs w:val="16"/>
        </w:rPr>
        <w:footnoteRef/>
      </w:r>
      <w:r w:rsidRPr="00D12C61">
        <w:rPr>
          <w:sz w:val="16"/>
          <w:szCs w:val="16"/>
        </w:rPr>
        <w:t xml:space="preserve"> </w:t>
      </w:r>
      <w:hyperlink r:id="rId4" w:history="1">
        <w:r w:rsidRPr="00D12C61">
          <w:rPr>
            <w:rStyle w:val="Hyperlink"/>
            <w:sz w:val="16"/>
            <w:szCs w:val="16"/>
          </w:rPr>
          <w:t>https://www.cms.gov/Medicare-Medicaid-Coordination/Medicare-and-Medicaid-Coordination/Medicare-Medicaid-Coordination-Office/FinancialAlignmentInitiative/Downloads/QualityWithholdResultsReportRIDY1.pdf</w:t>
        </w:r>
      </w:hyperlink>
      <w:r w:rsidRPr="00D12C61">
        <w:rPr>
          <w:sz w:val="16"/>
          <w:szCs w:val="16"/>
        </w:rPr>
        <w:t xml:space="preserve">. Accessed </w:t>
      </w:r>
      <w:r w:rsidR="00C977D2" w:rsidRPr="00D12C61">
        <w:rPr>
          <w:sz w:val="16"/>
          <w:szCs w:val="16"/>
        </w:rPr>
        <w:t>6/</w:t>
      </w:r>
      <w:r w:rsidR="00D12C61">
        <w:rPr>
          <w:sz w:val="16"/>
          <w:szCs w:val="16"/>
        </w:rPr>
        <w:t>28</w:t>
      </w:r>
      <w:r w:rsidR="00C977D2" w:rsidRPr="00D12C61">
        <w:rPr>
          <w:sz w:val="16"/>
          <w:szCs w:val="16"/>
        </w:rPr>
        <w:t>/2022</w:t>
      </w:r>
    </w:p>
  </w:footnote>
  <w:footnote w:id="7">
    <w:p w14:paraId="410B4F82" w14:textId="0B14AAF5" w:rsidR="00F0656A" w:rsidRPr="00D12C61" w:rsidRDefault="00F0656A">
      <w:pPr>
        <w:pStyle w:val="FootnoteText"/>
        <w:rPr>
          <w:sz w:val="16"/>
          <w:szCs w:val="16"/>
        </w:rPr>
      </w:pPr>
      <w:r w:rsidRPr="00D12C61">
        <w:rPr>
          <w:rStyle w:val="FootnoteReference"/>
          <w:sz w:val="16"/>
          <w:szCs w:val="16"/>
        </w:rPr>
        <w:footnoteRef/>
      </w:r>
      <w:r w:rsidRPr="00D12C61">
        <w:rPr>
          <w:sz w:val="16"/>
          <w:szCs w:val="16"/>
        </w:rPr>
        <w:t xml:space="preserve"> </w:t>
      </w:r>
      <w:hyperlink r:id="rId5" w:history="1">
        <w:r w:rsidRPr="00D12C61">
          <w:rPr>
            <w:rStyle w:val="Hyperlink"/>
            <w:rFonts w:asciiTheme="majorHAnsi" w:hAnsiTheme="majorHAnsi" w:cstheme="majorHAnsi"/>
            <w:sz w:val="16"/>
            <w:szCs w:val="16"/>
          </w:rPr>
          <w:t>https://www.cms.gov/files/document/qualitywithholdresultsreportridy2.pdf</w:t>
        </w:r>
      </w:hyperlink>
      <w:r w:rsidRPr="00D12C61">
        <w:rPr>
          <w:rFonts w:asciiTheme="majorHAnsi" w:hAnsiTheme="majorHAnsi" w:cstheme="majorHAnsi"/>
          <w:sz w:val="16"/>
          <w:szCs w:val="16"/>
        </w:rPr>
        <w:t>.</w:t>
      </w:r>
      <w:r w:rsidRPr="00D12C61">
        <w:rPr>
          <w:sz w:val="16"/>
          <w:szCs w:val="16"/>
        </w:rPr>
        <w:t xml:space="preserve"> </w:t>
      </w:r>
      <w:r w:rsidRPr="00D12C61">
        <w:rPr>
          <w:color w:val="auto"/>
          <w:sz w:val="16"/>
          <w:szCs w:val="16"/>
        </w:rPr>
        <w:t xml:space="preserve">Accessed </w:t>
      </w:r>
      <w:r w:rsidR="00C977D2" w:rsidRPr="00D12C61">
        <w:rPr>
          <w:color w:val="auto"/>
          <w:sz w:val="16"/>
          <w:szCs w:val="16"/>
        </w:rPr>
        <w:t>6/2</w:t>
      </w:r>
      <w:r w:rsidR="00D12C61">
        <w:rPr>
          <w:color w:val="auto"/>
          <w:sz w:val="16"/>
          <w:szCs w:val="16"/>
        </w:rPr>
        <w:t>8</w:t>
      </w:r>
      <w:r w:rsidR="00C977D2" w:rsidRPr="00D12C61">
        <w:rPr>
          <w:color w:val="auto"/>
          <w:sz w:val="16"/>
          <w:szCs w:val="16"/>
        </w:rPr>
        <w:t>/2022</w:t>
      </w:r>
    </w:p>
  </w:footnote>
  <w:footnote w:id="8">
    <w:p w14:paraId="65992C01" w14:textId="32EF2690" w:rsidR="00C977D2" w:rsidRPr="00D12C61" w:rsidRDefault="00C977D2">
      <w:pPr>
        <w:pStyle w:val="FootnoteText"/>
        <w:rPr>
          <w:sz w:val="16"/>
          <w:szCs w:val="16"/>
        </w:rPr>
      </w:pPr>
      <w:r w:rsidRPr="00D12C61">
        <w:rPr>
          <w:rStyle w:val="FootnoteReference"/>
          <w:sz w:val="16"/>
          <w:szCs w:val="16"/>
        </w:rPr>
        <w:footnoteRef/>
      </w:r>
      <w:r w:rsidRPr="00D12C61">
        <w:rPr>
          <w:sz w:val="16"/>
          <w:szCs w:val="16"/>
        </w:rPr>
        <w:t xml:space="preserve"> </w:t>
      </w:r>
      <w:hyperlink r:id="rId6" w:history="1">
        <w:r w:rsidRPr="00D12C61">
          <w:rPr>
            <w:rStyle w:val="Hyperlink"/>
            <w:sz w:val="16"/>
            <w:szCs w:val="16"/>
          </w:rPr>
          <w:t>https://www.cms.gov/files/document/qualitywithholdresultsreportridy3.pdf</w:t>
        </w:r>
      </w:hyperlink>
      <w:r w:rsidRPr="00D12C61">
        <w:rPr>
          <w:sz w:val="16"/>
          <w:szCs w:val="16"/>
        </w:rPr>
        <w:t xml:space="preserve"> </w:t>
      </w:r>
      <w:r w:rsidRPr="009B1F77">
        <w:rPr>
          <w:color w:val="auto"/>
          <w:sz w:val="16"/>
          <w:szCs w:val="16"/>
        </w:rPr>
        <w:t>Accessed 6/2</w:t>
      </w:r>
      <w:r w:rsidR="00D12C61">
        <w:rPr>
          <w:color w:val="auto"/>
          <w:sz w:val="16"/>
          <w:szCs w:val="16"/>
        </w:rPr>
        <w:t>8</w:t>
      </w:r>
      <w:r w:rsidRPr="009B1F77">
        <w:rPr>
          <w:color w:val="auto"/>
          <w:sz w:val="16"/>
          <w:szCs w:val="16"/>
        </w:rPr>
        <w:t>/2022</w:t>
      </w:r>
    </w:p>
  </w:footnote>
  <w:footnote w:id="9">
    <w:p w14:paraId="1E082AF2" w14:textId="1BA72693" w:rsidR="00C977D2" w:rsidRDefault="00C977D2">
      <w:pPr>
        <w:pStyle w:val="FootnoteText"/>
      </w:pPr>
      <w:r w:rsidRPr="00D12C61">
        <w:rPr>
          <w:rStyle w:val="FootnoteReference"/>
          <w:sz w:val="16"/>
          <w:szCs w:val="16"/>
        </w:rPr>
        <w:footnoteRef/>
      </w:r>
      <w:r w:rsidRPr="00D12C61">
        <w:rPr>
          <w:sz w:val="16"/>
          <w:szCs w:val="16"/>
        </w:rPr>
        <w:t xml:space="preserve"> </w:t>
      </w:r>
      <w:hyperlink r:id="rId7" w:history="1">
        <w:r w:rsidRPr="00D12C61">
          <w:rPr>
            <w:rStyle w:val="Hyperlink"/>
            <w:sz w:val="16"/>
            <w:szCs w:val="16"/>
          </w:rPr>
          <w:t>https://www.cms.gov/files/document/qualitywithholdresultsreportridy4.pdf</w:t>
        </w:r>
      </w:hyperlink>
      <w:r w:rsidRPr="00D12C61">
        <w:rPr>
          <w:sz w:val="16"/>
          <w:szCs w:val="16"/>
        </w:rPr>
        <w:t xml:space="preserve"> </w:t>
      </w:r>
      <w:r w:rsidRPr="009B1F77">
        <w:rPr>
          <w:color w:val="auto"/>
          <w:sz w:val="16"/>
          <w:szCs w:val="16"/>
        </w:rPr>
        <w:t>Accessed 6/2</w:t>
      </w:r>
      <w:r w:rsidR="00D12C61">
        <w:rPr>
          <w:color w:val="auto"/>
          <w:sz w:val="16"/>
          <w:szCs w:val="16"/>
        </w:rPr>
        <w:t>8</w:t>
      </w:r>
      <w:r w:rsidRPr="009B1F77">
        <w:rPr>
          <w:color w:val="auto"/>
          <w:sz w:val="16"/>
          <w:szCs w:val="16"/>
        </w:rPr>
        <w:t>/2022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9EC3" w14:textId="3664B9FF" w:rsidR="00F0656A" w:rsidRDefault="00F0656A" w:rsidP="00210B59">
    <w:pPr>
      <w:pStyle w:val="Header"/>
    </w:pPr>
    <w:r>
      <w:rPr>
        <w:noProof/>
      </w:rPr>
      <w:drawing>
        <wp:anchor distT="0" distB="0" distL="114300" distR="114300" simplePos="0" relativeHeight="251657728" behindDoc="0" locked="1" layoutInCell="1" allowOverlap="1" wp14:anchorId="05822606" wp14:editId="6CF96B66">
          <wp:simplePos x="457200" y="274320"/>
          <wp:positionH relativeFrom="margin">
            <wp:align>right</wp:align>
          </wp:positionH>
          <wp:positionV relativeFrom="page">
            <wp:posOffset>2377440</wp:posOffset>
          </wp:positionV>
          <wp:extent cx="1746504" cy="429768"/>
          <wp:effectExtent l="0" t="0" r="635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L_Logo_WhiteKO.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504" cy="42976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704" behindDoc="1" locked="1" layoutInCell="1" allowOverlap="1" wp14:anchorId="379A233D" wp14:editId="2F46A651">
              <wp:simplePos x="0" y="0"/>
              <wp:positionH relativeFrom="page">
                <wp:align>left</wp:align>
              </wp:positionH>
              <wp:positionV relativeFrom="page">
                <wp:align>top</wp:align>
              </wp:positionV>
              <wp:extent cx="7764780" cy="10789920"/>
              <wp:effectExtent l="0" t="0" r="7620" b="0"/>
              <wp:wrapNone/>
              <wp:docPr id="3" name="Rectangle 3"/>
              <wp:cNvGraphicFramePr/>
              <a:graphic xmlns:a="http://schemas.openxmlformats.org/drawingml/2006/main">
                <a:graphicData uri="http://schemas.microsoft.com/office/word/2010/wordprocessingShape">
                  <wps:wsp>
                    <wps:cNvSpPr/>
                    <wps:spPr>
                      <a:xfrm>
                        <a:off x="0" y="0"/>
                        <a:ext cx="7764780" cy="107899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717E8CF">
            <v:rect w14:anchorId="5BDDCDF6" id="Rectangle 3" o:spid="_x0000_s1026" style="position:absolute;margin-left:0;margin-top:0;width:611.4pt;height:849.6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" fillcolor="#727a7d [3206]" stroked="f" strokeweight="1pt">
              <w10:wrap anchorx="page" anchory="page"/>
              <w10:anchorlock/>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1EC3" w14:textId="0B16442F" w:rsidR="00F0656A" w:rsidRDefault="00F0656A" w:rsidP="00FE7503">
    <w:pPr>
      <w:pStyle w:val="RRHeader"/>
    </w:pPr>
    <w:r w:rsidRPr="001F1784">
      <w:rPr>
        <w:rFonts w:ascii="Arial" w:hAnsi="Arial" w:cs="Arial"/>
        <w:color w:val="0A4977" w:themeColor="text2"/>
      </w:rPr>
      <w:t>Milliman</w:t>
    </w:r>
    <w:r w:rsidRPr="001F1784">
      <w:rPr>
        <w:color w:val="0A4977" w:themeColor="text2"/>
      </w:rPr>
      <w:t xml:space="preserve"> </w:t>
    </w:r>
    <w:r>
      <w:t>CLIENT</w:t>
    </w:r>
    <w:r w:rsidRPr="00075BFF">
      <w:t xml:space="preserve"> Report</w:t>
    </w:r>
  </w:p>
  <w:p w14:paraId="505F924B" w14:textId="3B89C8D0" w:rsidR="00F0656A" w:rsidRDefault="00F0656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09FF1" w14:textId="5479D05F" w:rsidR="00F0656A" w:rsidRDefault="00F0656A" w:rsidP="00FE7503">
    <w:pPr>
      <w:pStyle w:val="RRHeader"/>
    </w:pPr>
    <w:r w:rsidRPr="001F1784">
      <w:rPr>
        <w:rFonts w:ascii="Arial" w:hAnsi="Arial" w:cs="Arial"/>
        <w:color w:val="0A4977" w:themeColor="text2"/>
      </w:rPr>
      <w:t>Milliman</w:t>
    </w:r>
    <w:r w:rsidRPr="001F1784">
      <w:rPr>
        <w:color w:val="0A4977" w:themeColor="text2"/>
      </w:rPr>
      <w:t xml:space="preserve"> </w:t>
    </w:r>
    <w:r>
      <w:t>CLIENT</w:t>
    </w:r>
    <w:r w:rsidRPr="00075BFF">
      <w:t xml:space="preserve"> Report</w:t>
    </w:r>
  </w:p>
  <w:p w14:paraId="13E523BE" w14:textId="4BF55F0A" w:rsidR="00F0656A" w:rsidRDefault="00F0656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8FCC" w14:textId="77777777" w:rsidR="00F0656A" w:rsidRDefault="00F0656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66B43" w14:textId="61991D6E" w:rsidR="00F0656A" w:rsidRDefault="00F0656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B2DB" w14:textId="77777777" w:rsidR="00F0656A" w:rsidRDefault="00F0656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DE88" w14:textId="7862F145" w:rsidR="00F0656A" w:rsidRDefault="00F0656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34CC7" w14:textId="1FC15CBF" w:rsidR="00F0656A" w:rsidRDefault="00F0656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3F18" w14:textId="4A0AEA0A" w:rsidR="00F0656A" w:rsidRDefault="00F0656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49F5" w14:textId="668A508D" w:rsidR="00F0656A" w:rsidRDefault="00F0656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BFE0" w14:textId="580FE06E" w:rsidR="00F0656A" w:rsidRPr="00121069" w:rsidRDefault="00F0656A" w:rsidP="00210B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D2D3F" w14:textId="3E4F6F32" w:rsidR="00F0656A" w:rsidRDefault="00F0656A" w:rsidP="00210B59">
    <w:pPr>
      <w:pStyle w:val="RRCoverResearchReport"/>
    </w:pPr>
  </w:p>
  <w:p w14:paraId="10CD9F75" w14:textId="77777777" w:rsidR="00F0656A" w:rsidRDefault="00F0656A" w:rsidP="00210B59">
    <w:pPr>
      <w:pStyle w:val="RRCoverResearchReport"/>
    </w:pPr>
    <w:r w:rsidRPr="001F1784">
      <w:rPr>
        <w:color w:val="0A4977" w:themeColor="text2"/>
      </w:rPr>
      <w:t>Milliman</w:t>
    </w:r>
    <w:r w:rsidRPr="003169DD">
      <w:t xml:space="preserve"> </w:t>
    </w:r>
    <w:r>
      <w:t>Client</w:t>
    </w:r>
    <w:r w:rsidRPr="003169DD">
      <w:t xml:space="preserve"> Report</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8BC39" w14:textId="46F600D2" w:rsidR="00F0656A" w:rsidRDefault="00F0656A" w:rsidP="00210B59">
    <w:pPr>
      <w:pStyle w:val="RRHeader"/>
    </w:pPr>
    <w:r w:rsidRPr="006C3AFC">
      <w:rPr>
        <w:color w:val="0A4977" w:themeColor="text2"/>
      </w:rPr>
      <w:t xml:space="preserve">Milliman </w:t>
    </w:r>
    <w:r>
      <w:t>Research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1143C" w14:textId="2893D80E" w:rsidR="00F0656A" w:rsidRDefault="00F065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31E6" w14:textId="4907F8F2" w:rsidR="00F0656A" w:rsidRPr="004E09DD" w:rsidRDefault="00F0656A" w:rsidP="009503CA">
    <w:pPr>
      <w:pStyle w:val="RRHeader2"/>
    </w:pPr>
    <w:r w:rsidRPr="001F1784">
      <w:rPr>
        <w:rFonts w:ascii="Arial" w:hAnsi="Arial" w:cs="Arial"/>
        <w:color w:val="0A4977" w:themeColor="text2"/>
      </w:rPr>
      <w:t>Milliman</w:t>
    </w:r>
    <w:r w:rsidRPr="001F1784">
      <w:rPr>
        <w:color w:val="0A4977" w:themeColor="text2"/>
      </w:rPr>
      <w:t xml:space="preserve"> </w:t>
    </w:r>
    <w:r>
      <w:rPr>
        <w:color w:val="39414D"/>
      </w:rPr>
      <w:t>Client</w:t>
    </w:r>
    <w:r w:rsidRPr="00075BFF">
      <w:rPr>
        <w:color w:val="39414D"/>
      </w:rPr>
      <w:t xml:space="preserve">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B06F2" w14:textId="51403DE8" w:rsidR="00F0656A" w:rsidRDefault="00F0656A" w:rsidP="00B00F42">
    <w:pPr>
      <w:pStyle w:val="RRHeader"/>
    </w:pPr>
    <w:r w:rsidRPr="001F1784">
      <w:rPr>
        <w:rFonts w:ascii="Arial" w:hAnsi="Arial" w:cs="Arial"/>
        <w:color w:val="0A4977" w:themeColor="text2"/>
      </w:rPr>
      <w:t>Milliman</w:t>
    </w:r>
    <w:r w:rsidRPr="001F1784">
      <w:rPr>
        <w:color w:val="0A4977" w:themeColor="text2"/>
      </w:rPr>
      <w:t xml:space="preserve"> </w:t>
    </w:r>
    <w:r>
      <w:rPr>
        <w:color w:val="39414D"/>
      </w:rPr>
      <w:t>Client</w:t>
    </w:r>
    <w:r w:rsidRPr="00075BFF">
      <w:rPr>
        <w:color w:val="39414D"/>
      </w:rPr>
      <w:t xml:space="preserve">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F9DE" w14:textId="108C2509" w:rsidR="00F0656A" w:rsidRDefault="00F065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13E4" w14:textId="6B757966" w:rsidR="00F0656A" w:rsidRDefault="00F0656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53B2" w14:textId="00450A04" w:rsidR="00F0656A" w:rsidRDefault="00F0656A" w:rsidP="00210B59">
    <w:pPr>
      <w:pStyle w:val="RRHeader"/>
    </w:pPr>
    <w:r w:rsidRPr="001F1784">
      <w:rPr>
        <w:rFonts w:ascii="Arial" w:hAnsi="Arial" w:cs="Arial"/>
        <w:color w:val="0A4977" w:themeColor="text2"/>
      </w:rPr>
      <w:t>Milliman</w:t>
    </w:r>
    <w:r w:rsidRPr="001F1784">
      <w:rPr>
        <w:color w:val="0A4977" w:themeColor="text2"/>
      </w:rPr>
      <w:t xml:space="preserve"> </w:t>
    </w:r>
    <w:r>
      <w:t>CLIENT</w:t>
    </w:r>
    <w:r w:rsidRPr="00075BFF">
      <w:t xml:space="preserve"> Report</w:t>
    </w:r>
  </w:p>
  <w:p w14:paraId="45CC8DE2" w14:textId="48389E3C" w:rsidR="00F0656A" w:rsidRDefault="00F0656A" w:rsidP="00210B59"/>
  <w:p w14:paraId="536BF61C" w14:textId="5C44BFAA" w:rsidR="00F0656A" w:rsidRDefault="00F0656A" w:rsidP="00210B59"/>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5F1BB" w14:textId="03774D2F" w:rsidR="00F0656A" w:rsidRDefault="00F06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974E054"/>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1" w15:restartNumberingAfterBreak="0">
    <w:nsid w:val="01AF5682"/>
    <w:multiLevelType w:val="hybridMultilevel"/>
    <w:tmpl w:val="B8563FAA"/>
    <w:lvl w:ilvl="0" w:tplc="D72A170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E3F18"/>
    <w:multiLevelType w:val="multilevel"/>
    <w:tmpl w:val="5DACF888"/>
    <w:lvl w:ilvl="0">
      <w:start w:val="1"/>
      <w:numFmt w:val="decimal"/>
      <w:pStyle w:val="RRNumberedSubhead1"/>
      <w:lvlText w:val="%1."/>
      <w:lvlJc w:val="left"/>
      <w:pPr>
        <w:ind w:left="360" w:hanging="360"/>
      </w:pPr>
      <w:rPr>
        <w:rFonts w:hint="default"/>
      </w:rPr>
    </w:lvl>
    <w:lvl w:ilvl="1">
      <w:start w:val="2"/>
      <w:numFmt w:val="decimal"/>
      <w:lvlRestart w:val="0"/>
      <w:lvlText w:val="%1.%2."/>
      <w:lvlJc w:val="left"/>
      <w:pPr>
        <w:ind w:left="792" w:hanging="432"/>
      </w:pPr>
      <w:rPr>
        <w:rFonts w:hint="default"/>
      </w:rPr>
    </w:lvl>
    <w:lvl w:ilvl="2">
      <w:start w:val="3"/>
      <w:numFmt w:val="decimal"/>
      <w:lvlRestart w:val="0"/>
      <w:lvlText w:val="%1.%2.%3."/>
      <w:lvlJc w:val="left"/>
      <w:pPr>
        <w:ind w:left="131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6066A6"/>
    <w:multiLevelType w:val="hybridMultilevel"/>
    <w:tmpl w:val="A3BE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B7BBB"/>
    <w:multiLevelType w:val="hybridMultilevel"/>
    <w:tmpl w:val="EDFA3594"/>
    <w:lvl w:ilvl="0" w:tplc="9710DC82">
      <w:start w:val="1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66F"/>
    <w:multiLevelType w:val="hybridMultilevel"/>
    <w:tmpl w:val="41AA932A"/>
    <w:lvl w:ilvl="0" w:tplc="3C841C70">
      <w:start w:val="1"/>
      <w:numFmt w:val="bullet"/>
      <w:lvlText w:val=""/>
      <w:lvlJc w:val="left"/>
      <w:pPr>
        <w:ind w:left="720" w:hanging="360"/>
      </w:pPr>
      <w:rPr>
        <w:rFonts w:ascii="Wingdings 2" w:hAnsi="Wingdings 2" w:hint="default"/>
        <w:color w:val="727A7D" w:themeColor="accent3"/>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A513A"/>
    <w:multiLevelType w:val="hybridMultilevel"/>
    <w:tmpl w:val="336E623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95D3DA6"/>
    <w:multiLevelType w:val="hybridMultilevel"/>
    <w:tmpl w:val="3E663DA6"/>
    <w:lvl w:ilvl="0" w:tplc="94085FCA">
      <w:start w:val="1"/>
      <w:numFmt w:val="decimal"/>
      <w:pStyle w:val="RR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87C99"/>
    <w:multiLevelType w:val="hybridMultilevel"/>
    <w:tmpl w:val="A31C099E"/>
    <w:lvl w:ilvl="0" w:tplc="3C841C70">
      <w:start w:val="1"/>
      <w:numFmt w:val="bullet"/>
      <w:lvlText w:val=""/>
      <w:lvlJc w:val="left"/>
      <w:pPr>
        <w:ind w:left="720" w:hanging="360"/>
      </w:pPr>
      <w:rPr>
        <w:rFonts w:ascii="Wingdings 2" w:hAnsi="Wingdings 2" w:hint="default"/>
        <w:color w:val="727A7D" w:themeColor="accent3"/>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8558D"/>
    <w:multiLevelType w:val="hybridMultilevel"/>
    <w:tmpl w:val="13527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57D3A"/>
    <w:multiLevelType w:val="multilevel"/>
    <w:tmpl w:val="E1FC10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643236B"/>
    <w:multiLevelType w:val="hybridMultilevel"/>
    <w:tmpl w:val="51DE4674"/>
    <w:lvl w:ilvl="0" w:tplc="28A6C9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C46DF"/>
    <w:multiLevelType w:val="multilevel"/>
    <w:tmpl w:val="DE2A75E0"/>
    <w:lvl w:ilvl="0">
      <w:start w:val="1"/>
      <w:numFmt w:val="decimal"/>
      <w:lvlText w:val="%1"/>
      <w:lvlJc w:val="left"/>
      <w:pPr>
        <w:ind w:left="360" w:hanging="360"/>
      </w:pPr>
      <w:rPr>
        <w:rFonts w:hint="default"/>
      </w:rPr>
    </w:lvl>
    <w:lvl w:ilvl="1">
      <w:start w:val="1"/>
      <w:numFmt w:val="decimal"/>
      <w:pStyle w:val="RRNumberedSubhead2"/>
      <w:lvlText w:val="%1.%2"/>
      <w:lvlJc w:val="left"/>
      <w:pPr>
        <w:ind w:left="720" w:hanging="360"/>
      </w:pPr>
      <w:rPr>
        <w:rFonts w:hint="default"/>
      </w:rPr>
    </w:lvl>
    <w:lvl w:ilvl="2">
      <w:start w:val="1"/>
      <w:numFmt w:val="decimal"/>
      <w:pStyle w:val="RRNumberedSubhead3"/>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4991CA4"/>
    <w:multiLevelType w:val="hybridMultilevel"/>
    <w:tmpl w:val="E5B85CEC"/>
    <w:lvl w:ilvl="0" w:tplc="9A7AAED4">
      <w:start w:val="1"/>
      <w:numFmt w:val="bullet"/>
      <w:lvlText w:val=""/>
      <w:lvlJc w:val="left"/>
      <w:pPr>
        <w:ind w:left="720" w:hanging="360"/>
      </w:pPr>
      <w:rPr>
        <w:rFonts w:ascii="Wingdings" w:hAnsi="Wingdings" w:hint="default"/>
        <w:color w:val="727A7D" w:themeColor="accent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35608"/>
    <w:multiLevelType w:val="hybridMultilevel"/>
    <w:tmpl w:val="9634E8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773FD"/>
    <w:multiLevelType w:val="hybridMultilevel"/>
    <w:tmpl w:val="8104086E"/>
    <w:lvl w:ilvl="0" w:tplc="AC5E3170">
      <w:start w:val="1"/>
      <w:numFmt w:val="lowerRoman"/>
      <w:pStyle w:val="RRNumberedRoman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FD5DB0"/>
    <w:multiLevelType w:val="hybridMultilevel"/>
    <w:tmpl w:val="9D9CE8AE"/>
    <w:lvl w:ilvl="0" w:tplc="130C160A">
      <w:start w:val="1"/>
      <w:numFmt w:val="lowerRoman"/>
      <w:pStyle w:val="Heading6"/>
      <w:lvlText w:val="(%1)"/>
      <w:lvlJc w:val="left"/>
      <w:pPr>
        <w:ind w:left="1152" w:hanging="360"/>
      </w:pPr>
      <w:rPr>
        <w:rFonts w:hint="default"/>
        <w:sz w:val="17"/>
        <w:szCs w:val="17"/>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1C03704"/>
    <w:multiLevelType w:val="hybridMultilevel"/>
    <w:tmpl w:val="A78058C2"/>
    <w:lvl w:ilvl="0" w:tplc="3C841C70">
      <w:start w:val="1"/>
      <w:numFmt w:val="bullet"/>
      <w:lvlText w:val=""/>
      <w:lvlJc w:val="left"/>
      <w:pPr>
        <w:ind w:left="360" w:hanging="360"/>
      </w:pPr>
      <w:rPr>
        <w:rFonts w:ascii="Wingdings 2" w:hAnsi="Wingdings 2" w:hint="default"/>
        <w:color w:val="727A7D" w:themeColor="accent3"/>
        <w:sz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1900D6"/>
    <w:multiLevelType w:val="hybridMultilevel"/>
    <w:tmpl w:val="61C2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B18E9"/>
    <w:multiLevelType w:val="hybridMultilevel"/>
    <w:tmpl w:val="237001CE"/>
    <w:lvl w:ilvl="0" w:tplc="923449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F8255F"/>
    <w:multiLevelType w:val="multilevel"/>
    <w:tmpl w:val="7E8EB64C"/>
    <w:lvl w:ilvl="0">
      <w:start w:val="1"/>
      <w:numFmt w:val="lowerRoman"/>
      <w:lvlText w:val="(%1)"/>
      <w:lvlJc w:val="left"/>
      <w:pPr>
        <w:tabs>
          <w:tab w:val="num" w:pos="360"/>
        </w:tabs>
        <w:ind w:left="1080" w:hanging="1080"/>
      </w:pPr>
      <w:rPr>
        <w:rFonts w:hint="default"/>
      </w:rPr>
    </w:lvl>
    <w:lvl w:ilvl="1">
      <w:start w:val="1"/>
      <w:numFmt w:val="upperLetter"/>
      <w:pStyle w:val="Heading3"/>
      <w:lvlText w:val="%2."/>
      <w:lvlJc w:val="left"/>
      <w:pPr>
        <w:tabs>
          <w:tab w:val="num" w:pos="360"/>
        </w:tabs>
        <w:ind w:left="1080" w:hanging="1080"/>
      </w:pPr>
      <w:rPr>
        <w:rFonts w:hint="default"/>
      </w:rPr>
    </w:lvl>
    <w:lvl w:ilvl="2">
      <w:start w:val="1"/>
      <w:numFmt w:val="lowerRoman"/>
      <w:pStyle w:val="Heading4"/>
      <w:lvlText w:val="%3."/>
      <w:lvlJc w:val="left"/>
      <w:pPr>
        <w:tabs>
          <w:tab w:val="num" w:pos="360"/>
        </w:tabs>
        <w:ind w:left="1080" w:hanging="1080"/>
      </w:pPr>
      <w:rPr>
        <w:rFonts w:hint="default"/>
        <w:sz w:val="22"/>
        <w:szCs w:val="22"/>
      </w:rPr>
    </w:lvl>
    <w:lvl w:ilvl="3">
      <w:start w:val="1"/>
      <w:numFmt w:val="lowerLetter"/>
      <w:pStyle w:val="Heading5"/>
      <w:lvlText w:val="(%4)"/>
      <w:lvlJc w:val="left"/>
      <w:pPr>
        <w:tabs>
          <w:tab w:val="num" w:pos="504"/>
        </w:tabs>
        <w:ind w:left="2880" w:hanging="273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08F2039"/>
    <w:multiLevelType w:val="hybridMultilevel"/>
    <w:tmpl w:val="C9BE3B5A"/>
    <w:lvl w:ilvl="0" w:tplc="6D62E13E">
      <w:start w:val="1"/>
      <w:numFmt w:val="decimal"/>
      <w:pStyle w:val="Heading2"/>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15416E0"/>
    <w:multiLevelType w:val="hybridMultilevel"/>
    <w:tmpl w:val="FFEE02F2"/>
    <w:lvl w:ilvl="0" w:tplc="48983C2E">
      <w:start w:val="1"/>
      <w:numFmt w:val="decimal"/>
      <w:pStyle w:val="RRNumberTable"/>
      <w:lvlText w:val="%1."/>
      <w:lvlJc w:val="left"/>
      <w:pPr>
        <w:ind w:left="720" w:hanging="360"/>
      </w:pPr>
      <w:rPr>
        <w:color w:val="727A7D" w:themeColor="accent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29A0363"/>
    <w:multiLevelType w:val="multilevel"/>
    <w:tmpl w:val="F78E84EC"/>
    <w:lvl w:ilvl="0">
      <w:start w:val="1"/>
      <w:numFmt w:val="decimal"/>
      <w:pStyle w:val="ListBullet"/>
      <w:lvlText w:val="%1."/>
      <w:lvlJc w:val="left"/>
      <w:pPr>
        <w:tabs>
          <w:tab w:val="num" w:pos="360"/>
        </w:tabs>
        <w:ind w:left="1080" w:hanging="1080"/>
      </w:pPr>
      <w:rPr>
        <w:rFonts w:hint="default"/>
      </w:rPr>
    </w:lvl>
    <w:lvl w:ilvl="1">
      <w:start w:val="1"/>
      <w:numFmt w:val="upperLetter"/>
      <w:lvlText w:val="%2."/>
      <w:lvlJc w:val="left"/>
      <w:pPr>
        <w:tabs>
          <w:tab w:val="num" w:pos="360"/>
        </w:tabs>
        <w:ind w:left="1080" w:hanging="1080"/>
      </w:pPr>
      <w:rPr>
        <w:rFonts w:hint="default"/>
      </w:rPr>
    </w:lvl>
    <w:lvl w:ilvl="2">
      <w:start w:val="1"/>
      <w:numFmt w:val="lowerRoman"/>
      <w:lvlText w:val="%3."/>
      <w:lvlJc w:val="left"/>
      <w:pPr>
        <w:tabs>
          <w:tab w:val="num" w:pos="360"/>
        </w:tabs>
        <w:ind w:left="1080" w:hanging="1080"/>
      </w:pPr>
      <w:rPr>
        <w:rFonts w:hint="default"/>
      </w:rPr>
    </w:lvl>
    <w:lvl w:ilvl="3">
      <w:start w:val="1"/>
      <w:numFmt w:val="lowerLetter"/>
      <w:lvlText w:val="(%4)"/>
      <w:lvlJc w:val="left"/>
      <w:pPr>
        <w:tabs>
          <w:tab w:val="num" w:pos="504"/>
        </w:tabs>
        <w:ind w:left="2880" w:hanging="273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53B5DFE"/>
    <w:multiLevelType w:val="hybridMultilevel"/>
    <w:tmpl w:val="42C63C1E"/>
    <w:lvl w:ilvl="0" w:tplc="3C841C70">
      <w:start w:val="1"/>
      <w:numFmt w:val="bullet"/>
      <w:lvlText w:val=""/>
      <w:lvlJc w:val="left"/>
      <w:pPr>
        <w:ind w:left="360" w:hanging="360"/>
      </w:pPr>
      <w:rPr>
        <w:rFonts w:ascii="Wingdings 2" w:hAnsi="Wingdings 2" w:hint="default"/>
        <w:color w:val="727A7D" w:themeColor="accent3"/>
        <w:sz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5032EC"/>
    <w:multiLevelType w:val="hybridMultilevel"/>
    <w:tmpl w:val="5B10DC68"/>
    <w:lvl w:ilvl="0" w:tplc="3C841C70">
      <w:start w:val="1"/>
      <w:numFmt w:val="bullet"/>
      <w:pStyle w:val="RRBullet1"/>
      <w:lvlText w:val=""/>
      <w:lvlJc w:val="left"/>
      <w:pPr>
        <w:ind w:left="360" w:hanging="360"/>
      </w:pPr>
      <w:rPr>
        <w:rFonts w:ascii="Wingdings 2" w:hAnsi="Wingdings 2" w:hint="default"/>
        <w:color w:val="727A7D" w:themeColor="accent3"/>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AE7F76"/>
    <w:multiLevelType w:val="hybridMultilevel"/>
    <w:tmpl w:val="DB806CEA"/>
    <w:lvl w:ilvl="0" w:tplc="B70E1BD0">
      <w:start w:val="1"/>
      <w:numFmt w:val="bullet"/>
      <w:pStyle w:val="RRBullet2"/>
      <w:lvlText w:val="−"/>
      <w:lvlJc w:val="left"/>
      <w:pPr>
        <w:ind w:left="540" w:hanging="360"/>
      </w:pPr>
      <w:rPr>
        <w:rFonts w:ascii="Arial" w:hAnsi="Arial" w:hint="default"/>
        <w:color w:val="727A7D" w:themeColor="accent3"/>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A2856"/>
    <w:multiLevelType w:val="hybridMultilevel"/>
    <w:tmpl w:val="97F6314C"/>
    <w:lvl w:ilvl="0" w:tplc="BD6444D6">
      <w:start w:val="1"/>
      <w:numFmt w:val="lowerRoman"/>
      <w:lvlText w:val="(%1)"/>
      <w:lvlJc w:val="left"/>
      <w:pPr>
        <w:ind w:left="1152" w:hanging="360"/>
      </w:pPr>
      <w:rPr>
        <w:rFonts w:hint="default"/>
        <w:sz w:val="17"/>
        <w:szCs w:val="17"/>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77251E1D"/>
    <w:multiLevelType w:val="hybridMultilevel"/>
    <w:tmpl w:val="614885C2"/>
    <w:lvl w:ilvl="0" w:tplc="DBC81E92">
      <w:start w:val="1"/>
      <w:numFmt w:val="decimal"/>
      <w:pStyle w:val="RRNumber2"/>
      <w:lvlText w:val="%1."/>
      <w:lvlJc w:val="left"/>
      <w:pPr>
        <w:ind w:left="960" w:hanging="360"/>
      </w:pPr>
      <w:rPr>
        <w:rFonts w:hint="default"/>
        <w:sz w:val="16"/>
        <w:u w:color="727A7D" w:themeColor="accent3"/>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25"/>
  </w:num>
  <w:num w:numId="2">
    <w:abstractNumId w:val="26"/>
  </w:num>
  <w:num w:numId="3">
    <w:abstractNumId w:val="7"/>
  </w:num>
  <w:num w:numId="4">
    <w:abstractNumId w:val="2"/>
  </w:num>
  <w:num w:numId="5">
    <w:abstractNumId w:val="15"/>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12"/>
  </w:num>
  <w:num w:numId="9">
    <w:abstractNumId w:val="20"/>
  </w:num>
  <w:num w:numId="10">
    <w:abstractNumId w:val="14"/>
  </w:num>
  <w:num w:numId="11">
    <w:abstractNumId w:val="3"/>
  </w:num>
  <w:num w:numId="12">
    <w:abstractNumId w:val="0"/>
  </w:num>
  <w:num w:numId="13">
    <w:abstractNumId w:val="21"/>
  </w:num>
  <w:num w:numId="14">
    <w:abstractNumId w:val="16"/>
  </w:num>
  <w:num w:numId="15">
    <w:abstractNumId w:val="23"/>
  </w:num>
  <w:num w:numId="16">
    <w:abstractNumId w:val="6"/>
  </w:num>
  <w:num w:numId="17">
    <w:abstractNumId w:val="19"/>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num>
  <w:num w:numId="20">
    <w:abstractNumId w:val="16"/>
    <w:lvlOverride w:ilvl="0">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num>
  <w:num w:numId="27">
    <w:abstractNumId w:val="16"/>
    <w:lvlOverride w:ilvl="0">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24"/>
  </w:num>
  <w:num w:numId="31">
    <w:abstractNumId w:val="16"/>
    <w:lvlOverride w:ilvl="0">
      <w:startOverride w:val="1"/>
    </w:lvlOverride>
  </w:num>
  <w:num w:numId="32">
    <w:abstractNumId w:val="8"/>
  </w:num>
  <w:num w:numId="33">
    <w:abstractNumId w:val="21"/>
    <w:lvlOverride w:ilvl="0">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num>
  <w:num w:numId="36">
    <w:abstractNumId w:val="27"/>
  </w:num>
  <w:num w:numId="37">
    <w:abstractNumId w:val="27"/>
    <w:lvlOverride w:ilvl="0">
      <w:startOverride w:val="1"/>
    </w:lvlOverride>
  </w:num>
  <w:num w:numId="38">
    <w:abstractNumId w:val="16"/>
    <w:lvlOverride w:ilvl="0">
      <w:startOverride w:val="1"/>
    </w:lvlOverride>
  </w:num>
  <w:num w:numId="39">
    <w:abstractNumId w:val="13"/>
  </w:num>
  <w:num w:numId="40">
    <w:abstractNumId w:val="10"/>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0"/>
  </w:num>
  <w:num w:numId="52">
    <w:abstractNumId w:val="16"/>
    <w:lvlOverride w:ilvl="0">
      <w:startOverride w:val="1"/>
    </w:lvlOverride>
  </w:num>
  <w:num w:numId="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7"/>
  </w:num>
  <w:num w:numId="55">
    <w:abstractNumId w:val="9"/>
  </w:num>
  <w:num w:numId="56">
    <w:abstractNumId w:val="4"/>
  </w:num>
  <w:num w:numId="57">
    <w:abstractNumId w:val="18"/>
  </w:num>
  <w:num w:numId="58">
    <w:abstractNumId w:val="11"/>
  </w:num>
  <w:num w:numId="59">
    <w:abstractNumId w:val="1"/>
  </w:num>
  <w:num w:numId="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6"/>
    <w:lvlOverride w:ilvl="0">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327682"/>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7A"/>
    <w:rsid w:val="00000574"/>
    <w:rsid w:val="00000BE2"/>
    <w:rsid w:val="000018E8"/>
    <w:rsid w:val="00002852"/>
    <w:rsid w:val="00002A9A"/>
    <w:rsid w:val="00004020"/>
    <w:rsid w:val="0000556D"/>
    <w:rsid w:val="00005CE8"/>
    <w:rsid w:val="00005F0A"/>
    <w:rsid w:val="000067E5"/>
    <w:rsid w:val="0000683E"/>
    <w:rsid w:val="00007872"/>
    <w:rsid w:val="00010D5D"/>
    <w:rsid w:val="00011AC2"/>
    <w:rsid w:val="00011F92"/>
    <w:rsid w:val="000120CB"/>
    <w:rsid w:val="00013033"/>
    <w:rsid w:val="00013385"/>
    <w:rsid w:val="00013454"/>
    <w:rsid w:val="00013998"/>
    <w:rsid w:val="00013FA1"/>
    <w:rsid w:val="00014201"/>
    <w:rsid w:val="00017EA6"/>
    <w:rsid w:val="000203D7"/>
    <w:rsid w:val="00020F69"/>
    <w:rsid w:val="00023356"/>
    <w:rsid w:val="00023C81"/>
    <w:rsid w:val="00023E5A"/>
    <w:rsid w:val="0002427A"/>
    <w:rsid w:val="0002438F"/>
    <w:rsid w:val="000248C8"/>
    <w:rsid w:val="000257AC"/>
    <w:rsid w:val="00025874"/>
    <w:rsid w:val="000260C4"/>
    <w:rsid w:val="00026C52"/>
    <w:rsid w:val="00030033"/>
    <w:rsid w:val="0003230F"/>
    <w:rsid w:val="00033C0D"/>
    <w:rsid w:val="00033D17"/>
    <w:rsid w:val="00034B27"/>
    <w:rsid w:val="00035E95"/>
    <w:rsid w:val="0003610C"/>
    <w:rsid w:val="00036973"/>
    <w:rsid w:val="00036A6D"/>
    <w:rsid w:val="000376A8"/>
    <w:rsid w:val="00040E22"/>
    <w:rsid w:val="00041418"/>
    <w:rsid w:val="00041FEB"/>
    <w:rsid w:val="000426D7"/>
    <w:rsid w:val="000434E5"/>
    <w:rsid w:val="00043705"/>
    <w:rsid w:val="00043814"/>
    <w:rsid w:val="0004690F"/>
    <w:rsid w:val="00046D04"/>
    <w:rsid w:val="00046F6E"/>
    <w:rsid w:val="00047BB4"/>
    <w:rsid w:val="00050563"/>
    <w:rsid w:val="00050A79"/>
    <w:rsid w:val="00050D82"/>
    <w:rsid w:val="000514E6"/>
    <w:rsid w:val="00051772"/>
    <w:rsid w:val="00051D28"/>
    <w:rsid w:val="00052FE4"/>
    <w:rsid w:val="0005498F"/>
    <w:rsid w:val="000552EB"/>
    <w:rsid w:val="00056AF0"/>
    <w:rsid w:val="00056F68"/>
    <w:rsid w:val="00057309"/>
    <w:rsid w:val="00060B2E"/>
    <w:rsid w:val="000620C8"/>
    <w:rsid w:val="00064730"/>
    <w:rsid w:val="00064C2F"/>
    <w:rsid w:val="00071264"/>
    <w:rsid w:val="00071A34"/>
    <w:rsid w:val="000731E0"/>
    <w:rsid w:val="000738B2"/>
    <w:rsid w:val="000740C6"/>
    <w:rsid w:val="000750F1"/>
    <w:rsid w:val="00075A9F"/>
    <w:rsid w:val="00075BFF"/>
    <w:rsid w:val="00075DA7"/>
    <w:rsid w:val="0007647B"/>
    <w:rsid w:val="0008019F"/>
    <w:rsid w:val="00080B8F"/>
    <w:rsid w:val="00081A4A"/>
    <w:rsid w:val="00081D7A"/>
    <w:rsid w:val="0008221E"/>
    <w:rsid w:val="00083E5A"/>
    <w:rsid w:val="00084133"/>
    <w:rsid w:val="00084359"/>
    <w:rsid w:val="000844D1"/>
    <w:rsid w:val="00084CC9"/>
    <w:rsid w:val="00084E9A"/>
    <w:rsid w:val="00084FCD"/>
    <w:rsid w:val="00085891"/>
    <w:rsid w:val="00085954"/>
    <w:rsid w:val="000860F0"/>
    <w:rsid w:val="000865BE"/>
    <w:rsid w:val="00086E97"/>
    <w:rsid w:val="00087334"/>
    <w:rsid w:val="00087993"/>
    <w:rsid w:val="00087FB9"/>
    <w:rsid w:val="00090611"/>
    <w:rsid w:val="000909A2"/>
    <w:rsid w:val="00090A80"/>
    <w:rsid w:val="00091353"/>
    <w:rsid w:val="0009183D"/>
    <w:rsid w:val="00092779"/>
    <w:rsid w:val="00092E22"/>
    <w:rsid w:val="00093F7F"/>
    <w:rsid w:val="00094331"/>
    <w:rsid w:val="0009742C"/>
    <w:rsid w:val="000976FE"/>
    <w:rsid w:val="000A0931"/>
    <w:rsid w:val="000A0FC8"/>
    <w:rsid w:val="000A1530"/>
    <w:rsid w:val="000A1F09"/>
    <w:rsid w:val="000A2742"/>
    <w:rsid w:val="000A35AC"/>
    <w:rsid w:val="000A36B8"/>
    <w:rsid w:val="000A37DF"/>
    <w:rsid w:val="000A54FE"/>
    <w:rsid w:val="000A61D5"/>
    <w:rsid w:val="000A6C0D"/>
    <w:rsid w:val="000B0A54"/>
    <w:rsid w:val="000B3138"/>
    <w:rsid w:val="000B37CB"/>
    <w:rsid w:val="000B38AB"/>
    <w:rsid w:val="000B3F6B"/>
    <w:rsid w:val="000B44FD"/>
    <w:rsid w:val="000B519A"/>
    <w:rsid w:val="000B5545"/>
    <w:rsid w:val="000B6A57"/>
    <w:rsid w:val="000C0BCD"/>
    <w:rsid w:val="000C17D0"/>
    <w:rsid w:val="000C2919"/>
    <w:rsid w:val="000C32DA"/>
    <w:rsid w:val="000C4D90"/>
    <w:rsid w:val="000C4FEE"/>
    <w:rsid w:val="000C53EB"/>
    <w:rsid w:val="000C5FCF"/>
    <w:rsid w:val="000C6E5D"/>
    <w:rsid w:val="000C6F7F"/>
    <w:rsid w:val="000D0216"/>
    <w:rsid w:val="000D05EC"/>
    <w:rsid w:val="000D2121"/>
    <w:rsid w:val="000D2BCB"/>
    <w:rsid w:val="000D33CE"/>
    <w:rsid w:val="000D340A"/>
    <w:rsid w:val="000D3679"/>
    <w:rsid w:val="000D3C2C"/>
    <w:rsid w:val="000D4134"/>
    <w:rsid w:val="000D53E0"/>
    <w:rsid w:val="000D5928"/>
    <w:rsid w:val="000D74E1"/>
    <w:rsid w:val="000D7F92"/>
    <w:rsid w:val="000E0FA9"/>
    <w:rsid w:val="000E1714"/>
    <w:rsid w:val="000E3999"/>
    <w:rsid w:val="000E5BF8"/>
    <w:rsid w:val="000E7E31"/>
    <w:rsid w:val="000F2037"/>
    <w:rsid w:val="000F2AB9"/>
    <w:rsid w:val="000F32C5"/>
    <w:rsid w:val="000F3D8D"/>
    <w:rsid w:val="000F3D8E"/>
    <w:rsid w:val="000F4069"/>
    <w:rsid w:val="000F41B7"/>
    <w:rsid w:val="000F5DC6"/>
    <w:rsid w:val="000F6150"/>
    <w:rsid w:val="000F672E"/>
    <w:rsid w:val="000F7ACF"/>
    <w:rsid w:val="001002E6"/>
    <w:rsid w:val="00101A48"/>
    <w:rsid w:val="00102133"/>
    <w:rsid w:val="00102FB9"/>
    <w:rsid w:val="001032BA"/>
    <w:rsid w:val="00103C4A"/>
    <w:rsid w:val="0010550E"/>
    <w:rsid w:val="0010575C"/>
    <w:rsid w:val="001064EC"/>
    <w:rsid w:val="0010691C"/>
    <w:rsid w:val="00106AA3"/>
    <w:rsid w:val="00110B5C"/>
    <w:rsid w:val="001113DE"/>
    <w:rsid w:val="00111A7A"/>
    <w:rsid w:val="001124F1"/>
    <w:rsid w:val="001126E5"/>
    <w:rsid w:val="0011414A"/>
    <w:rsid w:val="0011477C"/>
    <w:rsid w:val="001151A9"/>
    <w:rsid w:val="00115557"/>
    <w:rsid w:val="00115F73"/>
    <w:rsid w:val="00116DC6"/>
    <w:rsid w:val="00117189"/>
    <w:rsid w:val="001175E8"/>
    <w:rsid w:val="00117A87"/>
    <w:rsid w:val="001201FA"/>
    <w:rsid w:val="001205A2"/>
    <w:rsid w:val="00120AFF"/>
    <w:rsid w:val="00121069"/>
    <w:rsid w:val="0012131E"/>
    <w:rsid w:val="00122817"/>
    <w:rsid w:val="00122E39"/>
    <w:rsid w:val="00123D2B"/>
    <w:rsid w:val="00124CD6"/>
    <w:rsid w:val="001252C5"/>
    <w:rsid w:val="00125A1E"/>
    <w:rsid w:val="0012609C"/>
    <w:rsid w:val="001263E7"/>
    <w:rsid w:val="00126486"/>
    <w:rsid w:val="001269F3"/>
    <w:rsid w:val="001276BF"/>
    <w:rsid w:val="00127884"/>
    <w:rsid w:val="00130609"/>
    <w:rsid w:val="00130FF5"/>
    <w:rsid w:val="00131B55"/>
    <w:rsid w:val="00131CCC"/>
    <w:rsid w:val="00132066"/>
    <w:rsid w:val="00132632"/>
    <w:rsid w:val="00132EC4"/>
    <w:rsid w:val="001339A5"/>
    <w:rsid w:val="00133E8C"/>
    <w:rsid w:val="00134BFA"/>
    <w:rsid w:val="00135A86"/>
    <w:rsid w:val="00135B6A"/>
    <w:rsid w:val="00137270"/>
    <w:rsid w:val="00140BA7"/>
    <w:rsid w:val="00140C74"/>
    <w:rsid w:val="001411A8"/>
    <w:rsid w:val="00142986"/>
    <w:rsid w:val="001431FE"/>
    <w:rsid w:val="00143FBE"/>
    <w:rsid w:val="001454AB"/>
    <w:rsid w:val="001455E6"/>
    <w:rsid w:val="00145B1C"/>
    <w:rsid w:val="00146CFA"/>
    <w:rsid w:val="001471B9"/>
    <w:rsid w:val="00150D65"/>
    <w:rsid w:val="001526DF"/>
    <w:rsid w:val="00152B5A"/>
    <w:rsid w:val="00153D55"/>
    <w:rsid w:val="00155322"/>
    <w:rsid w:val="0015704D"/>
    <w:rsid w:val="00157600"/>
    <w:rsid w:val="00157C9B"/>
    <w:rsid w:val="00160BFF"/>
    <w:rsid w:val="0016149C"/>
    <w:rsid w:val="001628A8"/>
    <w:rsid w:val="00162D88"/>
    <w:rsid w:val="00163E0C"/>
    <w:rsid w:val="00163E13"/>
    <w:rsid w:val="00164F76"/>
    <w:rsid w:val="00165507"/>
    <w:rsid w:val="001666E5"/>
    <w:rsid w:val="00167363"/>
    <w:rsid w:val="00170504"/>
    <w:rsid w:val="00172869"/>
    <w:rsid w:val="00173234"/>
    <w:rsid w:val="00173DB0"/>
    <w:rsid w:val="00173EF5"/>
    <w:rsid w:val="00174F7C"/>
    <w:rsid w:val="00175F59"/>
    <w:rsid w:val="0017639B"/>
    <w:rsid w:val="00177657"/>
    <w:rsid w:val="00177F9C"/>
    <w:rsid w:val="00181E47"/>
    <w:rsid w:val="00182D20"/>
    <w:rsid w:val="00183726"/>
    <w:rsid w:val="00183F7F"/>
    <w:rsid w:val="0018414F"/>
    <w:rsid w:val="00184CBD"/>
    <w:rsid w:val="00186784"/>
    <w:rsid w:val="00187100"/>
    <w:rsid w:val="00190FC1"/>
    <w:rsid w:val="0019166E"/>
    <w:rsid w:val="00191E52"/>
    <w:rsid w:val="0019294E"/>
    <w:rsid w:val="00193198"/>
    <w:rsid w:val="00193D99"/>
    <w:rsid w:val="00196973"/>
    <w:rsid w:val="001977F6"/>
    <w:rsid w:val="00197A2E"/>
    <w:rsid w:val="00197DFF"/>
    <w:rsid w:val="001A12E8"/>
    <w:rsid w:val="001A1C4C"/>
    <w:rsid w:val="001A281A"/>
    <w:rsid w:val="001A4597"/>
    <w:rsid w:val="001A4DFA"/>
    <w:rsid w:val="001A703F"/>
    <w:rsid w:val="001A7B42"/>
    <w:rsid w:val="001B0777"/>
    <w:rsid w:val="001B115E"/>
    <w:rsid w:val="001B1651"/>
    <w:rsid w:val="001B1B0A"/>
    <w:rsid w:val="001B1C84"/>
    <w:rsid w:val="001B2A88"/>
    <w:rsid w:val="001B3DBD"/>
    <w:rsid w:val="001B47AC"/>
    <w:rsid w:val="001B4A3F"/>
    <w:rsid w:val="001B4A9C"/>
    <w:rsid w:val="001B544B"/>
    <w:rsid w:val="001B78CA"/>
    <w:rsid w:val="001C0CD7"/>
    <w:rsid w:val="001C0FFA"/>
    <w:rsid w:val="001C2346"/>
    <w:rsid w:val="001C4E02"/>
    <w:rsid w:val="001C5DE5"/>
    <w:rsid w:val="001D16B7"/>
    <w:rsid w:val="001D18BC"/>
    <w:rsid w:val="001D1A35"/>
    <w:rsid w:val="001D2403"/>
    <w:rsid w:val="001D321B"/>
    <w:rsid w:val="001D36E9"/>
    <w:rsid w:val="001D4324"/>
    <w:rsid w:val="001D4E5E"/>
    <w:rsid w:val="001D5170"/>
    <w:rsid w:val="001D6120"/>
    <w:rsid w:val="001D6EFE"/>
    <w:rsid w:val="001D7230"/>
    <w:rsid w:val="001D7F4A"/>
    <w:rsid w:val="001E0E4A"/>
    <w:rsid w:val="001E0EE7"/>
    <w:rsid w:val="001E21B5"/>
    <w:rsid w:val="001E2F76"/>
    <w:rsid w:val="001E33D9"/>
    <w:rsid w:val="001E3C64"/>
    <w:rsid w:val="001E46CF"/>
    <w:rsid w:val="001E5F71"/>
    <w:rsid w:val="001E61A4"/>
    <w:rsid w:val="001E72AF"/>
    <w:rsid w:val="001E7A33"/>
    <w:rsid w:val="001F0E69"/>
    <w:rsid w:val="001F0ED2"/>
    <w:rsid w:val="001F1784"/>
    <w:rsid w:val="001F2B1C"/>
    <w:rsid w:val="001F35BB"/>
    <w:rsid w:val="001F6236"/>
    <w:rsid w:val="001F64E5"/>
    <w:rsid w:val="001F6F18"/>
    <w:rsid w:val="001F790F"/>
    <w:rsid w:val="002005E9"/>
    <w:rsid w:val="00201009"/>
    <w:rsid w:val="002010B6"/>
    <w:rsid w:val="002013C5"/>
    <w:rsid w:val="00201EBF"/>
    <w:rsid w:val="00201FAF"/>
    <w:rsid w:val="002038FB"/>
    <w:rsid w:val="00204443"/>
    <w:rsid w:val="002052D0"/>
    <w:rsid w:val="00207F3F"/>
    <w:rsid w:val="00210051"/>
    <w:rsid w:val="00210A9F"/>
    <w:rsid w:val="00210B59"/>
    <w:rsid w:val="00212BAE"/>
    <w:rsid w:val="00212BC3"/>
    <w:rsid w:val="002139CC"/>
    <w:rsid w:val="00217093"/>
    <w:rsid w:val="002178B9"/>
    <w:rsid w:val="002211C6"/>
    <w:rsid w:val="0022132B"/>
    <w:rsid w:val="00223888"/>
    <w:rsid w:val="0022541E"/>
    <w:rsid w:val="00226718"/>
    <w:rsid w:val="00227132"/>
    <w:rsid w:val="002277A0"/>
    <w:rsid w:val="00227C66"/>
    <w:rsid w:val="00227E68"/>
    <w:rsid w:val="00230126"/>
    <w:rsid w:val="0023270B"/>
    <w:rsid w:val="00236B13"/>
    <w:rsid w:val="002407A3"/>
    <w:rsid w:val="00240D9F"/>
    <w:rsid w:val="00241EBB"/>
    <w:rsid w:val="002420CE"/>
    <w:rsid w:val="00243FE8"/>
    <w:rsid w:val="00244870"/>
    <w:rsid w:val="00245894"/>
    <w:rsid w:val="00245BAA"/>
    <w:rsid w:val="002466FA"/>
    <w:rsid w:val="002560C0"/>
    <w:rsid w:val="002564AB"/>
    <w:rsid w:val="00256511"/>
    <w:rsid w:val="00256528"/>
    <w:rsid w:val="002565D9"/>
    <w:rsid w:val="00257099"/>
    <w:rsid w:val="002577D2"/>
    <w:rsid w:val="002623DD"/>
    <w:rsid w:val="00264B10"/>
    <w:rsid w:val="00265380"/>
    <w:rsid w:val="00266A18"/>
    <w:rsid w:val="002674A8"/>
    <w:rsid w:val="00267A64"/>
    <w:rsid w:val="0027065D"/>
    <w:rsid w:val="00270DEB"/>
    <w:rsid w:val="0027101D"/>
    <w:rsid w:val="00273AFF"/>
    <w:rsid w:val="00274BD5"/>
    <w:rsid w:val="0027571B"/>
    <w:rsid w:val="00275B3A"/>
    <w:rsid w:val="00277570"/>
    <w:rsid w:val="00277DC7"/>
    <w:rsid w:val="00282F6C"/>
    <w:rsid w:val="00283D39"/>
    <w:rsid w:val="002843D7"/>
    <w:rsid w:val="00285113"/>
    <w:rsid w:val="00290325"/>
    <w:rsid w:val="00290D41"/>
    <w:rsid w:val="00290EAD"/>
    <w:rsid w:val="00291647"/>
    <w:rsid w:val="00292381"/>
    <w:rsid w:val="00292769"/>
    <w:rsid w:val="00292FEC"/>
    <w:rsid w:val="00293B75"/>
    <w:rsid w:val="00294248"/>
    <w:rsid w:val="0029438D"/>
    <w:rsid w:val="00294D8A"/>
    <w:rsid w:val="00295773"/>
    <w:rsid w:val="00295B46"/>
    <w:rsid w:val="00297436"/>
    <w:rsid w:val="002974E7"/>
    <w:rsid w:val="002A0196"/>
    <w:rsid w:val="002A068B"/>
    <w:rsid w:val="002A11D9"/>
    <w:rsid w:val="002A152B"/>
    <w:rsid w:val="002A40A7"/>
    <w:rsid w:val="002A5599"/>
    <w:rsid w:val="002A5B96"/>
    <w:rsid w:val="002A5C16"/>
    <w:rsid w:val="002A61DE"/>
    <w:rsid w:val="002A6C9C"/>
    <w:rsid w:val="002A745E"/>
    <w:rsid w:val="002B0448"/>
    <w:rsid w:val="002B0B6B"/>
    <w:rsid w:val="002B0DC3"/>
    <w:rsid w:val="002B1DAB"/>
    <w:rsid w:val="002B272E"/>
    <w:rsid w:val="002B2736"/>
    <w:rsid w:val="002B28C7"/>
    <w:rsid w:val="002B4316"/>
    <w:rsid w:val="002B5D7E"/>
    <w:rsid w:val="002C0D08"/>
    <w:rsid w:val="002C1DA6"/>
    <w:rsid w:val="002C257D"/>
    <w:rsid w:val="002C280A"/>
    <w:rsid w:val="002C3381"/>
    <w:rsid w:val="002C394A"/>
    <w:rsid w:val="002C3D38"/>
    <w:rsid w:val="002C3E81"/>
    <w:rsid w:val="002C4811"/>
    <w:rsid w:val="002C6D52"/>
    <w:rsid w:val="002C7D4E"/>
    <w:rsid w:val="002C7E66"/>
    <w:rsid w:val="002D0D28"/>
    <w:rsid w:val="002D1142"/>
    <w:rsid w:val="002D1D76"/>
    <w:rsid w:val="002D34E7"/>
    <w:rsid w:val="002D366F"/>
    <w:rsid w:val="002D6E90"/>
    <w:rsid w:val="002D702E"/>
    <w:rsid w:val="002D7C43"/>
    <w:rsid w:val="002D7F33"/>
    <w:rsid w:val="002E03FA"/>
    <w:rsid w:val="002E07B6"/>
    <w:rsid w:val="002E1FD8"/>
    <w:rsid w:val="002E4924"/>
    <w:rsid w:val="002E5C82"/>
    <w:rsid w:val="002F0D39"/>
    <w:rsid w:val="002F17B1"/>
    <w:rsid w:val="002F1DF8"/>
    <w:rsid w:val="002F1EE6"/>
    <w:rsid w:val="002F285E"/>
    <w:rsid w:val="002F28A2"/>
    <w:rsid w:val="002F3A0D"/>
    <w:rsid w:val="002F4677"/>
    <w:rsid w:val="002F6BE5"/>
    <w:rsid w:val="003003B4"/>
    <w:rsid w:val="00300408"/>
    <w:rsid w:val="003013E3"/>
    <w:rsid w:val="00301A49"/>
    <w:rsid w:val="003025BA"/>
    <w:rsid w:val="00302B1E"/>
    <w:rsid w:val="00303242"/>
    <w:rsid w:val="00303D59"/>
    <w:rsid w:val="003054B6"/>
    <w:rsid w:val="00305EE8"/>
    <w:rsid w:val="00307096"/>
    <w:rsid w:val="0031086C"/>
    <w:rsid w:val="00311969"/>
    <w:rsid w:val="0031220B"/>
    <w:rsid w:val="003127BB"/>
    <w:rsid w:val="00312CD1"/>
    <w:rsid w:val="003131F7"/>
    <w:rsid w:val="003137FA"/>
    <w:rsid w:val="00314450"/>
    <w:rsid w:val="00314EB6"/>
    <w:rsid w:val="00315A1C"/>
    <w:rsid w:val="003169DD"/>
    <w:rsid w:val="00316CDA"/>
    <w:rsid w:val="0031702E"/>
    <w:rsid w:val="00317B44"/>
    <w:rsid w:val="00317C53"/>
    <w:rsid w:val="003204FF"/>
    <w:rsid w:val="003212A9"/>
    <w:rsid w:val="00321A40"/>
    <w:rsid w:val="003238B2"/>
    <w:rsid w:val="00323AD8"/>
    <w:rsid w:val="00323EAE"/>
    <w:rsid w:val="00326955"/>
    <w:rsid w:val="003271B7"/>
    <w:rsid w:val="00331617"/>
    <w:rsid w:val="00332533"/>
    <w:rsid w:val="00332B9F"/>
    <w:rsid w:val="00332FB5"/>
    <w:rsid w:val="00336EF3"/>
    <w:rsid w:val="0033755D"/>
    <w:rsid w:val="00337C20"/>
    <w:rsid w:val="0034187E"/>
    <w:rsid w:val="00342615"/>
    <w:rsid w:val="00342DA6"/>
    <w:rsid w:val="00342E1E"/>
    <w:rsid w:val="003439EA"/>
    <w:rsid w:val="0034412F"/>
    <w:rsid w:val="0034453B"/>
    <w:rsid w:val="003448BF"/>
    <w:rsid w:val="00344E7F"/>
    <w:rsid w:val="003450E2"/>
    <w:rsid w:val="00346A75"/>
    <w:rsid w:val="00347875"/>
    <w:rsid w:val="00350322"/>
    <w:rsid w:val="00350AEF"/>
    <w:rsid w:val="00350B7D"/>
    <w:rsid w:val="003511DA"/>
    <w:rsid w:val="00352152"/>
    <w:rsid w:val="00353341"/>
    <w:rsid w:val="00353E4E"/>
    <w:rsid w:val="003541BD"/>
    <w:rsid w:val="003558F9"/>
    <w:rsid w:val="00356105"/>
    <w:rsid w:val="00356C46"/>
    <w:rsid w:val="003579EF"/>
    <w:rsid w:val="00357B5D"/>
    <w:rsid w:val="00357F7F"/>
    <w:rsid w:val="00361DBD"/>
    <w:rsid w:val="00361EB2"/>
    <w:rsid w:val="00362175"/>
    <w:rsid w:val="00362645"/>
    <w:rsid w:val="003628F2"/>
    <w:rsid w:val="003635AF"/>
    <w:rsid w:val="003637B2"/>
    <w:rsid w:val="0036420A"/>
    <w:rsid w:val="00364618"/>
    <w:rsid w:val="003647A0"/>
    <w:rsid w:val="00365633"/>
    <w:rsid w:val="00365642"/>
    <w:rsid w:val="00365CE6"/>
    <w:rsid w:val="00365D51"/>
    <w:rsid w:val="00365D8D"/>
    <w:rsid w:val="0036634E"/>
    <w:rsid w:val="00367A2B"/>
    <w:rsid w:val="003707BB"/>
    <w:rsid w:val="00370AD2"/>
    <w:rsid w:val="003710F2"/>
    <w:rsid w:val="00372688"/>
    <w:rsid w:val="003727F7"/>
    <w:rsid w:val="00373ADE"/>
    <w:rsid w:val="0037462D"/>
    <w:rsid w:val="00374E2B"/>
    <w:rsid w:val="00375E5B"/>
    <w:rsid w:val="003777F1"/>
    <w:rsid w:val="00377BAF"/>
    <w:rsid w:val="00380A08"/>
    <w:rsid w:val="00380C85"/>
    <w:rsid w:val="00380DC3"/>
    <w:rsid w:val="00381364"/>
    <w:rsid w:val="00381598"/>
    <w:rsid w:val="00381D81"/>
    <w:rsid w:val="00382F02"/>
    <w:rsid w:val="003832C1"/>
    <w:rsid w:val="003832F6"/>
    <w:rsid w:val="00385703"/>
    <w:rsid w:val="003871A8"/>
    <w:rsid w:val="00387271"/>
    <w:rsid w:val="00390449"/>
    <w:rsid w:val="00390616"/>
    <w:rsid w:val="0039369F"/>
    <w:rsid w:val="00394A4A"/>
    <w:rsid w:val="00395DAF"/>
    <w:rsid w:val="0039626C"/>
    <w:rsid w:val="0039754B"/>
    <w:rsid w:val="003976C1"/>
    <w:rsid w:val="003A1BCB"/>
    <w:rsid w:val="003A20CD"/>
    <w:rsid w:val="003A21FF"/>
    <w:rsid w:val="003A3DE6"/>
    <w:rsid w:val="003A454E"/>
    <w:rsid w:val="003A46D5"/>
    <w:rsid w:val="003A5B89"/>
    <w:rsid w:val="003A627B"/>
    <w:rsid w:val="003A6726"/>
    <w:rsid w:val="003B07D6"/>
    <w:rsid w:val="003B0988"/>
    <w:rsid w:val="003B119C"/>
    <w:rsid w:val="003B3180"/>
    <w:rsid w:val="003B3476"/>
    <w:rsid w:val="003B3E2B"/>
    <w:rsid w:val="003B45BE"/>
    <w:rsid w:val="003B5225"/>
    <w:rsid w:val="003B6809"/>
    <w:rsid w:val="003B6E66"/>
    <w:rsid w:val="003C07FB"/>
    <w:rsid w:val="003C1358"/>
    <w:rsid w:val="003C17F1"/>
    <w:rsid w:val="003C360C"/>
    <w:rsid w:val="003C3848"/>
    <w:rsid w:val="003C47F4"/>
    <w:rsid w:val="003C5DCB"/>
    <w:rsid w:val="003C625D"/>
    <w:rsid w:val="003C71E4"/>
    <w:rsid w:val="003D0644"/>
    <w:rsid w:val="003D127C"/>
    <w:rsid w:val="003D38DB"/>
    <w:rsid w:val="003D4C24"/>
    <w:rsid w:val="003D65CA"/>
    <w:rsid w:val="003D7C96"/>
    <w:rsid w:val="003E19AE"/>
    <w:rsid w:val="003E33D5"/>
    <w:rsid w:val="003E34B7"/>
    <w:rsid w:val="003E3B17"/>
    <w:rsid w:val="003E3BCD"/>
    <w:rsid w:val="003E3D89"/>
    <w:rsid w:val="003E414C"/>
    <w:rsid w:val="003E6209"/>
    <w:rsid w:val="003E6A95"/>
    <w:rsid w:val="003E7BD1"/>
    <w:rsid w:val="003F00A6"/>
    <w:rsid w:val="003F03E6"/>
    <w:rsid w:val="003F0475"/>
    <w:rsid w:val="003F04DC"/>
    <w:rsid w:val="003F0E0F"/>
    <w:rsid w:val="003F13DB"/>
    <w:rsid w:val="003F2B7D"/>
    <w:rsid w:val="003F2DBA"/>
    <w:rsid w:val="003F3237"/>
    <w:rsid w:val="003F39E1"/>
    <w:rsid w:val="003F3F40"/>
    <w:rsid w:val="003F54B9"/>
    <w:rsid w:val="003F5A5C"/>
    <w:rsid w:val="003F5A8D"/>
    <w:rsid w:val="003F5AF2"/>
    <w:rsid w:val="004018EE"/>
    <w:rsid w:val="0040312A"/>
    <w:rsid w:val="004051A2"/>
    <w:rsid w:val="0040703E"/>
    <w:rsid w:val="0040753F"/>
    <w:rsid w:val="004076F4"/>
    <w:rsid w:val="0041012B"/>
    <w:rsid w:val="004103D6"/>
    <w:rsid w:val="0041046A"/>
    <w:rsid w:val="004114C5"/>
    <w:rsid w:val="004122DD"/>
    <w:rsid w:val="004126EB"/>
    <w:rsid w:val="00413D83"/>
    <w:rsid w:val="00414E5D"/>
    <w:rsid w:val="00415E0E"/>
    <w:rsid w:val="0041608E"/>
    <w:rsid w:val="00416DBE"/>
    <w:rsid w:val="004175CC"/>
    <w:rsid w:val="00417F46"/>
    <w:rsid w:val="0042031B"/>
    <w:rsid w:val="00421C68"/>
    <w:rsid w:val="00421E3E"/>
    <w:rsid w:val="0042248E"/>
    <w:rsid w:val="0042255A"/>
    <w:rsid w:val="00423A9A"/>
    <w:rsid w:val="00423EAC"/>
    <w:rsid w:val="00423FC8"/>
    <w:rsid w:val="00425E73"/>
    <w:rsid w:val="00425E79"/>
    <w:rsid w:val="00426FAD"/>
    <w:rsid w:val="004273B4"/>
    <w:rsid w:val="004309A1"/>
    <w:rsid w:val="00431358"/>
    <w:rsid w:val="004324B2"/>
    <w:rsid w:val="00432AD9"/>
    <w:rsid w:val="00432E54"/>
    <w:rsid w:val="00434014"/>
    <w:rsid w:val="00435059"/>
    <w:rsid w:val="004350B4"/>
    <w:rsid w:val="00435D63"/>
    <w:rsid w:val="004404B1"/>
    <w:rsid w:val="004414B9"/>
    <w:rsid w:val="00441FBF"/>
    <w:rsid w:val="00442723"/>
    <w:rsid w:val="0044318C"/>
    <w:rsid w:val="004431F0"/>
    <w:rsid w:val="00444626"/>
    <w:rsid w:val="00445AA7"/>
    <w:rsid w:val="00451ED2"/>
    <w:rsid w:val="00452A05"/>
    <w:rsid w:val="0045362E"/>
    <w:rsid w:val="00453EF6"/>
    <w:rsid w:val="004557A9"/>
    <w:rsid w:val="00456321"/>
    <w:rsid w:val="00456605"/>
    <w:rsid w:val="00456F89"/>
    <w:rsid w:val="00457CE2"/>
    <w:rsid w:val="00461F28"/>
    <w:rsid w:val="00462179"/>
    <w:rsid w:val="004625A3"/>
    <w:rsid w:val="00462F84"/>
    <w:rsid w:val="004664A6"/>
    <w:rsid w:val="004674D3"/>
    <w:rsid w:val="0046781B"/>
    <w:rsid w:val="0047149D"/>
    <w:rsid w:val="00471BD7"/>
    <w:rsid w:val="004722C5"/>
    <w:rsid w:val="0047273B"/>
    <w:rsid w:val="00472A32"/>
    <w:rsid w:val="00472E99"/>
    <w:rsid w:val="00473552"/>
    <w:rsid w:val="00474461"/>
    <w:rsid w:val="0047602C"/>
    <w:rsid w:val="0047763D"/>
    <w:rsid w:val="00477A63"/>
    <w:rsid w:val="004816B4"/>
    <w:rsid w:val="00481CED"/>
    <w:rsid w:val="00481DB3"/>
    <w:rsid w:val="0048239C"/>
    <w:rsid w:val="004830D6"/>
    <w:rsid w:val="00483450"/>
    <w:rsid w:val="004839D7"/>
    <w:rsid w:val="00484966"/>
    <w:rsid w:val="0048518F"/>
    <w:rsid w:val="004861A0"/>
    <w:rsid w:val="00486612"/>
    <w:rsid w:val="0048694E"/>
    <w:rsid w:val="00486B4E"/>
    <w:rsid w:val="00486DE5"/>
    <w:rsid w:val="0048780E"/>
    <w:rsid w:val="00490405"/>
    <w:rsid w:val="00490B55"/>
    <w:rsid w:val="004920DF"/>
    <w:rsid w:val="0049341E"/>
    <w:rsid w:val="004944A8"/>
    <w:rsid w:val="004945D6"/>
    <w:rsid w:val="004977BA"/>
    <w:rsid w:val="004979BA"/>
    <w:rsid w:val="004A13CF"/>
    <w:rsid w:val="004A213B"/>
    <w:rsid w:val="004A2B37"/>
    <w:rsid w:val="004A40A6"/>
    <w:rsid w:val="004A4AB5"/>
    <w:rsid w:val="004A5151"/>
    <w:rsid w:val="004A5ED9"/>
    <w:rsid w:val="004B0735"/>
    <w:rsid w:val="004B19DE"/>
    <w:rsid w:val="004B2707"/>
    <w:rsid w:val="004B30F8"/>
    <w:rsid w:val="004B3275"/>
    <w:rsid w:val="004B4407"/>
    <w:rsid w:val="004B4653"/>
    <w:rsid w:val="004B551A"/>
    <w:rsid w:val="004B5737"/>
    <w:rsid w:val="004B62E1"/>
    <w:rsid w:val="004B653D"/>
    <w:rsid w:val="004B6784"/>
    <w:rsid w:val="004C02EC"/>
    <w:rsid w:val="004C043D"/>
    <w:rsid w:val="004C11F5"/>
    <w:rsid w:val="004C230A"/>
    <w:rsid w:val="004C39CD"/>
    <w:rsid w:val="004C4853"/>
    <w:rsid w:val="004C4D51"/>
    <w:rsid w:val="004C5A85"/>
    <w:rsid w:val="004C5B97"/>
    <w:rsid w:val="004C607F"/>
    <w:rsid w:val="004C634B"/>
    <w:rsid w:val="004C6ECD"/>
    <w:rsid w:val="004C6F6E"/>
    <w:rsid w:val="004C7347"/>
    <w:rsid w:val="004D1268"/>
    <w:rsid w:val="004D1D81"/>
    <w:rsid w:val="004D2086"/>
    <w:rsid w:val="004D2254"/>
    <w:rsid w:val="004D2464"/>
    <w:rsid w:val="004D2749"/>
    <w:rsid w:val="004D2869"/>
    <w:rsid w:val="004D2AE6"/>
    <w:rsid w:val="004D3ADC"/>
    <w:rsid w:val="004D47F9"/>
    <w:rsid w:val="004D4810"/>
    <w:rsid w:val="004D4B04"/>
    <w:rsid w:val="004D4C76"/>
    <w:rsid w:val="004E07DC"/>
    <w:rsid w:val="004E09DD"/>
    <w:rsid w:val="004E1C09"/>
    <w:rsid w:val="004E1D0E"/>
    <w:rsid w:val="004E3708"/>
    <w:rsid w:val="004E3C65"/>
    <w:rsid w:val="004E3EE6"/>
    <w:rsid w:val="004E41C4"/>
    <w:rsid w:val="004E43FD"/>
    <w:rsid w:val="004E4B53"/>
    <w:rsid w:val="004E54E8"/>
    <w:rsid w:val="004E55FE"/>
    <w:rsid w:val="004E6652"/>
    <w:rsid w:val="004E66E2"/>
    <w:rsid w:val="004E6B9D"/>
    <w:rsid w:val="004F22A0"/>
    <w:rsid w:val="004F5395"/>
    <w:rsid w:val="004F5E6E"/>
    <w:rsid w:val="004F7528"/>
    <w:rsid w:val="005005C4"/>
    <w:rsid w:val="005013CD"/>
    <w:rsid w:val="005019A5"/>
    <w:rsid w:val="0050207F"/>
    <w:rsid w:val="00502777"/>
    <w:rsid w:val="005037BB"/>
    <w:rsid w:val="00504CDF"/>
    <w:rsid w:val="005055F5"/>
    <w:rsid w:val="005059C9"/>
    <w:rsid w:val="00505F03"/>
    <w:rsid w:val="005065FC"/>
    <w:rsid w:val="00507650"/>
    <w:rsid w:val="00507CC8"/>
    <w:rsid w:val="00510106"/>
    <w:rsid w:val="00512FB7"/>
    <w:rsid w:val="00514930"/>
    <w:rsid w:val="0051718D"/>
    <w:rsid w:val="005178EA"/>
    <w:rsid w:val="005211EA"/>
    <w:rsid w:val="00521201"/>
    <w:rsid w:val="0052187B"/>
    <w:rsid w:val="00521F20"/>
    <w:rsid w:val="00522129"/>
    <w:rsid w:val="005237FA"/>
    <w:rsid w:val="0052488F"/>
    <w:rsid w:val="0052579C"/>
    <w:rsid w:val="00526536"/>
    <w:rsid w:val="00530625"/>
    <w:rsid w:val="00530642"/>
    <w:rsid w:val="00530CAE"/>
    <w:rsid w:val="005313A2"/>
    <w:rsid w:val="005318F4"/>
    <w:rsid w:val="00533036"/>
    <w:rsid w:val="00533097"/>
    <w:rsid w:val="00533D4F"/>
    <w:rsid w:val="005347A5"/>
    <w:rsid w:val="00534901"/>
    <w:rsid w:val="00534C6B"/>
    <w:rsid w:val="00534D4A"/>
    <w:rsid w:val="00535A6C"/>
    <w:rsid w:val="00535C5C"/>
    <w:rsid w:val="00536773"/>
    <w:rsid w:val="00536CC7"/>
    <w:rsid w:val="005377D5"/>
    <w:rsid w:val="00537F9F"/>
    <w:rsid w:val="0054027C"/>
    <w:rsid w:val="00540966"/>
    <w:rsid w:val="00541326"/>
    <w:rsid w:val="00541C09"/>
    <w:rsid w:val="00543050"/>
    <w:rsid w:val="0054385C"/>
    <w:rsid w:val="00544BC3"/>
    <w:rsid w:val="00547DB3"/>
    <w:rsid w:val="005503DC"/>
    <w:rsid w:val="00550415"/>
    <w:rsid w:val="00550614"/>
    <w:rsid w:val="00550937"/>
    <w:rsid w:val="00553299"/>
    <w:rsid w:val="00553928"/>
    <w:rsid w:val="00553D0C"/>
    <w:rsid w:val="005541DE"/>
    <w:rsid w:val="00554257"/>
    <w:rsid w:val="00554271"/>
    <w:rsid w:val="00554ED9"/>
    <w:rsid w:val="00556235"/>
    <w:rsid w:val="00556FF0"/>
    <w:rsid w:val="005570C2"/>
    <w:rsid w:val="0055727C"/>
    <w:rsid w:val="00557670"/>
    <w:rsid w:val="0055788D"/>
    <w:rsid w:val="00557BCA"/>
    <w:rsid w:val="00557D78"/>
    <w:rsid w:val="00557EC0"/>
    <w:rsid w:val="00560B03"/>
    <w:rsid w:val="005616B9"/>
    <w:rsid w:val="00561E37"/>
    <w:rsid w:val="0056368B"/>
    <w:rsid w:val="00564322"/>
    <w:rsid w:val="0056453F"/>
    <w:rsid w:val="00564B0E"/>
    <w:rsid w:val="00564BB5"/>
    <w:rsid w:val="00566200"/>
    <w:rsid w:val="00566A2B"/>
    <w:rsid w:val="00566B81"/>
    <w:rsid w:val="0056705B"/>
    <w:rsid w:val="00567AAB"/>
    <w:rsid w:val="00570161"/>
    <w:rsid w:val="005705EA"/>
    <w:rsid w:val="00571428"/>
    <w:rsid w:val="00571F67"/>
    <w:rsid w:val="005725BA"/>
    <w:rsid w:val="0057296E"/>
    <w:rsid w:val="00572AF4"/>
    <w:rsid w:val="00572ED5"/>
    <w:rsid w:val="00573103"/>
    <w:rsid w:val="005737BF"/>
    <w:rsid w:val="00573E12"/>
    <w:rsid w:val="00574159"/>
    <w:rsid w:val="00574E04"/>
    <w:rsid w:val="00576E67"/>
    <w:rsid w:val="00580B0C"/>
    <w:rsid w:val="00580D0F"/>
    <w:rsid w:val="00581350"/>
    <w:rsid w:val="0058181A"/>
    <w:rsid w:val="0058260A"/>
    <w:rsid w:val="005831C7"/>
    <w:rsid w:val="00583752"/>
    <w:rsid w:val="005843CA"/>
    <w:rsid w:val="00584F67"/>
    <w:rsid w:val="00585451"/>
    <w:rsid w:val="00585CBF"/>
    <w:rsid w:val="005864D6"/>
    <w:rsid w:val="005869CA"/>
    <w:rsid w:val="00586E5B"/>
    <w:rsid w:val="005870A7"/>
    <w:rsid w:val="00587C12"/>
    <w:rsid w:val="005901A5"/>
    <w:rsid w:val="005909BC"/>
    <w:rsid w:val="0059160D"/>
    <w:rsid w:val="00591CA8"/>
    <w:rsid w:val="00592078"/>
    <w:rsid w:val="00592158"/>
    <w:rsid w:val="005927D7"/>
    <w:rsid w:val="00593603"/>
    <w:rsid w:val="00593795"/>
    <w:rsid w:val="00593B32"/>
    <w:rsid w:val="00594F95"/>
    <w:rsid w:val="005962BA"/>
    <w:rsid w:val="005965D4"/>
    <w:rsid w:val="00596AF8"/>
    <w:rsid w:val="00596D4E"/>
    <w:rsid w:val="005972E8"/>
    <w:rsid w:val="005A023A"/>
    <w:rsid w:val="005A0C6A"/>
    <w:rsid w:val="005A0F89"/>
    <w:rsid w:val="005A26DC"/>
    <w:rsid w:val="005A426C"/>
    <w:rsid w:val="005A5148"/>
    <w:rsid w:val="005A5365"/>
    <w:rsid w:val="005A55B3"/>
    <w:rsid w:val="005A641B"/>
    <w:rsid w:val="005B0232"/>
    <w:rsid w:val="005B0451"/>
    <w:rsid w:val="005B1E37"/>
    <w:rsid w:val="005B1ED0"/>
    <w:rsid w:val="005B2DEE"/>
    <w:rsid w:val="005B3467"/>
    <w:rsid w:val="005B46D6"/>
    <w:rsid w:val="005B5A74"/>
    <w:rsid w:val="005B5CD9"/>
    <w:rsid w:val="005B6A32"/>
    <w:rsid w:val="005B6D71"/>
    <w:rsid w:val="005B7917"/>
    <w:rsid w:val="005B7926"/>
    <w:rsid w:val="005C02B7"/>
    <w:rsid w:val="005C0869"/>
    <w:rsid w:val="005C0EEC"/>
    <w:rsid w:val="005C117A"/>
    <w:rsid w:val="005C15FC"/>
    <w:rsid w:val="005C16AE"/>
    <w:rsid w:val="005C1A6A"/>
    <w:rsid w:val="005C25F7"/>
    <w:rsid w:val="005C2C85"/>
    <w:rsid w:val="005C33DF"/>
    <w:rsid w:val="005C52F9"/>
    <w:rsid w:val="005C5A81"/>
    <w:rsid w:val="005C7434"/>
    <w:rsid w:val="005D1CC6"/>
    <w:rsid w:val="005D23D4"/>
    <w:rsid w:val="005D2624"/>
    <w:rsid w:val="005D2FC0"/>
    <w:rsid w:val="005D32B3"/>
    <w:rsid w:val="005D3C36"/>
    <w:rsid w:val="005D3CB3"/>
    <w:rsid w:val="005D4390"/>
    <w:rsid w:val="005D4503"/>
    <w:rsid w:val="005D64B2"/>
    <w:rsid w:val="005D66CB"/>
    <w:rsid w:val="005D6E29"/>
    <w:rsid w:val="005D6F5E"/>
    <w:rsid w:val="005D752B"/>
    <w:rsid w:val="005E01F6"/>
    <w:rsid w:val="005E0703"/>
    <w:rsid w:val="005E13B8"/>
    <w:rsid w:val="005E261B"/>
    <w:rsid w:val="005E3730"/>
    <w:rsid w:val="005E4622"/>
    <w:rsid w:val="005E50F1"/>
    <w:rsid w:val="005E5266"/>
    <w:rsid w:val="005E5EC5"/>
    <w:rsid w:val="005E674D"/>
    <w:rsid w:val="005E7108"/>
    <w:rsid w:val="005E7AEE"/>
    <w:rsid w:val="005E7BB3"/>
    <w:rsid w:val="005F0D82"/>
    <w:rsid w:val="005F1783"/>
    <w:rsid w:val="005F37EF"/>
    <w:rsid w:val="005F3F4E"/>
    <w:rsid w:val="005F5291"/>
    <w:rsid w:val="005F5B7E"/>
    <w:rsid w:val="005F5FDD"/>
    <w:rsid w:val="005F7D12"/>
    <w:rsid w:val="00600403"/>
    <w:rsid w:val="006015FE"/>
    <w:rsid w:val="00601668"/>
    <w:rsid w:val="00601EC6"/>
    <w:rsid w:val="00602264"/>
    <w:rsid w:val="00602902"/>
    <w:rsid w:val="00602B03"/>
    <w:rsid w:val="006038F7"/>
    <w:rsid w:val="00603DE1"/>
    <w:rsid w:val="00604A4A"/>
    <w:rsid w:val="0060511A"/>
    <w:rsid w:val="006069D6"/>
    <w:rsid w:val="00610CEE"/>
    <w:rsid w:val="00610E90"/>
    <w:rsid w:val="00612380"/>
    <w:rsid w:val="006126AC"/>
    <w:rsid w:val="00612D30"/>
    <w:rsid w:val="0061470E"/>
    <w:rsid w:val="00615AC2"/>
    <w:rsid w:val="00615DCB"/>
    <w:rsid w:val="00616819"/>
    <w:rsid w:val="00617126"/>
    <w:rsid w:val="00617FD5"/>
    <w:rsid w:val="00620258"/>
    <w:rsid w:val="006209CB"/>
    <w:rsid w:val="00621661"/>
    <w:rsid w:val="00621830"/>
    <w:rsid w:val="006218F6"/>
    <w:rsid w:val="00622217"/>
    <w:rsid w:val="00622E17"/>
    <w:rsid w:val="006246FE"/>
    <w:rsid w:val="00625727"/>
    <w:rsid w:val="00626F38"/>
    <w:rsid w:val="00630096"/>
    <w:rsid w:val="006311B2"/>
    <w:rsid w:val="00631625"/>
    <w:rsid w:val="006322CB"/>
    <w:rsid w:val="00632A0A"/>
    <w:rsid w:val="00632E49"/>
    <w:rsid w:val="00634224"/>
    <w:rsid w:val="00635564"/>
    <w:rsid w:val="0063561A"/>
    <w:rsid w:val="00635C16"/>
    <w:rsid w:val="0063749B"/>
    <w:rsid w:val="0063759A"/>
    <w:rsid w:val="00637D52"/>
    <w:rsid w:val="00640302"/>
    <w:rsid w:val="00640C5A"/>
    <w:rsid w:val="00640C5F"/>
    <w:rsid w:val="006412E6"/>
    <w:rsid w:val="00641695"/>
    <w:rsid w:val="00641DF7"/>
    <w:rsid w:val="00641FFF"/>
    <w:rsid w:val="0064325A"/>
    <w:rsid w:val="00643851"/>
    <w:rsid w:val="006439F5"/>
    <w:rsid w:val="00645350"/>
    <w:rsid w:val="006458FB"/>
    <w:rsid w:val="00646085"/>
    <w:rsid w:val="00647344"/>
    <w:rsid w:val="0064757A"/>
    <w:rsid w:val="00647A58"/>
    <w:rsid w:val="00647DE7"/>
    <w:rsid w:val="006514F8"/>
    <w:rsid w:val="0065251D"/>
    <w:rsid w:val="006543AD"/>
    <w:rsid w:val="006547CB"/>
    <w:rsid w:val="006557D5"/>
    <w:rsid w:val="00657114"/>
    <w:rsid w:val="00660397"/>
    <w:rsid w:val="0066052B"/>
    <w:rsid w:val="00660970"/>
    <w:rsid w:val="006609BB"/>
    <w:rsid w:val="00662BDA"/>
    <w:rsid w:val="00662DC2"/>
    <w:rsid w:val="00664039"/>
    <w:rsid w:val="00664C0E"/>
    <w:rsid w:val="00664EA5"/>
    <w:rsid w:val="00665259"/>
    <w:rsid w:val="00665D2D"/>
    <w:rsid w:val="00666BBA"/>
    <w:rsid w:val="00667841"/>
    <w:rsid w:val="00667A1C"/>
    <w:rsid w:val="00667CCF"/>
    <w:rsid w:val="00670041"/>
    <w:rsid w:val="006708EF"/>
    <w:rsid w:val="00670E78"/>
    <w:rsid w:val="00671A3C"/>
    <w:rsid w:val="00672CDE"/>
    <w:rsid w:val="00674399"/>
    <w:rsid w:val="006749FC"/>
    <w:rsid w:val="00674B53"/>
    <w:rsid w:val="00675252"/>
    <w:rsid w:val="0067533A"/>
    <w:rsid w:val="00675631"/>
    <w:rsid w:val="00676D14"/>
    <w:rsid w:val="00676E6B"/>
    <w:rsid w:val="00680366"/>
    <w:rsid w:val="006805E9"/>
    <w:rsid w:val="00680CA0"/>
    <w:rsid w:val="00680FB7"/>
    <w:rsid w:val="00681BFE"/>
    <w:rsid w:val="0068292A"/>
    <w:rsid w:val="00682CC0"/>
    <w:rsid w:val="00683266"/>
    <w:rsid w:val="00684DF0"/>
    <w:rsid w:val="00686BA2"/>
    <w:rsid w:val="006870F5"/>
    <w:rsid w:val="00687157"/>
    <w:rsid w:val="00687D69"/>
    <w:rsid w:val="006919A9"/>
    <w:rsid w:val="00692CAD"/>
    <w:rsid w:val="0069314A"/>
    <w:rsid w:val="0069431D"/>
    <w:rsid w:val="00694367"/>
    <w:rsid w:val="006958BB"/>
    <w:rsid w:val="00695CC9"/>
    <w:rsid w:val="00696E64"/>
    <w:rsid w:val="006971DF"/>
    <w:rsid w:val="00697592"/>
    <w:rsid w:val="0069795A"/>
    <w:rsid w:val="00697CB4"/>
    <w:rsid w:val="006A08BB"/>
    <w:rsid w:val="006A0DA8"/>
    <w:rsid w:val="006A19AC"/>
    <w:rsid w:val="006A1F9C"/>
    <w:rsid w:val="006A2160"/>
    <w:rsid w:val="006A2AC8"/>
    <w:rsid w:val="006A3555"/>
    <w:rsid w:val="006A3882"/>
    <w:rsid w:val="006A4FE7"/>
    <w:rsid w:val="006A57D8"/>
    <w:rsid w:val="006A71B2"/>
    <w:rsid w:val="006A7898"/>
    <w:rsid w:val="006B1230"/>
    <w:rsid w:val="006B1611"/>
    <w:rsid w:val="006B2BF6"/>
    <w:rsid w:val="006B2FA5"/>
    <w:rsid w:val="006B408A"/>
    <w:rsid w:val="006B42A9"/>
    <w:rsid w:val="006B4BF0"/>
    <w:rsid w:val="006B5C1C"/>
    <w:rsid w:val="006B610B"/>
    <w:rsid w:val="006B622B"/>
    <w:rsid w:val="006B6835"/>
    <w:rsid w:val="006B686B"/>
    <w:rsid w:val="006B6A30"/>
    <w:rsid w:val="006B7609"/>
    <w:rsid w:val="006B7E63"/>
    <w:rsid w:val="006C0336"/>
    <w:rsid w:val="006C0D1F"/>
    <w:rsid w:val="006C0D5C"/>
    <w:rsid w:val="006C10B6"/>
    <w:rsid w:val="006C379D"/>
    <w:rsid w:val="006C3A36"/>
    <w:rsid w:val="006C3AFC"/>
    <w:rsid w:val="006C5468"/>
    <w:rsid w:val="006C7448"/>
    <w:rsid w:val="006D0830"/>
    <w:rsid w:val="006D08BB"/>
    <w:rsid w:val="006D3DA0"/>
    <w:rsid w:val="006D3DEB"/>
    <w:rsid w:val="006D5B1E"/>
    <w:rsid w:val="006D5C35"/>
    <w:rsid w:val="006D656C"/>
    <w:rsid w:val="006D6E69"/>
    <w:rsid w:val="006E09CC"/>
    <w:rsid w:val="006E0D85"/>
    <w:rsid w:val="006E2951"/>
    <w:rsid w:val="006E3774"/>
    <w:rsid w:val="006E46CA"/>
    <w:rsid w:val="006E4DF5"/>
    <w:rsid w:val="006E582E"/>
    <w:rsid w:val="006E6CED"/>
    <w:rsid w:val="006E705A"/>
    <w:rsid w:val="006E7CEF"/>
    <w:rsid w:val="006E7E14"/>
    <w:rsid w:val="006F0161"/>
    <w:rsid w:val="006F0F74"/>
    <w:rsid w:val="006F1227"/>
    <w:rsid w:val="006F1324"/>
    <w:rsid w:val="006F14D1"/>
    <w:rsid w:val="006F1840"/>
    <w:rsid w:val="006F2D77"/>
    <w:rsid w:val="006F42A5"/>
    <w:rsid w:val="006F4B77"/>
    <w:rsid w:val="006F68EC"/>
    <w:rsid w:val="006F6C4D"/>
    <w:rsid w:val="00701BE1"/>
    <w:rsid w:val="0070312E"/>
    <w:rsid w:val="0070338D"/>
    <w:rsid w:val="00704B8C"/>
    <w:rsid w:val="00704FFB"/>
    <w:rsid w:val="00705098"/>
    <w:rsid w:val="00705903"/>
    <w:rsid w:val="00706E72"/>
    <w:rsid w:val="007071E0"/>
    <w:rsid w:val="00707455"/>
    <w:rsid w:val="007075E3"/>
    <w:rsid w:val="00707FB3"/>
    <w:rsid w:val="007103EA"/>
    <w:rsid w:val="00710976"/>
    <w:rsid w:val="00711653"/>
    <w:rsid w:val="00711B90"/>
    <w:rsid w:val="00711CE9"/>
    <w:rsid w:val="00715BE3"/>
    <w:rsid w:val="00715F3A"/>
    <w:rsid w:val="007160BA"/>
    <w:rsid w:val="00717289"/>
    <w:rsid w:val="007174C3"/>
    <w:rsid w:val="00717A2D"/>
    <w:rsid w:val="007208D5"/>
    <w:rsid w:val="00720B12"/>
    <w:rsid w:val="0072307B"/>
    <w:rsid w:val="00725233"/>
    <w:rsid w:val="00726320"/>
    <w:rsid w:val="00726407"/>
    <w:rsid w:val="00726C23"/>
    <w:rsid w:val="00726F5D"/>
    <w:rsid w:val="007270A3"/>
    <w:rsid w:val="00730885"/>
    <w:rsid w:val="00730C61"/>
    <w:rsid w:val="00731E52"/>
    <w:rsid w:val="00732092"/>
    <w:rsid w:val="00732212"/>
    <w:rsid w:val="007322FF"/>
    <w:rsid w:val="00732589"/>
    <w:rsid w:val="0073269F"/>
    <w:rsid w:val="00732862"/>
    <w:rsid w:val="0073289B"/>
    <w:rsid w:val="00733A8A"/>
    <w:rsid w:val="007340B7"/>
    <w:rsid w:val="00735481"/>
    <w:rsid w:val="00735A42"/>
    <w:rsid w:val="00737BBF"/>
    <w:rsid w:val="007406A3"/>
    <w:rsid w:val="007407AE"/>
    <w:rsid w:val="00742262"/>
    <w:rsid w:val="00742D77"/>
    <w:rsid w:val="0074338A"/>
    <w:rsid w:val="00743F0F"/>
    <w:rsid w:val="00744313"/>
    <w:rsid w:val="0074456B"/>
    <w:rsid w:val="0074593A"/>
    <w:rsid w:val="00746F4C"/>
    <w:rsid w:val="0074737D"/>
    <w:rsid w:val="0074799F"/>
    <w:rsid w:val="007504D3"/>
    <w:rsid w:val="00750B33"/>
    <w:rsid w:val="00750D11"/>
    <w:rsid w:val="0075138B"/>
    <w:rsid w:val="007533EB"/>
    <w:rsid w:val="0075399F"/>
    <w:rsid w:val="00753FFC"/>
    <w:rsid w:val="0075409F"/>
    <w:rsid w:val="007556C7"/>
    <w:rsid w:val="00755FC8"/>
    <w:rsid w:val="00757D1B"/>
    <w:rsid w:val="007609FA"/>
    <w:rsid w:val="007613B6"/>
    <w:rsid w:val="00761866"/>
    <w:rsid w:val="00766AC2"/>
    <w:rsid w:val="00772740"/>
    <w:rsid w:val="00773F6C"/>
    <w:rsid w:val="00773FBE"/>
    <w:rsid w:val="0077422E"/>
    <w:rsid w:val="00774F4A"/>
    <w:rsid w:val="00775005"/>
    <w:rsid w:val="00776FCC"/>
    <w:rsid w:val="00777130"/>
    <w:rsid w:val="007802CD"/>
    <w:rsid w:val="007805AD"/>
    <w:rsid w:val="00781909"/>
    <w:rsid w:val="00782085"/>
    <w:rsid w:val="00782109"/>
    <w:rsid w:val="007821CB"/>
    <w:rsid w:val="007822CB"/>
    <w:rsid w:val="00784862"/>
    <w:rsid w:val="00785728"/>
    <w:rsid w:val="0078663E"/>
    <w:rsid w:val="00786B3F"/>
    <w:rsid w:val="00786CDE"/>
    <w:rsid w:val="007875CC"/>
    <w:rsid w:val="00787EA9"/>
    <w:rsid w:val="00787F69"/>
    <w:rsid w:val="0079033E"/>
    <w:rsid w:val="00790980"/>
    <w:rsid w:val="00791825"/>
    <w:rsid w:val="00791B4E"/>
    <w:rsid w:val="00792C16"/>
    <w:rsid w:val="00792E65"/>
    <w:rsid w:val="00793DD7"/>
    <w:rsid w:val="00794328"/>
    <w:rsid w:val="00794DD2"/>
    <w:rsid w:val="0079690F"/>
    <w:rsid w:val="00796977"/>
    <w:rsid w:val="007A1BDB"/>
    <w:rsid w:val="007A24EB"/>
    <w:rsid w:val="007A3AE0"/>
    <w:rsid w:val="007A449F"/>
    <w:rsid w:val="007A4511"/>
    <w:rsid w:val="007A4BF8"/>
    <w:rsid w:val="007A5885"/>
    <w:rsid w:val="007A5BCB"/>
    <w:rsid w:val="007A6022"/>
    <w:rsid w:val="007A6D87"/>
    <w:rsid w:val="007B2F29"/>
    <w:rsid w:val="007B399D"/>
    <w:rsid w:val="007B3C52"/>
    <w:rsid w:val="007B40AA"/>
    <w:rsid w:val="007B4D73"/>
    <w:rsid w:val="007B536F"/>
    <w:rsid w:val="007B546C"/>
    <w:rsid w:val="007B5778"/>
    <w:rsid w:val="007B635A"/>
    <w:rsid w:val="007B6DFF"/>
    <w:rsid w:val="007B6E63"/>
    <w:rsid w:val="007C2287"/>
    <w:rsid w:val="007C2BF1"/>
    <w:rsid w:val="007C30BB"/>
    <w:rsid w:val="007C370C"/>
    <w:rsid w:val="007C3877"/>
    <w:rsid w:val="007C3926"/>
    <w:rsid w:val="007C4009"/>
    <w:rsid w:val="007C6183"/>
    <w:rsid w:val="007C66B6"/>
    <w:rsid w:val="007C71E4"/>
    <w:rsid w:val="007C78BF"/>
    <w:rsid w:val="007C7A9B"/>
    <w:rsid w:val="007D14A6"/>
    <w:rsid w:val="007D24B4"/>
    <w:rsid w:val="007D2EEE"/>
    <w:rsid w:val="007D3CF9"/>
    <w:rsid w:val="007D4927"/>
    <w:rsid w:val="007D56EA"/>
    <w:rsid w:val="007D6ABA"/>
    <w:rsid w:val="007D779E"/>
    <w:rsid w:val="007D7918"/>
    <w:rsid w:val="007E0B26"/>
    <w:rsid w:val="007E0B59"/>
    <w:rsid w:val="007E0DDF"/>
    <w:rsid w:val="007E0EC6"/>
    <w:rsid w:val="007E15CE"/>
    <w:rsid w:val="007E1BBB"/>
    <w:rsid w:val="007E1FFE"/>
    <w:rsid w:val="007E2445"/>
    <w:rsid w:val="007E2935"/>
    <w:rsid w:val="007E2F97"/>
    <w:rsid w:val="007E7640"/>
    <w:rsid w:val="007E7B30"/>
    <w:rsid w:val="007F0432"/>
    <w:rsid w:val="007F043B"/>
    <w:rsid w:val="007F150B"/>
    <w:rsid w:val="007F1BE2"/>
    <w:rsid w:val="007F263B"/>
    <w:rsid w:val="007F2BA9"/>
    <w:rsid w:val="007F4A74"/>
    <w:rsid w:val="007F585A"/>
    <w:rsid w:val="007F73D1"/>
    <w:rsid w:val="008004A3"/>
    <w:rsid w:val="008013FB"/>
    <w:rsid w:val="00801692"/>
    <w:rsid w:val="00801EF2"/>
    <w:rsid w:val="00802C09"/>
    <w:rsid w:val="008035DF"/>
    <w:rsid w:val="0080452D"/>
    <w:rsid w:val="00804C58"/>
    <w:rsid w:val="00804DF4"/>
    <w:rsid w:val="008051D8"/>
    <w:rsid w:val="00805290"/>
    <w:rsid w:val="00805A9B"/>
    <w:rsid w:val="00805CB3"/>
    <w:rsid w:val="00805FE7"/>
    <w:rsid w:val="00806E9D"/>
    <w:rsid w:val="008072D3"/>
    <w:rsid w:val="0080747D"/>
    <w:rsid w:val="00807E15"/>
    <w:rsid w:val="0081013D"/>
    <w:rsid w:val="00810681"/>
    <w:rsid w:val="008113A4"/>
    <w:rsid w:val="00811F53"/>
    <w:rsid w:val="008124FF"/>
    <w:rsid w:val="0081321B"/>
    <w:rsid w:val="008139F7"/>
    <w:rsid w:val="00813C05"/>
    <w:rsid w:val="00813EA9"/>
    <w:rsid w:val="0081468C"/>
    <w:rsid w:val="00814911"/>
    <w:rsid w:val="00815805"/>
    <w:rsid w:val="00816496"/>
    <w:rsid w:val="00816BFF"/>
    <w:rsid w:val="008202A8"/>
    <w:rsid w:val="00820370"/>
    <w:rsid w:val="00822C75"/>
    <w:rsid w:val="00826AA8"/>
    <w:rsid w:val="00831656"/>
    <w:rsid w:val="00832CD0"/>
    <w:rsid w:val="008335E4"/>
    <w:rsid w:val="00834C00"/>
    <w:rsid w:val="00835306"/>
    <w:rsid w:val="0083619D"/>
    <w:rsid w:val="00837161"/>
    <w:rsid w:val="0084059A"/>
    <w:rsid w:val="0084061E"/>
    <w:rsid w:val="00840891"/>
    <w:rsid w:val="00840CEF"/>
    <w:rsid w:val="00841FA9"/>
    <w:rsid w:val="0084228F"/>
    <w:rsid w:val="00842D04"/>
    <w:rsid w:val="0084364C"/>
    <w:rsid w:val="00844160"/>
    <w:rsid w:val="00845028"/>
    <w:rsid w:val="008459E9"/>
    <w:rsid w:val="00847862"/>
    <w:rsid w:val="00847EAE"/>
    <w:rsid w:val="008522FE"/>
    <w:rsid w:val="008541C7"/>
    <w:rsid w:val="00854BCF"/>
    <w:rsid w:val="0085565F"/>
    <w:rsid w:val="00855B02"/>
    <w:rsid w:val="00856599"/>
    <w:rsid w:val="0085775B"/>
    <w:rsid w:val="00860024"/>
    <w:rsid w:val="00862659"/>
    <w:rsid w:val="0086410D"/>
    <w:rsid w:val="00864759"/>
    <w:rsid w:val="0086569B"/>
    <w:rsid w:val="0086687C"/>
    <w:rsid w:val="00866C9C"/>
    <w:rsid w:val="0087043D"/>
    <w:rsid w:val="00870C68"/>
    <w:rsid w:val="00871AB1"/>
    <w:rsid w:val="00871F28"/>
    <w:rsid w:val="008731B8"/>
    <w:rsid w:val="00873D31"/>
    <w:rsid w:val="00874AAA"/>
    <w:rsid w:val="00875FBB"/>
    <w:rsid w:val="00877B70"/>
    <w:rsid w:val="0088012E"/>
    <w:rsid w:val="00880934"/>
    <w:rsid w:val="008809A0"/>
    <w:rsid w:val="0088180E"/>
    <w:rsid w:val="00881C19"/>
    <w:rsid w:val="00881D67"/>
    <w:rsid w:val="0088206D"/>
    <w:rsid w:val="00883B06"/>
    <w:rsid w:val="0088454E"/>
    <w:rsid w:val="00884590"/>
    <w:rsid w:val="008861E8"/>
    <w:rsid w:val="008873D1"/>
    <w:rsid w:val="00887697"/>
    <w:rsid w:val="00893669"/>
    <w:rsid w:val="00894C19"/>
    <w:rsid w:val="00896341"/>
    <w:rsid w:val="0089700C"/>
    <w:rsid w:val="00897E08"/>
    <w:rsid w:val="00897E7A"/>
    <w:rsid w:val="008A1264"/>
    <w:rsid w:val="008A15C7"/>
    <w:rsid w:val="008A2469"/>
    <w:rsid w:val="008A2E1A"/>
    <w:rsid w:val="008A4E3C"/>
    <w:rsid w:val="008A512D"/>
    <w:rsid w:val="008A5255"/>
    <w:rsid w:val="008A5675"/>
    <w:rsid w:val="008A6078"/>
    <w:rsid w:val="008A689A"/>
    <w:rsid w:val="008A7193"/>
    <w:rsid w:val="008A7BBF"/>
    <w:rsid w:val="008A7EFA"/>
    <w:rsid w:val="008B10D9"/>
    <w:rsid w:val="008B1CBB"/>
    <w:rsid w:val="008B2170"/>
    <w:rsid w:val="008B2B3E"/>
    <w:rsid w:val="008B5FE3"/>
    <w:rsid w:val="008B6514"/>
    <w:rsid w:val="008B7164"/>
    <w:rsid w:val="008C116D"/>
    <w:rsid w:val="008C202B"/>
    <w:rsid w:val="008C4BA4"/>
    <w:rsid w:val="008C6C12"/>
    <w:rsid w:val="008C7A47"/>
    <w:rsid w:val="008D0691"/>
    <w:rsid w:val="008D0C96"/>
    <w:rsid w:val="008D1062"/>
    <w:rsid w:val="008D18AC"/>
    <w:rsid w:val="008D2561"/>
    <w:rsid w:val="008D2DE5"/>
    <w:rsid w:val="008D332C"/>
    <w:rsid w:val="008D3D08"/>
    <w:rsid w:val="008D5F09"/>
    <w:rsid w:val="008E07FA"/>
    <w:rsid w:val="008E129A"/>
    <w:rsid w:val="008E1A20"/>
    <w:rsid w:val="008E20F0"/>
    <w:rsid w:val="008E3C25"/>
    <w:rsid w:val="008E43D1"/>
    <w:rsid w:val="008E4B5C"/>
    <w:rsid w:val="008E6501"/>
    <w:rsid w:val="008E6F86"/>
    <w:rsid w:val="008E7C17"/>
    <w:rsid w:val="008E7DEE"/>
    <w:rsid w:val="008F063D"/>
    <w:rsid w:val="008F100D"/>
    <w:rsid w:val="008F2300"/>
    <w:rsid w:val="008F293C"/>
    <w:rsid w:val="008F2982"/>
    <w:rsid w:val="008F318D"/>
    <w:rsid w:val="008F321B"/>
    <w:rsid w:val="008F4601"/>
    <w:rsid w:val="008F4E52"/>
    <w:rsid w:val="008F516C"/>
    <w:rsid w:val="008F543B"/>
    <w:rsid w:val="00900D22"/>
    <w:rsid w:val="00900E9D"/>
    <w:rsid w:val="00901082"/>
    <w:rsid w:val="00903151"/>
    <w:rsid w:val="00907850"/>
    <w:rsid w:val="00910B9F"/>
    <w:rsid w:val="00911924"/>
    <w:rsid w:val="0091217B"/>
    <w:rsid w:val="0091314C"/>
    <w:rsid w:val="00913E11"/>
    <w:rsid w:val="009143CD"/>
    <w:rsid w:val="00914F0F"/>
    <w:rsid w:val="00915219"/>
    <w:rsid w:val="00916066"/>
    <w:rsid w:val="00916238"/>
    <w:rsid w:val="00916FDE"/>
    <w:rsid w:val="00920146"/>
    <w:rsid w:val="00920DCA"/>
    <w:rsid w:val="009217B3"/>
    <w:rsid w:val="0092425C"/>
    <w:rsid w:val="0092449D"/>
    <w:rsid w:val="00924811"/>
    <w:rsid w:val="009268DD"/>
    <w:rsid w:val="00926E16"/>
    <w:rsid w:val="00927255"/>
    <w:rsid w:val="009311E2"/>
    <w:rsid w:val="00933ED5"/>
    <w:rsid w:val="00934094"/>
    <w:rsid w:val="009343D7"/>
    <w:rsid w:val="00935457"/>
    <w:rsid w:val="0093594E"/>
    <w:rsid w:val="00936AE2"/>
    <w:rsid w:val="00936C7D"/>
    <w:rsid w:val="009370C2"/>
    <w:rsid w:val="00937776"/>
    <w:rsid w:val="00940DF9"/>
    <w:rsid w:val="00942120"/>
    <w:rsid w:val="009422F7"/>
    <w:rsid w:val="00943A02"/>
    <w:rsid w:val="0094562F"/>
    <w:rsid w:val="009466DE"/>
    <w:rsid w:val="00946BB5"/>
    <w:rsid w:val="009476DF"/>
    <w:rsid w:val="00947DD3"/>
    <w:rsid w:val="009503CA"/>
    <w:rsid w:val="009513AC"/>
    <w:rsid w:val="00951F4C"/>
    <w:rsid w:val="00951F67"/>
    <w:rsid w:val="0095444C"/>
    <w:rsid w:val="009554E4"/>
    <w:rsid w:val="00955856"/>
    <w:rsid w:val="00955D03"/>
    <w:rsid w:val="0095687F"/>
    <w:rsid w:val="0095740C"/>
    <w:rsid w:val="00960F51"/>
    <w:rsid w:val="00961B8E"/>
    <w:rsid w:val="00963DDB"/>
    <w:rsid w:val="00963E70"/>
    <w:rsid w:val="00964234"/>
    <w:rsid w:val="0096449E"/>
    <w:rsid w:val="009647C1"/>
    <w:rsid w:val="00964BA3"/>
    <w:rsid w:val="00964C61"/>
    <w:rsid w:val="00966851"/>
    <w:rsid w:val="00967481"/>
    <w:rsid w:val="00967CFD"/>
    <w:rsid w:val="00970EA6"/>
    <w:rsid w:val="0097198A"/>
    <w:rsid w:val="00971EAB"/>
    <w:rsid w:val="0097305B"/>
    <w:rsid w:val="00973DC4"/>
    <w:rsid w:val="009754E6"/>
    <w:rsid w:val="00976219"/>
    <w:rsid w:val="0097672F"/>
    <w:rsid w:val="00976EC0"/>
    <w:rsid w:val="00977E1F"/>
    <w:rsid w:val="00980BB0"/>
    <w:rsid w:val="00981D30"/>
    <w:rsid w:val="00982B91"/>
    <w:rsid w:val="00982CDA"/>
    <w:rsid w:val="00983975"/>
    <w:rsid w:val="009840BC"/>
    <w:rsid w:val="009845C0"/>
    <w:rsid w:val="009845D5"/>
    <w:rsid w:val="0098544F"/>
    <w:rsid w:val="0098558A"/>
    <w:rsid w:val="0098721E"/>
    <w:rsid w:val="00987405"/>
    <w:rsid w:val="00987F49"/>
    <w:rsid w:val="009909AC"/>
    <w:rsid w:val="0099270A"/>
    <w:rsid w:val="00992DB7"/>
    <w:rsid w:val="00993C21"/>
    <w:rsid w:val="0099403C"/>
    <w:rsid w:val="00994B7E"/>
    <w:rsid w:val="00994F99"/>
    <w:rsid w:val="00995BA5"/>
    <w:rsid w:val="00996A96"/>
    <w:rsid w:val="009971F7"/>
    <w:rsid w:val="009A0196"/>
    <w:rsid w:val="009A04CE"/>
    <w:rsid w:val="009A04EA"/>
    <w:rsid w:val="009A0B1E"/>
    <w:rsid w:val="009A0CD9"/>
    <w:rsid w:val="009A1D02"/>
    <w:rsid w:val="009A2739"/>
    <w:rsid w:val="009A33C9"/>
    <w:rsid w:val="009A3972"/>
    <w:rsid w:val="009A4608"/>
    <w:rsid w:val="009A464E"/>
    <w:rsid w:val="009A63DC"/>
    <w:rsid w:val="009B069E"/>
    <w:rsid w:val="009B1F77"/>
    <w:rsid w:val="009B4452"/>
    <w:rsid w:val="009B51C2"/>
    <w:rsid w:val="009B57F9"/>
    <w:rsid w:val="009B6675"/>
    <w:rsid w:val="009B6BFB"/>
    <w:rsid w:val="009B6DD2"/>
    <w:rsid w:val="009B70BA"/>
    <w:rsid w:val="009B7540"/>
    <w:rsid w:val="009C0A96"/>
    <w:rsid w:val="009C0BF5"/>
    <w:rsid w:val="009C0DDE"/>
    <w:rsid w:val="009C1799"/>
    <w:rsid w:val="009C1DCA"/>
    <w:rsid w:val="009C1F55"/>
    <w:rsid w:val="009C334F"/>
    <w:rsid w:val="009C4895"/>
    <w:rsid w:val="009C48D6"/>
    <w:rsid w:val="009C4C59"/>
    <w:rsid w:val="009C5D5D"/>
    <w:rsid w:val="009C6265"/>
    <w:rsid w:val="009D0648"/>
    <w:rsid w:val="009D08B1"/>
    <w:rsid w:val="009D1F0D"/>
    <w:rsid w:val="009D2022"/>
    <w:rsid w:val="009D24DD"/>
    <w:rsid w:val="009D267A"/>
    <w:rsid w:val="009D27B1"/>
    <w:rsid w:val="009D32F6"/>
    <w:rsid w:val="009D3300"/>
    <w:rsid w:val="009D34B5"/>
    <w:rsid w:val="009D3B14"/>
    <w:rsid w:val="009D3EFC"/>
    <w:rsid w:val="009D453F"/>
    <w:rsid w:val="009D5CA5"/>
    <w:rsid w:val="009D6069"/>
    <w:rsid w:val="009D7149"/>
    <w:rsid w:val="009D7A52"/>
    <w:rsid w:val="009E06A6"/>
    <w:rsid w:val="009E094D"/>
    <w:rsid w:val="009E10FB"/>
    <w:rsid w:val="009E48C0"/>
    <w:rsid w:val="009E4A5A"/>
    <w:rsid w:val="009E4E74"/>
    <w:rsid w:val="009E64A4"/>
    <w:rsid w:val="009E6A44"/>
    <w:rsid w:val="009E7DDD"/>
    <w:rsid w:val="009F0016"/>
    <w:rsid w:val="009F01C9"/>
    <w:rsid w:val="009F0460"/>
    <w:rsid w:val="009F04BB"/>
    <w:rsid w:val="009F0D8C"/>
    <w:rsid w:val="009F12DE"/>
    <w:rsid w:val="009F1985"/>
    <w:rsid w:val="009F2388"/>
    <w:rsid w:val="009F2859"/>
    <w:rsid w:val="009F4633"/>
    <w:rsid w:val="009F4E8B"/>
    <w:rsid w:val="009F5732"/>
    <w:rsid w:val="009F5A8D"/>
    <w:rsid w:val="009F69D6"/>
    <w:rsid w:val="009F7010"/>
    <w:rsid w:val="009F7386"/>
    <w:rsid w:val="009F79F9"/>
    <w:rsid w:val="00A002F8"/>
    <w:rsid w:val="00A01DC9"/>
    <w:rsid w:val="00A020D2"/>
    <w:rsid w:val="00A0270F"/>
    <w:rsid w:val="00A03438"/>
    <w:rsid w:val="00A03B77"/>
    <w:rsid w:val="00A0530D"/>
    <w:rsid w:val="00A05634"/>
    <w:rsid w:val="00A06D63"/>
    <w:rsid w:val="00A10BFC"/>
    <w:rsid w:val="00A10FD0"/>
    <w:rsid w:val="00A124BE"/>
    <w:rsid w:val="00A1255D"/>
    <w:rsid w:val="00A1438E"/>
    <w:rsid w:val="00A1439C"/>
    <w:rsid w:val="00A1483E"/>
    <w:rsid w:val="00A14951"/>
    <w:rsid w:val="00A14D2F"/>
    <w:rsid w:val="00A16959"/>
    <w:rsid w:val="00A2077A"/>
    <w:rsid w:val="00A208A9"/>
    <w:rsid w:val="00A22C28"/>
    <w:rsid w:val="00A2406E"/>
    <w:rsid w:val="00A254F5"/>
    <w:rsid w:val="00A260B9"/>
    <w:rsid w:val="00A26884"/>
    <w:rsid w:val="00A26956"/>
    <w:rsid w:val="00A26A8B"/>
    <w:rsid w:val="00A27858"/>
    <w:rsid w:val="00A30D5D"/>
    <w:rsid w:val="00A31E2B"/>
    <w:rsid w:val="00A34A30"/>
    <w:rsid w:val="00A34ECD"/>
    <w:rsid w:val="00A35D71"/>
    <w:rsid w:val="00A370AA"/>
    <w:rsid w:val="00A37739"/>
    <w:rsid w:val="00A4222A"/>
    <w:rsid w:val="00A42AC5"/>
    <w:rsid w:val="00A42C34"/>
    <w:rsid w:val="00A4353C"/>
    <w:rsid w:val="00A43B30"/>
    <w:rsid w:val="00A4449C"/>
    <w:rsid w:val="00A46E9D"/>
    <w:rsid w:val="00A50289"/>
    <w:rsid w:val="00A50D76"/>
    <w:rsid w:val="00A51E3E"/>
    <w:rsid w:val="00A52100"/>
    <w:rsid w:val="00A52EED"/>
    <w:rsid w:val="00A54E1D"/>
    <w:rsid w:val="00A551CA"/>
    <w:rsid w:val="00A552D5"/>
    <w:rsid w:val="00A55832"/>
    <w:rsid w:val="00A558B4"/>
    <w:rsid w:val="00A55C0D"/>
    <w:rsid w:val="00A575C5"/>
    <w:rsid w:val="00A61DEF"/>
    <w:rsid w:val="00A638F3"/>
    <w:rsid w:val="00A640A2"/>
    <w:rsid w:val="00A6501E"/>
    <w:rsid w:val="00A655F9"/>
    <w:rsid w:val="00A66C00"/>
    <w:rsid w:val="00A67FC2"/>
    <w:rsid w:val="00A70506"/>
    <w:rsid w:val="00A70E54"/>
    <w:rsid w:val="00A73166"/>
    <w:rsid w:val="00A746BD"/>
    <w:rsid w:val="00A80093"/>
    <w:rsid w:val="00A801C8"/>
    <w:rsid w:val="00A80D32"/>
    <w:rsid w:val="00A81F54"/>
    <w:rsid w:val="00A83E79"/>
    <w:rsid w:val="00A84958"/>
    <w:rsid w:val="00A86085"/>
    <w:rsid w:val="00A86C3B"/>
    <w:rsid w:val="00A875D7"/>
    <w:rsid w:val="00A87CE2"/>
    <w:rsid w:val="00A87E33"/>
    <w:rsid w:val="00A87FD6"/>
    <w:rsid w:val="00A9169D"/>
    <w:rsid w:val="00A92333"/>
    <w:rsid w:val="00A9240D"/>
    <w:rsid w:val="00A92475"/>
    <w:rsid w:val="00A925AC"/>
    <w:rsid w:val="00A940D2"/>
    <w:rsid w:val="00A94519"/>
    <w:rsid w:val="00A95802"/>
    <w:rsid w:val="00A96516"/>
    <w:rsid w:val="00A96C9C"/>
    <w:rsid w:val="00A97C89"/>
    <w:rsid w:val="00AA1B83"/>
    <w:rsid w:val="00AA23AE"/>
    <w:rsid w:val="00AA2ABC"/>
    <w:rsid w:val="00AA2E7E"/>
    <w:rsid w:val="00AA3430"/>
    <w:rsid w:val="00AA4508"/>
    <w:rsid w:val="00AA5201"/>
    <w:rsid w:val="00AA552B"/>
    <w:rsid w:val="00AA5A01"/>
    <w:rsid w:val="00AA698A"/>
    <w:rsid w:val="00AB30CC"/>
    <w:rsid w:val="00AB3134"/>
    <w:rsid w:val="00AB4BC6"/>
    <w:rsid w:val="00AB6CAD"/>
    <w:rsid w:val="00AB6F91"/>
    <w:rsid w:val="00AB70D5"/>
    <w:rsid w:val="00AB71BE"/>
    <w:rsid w:val="00AC07A0"/>
    <w:rsid w:val="00AC0A70"/>
    <w:rsid w:val="00AC10C3"/>
    <w:rsid w:val="00AC13C2"/>
    <w:rsid w:val="00AC17B1"/>
    <w:rsid w:val="00AC2543"/>
    <w:rsid w:val="00AC2C03"/>
    <w:rsid w:val="00AC2E65"/>
    <w:rsid w:val="00AC40D3"/>
    <w:rsid w:val="00AC411B"/>
    <w:rsid w:val="00AC4F21"/>
    <w:rsid w:val="00AC5017"/>
    <w:rsid w:val="00AC517A"/>
    <w:rsid w:val="00AC62A7"/>
    <w:rsid w:val="00AC7365"/>
    <w:rsid w:val="00AD067A"/>
    <w:rsid w:val="00AD207C"/>
    <w:rsid w:val="00AD2A34"/>
    <w:rsid w:val="00AD2EC7"/>
    <w:rsid w:val="00AD3122"/>
    <w:rsid w:val="00AD5657"/>
    <w:rsid w:val="00AD66FA"/>
    <w:rsid w:val="00AD69C7"/>
    <w:rsid w:val="00AD79E7"/>
    <w:rsid w:val="00AE2394"/>
    <w:rsid w:val="00AE2561"/>
    <w:rsid w:val="00AE3F80"/>
    <w:rsid w:val="00AE41BB"/>
    <w:rsid w:val="00AE5D10"/>
    <w:rsid w:val="00AE65A1"/>
    <w:rsid w:val="00AE67CD"/>
    <w:rsid w:val="00AE6F4B"/>
    <w:rsid w:val="00AE7B5A"/>
    <w:rsid w:val="00AE7C85"/>
    <w:rsid w:val="00AF0E17"/>
    <w:rsid w:val="00AF1DD5"/>
    <w:rsid w:val="00AF2FAF"/>
    <w:rsid w:val="00AF4E30"/>
    <w:rsid w:val="00AF54FA"/>
    <w:rsid w:val="00AF5620"/>
    <w:rsid w:val="00AF6646"/>
    <w:rsid w:val="00AF714F"/>
    <w:rsid w:val="00AF75A1"/>
    <w:rsid w:val="00B001DA"/>
    <w:rsid w:val="00B00CC4"/>
    <w:rsid w:val="00B00F42"/>
    <w:rsid w:val="00B01E60"/>
    <w:rsid w:val="00B03459"/>
    <w:rsid w:val="00B05299"/>
    <w:rsid w:val="00B05695"/>
    <w:rsid w:val="00B064A6"/>
    <w:rsid w:val="00B06E4A"/>
    <w:rsid w:val="00B1033E"/>
    <w:rsid w:val="00B10643"/>
    <w:rsid w:val="00B1085F"/>
    <w:rsid w:val="00B119B8"/>
    <w:rsid w:val="00B121F4"/>
    <w:rsid w:val="00B128ED"/>
    <w:rsid w:val="00B16255"/>
    <w:rsid w:val="00B16373"/>
    <w:rsid w:val="00B16441"/>
    <w:rsid w:val="00B165CC"/>
    <w:rsid w:val="00B16A62"/>
    <w:rsid w:val="00B20335"/>
    <w:rsid w:val="00B206A2"/>
    <w:rsid w:val="00B21420"/>
    <w:rsid w:val="00B22492"/>
    <w:rsid w:val="00B22947"/>
    <w:rsid w:val="00B24426"/>
    <w:rsid w:val="00B24524"/>
    <w:rsid w:val="00B24C35"/>
    <w:rsid w:val="00B26F35"/>
    <w:rsid w:val="00B26F84"/>
    <w:rsid w:val="00B27B19"/>
    <w:rsid w:val="00B30274"/>
    <w:rsid w:val="00B30841"/>
    <w:rsid w:val="00B31BEA"/>
    <w:rsid w:val="00B32232"/>
    <w:rsid w:val="00B32721"/>
    <w:rsid w:val="00B33AA7"/>
    <w:rsid w:val="00B3460F"/>
    <w:rsid w:val="00B3674F"/>
    <w:rsid w:val="00B3724E"/>
    <w:rsid w:val="00B376FA"/>
    <w:rsid w:val="00B40010"/>
    <w:rsid w:val="00B40D56"/>
    <w:rsid w:val="00B41AE8"/>
    <w:rsid w:val="00B425F9"/>
    <w:rsid w:val="00B43B01"/>
    <w:rsid w:val="00B44943"/>
    <w:rsid w:val="00B45276"/>
    <w:rsid w:val="00B459B2"/>
    <w:rsid w:val="00B4652A"/>
    <w:rsid w:val="00B46C87"/>
    <w:rsid w:val="00B46F5B"/>
    <w:rsid w:val="00B50679"/>
    <w:rsid w:val="00B5074B"/>
    <w:rsid w:val="00B507B6"/>
    <w:rsid w:val="00B513F3"/>
    <w:rsid w:val="00B51E49"/>
    <w:rsid w:val="00B532B4"/>
    <w:rsid w:val="00B53DBD"/>
    <w:rsid w:val="00B541A7"/>
    <w:rsid w:val="00B550A5"/>
    <w:rsid w:val="00B55DDE"/>
    <w:rsid w:val="00B5630C"/>
    <w:rsid w:val="00B564D9"/>
    <w:rsid w:val="00B56E77"/>
    <w:rsid w:val="00B57425"/>
    <w:rsid w:val="00B57B99"/>
    <w:rsid w:val="00B602EE"/>
    <w:rsid w:val="00B617D0"/>
    <w:rsid w:val="00B61D72"/>
    <w:rsid w:val="00B61D86"/>
    <w:rsid w:val="00B62D53"/>
    <w:rsid w:val="00B62FDF"/>
    <w:rsid w:val="00B64EF7"/>
    <w:rsid w:val="00B67242"/>
    <w:rsid w:val="00B702EB"/>
    <w:rsid w:val="00B70DC4"/>
    <w:rsid w:val="00B7191B"/>
    <w:rsid w:val="00B72253"/>
    <w:rsid w:val="00B72D07"/>
    <w:rsid w:val="00B73C9D"/>
    <w:rsid w:val="00B74489"/>
    <w:rsid w:val="00B74AFD"/>
    <w:rsid w:val="00B75FC5"/>
    <w:rsid w:val="00B77034"/>
    <w:rsid w:val="00B77233"/>
    <w:rsid w:val="00B77F9F"/>
    <w:rsid w:val="00B81B1E"/>
    <w:rsid w:val="00B81F0C"/>
    <w:rsid w:val="00B83D93"/>
    <w:rsid w:val="00B84C84"/>
    <w:rsid w:val="00B855A4"/>
    <w:rsid w:val="00B85B84"/>
    <w:rsid w:val="00B85E83"/>
    <w:rsid w:val="00B8624A"/>
    <w:rsid w:val="00B8719B"/>
    <w:rsid w:val="00B8748C"/>
    <w:rsid w:val="00B879B9"/>
    <w:rsid w:val="00B87AA0"/>
    <w:rsid w:val="00B90E75"/>
    <w:rsid w:val="00B90F33"/>
    <w:rsid w:val="00B914E7"/>
    <w:rsid w:val="00B9158F"/>
    <w:rsid w:val="00B9187D"/>
    <w:rsid w:val="00B919CF"/>
    <w:rsid w:val="00B91C3E"/>
    <w:rsid w:val="00B92939"/>
    <w:rsid w:val="00B93425"/>
    <w:rsid w:val="00B934CD"/>
    <w:rsid w:val="00B93AA4"/>
    <w:rsid w:val="00B93D46"/>
    <w:rsid w:val="00B93D4B"/>
    <w:rsid w:val="00B94281"/>
    <w:rsid w:val="00B943A9"/>
    <w:rsid w:val="00B94738"/>
    <w:rsid w:val="00B94B96"/>
    <w:rsid w:val="00B968F3"/>
    <w:rsid w:val="00B97205"/>
    <w:rsid w:val="00BA046F"/>
    <w:rsid w:val="00BA2A52"/>
    <w:rsid w:val="00BA2DB0"/>
    <w:rsid w:val="00BA3387"/>
    <w:rsid w:val="00BA3F94"/>
    <w:rsid w:val="00BA40DA"/>
    <w:rsid w:val="00BA456D"/>
    <w:rsid w:val="00BA4A52"/>
    <w:rsid w:val="00BA4D75"/>
    <w:rsid w:val="00BA57F0"/>
    <w:rsid w:val="00BA595A"/>
    <w:rsid w:val="00BA5D8C"/>
    <w:rsid w:val="00BA5F73"/>
    <w:rsid w:val="00BA692E"/>
    <w:rsid w:val="00BA6D24"/>
    <w:rsid w:val="00BA78E7"/>
    <w:rsid w:val="00BB289A"/>
    <w:rsid w:val="00BB29E9"/>
    <w:rsid w:val="00BB38AC"/>
    <w:rsid w:val="00BB478D"/>
    <w:rsid w:val="00BB4EE8"/>
    <w:rsid w:val="00BB56D2"/>
    <w:rsid w:val="00BB5B40"/>
    <w:rsid w:val="00BB6197"/>
    <w:rsid w:val="00BB6AA6"/>
    <w:rsid w:val="00BB6EC5"/>
    <w:rsid w:val="00BB7394"/>
    <w:rsid w:val="00BB76B1"/>
    <w:rsid w:val="00BB7CC5"/>
    <w:rsid w:val="00BB7F1A"/>
    <w:rsid w:val="00BB7F79"/>
    <w:rsid w:val="00BC0572"/>
    <w:rsid w:val="00BC0A61"/>
    <w:rsid w:val="00BC0F2A"/>
    <w:rsid w:val="00BC15D7"/>
    <w:rsid w:val="00BC2204"/>
    <w:rsid w:val="00BC2FEE"/>
    <w:rsid w:val="00BC40AB"/>
    <w:rsid w:val="00BC61C6"/>
    <w:rsid w:val="00BC7D9B"/>
    <w:rsid w:val="00BD03D9"/>
    <w:rsid w:val="00BD117B"/>
    <w:rsid w:val="00BD15AE"/>
    <w:rsid w:val="00BD1E9E"/>
    <w:rsid w:val="00BD2E91"/>
    <w:rsid w:val="00BD3153"/>
    <w:rsid w:val="00BD5924"/>
    <w:rsid w:val="00BD5DCE"/>
    <w:rsid w:val="00BD6628"/>
    <w:rsid w:val="00BD73F0"/>
    <w:rsid w:val="00BE0A38"/>
    <w:rsid w:val="00BE0EE0"/>
    <w:rsid w:val="00BE4151"/>
    <w:rsid w:val="00BE4BFF"/>
    <w:rsid w:val="00BE5D44"/>
    <w:rsid w:val="00BE620B"/>
    <w:rsid w:val="00BE705D"/>
    <w:rsid w:val="00BE750F"/>
    <w:rsid w:val="00BE7BD0"/>
    <w:rsid w:val="00BE7F99"/>
    <w:rsid w:val="00BF0547"/>
    <w:rsid w:val="00BF0761"/>
    <w:rsid w:val="00BF0A5A"/>
    <w:rsid w:val="00BF11F9"/>
    <w:rsid w:val="00BF138D"/>
    <w:rsid w:val="00BF2F34"/>
    <w:rsid w:val="00BF3018"/>
    <w:rsid w:val="00BF3291"/>
    <w:rsid w:val="00BF335E"/>
    <w:rsid w:val="00BF3771"/>
    <w:rsid w:val="00BF4C51"/>
    <w:rsid w:val="00BF50F2"/>
    <w:rsid w:val="00BF6215"/>
    <w:rsid w:val="00BF68B5"/>
    <w:rsid w:val="00BF7021"/>
    <w:rsid w:val="00BF7321"/>
    <w:rsid w:val="00BF7778"/>
    <w:rsid w:val="00BF7CD8"/>
    <w:rsid w:val="00C01762"/>
    <w:rsid w:val="00C02E30"/>
    <w:rsid w:val="00C0484D"/>
    <w:rsid w:val="00C04D9D"/>
    <w:rsid w:val="00C05B72"/>
    <w:rsid w:val="00C05D90"/>
    <w:rsid w:val="00C05E3E"/>
    <w:rsid w:val="00C0620A"/>
    <w:rsid w:val="00C074BC"/>
    <w:rsid w:val="00C07983"/>
    <w:rsid w:val="00C106FC"/>
    <w:rsid w:val="00C107E1"/>
    <w:rsid w:val="00C108C1"/>
    <w:rsid w:val="00C111D2"/>
    <w:rsid w:val="00C11716"/>
    <w:rsid w:val="00C12183"/>
    <w:rsid w:val="00C13FD7"/>
    <w:rsid w:val="00C15052"/>
    <w:rsid w:val="00C15CAA"/>
    <w:rsid w:val="00C1672A"/>
    <w:rsid w:val="00C16F5B"/>
    <w:rsid w:val="00C17766"/>
    <w:rsid w:val="00C17CCC"/>
    <w:rsid w:val="00C2025C"/>
    <w:rsid w:val="00C20303"/>
    <w:rsid w:val="00C21390"/>
    <w:rsid w:val="00C21EA8"/>
    <w:rsid w:val="00C242AE"/>
    <w:rsid w:val="00C2501E"/>
    <w:rsid w:val="00C26085"/>
    <w:rsid w:val="00C26113"/>
    <w:rsid w:val="00C26705"/>
    <w:rsid w:val="00C270E8"/>
    <w:rsid w:val="00C27226"/>
    <w:rsid w:val="00C30754"/>
    <w:rsid w:val="00C3164A"/>
    <w:rsid w:val="00C31B24"/>
    <w:rsid w:val="00C3237F"/>
    <w:rsid w:val="00C32699"/>
    <w:rsid w:val="00C32F9D"/>
    <w:rsid w:val="00C33229"/>
    <w:rsid w:val="00C333F6"/>
    <w:rsid w:val="00C337D0"/>
    <w:rsid w:val="00C34714"/>
    <w:rsid w:val="00C34B72"/>
    <w:rsid w:val="00C35322"/>
    <w:rsid w:val="00C35F92"/>
    <w:rsid w:val="00C36C54"/>
    <w:rsid w:val="00C40517"/>
    <w:rsid w:val="00C41EDB"/>
    <w:rsid w:val="00C4495C"/>
    <w:rsid w:val="00C45A9F"/>
    <w:rsid w:val="00C4669F"/>
    <w:rsid w:val="00C46E45"/>
    <w:rsid w:val="00C4760C"/>
    <w:rsid w:val="00C50AB6"/>
    <w:rsid w:val="00C51185"/>
    <w:rsid w:val="00C5321E"/>
    <w:rsid w:val="00C53779"/>
    <w:rsid w:val="00C53C6F"/>
    <w:rsid w:val="00C53DEA"/>
    <w:rsid w:val="00C53E81"/>
    <w:rsid w:val="00C54580"/>
    <w:rsid w:val="00C55A39"/>
    <w:rsid w:val="00C55F1A"/>
    <w:rsid w:val="00C57C2E"/>
    <w:rsid w:val="00C60121"/>
    <w:rsid w:val="00C60E0E"/>
    <w:rsid w:val="00C60E1E"/>
    <w:rsid w:val="00C61CB6"/>
    <w:rsid w:val="00C63F17"/>
    <w:rsid w:val="00C64D2A"/>
    <w:rsid w:val="00C65084"/>
    <w:rsid w:val="00C6609A"/>
    <w:rsid w:val="00C66BAE"/>
    <w:rsid w:val="00C6773C"/>
    <w:rsid w:val="00C71160"/>
    <w:rsid w:val="00C736D2"/>
    <w:rsid w:val="00C74A33"/>
    <w:rsid w:val="00C75BA1"/>
    <w:rsid w:val="00C7640E"/>
    <w:rsid w:val="00C76E4A"/>
    <w:rsid w:val="00C7783E"/>
    <w:rsid w:val="00C77AB5"/>
    <w:rsid w:val="00C77C8E"/>
    <w:rsid w:val="00C80700"/>
    <w:rsid w:val="00C80757"/>
    <w:rsid w:val="00C809B8"/>
    <w:rsid w:val="00C81B13"/>
    <w:rsid w:val="00C82E3D"/>
    <w:rsid w:val="00C8383A"/>
    <w:rsid w:val="00C84F7C"/>
    <w:rsid w:val="00C851D7"/>
    <w:rsid w:val="00C85222"/>
    <w:rsid w:val="00C854D1"/>
    <w:rsid w:val="00C85FC6"/>
    <w:rsid w:val="00C86015"/>
    <w:rsid w:val="00C8609D"/>
    <w:rsid w:val="00C8625D"/>
    <w:rsid w:val="00C86315"/>
    <w:rsid w:val="00C86E85"/>
    <w:rsid w:val="00C909A9"/>
    <w:rsid w:val="00C90CAB"/>
    <w:rsid w:val="00C90D76"/>
    <w:rsid w:val="00C9109D"/>
    <w:rsid w:val="00C924E0"/>
    <w:rsid w:val="00C9317D"/>
    <w:rsid w:val="00C93267"/>
    <w:rsid w:val="00C93468"/>
    <w:rsid w:val="00C93E4D"/>
    <w:rsid w:val="00C9591F"/>
    <w:rsid w:val="00C95E6F"/>
    <w:rsid w:val="00C977D2"/>
    <w:rsid w:val="00C977F0"/>
    <w:rsid w:val="00C97BE3"/>
    <w:rsid w:val="00C97D90"/>
    <w:rsid w:val="00CA0BB1"/>
    <w:rsid w:val="00CA1FD0"/>
    <w:rsid w:val="00CA2F57"/>
    <w:rsid w:val="00CA3BA7"/>
    <w:rsid w:val="00CA3C99"/>
    <w:rsid w:val="00CA3F49"/>
    <w:rsid w:val="00CA4F92"/>
    <w:rsid w:val="00CA7074"/>
    <w:rsid w:val="00CA751D"/>
    <w:rsid w:val="00CA7945"/>
    <w:rsid w:val="00CB0082"/>
    <w:rsid w:val="00CB0716"/>
    <w:rsid w:val="00CB0FA7"/>
    <w:rsid w:val="00CB17A7"/>
    <w:rsid w:val="00CB1A09"/>
    <w:rsid w:val="00CB1B12"/>
    <w:rsid w:val="00CB49D1"/>
    <w:rsid w:val="00CB4D75"/>
    <w:rsid w:val="00CB6240"/>
    <w:rsid w:val="00CB645C"/>
    <w:rsid w:val="00CB735C"/>
    <w:rsid w:val="00CB7876"/>
    <w:rsid w:val="00CC024B"/>
    <w:rsid w:val="00CC175F"/>
    <w:rsid w:val="00CC1E67"/>
    <w:rsid w:val="00CC2386"/>
    <w:rsid w:val="00CC250A"/>
    <w:rsid w:val="00CC26CE"/>
    <w:rsid w:val="00CC29B5"/>
    <w:rsid w:val="00CC4A16"/>
    <w:rsid w:val="00CC4B46"/>
    <w:rsid w:val="00CC4EE2"/>
    <w:rsid w:val="00CC4F38"/>
    <w:rsid w:val="00CC53D0"/>
    <w:rsid w:val="00CC5599"/>
    <w:rsid w:val="00CC5973"/>
    <w:rsid w:val="00CC6212"/>
    <w:rsid w:val="00CC621A"/>
    <w:rsid w:val="00CC6DCE"/>
    <w:rsid w:val="00CD1333"/>
    <w:rsid w:val="00CD152B"/>
    <w:rsid w:val="00CD1604"/>
    <w:rsid w:val="00CD182D"/>
    <w:rsid w:val="00CD193F"/>
    <w:rsid w:val="00CD1ABE"/>
    <w:rsid w:val="00CD24BD"/>
    <w:rsid w:val="00CD3112"/>
    <w:rsid w:val="00CD3BD4"/>
    <w:rsid w:val="00CD42BC"/>
    <w:rsid w:val="00CD507B"/>
    <w:rsid w:val="00CD629C"/>
    <w:rsid w:val="00CD634D"/>
    <w:rsid w:val="00CD6891"/>
    <w:rsid w:val="00CD6B14"/>
    <w:rsid w:val="00CD6DBE"/>
    <w:rsid w:val="00CD79DC"/>
    <w:rsid w:val="00CE0D42"/>
    <w:rsid w:val="00CE10A8"/>
    <w:rsid w:val="00CE11E4"/>
    <w:rsid w:val="00CE168F"/>
    <w:rsid w:val="00CE2634"/>
    <w:rsid w:val="00CE2E3E"/>
    <w:rsid w:val="00CE2F00"/>
    <w:rsid w:val="00CE3DFA"/>
    <w:rsid w:val="00CE3F98"/>
    <w:rsid w:val="00CE4001"/>
    <w:rsid w:val="00CE4383"/>
    <w:rsid w:val="00CE4B19"/>
    <w:rsid w:val="00CE50E7"/>
    <w:rsid w:val="00CE52C5"/>
    <w:rsid w:val="00CF0005"/>
    <w:rsid w:val="00CF0B4D"/>
    <w:rsid w:val="00CF0BE9"/>
    <w:rsid w:val="00CF269F"/>
    <w:rsid w:val="00CF2F19"/>
    <w:rsid w:val="00CF3E5F"/>
    <w:rsid w:val="00CF3F10"/>
    <w:rsid w:val="00CF40E4"/>
    <w:rsid w:val="00CF444E"/>
    <w:rsid w:val="00CF51C7"/>
    <w:rsid w:val="00CF6008"/>
    <w:rsid w:val="00CF7A32"/>
    <w:rsid w:val="00D0084D"/>
    <w:rsid w:val="00D01B4E"/>
    <w:rsid w:val="00D02603"/>
    <w:rsid w:val="00D037B3"/>
    <w:rsid w:val="00D040C3"/>
    <w:rsid w:val="00D059A4"/>
    <w:rsid w:val="00D065B2"/>
    <w:rsid w:val="00D066E7"/>
    <w:rsid w:val="00D07453"/>
    <w:rsid w:val="00D10A52"/>
    <w:rsid w:val="00D110B7"/>
    <w:rsid w:val="00D112E2"/>
    <w:rsid w:val="00D1166B"/>
    <w:rsid w:val="00D11824"/>
    <w:rsid w:val="00D11F9D"/>
    <w:rsid w:val="00D12C61"/>
    <w:rsid w:val="00D13062"/>
    <w:rsid w:val="00D13943"/>
    <w:rsid w:val="00D13E9D"/>
    <w:rsid w:val="00D14459"/>
    <w:rsid w:val="00D155B9"/>
    <w:rsid w:val="00D1585E"/>
    <w:rsid w:val="00D16785"/>
    <w:rsid w:val="00D16C8A"/>
    <w:rsid w:val="00D16EF6"/>
    <w:rsid w:val="00D24789"/>
    <w:rsid w:val="00D25645"/>
    <w:rsid w:val="00D3068C"/>
    <w:rsid w:val="00D3165B"/>
    <w:rsid w:val="00D31CFC"/>
    <w:rsid w:val="00D32442"/>
    <w:rsid w:val="00D3279E"/>
    <w:rsid w:val="00D34EC4"/>
    <w:rsid w:val="00D350A2"/>
    <w:rsid w:val="00D3546D"/>
    <w:rsid w:val="00D35EA4"/>
    <w:rsid w:val="00D37536"/>
    <w:rsid w:val="00D4046D"/>
    <w:rsid w:val="00D41114"/>
    <w:rsid w:val="00D41452"/>
    <w:rsid w:val="00D42D15"/>
    <w:rsid w:val="00D439D0"/>
    <w:rsid w:val="00D474AF"/>
    <w:rsid w:val="00D50659"/>
    <w:rsid w:val="00D50DBF"/>
    <w:rsid w:val="00D516EC"/>
    <w:rsid w:val="00D51E7D"/>
    <w:rsid w:val="00D5322C"/>
    <w:rsid w:val="00D536AF"/>
    <w:rsid w:val="00D54423"/>
    <w:rsid w:val="00D57886"/>
    <w:rsid w:val="00D57C5B"/>
    <w:rsid w:val="00D61D96"/>
    <w:rsid w:val="00D63096"/>
    <w:rsid w:val="00D63F68"/>
    <w:rsid w:val="00D64067"/>
    <w:rsid w:val="00D643AF"/>
    <w:rsid w:val="00D65334"/>
    <w:rsid w:val="00D654F4"/>
    <w:rsid w:val="00D659C0"/>
    <w:rsid w:val="00D65AD7"/>
    <w:rsid w:val="00D66EAB"/>
    <w:rsid w:val="00D67B90"/>
    <w:rsid w:val="00D705D5"/>
    <w:rsid w:val="00D707D2"/>
    <w:rsid w:val="00D70A6F"/>
    <w:rsid w:val="00D70F4A"/>
    <w:rsid w:val="00D72A98"/>
    <w:rsid w:val="00D72F78"/>
    <w:rsid w:val="00D731CB"/>
    <w:rsid w:val="00D737FA"/>
    <w:rsid w:val="00D73F12"/>
    <w:rsid w:val="00D7439F"/>
    <w:rsid w:val="00D74FED"/>
    <w:rsid w:val="00D759DA"/>
    <w:rsid w:val="00D76021"/>
    <w:rsid w:val="00D77208"/>
    <w:rsid w:val="00D81A72"/>
    <w:rsid w:val="00D832AA"/>
    <w:rsid w:val="00D836AE"/>
    <w:rsid w:val="00D849A7"/>
    <w:rsid w:val="00D84E66"/>
    <w:rsid w:val="00D85B28"/>
    <w:rsid w:val="00D85EAE"/>
    <w:rsid w:val="00D86F78"/>
    <w:rsid w:val="00D871B6"/>
    <w:rsid w:val="00D87AF1"/>
    <w:rsid w:val="00D90323"/>
    <w:rsid w:val="00D9081D"/>
    <w:rsid w:val="00D91708"/>
    <w:rsid w:val="00D91DB2"/>
    <w:rsid w:val="00D91F1E"/>
    <w:rsid w:val="00D93C18"/>
    <w:rsid w:val="00D947A4"/>
    <w:rsid w:val="00D949BD"/>
    <w:rsid w:val="00D94FD6"/>
    <w:rsid w:val="00D95AC8"/>
    <w:rsid w:val="00D95BFE"/>
    <w:rsid w:val="00D9694A"/>
    <w:rsid w:val="00D96E2A"/>
    <w:rsid w:val="00D97363"/>
    <w:rsid w:val="00DA359E"/>
    <w:rsid w:val="00DA3CC4"/>
    <w:rsid w:val="00DA42DE"/>
    <w:rsid w:val="00DA45CF"/>
    <w:rsid w:val="00DA5838"/>
    <w:rsid w:val="00DA5EDE"/>
    <w:rsid w:val="00DA62EE"/>
    <w:rsid w:val="00DA7C49"/>
    <w:rsid w:val="00DA7EEF"/>
    <w:rsid w:val="00DB0F75"/>
    <w:rsid w:val="00DB2536"/>
    <w:rsid w:val="00DB29A3"/>
    <w:rsid w:val="00DB433E"/>
    <w:rsid w:val="00DB4C08"/>
    <w:rsid w:val="00DB53AA"/>
    <w:rsid w:val="00DB5563"/>
    <w:rsid w:val="00DB69A7"/>
    <w:rsid w:val="00DB79EC"/>
    <w:rsid w:val="00DC05C9"/>
    <w:rsid w:val="00DC0B54"/>
    <w:rsid w:val="00DC0CA5"/>
    <w:rsid w:val="00DC157B"/>
    <w:rsid w:val="00DC1BCB"/>
    <w:rsid w:val="00DC222C"/>
    <w:rsid w:val="00DC2A41"/>
    <w:rsid w:val="00DC4FA6"/>
    <w:rsid w:val="00DC7295"/>
    <w:rsid w:val="00DC7441"/>
    <w:rsid w:val="00DC79F8"/>
    <w:rsid w:val="00DD0F45"/>
    <w:rsid w:val="00DD1996"/>
    <w:rsid w:val="00DD24CD"/>
    <w:rsid w:val="00DD2B78"/>
    <w:rsid w:val="00DD3116"/>
    <w:rsid w:val="00DD34E3"/>
    <w:rsid w:val="00DD3653"/>
    <w:rsid w:val="00DD4DAE"/>
    <w:rsid w:val="00DD5F14"/>
    <w:rsid w:val="00DD693B"/>
    <w:rsid w:val="00DD6963"/>
    <w:rsid w:val="00DE015B"/>
    <w:rsid w:val="00DE0847"/>
    <w:rsid w:val="00DE0859"/>
    <w:rsid w:val="00DE128D"/>
    <w:rsid w:val="00DE1ED8"/>
    <w:rsid w:val="00DE30FB"/>
    <w:rsid w:val="00DE3665"/>
    <w:rsid w:val="00DE489C"/>
    <w:rsid w:val="00DE4D33"/>
    <w:rsid w:val="00DE5F07"/>
    <w:rsid w:val="00DE7B9D"/>
    <w:rsid w:val="00DF0782"/>
    <w:rsid w:val="00DF0C70"/>
    <w:rsid w:val="00DF2490"/>
    <w:rsid w:val="00DF379E"/>
    <w:rsid w:val="00DF3ED7"/>
    <w:rsid w:val="00DF5450"/>
    <w:rsid w:val="00DF59F3"/>
    <w:rsid w:val="00DF5ED5"/>
    <w:rsid w:val="00DF5FED"/>
    <w:rsid w:val="00DF626D"/>
    <w:rsid w:val="00DF661E"/>
    <w:rsid w:val="00DF73B0"/>
    <w:rsid w:val="00DF74A0"/>
    <w:rsid w:val="00DF7D65"/>
    <w:rsid w:val="00E0000C"/>
    <w:rsid w:val="00E00D8E"/>
    <w:rsid w:val="00E011BE"/>
    <w:rsid w:val="00E012EA"/>
    <w:rsid w:val="00E01AB5"/>
    <w:rsid w:val="00E02D87"/>
    <w:rsid w:val="00E047C2"/>
    <w:rsid w:val="00E0500C"/>
    <w:rsid w:val="00E0593B"/>
    <w:rsid w:val="00E065E8"/>
    <w:rsid w:val="00E068E5"/>
    <w:rsid w:val="00E078ED"/>
    <w:rsid w:val="00E11A15"/>
    <w:rsid w:val="00E11C14"/>
    <w:rsid w:val="00E11D0F"/>
    <w:rsid w:val="00E11D14"/>
    <w:rsid w:val="00E1295D"/>
    <w:rsid w:val="00E13B57"/>
    <w:rsid w:val="00E14FBB"/>
    <w:rsid w:val="00E16C59"/>
    <w:rsid w:val="00E17F30"/>
    <w:rsid w:val="00E2056A"/>
    <w:rsid w:val="00E21577"/>
    <w:rsid w:val="00E21EA7"/>
    <w:rsid w:val="00E233BD"/>
    <w:rsid w:val="00E23575"/>
    <w:rsid w:val="00E2529F"/>
    <w:rsid w:val="00E27A0F"/>
    <w:rsid w:val="00E30087"/>
    <w:rsid w:val="00E32720"/>
    <w:rsid w:val="00E33047"/>
    <w:rsid w:val="00E3304E"/>
    <w:rsid w:val="00E332EE"/>
    <w:rsid w:val="00E3354C"/>
    <w:rsid w:val="00E34407"/>
    <w:rsid w:val="00E34CC9"/>
    <w:rsid w:val="00E35D8D"/>
    <w:rsid w:val="00E35FCC"/>
    <w:rsid w:val="00E36F8A"/>
    <w:rsid w:val="00E37C83"/>
    <w:rsid w:val="00E40311"/>
    <w:rsid w:val="00E407F2"/>
    <w:rsid w:val="00E40A2F"/>
    <w:rsid w:val="00E417F3"/>
    <w:rsid w:val="00E41F2B"/>
    <w:rsid w:val="00E4278E"/>
    <w:rsid w:val="00E43296"/>
    <w:rsid w:val="00E43B1D"/>
    <w:rsid w:val="00E447A8"/>
    <w:rsid w:val="00E45196"/>
    <w:rsid w:val="00E45446"/>
    <w:rsid w:val="00E45CE1"/>
    <w:rsid w:val="00E46F6C"/>
    <w:rsid w:val="00E505C4"/>
    <w:rsid w:val="00E50ECA"/>
    <w:rsid w:val="00E50F36"/>
    <w:rsid w:val="00E51D93"/>
    <w:rsid w:val="00E5202C"/>
    <w:rsid w:val="00E54087"/>
    <w:rsid w:val="00E54936"/>
    <w:rsid w:val="00E54A46"/>
    <w:rsid w:val="00E56B9D"/>
    <w:rsid w:val="00E603CB"/>
    <w:rsid w:val="00E60924"/>
    <w:rsid w:val="00E61EA0"/>
    <w:rsid w:val="00E62854"/>
    <w:rsid w:val="00E63B30"/>
    <w:rsid w:val="00E64B24"/>
    <w:rsid w:val="00E65C17"/>
    <w:rsid w:val="00E664F6"/>
    <w:rsid w:val="00E665ED"/>
    <w:rsid w:val="00E67FBB"/>
    <w:rsid w:val="00E7083F"/>
    <w:rsid w:val="00E70BA4"/>
    <w:rsid w:val="00E70D34"/>
    <w:rsid w:val="00E71639"/>
    <w:rsid w:val="00E71DD7"/>
    <w:rsid w:val="00E72027"/>
    <w:rsid w:val="00E7235E"/>
    <w:rsid w:val="00E73236"/>
    <w:rsid w:val="00E74DFC"/>
    <w:rsid w:val="00E75F91"/>
    <w:rsid w:val="00E76A3D"/>
    <w:rsid w:val="00E76A90"/>
    <w:rsid w:val="00E773F8"/>
    <w:rsid w:val="00E776DB"/>
    <w:rsid w:val="00E779B3"/>
    <w:rsid w:val="00E77D5D"/>
    <w:rsid w:val="00E8050C"/>
    <w:rsid w:val="00E817EB"/>
    <w:rsid w:val="00E823F4"/>
    <w:rsid w:val="00E836EC"/>
    <w:rsid w:val="00E84B48"/>
    <w:rsid w:val="00E85010"/>
    <w:rsid w:val="00E854DD"/>
    <w:rsid w:val="00E85F5F"/>
    <w:rsid w:val="00E862B9"/>
    <w:rsid w:val="00E86758"/>
    <w:rsid w:val="00E86763"/>
    <w:rsid w:val="00E86A44"/>
    <w:rsid w:val="00E86C1C"/>
    <w:rsid w:val="00E901B9"/>
    <w:rsid w:val="00E9322E"/>
    <w:rsid w:val="00E93674"/>
    <w:rsid w:val="00E9475E"/>
    <w:rsid w:val="00E94F40"/>
    <w:rsid w:val="00E96766"/>
    <w:rsid w:val="00E9677D"/>
    <w:rsid w:val="00E96A76"/>
    <w:rsid w:val="00E9768F"/>
    <w:rsid w:val="00E97CA2"/>
    <w:rsid w:val="00EA2149"/>
    <w:rsid w:val="00EA2254"/>
    <w:rsid w:val="00EA4EFE"/>
    <w:rsid w:val="00EA5B88"/>
    <w:rsid w:val="00EA72EF"/>
    <w:rsid w:val="00EB0664"/>
    <w:rsid w:val="00EB108E"/>
    <w:rsid w:val="00EB146A"/>
    <w:rsid w:val="00EB1A2B"/>
    <w:rsid w:val="00EB1DD3"/>
    <w:rsid w:val="00EB261E"/>
    <w:rsid w:val="00EB30BC"/>
    <w:rsid w:val="00EB4107"/>
    <w:rsid w:val="00EB42A5"/>
    <w:rsid w:val="00EB44FD"/>
    <w:rsid w:val="00EB4555"/>
    <w:rsid w:val="00EB4967"/>
    <w:rsid w:val="00EB643F"/>
    <w:rsid w:val="00EB68E9"/>
    <w:rsid w:val="00EB7730"/>
    <w:rsid w:val="00EC095F"/>
    <w:rsid w:val="00EC09CC"/>
    <w:rsid w:val="00EC0C4E"/>
    <w:rsid w:val="00EC1A7C"/>
    <w:rsid w:val="00EC4679"/>
    <w:rsid w:val="00EC4685"/>
    <w:rsid w:val="00EC677F"/>
    <w:rsid w:val="00EC6C23"/>
    <w:rsid w:val="00EC6E00"/>
    <w:rsid w:val="00ED0297"/>
    <w:rsid w:val="00ED03B4"/>
    <w:rsid w:val="00ED233A"/>
    <w:rsid w:val="00ED251C"/>
    <w:rsid w:val="00ED292E"/>
    <w:rsid w:val="00ED4D7B"/>
    <w:rsid w:val="00ED4FC0"/>
    <w:rsid w:val="00ED6202"/>
    <w:rsid w:val="00ED634B"/>
    <w:rsid w:val="00ED67D0"/>
    <w:rsid w:val="00ED731F"/>
    <w:rsid w:val="00ED78E6"/>
    <w:rsid w:val="00ED7A98"/>
    <w:rsid w:val="00ED7AD7"/>
    <w:rsid w:val="00ED7BC9"/>
    <w:rsid w:val="00ED7E5C"/>
    <w:rsid w:val="00ED7EE4"/>
    <w:rsid w:val="00EE0167"/>
    <w:rsid w:val="00EE0356"/>
    <w:rsid w:val="00EE2F5C"/>
    <w:rsid w:val="00EE4AAB"/>
    <w:rsid w:val="00EE4F11"/>
    <w:rsid w:val="00EE5092"/>
    <w:rsid w:val="00EE512B"/>
    <w:rsid w:val="00EE5168"/>
    <w:rsid w:val="00EE69C5"/>
    <w:rsid w:val="00EE7459"/>
    <w:rsid w:val="00EF0470"/>
    <w:rsid w:val="00EF1936"/>
    <w:rsid w:val="00EF232C"/>
    <w:rsid w:val="00EF25CE"/>
    <w:rsid w:val="00EF2B61"/>
    <w:rsid w:val="00EF3247"/>
    <w:rsid w:val="00EF5354"/>
    <w:rsid w:val="00EF57BA"/>
    <w:rsid w:val="00EF5BC7"/>
    <w:rsid w:val="00EF6126"/>
    <w:rsid w:val="00EF6EC7"/>
    <w:rsid w:val="00F0072D"/>
    <w:rsid w:val="00F007A2"/>
    <w:rsid w:val="00F008CF"/>
    <w:rsid w:val="00F0096C"/>
    <w:rsid w:val="00F00EBE"/>
    <w:rsid w:val="00F01FF3"/>
    <w:rsid w:val="00F020B9"/>
    <w:rsid w:val="00F021E6"/>
    <w:rsid w:val="00F04DD4"/>
    <w:rsid w:val="00F04F73"/>
    <w:rsid w:val="00F0532C"/>
    <w:rsid w:val="00F062C4"/>
    <w:rsid w:val="00F0656A"/>
    <w:rsid w:val="00F07584"/>
    <w:rsid w:val="00F077BD"/>
    <w:rsid w:val="00F10085"/>
    <w:rsid w:val="00F115CC"/>
    <w:rsid w:val="00F11B03"/>
    <w:rsid w:val="00F11F1B"/>
    <w:rsid w:val="00F1262C"/>
    <w:rsid w:val="00F1282B"/>
    <w:rsid w:val="00F12B4E"/>
    <w:rsid w:val="00F12BB8"/>
    <w:rsid w:val="00F13259"/>
    <w:rsid w:val="00F13CE0"/>
    <w:rsid w:val="00F13E40"/>
    <w:rsid w:val="00F145C9"/>
    <w:rsid w:val="00F1510C"/>
    <w:rsid w:val="00F15ED1"/>
    <w:rsid w:val="00F164EC"/>
    <w:rsid w:val="00F1698F"/>
    <w:rsid w:val="00F16CCA"/>
    <w:rsid w:val="00F172A5"/>
    <w:rsid w:val="00F20243"/>
    <w:rsid w:val="00F202A5"/>
    <w:rsid w:val="00F22477"/>
    <w:rsid w:val="00F230DB"/>
    <w:rsid w:val="00F23103"/>
    <w:rsid w:val="00F24008"/>
    <w:rsid w:val="00F24520"/>
    <w:rsid w:val="00F2470A"/>
    <w:rsid w:val="00F25619"/>
    <w:rsid w:val="00F27217"/>
    <w:rsid w:val="00F32691"/>
    <w:rsid w:val="00F32852"/>
    <w:rsid w:val="00F32DD7"/>
    <w:rsid w:val="00F33967"/>
    <w:rsid w:val="00F33BCC"/>
    <w:rsid w:val="00F356E3"/>
    <w:rsid w:val="00F3595A"/>
    <w:rsid w:val="00F361AB"/>
    <w:rsid w:val="00F36DD2"/>
    <w:rsid w:val="00F36F07"/>
    <w:rsid w:val="00F374EE"/>
    <w:rsid w:val="00F3754B"/>
    <w:rsid w:val="00F37935"/>
    <w:rsid w:val="00F400D3"/>
    <w:rsid w:val="00F40128"/>
    <w:rsid w:val="00F40637"/>
    <w:rsid w:val="00F40C84"/>
    <w:rsid w:val="00F4257E"/>
    <w:rsid w:val="00F4499C"/>
    <w:rsid w:val="00F464F6"/>
    <w:rsid w:val="00F46B4E"/>
    <w:rsid w:val="00F504AC"/>
    <w:rsid w:val="00F506FA"/>
    <w:rsid w:val="00F509F9"/>
    <w:rsid w:val="00F5138A"/>
    <w:rsid w:val="00F51DA6"/>
    <w:rsid w:val="00F530B1"/>
    <w:rsid w:val="00F532CE"/>
    <w:rsid w:val="00F53573"/>
    <w:rsid w:val="00F5428E"/>
    <w:rsid w:val="00F551BF"/>
    <w:rsid w:val="00F5584E"/>
    <w:rsid w:val="00F56FC8"/>
    <w:rsid w:val="00F5723D"/>
    <w:rsid w:val="00F57753"/>
    <w:rsid w:val="00F5777C"/>
    <w:rsid w:val="00F57DD3"/>
    <w:rsid w:val="00F57FA3"/>
    <w:rsid w:val="00F60102"/>
    <w:rsid w:val="00F60A29"/>
    <w:rsid w:val="00F60EEF"/>
    <w:rsid w:val="00F62335"/>
    <w:rsid w:val="00F628E4"/>
    <w:rsid w:val="00F62C77"/>
    <w:rsid w:val="00F62CAB"/>
    <w:rsid w:val="00F6320C"/>
    <w:rsid w:val="00F6322A"/>
    <w:rsid w:val="00F636B5"/>
    <w:rsid w:val="00F643A6"/>
    <w:rsid w:val="00F648C2"/>
    <w:rsid w:val="00F64EC5"/>
    <w:rsid w:val="00F659F4"/>
    <w:rsid w:val="00F678C0"/>
    <w:rsid w:val="00F67B93"/>
    <w:rsid w:val="00F707FE"/>
    <w:rsid w:val="00F7111E"/>
    <w:rsid w:val="00F7158E"/>
    <w:rsid w:val="00F7172A"/>
    <w:rsid w:val="00F73A5B"/>
    <w:rsid w:val="00F73CF1"/>
    <w:rsid w:val="00F7425B"/>
    <w:rsid w:val="00F74655"/>
    <w:rsid w:val="00F746F4"/>
    <w:rsid w:val="00F75B4F"/>
    <w:rsid w:val="00F75FB5"/>
    <w:rsid w:val="00F77401"/>
    <w:rsid w:val="00F77ED9"/>
    <w:rsid w:val="00F81567"/>
    <w:rsid w:val="00F8171F"/>
    <w:rsid w:val="00F81A90"/>
    <w:rsid w:val="00F81ACE"/>
    <w:rsid w:val="00F82C81"/>
    <w:rsid w:val="00F834E8"/>
    <w:rsid w:val="00F83856"/>
    <w:rsid w:val="00F83FAD"/>
    <w:rsid w:val="00F84C08"/>
    <w:rsid w:val="00F84F4B"/>
    <w:rsid w:val="00F85C5E"/>
    <w:rsid w:val="00F871D2"/>
    <w:rsid w:val="00F90051"/>
    <w:rsid w:val="00F9038D"/>
    <w:rsid w:val="00F905A9"/>
    <w:rsid w:val="00F91066"/>
    <w:rsid w:val="00F949C2"/>
    <w:rsid w:val="00F94C4F"/>
    <w:rsid w:val="00F96EED"/>
    <w:rsid w:val="00F97655"/>
    <w:rsid w:val="00FA0318"/>
    <w:rsid w:val="00FA0E04"/>
    <w:rsid w:val="00FA1EE2"/>
    <w:rsid w:val="00FA2BCB"/>
    <w:rsid w:val="00FA363F"/>
    <w:rsid w:val="00FA3C24"/>
    <w:rsid w:val="00FA4598"/>
    <w:rsid w:val="00FA46A8"/>
    <w:rsid w:val="00FA4CD0"/>
    <w:rsid w:val="00FA4F50"/>
    <w:rsid w:val="00FA5257"/>
    <w:rsid w:val="00FA5439"/>
    <w:rsid w:val="00FB305C"/>
    <w:rsid w:val="00FB3D24"/>
    <w:rsid w:val="00FB3E81"/>
    <w:rsid w:val="00FB403A"/>
    <w:rsid w:val="00FB57AA"/>
    <w:rsid w:val="00FB6775"/>
    <w:rsid w:val="00FC0DF7"/>
    <w:rsid w:val="00FC19FE"/>
    <w:rsid w:val="00FC1CDA"/>
    <w:rsid w:val="00FC275A"/>
    <w:rsid w:val="00FC3793"/>
    <w:rsid w:val="00FC41DA"/>
    <w:rsid w:val="00FC6433"/>
    <w:rsid w:val="00FC75ED"/>
    <w:rsid w:val="00FC7618"/>
    <w:rsid w:val="00FC788E"/>
    <w:rsid w:val="00FC7C23"/>
    <w:rsid w:val="00FC7D10"/>
    <w:rsid w:val="00FD0600"/>
    <w:rsid w:val="00FD0745"/>
    <w:rsid w:val="00FD08A6"/>
    <w:rsid w:val="00FD1EA5"/>
    <w:rsid w:val="00FD3AF4"/>
    <w:rsid w:val="00FD4E90"/>
    <w:rsid w:val="00FD5367"/>
    <w:rsid w:val="00FD55C0"/>
    <w:rsid w:val="00FD5FD2"/>
    <w:rsid w:val="00FD6B1D"/>
    <w:rsid w:val="00FD70A8"/>
    <w:rsid w:val="00FE0BFD"/>
    <w:rsid w:val="00FE0DB4"/>
    <w:rsid w:val="00FE17DC"/>
    <w:rsid w:val="00FE2A0F"/>
    <w:rsid w:val="00FE3A3B"/>
    <w:rsid w:val="00FE3BDF"/>
    <w:rsid w:val="00FE452D"/>
    <w:rsid w:val="00FE51F8"/>
    <w:rsid w:val="00FE7503"/>
    <w:rsid w:val="00FF0015"/>
    <w:rsid w:val="00FF0B5F"/>
    <w:rsid w:val="00FF1F10"/>
    <w:rsid w:val="00FF2745"/>
    <w:rsid w:val="00FF3845"/>
    <w:rsid w:val="00FF41DF"/>
    <w:rsid w:val="00FF47BD"/>
    <w:rsid w:val="00FF4943"/>
    <w:rsid w:val="00FF57AB"/>
    <w:rsid w:val="00FF57F0"/>
    <w:rsid w:val="00FF6C85"/>
    <w:rsid w:val="00FF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82"/>
    <o:shapelayout v:ext="edit">
      <o:idmap v:ext="edit" data="1"/>
    </o:shapelayout>
  </w:shapeDefaults>
  <w:decimalSymbol w:val="."/>
  <w:listSeparator w:val=","/>
  <w14:docId w14:val="60517271"/>
  <w14:discardImageEditingData/>
  <w15:chartTrackingRefBased/>
  <w15:docId w15:val="{78C0D603-B6A7-4531-98C8-B65C4666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59"/>
    <w:pPr>
      <w:spacing w:line="288" w:lineRule="auto"/>
    </w:pPr>
    <w:rPr>
      <w:sz w:val="18"/>
    </w:rPr>
  </w:style>
  <w:style w:type="paragraph" w:styleId="Heading1">
    <w:name w:val="heading 1"/>
    <w:basedOn w:val="MCHeading1"/>
    <w:next w:val="Normal"/>
    <w:link w:val="Heading1Char"/>
    <w:uiPriority w:val="9"/>
    <w:qFormat/>
    <w:rsid w:val="00210B59"/>
    <w:pPr>
      <w:outlineLvl w:val="0"/>
    </w:pPr>
  </w:style>
  <w:style w:type="paragraph" w:styleId="Heading2">
    <w:name w:val="heading 2"/>
    <w:basedOn w:val="RRSubhead1"/>
    <w:next w:val="Normal"/>
    <w:link w:val="Heading2Char"/>
    <w:uiPriority w:val="9"/>
    <w:unhideWhenUsed/>
    <w:qFormat/>
    <w:rsid w:val="00210B59"/>
    <w:pPr>
      <w:numPr>
        <w:numId w:val="13"/>
      </w:numPr>
      <w:outlineLvl w:val="1"/>
    </w:pPr>
  </w:style>
  <w:style w:type="paragraph" w:styleId="Heading3">
    <w:name w:val="heading 3"/>
    <w:basedOn w:val="RRSubhead2"/>
    <w:next w:val="Normal"/>
    <w:link w:val="Heading3Char"/>
    <w:uiPriority w:val="9"/>
    <w:unhideWhenUsed/>
    <w:qFormat/>
    <w:rsid w:val="00210B59"/>
    <w:pPr>
      <w:numPr>
        <w:ilvl w:val="1"/>
        <w:numId w:val="9"/>
      </w:numPr>
      <w:spacing w:after="120" w:line="288" w:lineRule="auto"/>
      <w:outlineLvl w:val="2"/>
    </w:pPr>
    <w:rPr>
      <w:sz w:val="24"/>
      <w:szCs w:val="24"/>
    </w:rPr>
  </w:style>
  <w:style w:type="paragraph" w:styleId="Heading4">
    <w:name w:val="heading 4"/>
    <w:basedOn w:val="RRSubhead3"/>
    <w:next w:val="Normal"/>
    <w:link w:val="Heading4Char"/>
    <w:uiPriority w:val="9"/>
    <w:unhideWhenUsed/>
    <w:qFormat/>
    <w:rsid w:val="00210B59"/>
    <w:pPr>
      <w:numPr>
        <w:ilvl w:val="2"/>
        <w:numId w:val="9"/>
      </w:numPr>
      <w:spacing w:after="120" w:line="288" w:lineRule="auto"/>
      <w:jc w:val="both"/>
      <w:outlineLvl w:val="3"/>
    </w:pPr>
    <w:rPr>
      <w:sz w:val="22"/>
    </w:rPr>
  </w:style>
  <w:style w:type="paragraph" w:styleId="Heading5">
    <w:name w:val="heading 5"/>
    <w:basedOn w:val="Normal"/>
    <w:next w:val="Normal"/>
    <w:link w:val="Heading5Char"/>
    <w:uiPriority w:val="9"/>
    <w:unhideWhenUsed/>
    <w:qFormat/>
    <w:rsid w:val="00210B59"/>
    <w:pPr>
      <w:numPr>
        <w:ilvl w:val="3"/>
        <w:numId w:val="9"/>
      </w:numPr>
      <w:outlineLvl w:val="4"/>
    </w:pPr>
    <w:rPr>
      <w:rFonts w:cstheme="minorHAnsi"/>
      <w:b/>
      <w:color w:val="555B5D" w:themeColor="accent3" w:themeShade="BF"/>
      <w:sz w:val="20"/>
      <w:szCs w:val="20"/>
    </w:rPr>
  </w:style>
  <w:style w:type="paragraph" w:styleId="Heading6">
    <w:name w:val="heading 6"/>
    <w:basedOn w:val="Normal"/>
    <w:next w:val="Normal"/>
    <w:link w:val="Heading6Char"/>
    <w:autoRedefine/>
    <w:uiPriority w:val="9"/>
    <w:unhideWhenUsed/>
    <w:qFormat/>
    <w:rsid w:val="00637D52"/>
    <w:pPr>
      <w:numPr>
        <w:numId w:val="14"/>
      </w:numPr>
      <w:tabs>
        <w:tab w:val="left" w:pos="1260"/>
      </w:tabs>
      <w:outlineLvl w:val="5"/>
    </w:pPr>
    <w:rPr>
      <w:rFonts w:cstheme="minorHAnsi"/>
      <w:b/>
      <w:color w:val="073658" w:themeColor="text2" w:themeShade="BF"/>
      <w:szCs w:val="18"/>
    </w:rPr>
  </w:style>
  <w:style w:type="paragraph" w:styleId="Heading7">
    <w:name w:val="heading 7"/>
    <w:basedOn w:val="Normal"/>
    <w:next w:val="Normal"/>
    <w:link w:val="Heading7Char"/>
    <w:uiPriority w:val="9"/>
    <w:semiHidden/>
    <w:unhideWhenUsed/>
    <w:qFormat/>
    <w:rsid w:val="00B01E6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1E6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1E6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B59"/>
    <w:rPr>
      <w:rFonts w:asciiTheme="majorHAnsi" w:hAnsiTheme="majorHAnsi" w:cstheme="majorHAnsi"/>
      <w:color w:val="0081E3" w:themeColor="accent4"/>
      <w:sz w:val="30"/>
    </w:rPr>
  </w:style>
  <w:style w:type="character" w:customStyle="1" w:styleId="Heading2Char">
    <w:name w:val="Heading 2 Char"/>
    <w:basedOn w:val="DefaultParagraphFont"/>
    <w:link w:val="Heading2"/>
    <w:uiPriority w:val="9"/>
    <w:rsid w:val="00210B59"/>
    <w:rPr>
      <w:color w:val="0081E3" w:themeColor="accent4"/>
      <w:sz w:val="30"/>
    </w:rPr>
  </w:style>
  <w:style w:type="character" w:customStyle="1" w:styleId="Heading3Char">
    <w:name w:val="Heading 3 Char"/>
    <w:basedOn w:val="DefaultParagraphFont"/>
    <w:link w:val="Heading3"/>
    <w:uiPriority w:val="9"/>
    <w:rsid w:val="00210B59"/>
    <w:rPr>
      <w:b/>
      <w:caps/>
      <w:color w:val="727A7D" w:themeColor="accent3"/>
      <w:sz w:val="24"/>
      <w:szCs w:val="24"/>
    </w:rPr>
  </w:style>
  <w:style w:type="character" w:customStyle="1" w:styleId="Heading4Char">
    <w:name w:val="Heading 4 Char"/>
    <w:basedOn w:val="DefaultParagraphFont"/>
    <w:link w:val="Heading4"/>
    <w:uiPriority w:val="9"/>
    <w:rsid w:val="00210B59"/>
    <w:rPr>
      <w:color w:val="0A4977" w:themeColor="text2"/>
      <w:sz w:val="22"/>
    </w:rPr>
  </w:style>
  <w:style w:type="paragraph" w:customStyle="1" w:styleId="RRCoverResearchReport">
    <w:name w:val="RR Cover Research Report"/>
    <w:basedOn w:val="Normal"/>
    <w:qFormat/>
    <w:rsid w:val="003C07FB"/>
    <w:pPr>
      <w:spacing w:after="0" w:line="276" w:lineRule="auto"/>
    </w:pPr>
    <w:rPr>
      <w:rFonts w:asciiTheme="majorHAnsi" w:hAnsiTheme="majorHAnsi"/>
      <w:caps/>
      <w:color w:val="727A7D" w:themeColor="accent3"/>
    </w:rPr>
  </w:style>
  <w:style w:type="paragraph" w:customStyle="1" w:styleId="RRCoverTitle">
    <w:name w:val="RR Cover Title"/>
    <w:basedOn w:val="Normal"/>
    <w:rsid w:val="007504D3"/>
    <w:pPr>
      <w:spacing w:line="276" w:lineRule="auto"/>
      <w:ind w:right="2520"/>
    </w:pPr>
    <w:rPr>
      <w:rFonts w:asciiTheme="majorHAnsi" w:hAnsiTheme="majorHAnsi"/>
      <w:color w:val="0081E3" w:themeColor="accent4"/>
      <w:sz w:val="60"/>
    </w:rPr>
  </w:style>
  <w:style w:type="paragraph" w:customStyle="1" w:styleId="RRCoverSubtitle">
    <w:name w:val="RR Cover Subtitle"/>
    <w:basedOn w:val="Normal"/>
    <w:qFormat/>
    <w:rsid w:val="007504D3"/>
    <w:pPr>
      <w:spacing w:before="120" w:line="276" w:lineRule="auto"/>
    </w:pPr>
    <w:rPr>
      <w:rFonts w:asciiTheme="majorHAnsi" w:hAnsiTheme="majorHAnsi"/>
      <w:color w:val="727A7D" w:themeColor="accent3"/>
      <w:sz w:val="32"/>
    </w:rPr>
  </w:style>
  <w:style w:type="paragraph" w:customStyle="1" w:styleId="RRCoverDate">
    <w:name w:val="RR Cover Date"/>
    <w:basedOn w:val="Normal"/>
    <w:rsid w:val="007504D3"/>
    <w:pPr>
      <w:spacing w:before="240" w:after="360" w:line="276" w:lineRule="auto"/>
    </w:pPr>
    <w:rPr>
      <w:color w:val="727A7D" w:themeColor="accent3"/>
    </w:rPr>
  </w:style>
  <w:style w:type="paragraph" w:customStyle="1" w:styleId="RRCoverAuthor">
    <w:name w:val="RR Cover Author"/>
    <w:basedOn w:val="Normal"/>
    <w:qFormat/>
    <w:rsid w:val="003C07FB"/>
    <w:pPr>
      <w:tabs>
        <w:tab w:val="left" w:pos="5040"/>
      </w:tabs>
      <w:spacing w:after="0" w:line="276" w:lineRule="auto"/>
    </w:pPr>
    <w:rPr>
      <w:color w:val="727A7D" w:themeColor="accent3"/>
    </w:rPr>
  </w:style>
  <w:style w:type="paragraph" w:customStyle="1" w:styleId="RRObject">
    <w:name w:val="RR Object"/>
    <w:basedOn w:val="Normal"/>
    <w:rsid w:val="00C7783E"/>
    <w:pPr>
      <w:spacing w:before="240" w:line="240" w:lineRule="auto"/>
    </w:pPr>
  </w:style>
  <w:style w:type="paragraph" w:styleId="Header">
    <w:name w:val="header"/>
    <w:basedOn w:val="Normal"/>
    <w:link w:val="HeaderChar"/>
    <w:uiPriority w:val="99"/>
    <w:unhideWhenUsed/>
    <w:rsid w:val="0061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E90"/>
  </w:style>
  <w:style w:type="paragraph" w:styleId="Footer">
    <w:name w:val="footer"/>
    <w:basedOn w:val="Normal"/>
    <w:link w:val="FooterChar"/>
    <w:uiPriority w:val="99"/>
    <w:unhideWhenUsed/>
    <w:rsid w:val="0061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E90"/>
  </w:style>
  <w:style w:type="paragraph" w:customStyle="1" w:styleId="RRHeader">
    <w:name w:val="RR Header"/>
    <w:basedOn w:val="Header"/>
    <w:qFormat/>
    <w:rsid w:val="00A925AC"/>
    <w:pPr>
      <w:spacing w:line="252" w:lineRule="auto"/>
    </w:pPr>
    <w:rPr>
      <w:caps/>
      <w:color w:val="C6C9CA" w:themeColor="accent2"/>
      <w:sz w:val="14"/>
    </w:rPr>
  </w:style>
  <w:style w:type="paragraph" w:customStyle="1" w:styleId="RRTOCHeader">
    <w:name w:val="RR TOC Header"/>
    <w:basedOn w:val="Normal"/>
    <w:rsid w:val="006C3AFC"/>
    <w:pPr>
      <w:spacing w:before="220" w:after="115" w:line="240" w:lineRule="auto"/>
    </w:pPr>
    <w:rPr>
      <w:color w:val="0A4977" w:themeColor="text2"/>
      <w:sz w:val="28"/>
    </w:rPr>
  </w:style>
  <w:style w:type="paragraph" w:customStyle="1" w:styleId="RRHeader2">
    <w:name w:val="RR Header 2"/>
    <w:basedOn w:val="RRHeader"/>
    <w:qFormat/>
    <w:rsid w:val="004E09DD"/>
    <w:pPr>
      <w:tabs>
        <w:tab w:val="clear" w:pos="4680"/>
        <w:tab w:val="clear" w:pos="9360"/>
      </w:tabs>
      <w:ind w:left="-720" w:right="-513"/>
    </w:pPr>
  </w:style>
  <w:style w:type="paragraph" w:customStyle="1" w:styleId="RRFooter">
    <w:name w:val="RR Footer"/>
    <w:basedOn w:val="Footer"/>
    <w:qFormat/>
    <w:rsid w:val="002B1DAB"/>
    <w:pPr>
      <w:pBdr>
        <w:top w:val="single" w:sz="4" w:space="6" w:color="E8E9E9" w:themeColor="accent2" w:themeTint="66"/>
      </w:pBdr>
      <w:spacing w:line="276" w:lineRule="auto"/>
      <w:ind w:left="-720" w:right="-720"/>
    </w:pPr>
    <w:rPr>
      <w:color w:val="727A7D" w:themeColor="accent3"/>
      <w:sz w:val="14"/>
    </w:rPr>
  </w:style>
  <w:style w:type="paragraph" w:customStyle="1" w:styleId="RRBody">
    <w:name w:val="RR Body"/>
    <w:basedOn w:val="Normal"/>
    <w:link w:val="RRBodyChar"/>
    <w:qFormat/>
    <w:rsid w:val="007504D3"/>
  </w:style>
  <w:style w:type="paragraph" w:customStyle="1" w:styleId="RRSubhead1">
    <w:name w:val="RR Subhead 1"/>
    <w:basedOn w:val="RRBody"/>
    <w:next w:val="RRBody"/>
    <w:link w:val="RRSubhead1Char"/>
    <w:rsid w:val="007504D3"/>
    <w:pPr>
      <w:keepNext/>
      <w:spacing w:before="120" w:after="60" w:line="276" w:lineRule="auto"/>
    </w:pPr>
    <w:rPr>
      <w:color w:val="0081E3" w:themeColor="accent4"/>
      <w:sz w:val="30"/>
    </w:rPr>
  </w:style>
  <w:style w:type="paragraph" w:customStyle="1" w:styleId="RRSubhead2">
    <w:name w:val="RR Subhead 2"/>
    <w:basedOn w:val="Normal"/>
    <w:next w:val="RRBody"/>
    <w:qFormat/>
    <w:rsid w:val="007504D3"/>
    <w:pPr>
      <w:keepNext/>
      <w:spacing w:after="0" w:line="276" w:lineRule="auto"/>
    </w:pPr>
    <w:rPr>
      <w:b/>
      <w:caps/>
      <w:color w:val="727A7D" w:themeColor="accent3"/>
    </w:rPr>
  </w:style>
  <w:style w:type="paragraph" w:customStyle="1" w:styleId="RRSubhead3">
    <w:name w:val="RR Subhead 3"/>
    <w:basedOn w:val="Normal"/>
    <w:next w:val="RRBody"/>
    <w:rsid w:val="007504D3"/>
    <w:pPr>
      <w:keepNext/>
      <w:spacing w:after="0" w:line="276" w:lineRule="auto"/>
    </w:pPr>
    <w:rPr>
      <w:color w:val="0A4977" w:themeColor="text2"/>
    </w:rPr>
  </w:style>
  <w:style w:type="paragraph" w:customStyle="1" w:styleId="RRIndent1">
    <w:name w:val="RR Indent 1"/>
    <w:basedOn w:val="RRBody"/>
    <w:qFormat/>
    <w:rsid w:val="007504D3"/>
    <w:pPr>
      <w:ind w:left="245"/>
    </w:pPr>
  </w:style>
  <w:style w:type="paragraph" w:customStyle="1" w:styleId="RRIndent2">
    <w:name w:val="RR Indent 2"/>
    <w:basedOn w:val="RRBody"/>
    <w:rsid w:val="007504D3"/>
    <w:pPr>
      <w:ind w:left="360"/>
    </w:pPr>
  </w:style>
  <w:style w:type="paragraph" w:customStyle="1" w:styleId="RRBullet1">
    <w:name w:val="RR Bullet 1"/>
    <w:basedOn w:val="RRBody"/>
    <w:rsid w:val="007504D3"/>
    <w:pPr>
      <w:numPr>
        <w:numId w:val="1"/>
      </w:numPr>
      <w:spacing w:after="60"/>
    </w:pPr>
  </w:style>
  <w:style w:type="paragraph" w:customStyle="1" w:styleId="RRBullet2">
    <w:name w:val="RR Bullet 2"/>
    <w:basedOn w:val="RRBullet1"/>
    <w:rsid w:val="007504D3"/>
    <w:pPr>
      <w:numPr>
        <w:numId w:val="2"/>
      </w:numPr>
      <w:ind w:left="432" w:hanging="216"/>
    </w:pPr>
  </w:style>
  <w:style w:type="paragraph" w:customStyle="1" w:styleId="RRNumber">
    <w:name w:val="RR Number"/>
    <w:basedOn w:val="RRBody"/>
    <w:qFormat/>
    <w:rsid w:val="007504D3"/>
    <w:pPr>
      <w:numPr>
        <w:numId w:val="3"/>
      </w:numPr>
      <w:ind w:left="360"/>
    </w:pPr>
  </w:style>
  <w:style w:type="paragraph" w:customStyle="1" w:styleId="RRNumber2">
    <w:name w:val="RR Number 2"/>
    <w:basedOn w:val="RRNumber"/>
    <w:rsid w:val="007504D3"/>
    <w:pPr>
      <w:numPr>
        <w:numId w:val="7"/>
      </w:numPr>
      <w:ind w:left="720" w:hanging="288"/>
    </w:pPr>
  </w:style>
  <w:style w:type="paragraph" w:customStyle="1" w:styleId="RRNumberedSubhead1">
    <w:name w:val="RR Numbered Subhead 1"/>
    <w:basedOn w:val="RRSubhead1"/>
    <w:next w:val="RRNumberedBody"/>
    <w:rsid w:val="007504D3"/>
    <w:pPr>
      <w:numPr>
        <w:numId w:val="4"/>
      </w:numPr>
    </w:pPr>
  </w:style>
  <w:style w:type="paragraph" w:customStyle="1" w:styleId="RRNumberedBody">
    <w:name w:val="RR Numbered Body"/>
    <w:basedOn w:val="RRBody"/>
    <w:rsid w:val="007504D3"/>
    <w:pPr>
      <w:ind w:left="360"/>
    </w:pPr>
  </w:style>
  <w:style w:type="paragraph" w:customStyle="1" w:styleId="RRNumberedBullet1">
    <w:name w:val="RR Numbered Bullet 1"/>
    <w:basedOn w:val="RRBullet1"/>
    <w:qFormat/>
    <w:rsid w:val="009422F7"/>
  </w:style>
  <w:style w:type="paragraph" w:customStyle="1" w:styleId="RRNumberedSubhead2">
    <w:name w:val="RR Numbered Subhead 2"/>
    <w:basedOn w:val="RRSubhead2"/>
    <w:next w:val="RRNumberedBody"/>
    <w:rsid w:val="007504D3"/>
    <w:pPr>
      <w:numPr>
        <w:ilvl w:val="1"/>
        <w:numId w:val="8"/>
      </w:numPr>
    </w:pPr>
  </w:style>
  <w:style w:type="paragraph" w:customStyle="1" w:styleId="RRNumberedRoman1">
    <w:name w:val="RR Numbered Roman 1"/>
    <w:basedOn w:val="RRNumberedBody"/>
    <w:rsid w:val="007504D3"/>
    <w:pPr>
      <w:numPr>
        <w:numId w:val="5"/>
      </w:numPr>
      <w:ind w:left="720"/>
    </w:pPr>
  </w:style>
  <w:style w:type="paragraph" w:customStyle="1" w:styleId="RRNumberedIndent2">
    <w:name w:val="RR Numbered Indent 2"/>
    <w:basedOn w:val="RRIndent2"/>
    <w:rsid w:val="007504D3"/>
    <w:pPr>
      <w:ind w:left="1008"/>
    </w:pPr>
  </w:style>
  <w:style w:type="paragraph" w:customStyle="1" w:styleId="RRNumberedSubhead3">
    <w:name w:val="RR Numbered Subhead 3"/>
    <w:basedOn w:val="RRSubhead3"/>
    <w:next w:val="RRNumberedIndent2"/>
    <w:rsid w:val="007504D3"/>
    <w:pPr>
      <w:numPr>
        <w:ilvl w:val="2"/>
        <w:numId w:val="8"/>
      </w:numPr>
    </w:pPr>
  </w:style>
  <w:style w:type="paragraph" w:styleId="FootnoteText">
    <w:name w:val="footnote text"/>
    <w:basedOn w:val="RRFootnote"/>
    <w:link w:val="FootnoteTextChar"/>
    <w:unhideWhenUsed/>
    <w:rsid w:val="006B610B"/>
    <w:pPr>
      <w:spacing w:after="0" w:line="240" w:lineRule="auto"/>
    </w:pPr>
    <w:rPr>
      <w:sz w:val="20"/>
      <w:szCs w:val="20"/>
    </w:rPr>
  </w:style>
  <w:style w:type="paragraph" w:customStyle="1" w:styleId="RRFootnote">
    <w:name w:val="RR Footnote"/>
    <w:basedOn w:val="RRBody"/>
    <w:rsid w:val="00EB1DD3"/>
    <w:pPr>
      <w:spacing w:after="20" w:line="276" w:lineRule="auto"/>
      <w:ind w:left="475" w:hanging="475"/>
    </w:pPr>
    <w:rPr>
      <w:color w:val="727A7D" w:themeColor="accent3"/>
      <w:sz w:val="14"/>
    </w:rPr>
  </w:style>
  <w:style w:type="character" w:customStyle="1" w:styleId="FootnoteTextChar">
    <w:name w:val="Footnote Text Char"/>
    <w:basedOn w:val="DefaultParagraphFont"/>
    <w:link w:val="FootnoteText"/>
    <w:rsid w:val="00935457"/>
    <w:rPr>
      <w:color w:val="C6C9CA" w:themeColor="accent2"/>
      <w:sz w:val="20"/>
      <w:szCs w:val="20"/>
    </w:rPr>
  </w:style>
  <w:style w:type="character" w:styleId="FootnoteReference">
    <w:name w:val="footnote reference"/>
    <w:basedOn w:val="DefaultParagraphFont"/>
    <w:semiHidden/>
    <w:unhideWhenUsed/>
    <w:rsid w:val="006B610B"/>
    <w:rPr>
      <w:vertAlign w:val="superscript"/>
    </w:rPr>
  </w:style>
  <w:style w:type="paragraph" w:customStyle="1" w:styleId="RRTableHeading">
    <w:name w:val="RR Table Heading"/>
    <w:rsid w:val="007504D3"/>
    <w:pPr>
      <w:spacing w:after="0" w:line="288" w:lineRule="auto"/>
    </w:pPr>
    <w:rPr>
      <w:rFonts w:asciiTheme="majorHAnsi" w:hAnsiTheme="majorHAnsi"/>
      <w:b/>
      <w:caps/>
      <w:color w:val="39414D" w:themeColor="background2"/>
      <w:sz w:val="14"/>
    </w:rPr>
  </w:style>
  <w:style w:type="table" w:styleId="TableGrid">
    <w:name w:val="Table Grid"/>
    <w:basedOn w:val="TableNormal"/>
    <w:uiPriority w:val="39"/>
    <w:rsid w:val="00A6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RTableBody">
    <w:name w:val="RR Table Body"/>
    <w:basedOn w:val="RRTableHeading"/>
    <w:rsid w:val="00967481"/>
    <w:pPr>
      <w:spacing w:before="60" w:after="60" w:line="264" w:lineRule="auto"/>
    </w:pPr>
    <w:rPr>
      <w:b w:val="0"/>
    </w:rPr>
  </w:style>
  <w:style w:type="paragraph" w:customStyle="1" w:styleId="RRExhibitHeading">
    <w:name w:val="RR Exhibit Heading"/>
    <w:next w:val="RRBody"/>
    <w:rsid w:val="007504D3"/>
    <w:pPr>
      <w:keepNext/>
      <w:pBdr>
        <w:top w:val="single" w:sz="4" w:space="9" w:color="E8E9E9" w:themeColor="accent2" w:themeTint="66"/>
      </w:pBdr>
      <w:tabs>
        <w:tab w:val="left" w:pos="900"/>
      </w:tabs>
      <w:spacing w:before="240" w:after="60" w:line="276" w:lineRule="auto"/>
    </w:pPr>
    <w:rPr>
      <w:rFonts w:asciiTheme="majorHAnsi" w:hAnsiTheme="majorHAnsi"/>
      <w:b/>
      <w:caps/>
      <w:color w:val="0081E3" w:themeColor="accent4"/>
      <w:sz w:val="14"/>
    </w:rPr>
  </w:style>
  <w:style w:type="paragraph" w:customStyle="1" w:styleId="RRExhibitFootnote">
    <w:name w:val="RR Exhibit Footnote"/>
    <w:rsid w:val="006749FC"/>
    <w:pPr>
      <w:spacing w:before="120" w:line="276" w:lineRule="auto"/>
    </w:pPr>
    <w:rPr>
      <w:color w:val="727A7D"/>
      <w:sz w:val="13"/>
    </w:rPr>
  </w:style>
  <w:style w:type="paragraph" w:customStyle="1" w:styleId="RRExhibitHeadingTopLine">
    <w:name w:val="RR Exhibit Heading Top Line"/>
    <w:basedOn w:val="Normal"/>
    <w:rsid w:val="00BC0572"/>
    <w:pPr>
      <w:keepNext/>
      <w:pBdr>
        <w:top w:val="single" w:sz="4" w:space="9" w:color="E8E9E9" w:themeColor="accent2" w:themeTint="66"/>
      </w:pBdr>
      <w:tabs>
        <w:tab w:val="left" w:pos="900"/>
      </w:tabs>
      <w:spacing w:after="60" w:line="252" w:lineRule="auto"/>
    </w:pPr>
    <w:rPr>
      <w:rFonts w:asciiTheme="majorHAnsi" w:hAnsiTheme="majorHAnsi"/>
      <w:b/>
      <w:caps/>
      <w:color w:val="0081E3" w:themeColor="accent4"/>
      <w:sz w:val="14"/>
    </w:rPr>
  </w:style>
  <w:style w:type="paragraph" w:customStyle="1" w:styleId="RRNumberTable">
    <w:name w:val="RR Number Table"/>
    <w:basedOn w:val="Normal"/>
    <w:rsid w:val="00BD15AE"/>
    <w:pPr>
      <w:numPr>
        <w:numId w:val="6"/>
      </w:numPr>
      <w:ind w:hanging="720"/>
    </w:pPr>
    <w:rPr>
      <w:color w:val="727A7D" w:themeColor="accent3"/>
    </w:rPr>
  </w:style>
  <w:style w:type="paragraph" w:customStyle="1" w:styleId="RRCalloutBox">
    <w:name w:val="RR Callout Box"/>
    <w:basedOn w:val="Normal"/>
    <w:rsid w:val="006749FC"/>
    <w:pPr>
      <w:spacing w:before="60" w:after="180" w:line="276" w:lineRule="auto"/>
      <w:ind w:left="360" w:right="720"/>
    </w:pPr>
    <w:rPr>
      <w:color w:val="FFFFFF" w:themeColor="background1"/>
      <w:sz w:val="28"/>
    </w:rPr>
  </w:style>
  <w:style w:type="paragraph" w:customStyle="1" w:styleId="RRCalloutBlue">
    <w:name w:val="RR Callout Blue"/>
    <w:rsid w:val="006749FC"/>
    <w:pPr>
      <w:spacing w:before="60" w:after="180" w:line="276" w:lineRule="auto"/>
    </w:pPr>
    <w:rPr>
      <w:color w:val="0081E3" w:themeColor="accent4"/>
      <w:sz w:val="28"/>
    </w:rPr>
  </w:style>
  <w:style w:type="paragraph" w:customStyle="1" w:styleId="RRCalloutSlate">
    <w:name w:val="RR Callout Slate"/>
    <w:basedOn w:val="RRCalloutBlue"/>
    <w:rsid w:val="006749FC"/>
    <w:rPr>
      <w:color w:val="727A7D" w:themeColor="accent3"/>
    </w:rPr>
  </w:style>
  <w:style w:type="paragraph" w:customStyle="1" w:styleId="RRCalloutSmall">
    <w:name w:val="RR Callout Small"/>
    <w:basedOn w:val="RRCalloutBlue"/>
    <w:rsid w:val="00BD15AE"/>
    <w:pPr>
      <w:spacing w:after="120"/>
    </w:pPr>
    <w:rPr>
      <w:color w:val="727A7D" w:themeColor="accent3"/>
      <w:sz w:val="20"/>
    </w:rPr>
  </w:style>
  <w:style w:type="paragraph" w:customStyle="1" w:styleId="RRCalloutSmallMBlue">
    <w:name w:val="RR Callout Small MBlue"/>
    <w:basedOn w:val="RRCalloutSmall"/>
    <w:qFormat/>
    <w:rsid w:val="006749FC"/>
    <w:rPr>
      <w:color w:val="0A4977" w:themeColor="text2"/>
    </w:rPr>
  </w:style>
  <w:style w:type="paragraph" w:customStyle="1" w:styleId="RRCalloutSmallVibrantBlue">
    <w:name w:val="RR Callout Small Vibrant Blue"/>
    <w:basedOn w:val="RRCalloutSmall"/>
    <w:rsid w:val="006749FC"/>
    <w:rPr>
      <w:color w:val="0081E3" w:themeColor="accent4"/>
    </w:rPr>
  </w:style>
  <w:style w:type="paragraph" w:customStyle="1" w:styleId="RRSidebar">
    <w:name w:val="RR Sidebar"/>
    <w:rsid w:val="006749FC"/>
    <w:pPr>
      <w:pBdr>
        <w:top w:val="single" w:sz="4" w:space="6" w:color="E8E9E9" w:themeColor="accent2" w:themeTint="66"/>
      </w:pBdr>
      <w:spacing w:before="200" w:line="276" w:lineRule="auto"/>
    </w:pPr>
    <w:rPr>
      <w:color w:val="0A4977" w:themeColor="text2"/>
    </w:rPr>
  </w:style>
  <w:style w:type="paragraph" w:customStyle="1" w:styleId="RRLeftandRightSidebar">
    <w:name w:val="RR Left and Right Sidebar"/>
    <w:basedOn w:val="Normal"/>
    <w:rsid w:val="00BD15AE"/>
    <w:pPr>
      <w:pBdr>
        <w:top w:val="single" w:sz="4" w:space="6" w:color="E8E9E9" w:themeColor="accent2" w:themeTint="66"/>
      </w:pBdr>
      <w:spacing w:before="60" w:line="276" w:lineRule="auto"/>
    </w:pPr>
    <w:rPr>
      <w:color w:val="0A4977" w:themeColor="text2"/>
    </w:rPr>
  </w:style>
  <w:style w:type="character" w:styleId="Hyperlink">
    <w:name w:val="Hyperlink"/>
    <w:basedOn w:val="DefaultParagraphFont"/>
    <w:uiPriority w:val="99"/>
    <w:unhideWhenUsed/>
    <w:rsid w:val="00755FC8"/>
    <w:rPr>
      <w:color w:val="0081E3" w:themeColor="hyperlink"/>
      <w:u w:val="none"/>
    </w:rPr>
  </w:style>
  <w:style w:type="paragraph" w:customStyle="1" w:styleId="RRTOCDescription">
    <w:name w:val="RR TOC Description"/>
    <w:basedOn w:val="RRBody"/>
    <w:rsid w:val="001F1784"/>
    <w:pPr>
      <w:spacing w:before="60" w:after="0"/>
      <w:ind w:left="240" w:right="720"/>
    </w:pPr>
    <w:rPr>
      <w:color w:val="727A7D" w:themeColor="accent3"/>
    </w:rPr>
  </w:style>
  <w:style w:type="paragraph" w:styleId="TOC1">
    <w:name w:val="toc 1"/>
    <w:basedOn w:val="Normal"/>
    <w:next w:val="Normal"/>
    <w:autoRedefine/>
    <w:uiPriority w:val="39"/>
    <w:unhideWhenUsed/>
    <w:rsid w:val="00D91F1E"/>
    <w:pPr>
      <w:tabs>
        <w:tab w:val="right" w:leader="dot" w:pos="9360"/>
      </w:tabs>
      <w:spacing w:after="0" w:line="254" w:lineRule="auto"/>
    </w:pPr>
    <w:rPr>
      <w:b/>
      <w:caps/>
    </w:rPr>
  </w:style>
  <w:style w:type="paragraph" w:styleId="TOC2">
    <w:name w:val="toc 2"/>
    <w:basedOn w:val="TOC1"/>
    <w:next w:val="Normal"/>
    <w:autoRedefine/>
    <w:uiPriority w:val="39"/>
    <w:unhideWhenUsed/>
    <w:rsid w:val="00557670"/>
    <w:pPr>
      <w:tabs>
        <w:tab w:val="left" w:pos="720"/>
      </w:tabs>
      <w:spacing w:before="120" w:line="276" w:lineRule="auto"/>
      <w:ind w:left="245" w:right="43"/>
    </w:pPr>
    <w:rPr>
      <w:b w:val="0"/>
      <w:color w:val="727A7D" w:themeColor="accent3"/>
    </w:rPr>
  </w:style>
  <w:style w:type="paragraph" w:styleId="TOC3">
    <w:name w:val="toc 3"/>
    <w:basedOn w:val="TOC2"/>
    <w:next w:val="Normal"/>
    <w:autoRedefine/>
    <w:uiPriority w:val="39"/>
    <w:unhideWhenUsed/>
    <w:rsid w:val="00435D63"/>
    <w:pPr>
      <w:tabs>
        <w:tab w:val="left" w:pos="1080"/>
      </w:tabs>
      <w:ind w:left="720" w:right="0"/>
    </w:pPr>
    <w:rPr>
      <w:caps w:val="0"/>
    </w:rPr>
  </w:style>
  <w:style w:type="paragraph" w:customStyle="1" w:styleId="RRLastPageBottomText">
    <w:name w:val="RR Last Page Bottom Text"/>
    <w:basedOn w:val="Normal"/>
    <w:rsid w:val="002B1DAB"/>
    <w:rPr>
      <w:color w:val="727A7D" w:themeColor="accent3"/>
      <w:sz w:val="16"/>
    </w:rPr>
  </w:style>
  <w:style w:type="paragraph" w:customStyle="1" w:styleId="RRCalloutSmallSlate">
    <w:name w:val="RR Callout Small Slate"/>
    <w:basedOn w:val="RRCalloutSmall"/>
    <w:rsid w:val="00530642"/>
  </w:style>
  <w:style w:type="paragraph" w:styleId="BalloonText">
    <w:name w:val="Balloon Text"/>
    <w:basedOn w:val="Normal"/>
    <w:link w:val="BalloonTextChar"/>
    <w:uiPriority w:val="99"/>
    <w:semiHidden/>
    <w:unhideWhenUsed/>
    <w:rsid w:val="00F530B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530B1"/>
    <w:rPr>
      <w:rFonts w:ascii="Segoe UI" w:hAnsi="Segoe UI" w:cs="Segoe UI"/>
      <w:sz w:val="18"/>
      <w:szCs w:val="18"/>
    </w:rPr>
  </w:style>
  <w:style w:type="paragraph" w:customStyle="1" w:styleId="RRCopyrightText">
    <w:name w:val="RR Copyright Text"/>
    <w:basedOn w:val="Normal"/>
    <w:rsid w:val="005E674D"/>
    <w:pPr>
      <w:spacing w:after="0"/>
    </w:pPr>
    <w:rPr>
      <w:color w:val="727A7D" w:themeColor="accent3"/>
      <w:sz w:val="12"/>
      <w:szCs w:val="12"/>
    </w:rPr>
  </w:style>
  <w:style w:type="paragraph" w:customStyle="1" w:styleId="RRContactHeading">
    <w:name w:val="RR Contact Heading"/>
    <w:basedOn w:val="Normal"/>
    <w:rsid w:val="005E674D"/>
    <w:pPr>
      <w:spacing w:before="115" w:after="0" w:line="250" w:lineRule="auto"/>
    </w:pPr>
    <w:rPr>
      <w:b/>
      <w:color w:val="727A7D" w:themeColor="accent3"/>
      <w:sz w:val="16"/>
      <w:szCs w:val="16"/>
    </w:rPr>
  </w:style>
  <w:style w:type="paragraph" w:customStyle="1" w:styleId="RRContactName">
    <w:name w:val="RR Contact Name"/>
    <w:basedOn w:val="Normal"/>
    <w:rsid w:val="005E674D"/>
    <w:pPr>
      <w:spacing w:before="115" w:after="0" w:line="250" w:lineRule="auto"/>
    </w:pPr>
    <w:rPr>
      <w:b/>
      <w:color w:val="727A7D" w:themeColor="accent3"/>
      <w:sz w:val="16"/>
      <w:szCs w:val="16"/>
    </w:rPr>
  </w:style>
  <w:style w:type="paragraph" w:customStyle="1" w:styleId="CalloutSlate-Backpage">
    <w:name w:val="Callout Slate - Backpage"/>
    <w:basedOn w:val="RRCalloutSlate"/>
    <w:rsid w:val="00547DB3"/>
    <w:pPr>
      <w:ind w:right="4230"/>
    </w:pPr>
  </w:style>
  <w:style w:type="paragraph" w:styleId="ListParagraph">
    <w:name w:val="List Paragraph"/>
    <w:basedOn w:val="Normal"/>
    <w:uiPriority w:val="34"/>
    <w:qFormat/>
    <w:rsid w:val="006A4FE7"/>
    <w:pPr>
      <w:ind w:left="720"/>
      <w:contextualSpacing/>
    </w:pPr>
  </w:style>
  <w:style w:type="paragraph" w:customStyle="1" w:styleId="ReportCoverPrepare">
    <w:name w:val="Report Cover Prepare"/>
    <w:basedOn w:val="Normal"/>
    <w:next w:val="Normal"/>
    <w:rsid w:val="00A254F5"/>
    <w:pPr>
      <w:spacing w:after="0" w:line="252" w:lineRule="auto"/>
    </w:pPr>
    <w:rPr>
      <w:rFonts w:ascii="Arial" w:eastAsia="Times New Roman" w:hAnsi="Arial" w:cs="Times New Roman"/>
      <w:color w:val="0E68AB" w:themeColor="text2" w:themeTint="D9"/>
      <w:szCs w:val="18"/>
    </w:rPr>
  </w:style>
  <w:style w:type="paragraph" w:styleId="TOC5">
    <w:name w:val="toc 5"/>
    <w:basedOn w:val="Normal"/>
    <w:next w:val="Normal"/>
    <w:autoRedefine/>
    <w:uiPriority w:val="39"/>
    <w:unhideWhenUsed/>
    <w:rsid w:val="00CE2634"/>
    <w:pPr>
      <w:spacing w:after="100"/>
      <w:ind w:left="880"/>
    </w:pPr>
  </w:style>
  <w:style w:type="character" w:styleId="CommentReference">
    <w:name w:val="annotation reference"/>
    <w:basedOn w:val="DefaultParagraphFont"/>
    <w:uiPriority w:val="99"/>
    <w:semiHidden/>
    <w:unhideWhenUsed/>
    <w:rsid w:val="00CE2634"/>
    <w:rPr>
      <w:sz w:val="16"/>
      <w:szCs w:val="16"/>
    </w:rPr>
  </w:style>
  <w:style w:type="paragraph" w:styleId="CommentText">
    <w:name w:val="annotation text"/>
    <w:basedOn w:val="Normal"/>
    <w:link w:val="CommentTextChar"/>
    <w:uiPriority w:val="99"/>
    <w:semiHidden/>
    <w:unhideWhenUsed/>
    <w:rsid w:val="00CE2634"/>
    <w:pPr>
      <w:spacing w:after="180" w:line="240" w:lineRule="auto"/>
    </w:pPr>
    <w:rPr>
      <w:rFonts w:ascii="Arial" w:eastAsia="Times New Roman" w:hAnsi="Arial" w:cs="Times New Roman"/>
      <w:color w:val="0E68AB" w:themeColor="text2" w:themeTint="D9"/>
      <w:sz w:val="20"/>
      <w:szCs w:val="20"/>
    </w:rPr>
  </w:style>
  <w:style w:type="character" w:customStyle="1" w:styleId="CommentTextChar">
    <w:name w:val="Comment Text Char"/>
    <w:basedOn w:val="DefaultParagraphFont"/>
    <w:link w:val="CommentText"/>
    <w:uiPriority w:val="99"/>
    <w:semiHidden/>
    <w:rsid w:val="00CE2634"/>
    <w:rPr>
      <w:rFonts w:ascii="Arial" w:eastAsia="Times New Roman" w:hAnsi="Arial" w:cs="Times New Roman"/>
      <w:color w:val="0E68AB" w:themeColor="text2" w:themeTint="D9"/>
      <w:sz w:val="20"/>
      <w:szCs w:val="20"/>
    </w:rPr>
  </w:style>
  <w:style w:type="paragraph" w:styleId="ListBullet2">
    <w:name w:val="List Bullet 2"/>
    <w:basedOn w:val="ListBullet"/>
    <w:rsid w:val="005A641B"/>
    <w:pPr>
      <w:numPr>
        <w:numId w:val="12"/>
      </w:numPr>
      <w:tabs>
        <w:tab w:val="clear" w:pos="547"/>
        <w:tab w:val="left" w:pos="432"/>
      </w:tabs>
      <w:spacing w:after="240" w:line="252" w:lineRule="auto"/>
      <w:ind w:left="540"/>
    </w:pPr>
    <w:rPr>
      <w:rFonts w:ascii="Arial" w:eastAsia="Times New Roman" w:hAnsi="Arial" w:cs="Times New Roman"/>
      <w:color w:val="0E68AB" w:themeColor="text2" w:themeTint="D9"/>
      <w:szCs w:val="18"/>
    </w:rPr>
  </w:style>
  <w:style w:type="paragraph" w:styleId="ListBullet">
    <w:name w:val="List Bullet"/>
    <w:basedOn w:val="Normal"/>
    <w:uiPriority w:val="99"/>
    <w:semiHidden/>
    <w:unhideWhenUsed/>
    <w:rsid w:val="005A641B"/>
    <w:pPr>
      <w:numPr>
        <w:numId w:val="15"/>
      </w:numPr>
      <w:ind w:left="0" w:firstLine="0"/>
      <w:contextualSpacing/>
    </w:pPr>
  </w:style>
  <w:style w:type="paragraph" w:customStyle="1" w:styleId="TableTitleText">
    <w:name w:val="Table Title Text"/>
    <w:basedOn w:val="Normal"/>
    <w:rsid w:val="005A641B"/>
    <w:pPr>
      <w:spacing w:before="60" w:after="180" w:line="252" w:lineRule="auto"/>
    </w:pPr>
    <w:rPr>
      <w:rFonts w:ascii="Arial" w:eastAsia="Arial Unicode MS" w:hAnsi="Arial" w:cs="Times New Roman"/>
      <w:color w:val="FFFFFF" w:themeColor="background1"/>
      <w:szCs w:val="24"/>
    </w:rPr>
  </w:style>
  <w:style w:type="paragraph" w:customStyle="1" w:styleId="TableText">
    <w:name w:val="Table Text"/>
    <w:basedOn w:val="Normal"/>
    <w:rsid w:val="005A641B"/>
    <w:pPr>
      <w:spacing w:before="60" w:line="252" w:lineRule="auto"/>
    </w:pPr>
    <w:rPr>
      <w:rFonts w:ascii="Arial" w:eastAsia="Times New Roman" w:hAnsi="Arial" w:cs="Times New Roman"/>
      <w:color w:val="0E68AB" w:themeColor="text2" w:themeTint="D9"/>
      <w:szCs w:val="18"/>
      <w:lang w:val="pt-BR"/>
    </w:rPr>
  </w:style>
  <w:style w:type="paragraph" w:customStyle="1" w:styleId="SectionHeadTopofPage">
    <w:name w:val="Section Head Top of Page"/>
    <w:basedOn w:val="Normal"/>
    <w:next w:val="Normal"/>
    <w:rsid w:val="002E1FD8"/>
    <w:pPr>
      <w:keepNext/>
      <w:spacing w:before="480" w:after="240" w:line="276" w:lineRule="auto"/>
      <w:outlineLvl w:val="0"/>
    </w:pPr>
    <w:rPr>
      <w:rFonts w:ascii="Arial" w:eastAsia="Calibri" w:hAnsi="Arial" w:cs="Times New Roman"/>
      <w:b/>
      <w:caps/>
      <w:color w:val="000000" w:themeColor="text1"/>
      <w:sz w:val="28"/>
      <w:szCs w:val="32"/>
    </w:rPr>
  </w:style>
  <w:style w:type="paragraph" w:styleId="CommentSubject">
    <w:name w:val="annotation subject"/>
    <w:basedOn w:val="CommentText"/>
    <w:next w:val="CommentText"/>
    <w:link w:val="CommentSubjectChar"/>
    <w:uiPriority w:val="99"/>
    <w:semiHidden/>
    <w:unhideWhenUsed/>
    <w:rsid w:val="000514E6"/>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0514E6"/>
    <w:rPr>
      <w:rFonts w:ascii="Arial" w:eastAsia="Times New Roman" w:hAnsi="Arial" w:cs="Times New Roman"/>
      <w:b/>
      <w:bCs/>
      <w:color w:val="0E68AB" w:themeColor="text2" w:themeTint="D9"/>
      <w:sz w:val="20"/>
      <w:szCs w:val="20"/>
    </w:rPr>
  </w:style>
  <w:style w:type="paragraph" w:styleId="TOC4">
    <w:name w:val="toc 4"/>
    <w:basedOn w:val="Normal"/>
    <w:next w:val="Normal"/>
    <w:autoRedefine/>
    <w:uiPriority w:val="39"/>
    <w:unhideWhenUsed/>
    <w:rsid w:val="00B165CC"/>
    <w:pPr>
      <w:tabs>
        <w:tab w:val="left" w:pos="1787"/>
        <w:tab w:val="right" w:leader="dot" w:pos="9350"/>
      </w:tabs>
      <w:spacing w:after="100"/>
      <w:ind w:left="1440"/>
    </w:pPr>
  </w:style>
  <w:style w:type="paragraph" w:styleId="TOC6">
    <w:name w:val="toc 6"/>
    <w:basedOn w:val="Normal"/>
    <w:next w:val="Normal"/>
    <w:autoRedefine/>
    <w:uiPriority w:val="39"/>
    <w:unhideWhenUsed/>
    <w:rsid w:val="008139F7"/>
    <w:pPr>
      <w:spacing w:after="100"/>
      <w:ind w:left="1100"/>
    </w:pPr>
  </w:style>
  <w:style w:type="paragraph" w:styleId="TOC7">
    <w:name w:val="toc 7"/>
    <w:basedOn w:val="Normal"/>
    <w:next w:val="Normal"/>
    <w:autoRedefine/>
    <w:uiPriority w:val="39"/>
    <w:unhideWhenUsed/>
    <w:rsid w:val="008139F7"/>
    <w:pPr>
      <w:spacing w:after="100"/>
      <w:ind w:left="1320"/>
    </w:pPr>
  </w:style>
  <w:style w:type="paragraph" w:styleId="TOC8">
    <w:name w:val="toc 8"/>
    <w:basedOn w:val="Normal"/>
    <w:next w:val="Normal"/>
    <w:autoRedefine/>
    <w:uiPriority w:val="39"/>
    <w:unhideWhenUsed/>
    <w:rsid w:val="008139F7"/>
    <w:pPr>
      <w:spacing w:after="100"/>
      <w:ind w:left="1540"/>
    </w:pPr>
  </w:style>
  <w:style w:type="paragraph" w:styleId="TOC9">
    <w:name w:val="toc 9"/>
    <w:basedOn w:val="Normal"/>
    <w:next w:val="Normal"/>
    <w:autoRedefine/>
    <w:uiPriority w:val="39"/>
    <w:unhideWhenUsed/>
    <w:rsid w:val="008139F7"/>
    <w:pPr>
      <w:spacing w:after="100"/>
      <w:ind w:left="1760"/>
    </w:pPr>
  </w:style>
  <w:style w:type="paragraph" w:styleId="NormalWeb">
    <w:name w:val="Normal (Web)"/>
    <w:basedOn w:val="Normal"/>
    <w:uiPriority w:val="99"/>
    <w:semiHidden/>
    <w:unhideWhenUsed/>
    <w:rsid w:val="00A55832"/>
    <w:pPr>
      <w:spacing w:before="100" w:beforeAutospacing="1" w:after="100" w:afterAutospacing="1" w:line="240" w:lineRule="auto"/>
    </w:pPr>
    <w:rPr>
      <w:rFonts w:ascii="Times New Roman" w:hAnsi="Times New Roman" w:cs="Times New Roman"/>
      <w:sz w:val="24"/>
      <w:szCs w:val="24"/>
    </w:rPr>
  </w:style>
  <w:style w:type="paragraph" w:customStyle="1" w:styleId="NormalHangingIndent">
    <w:name w:val="Normal Hanging Indent"/>
    <w:basedOn w:val="Normal"/>
    <w:rsid w:val="00B22947"/>
    <w:pPr>
      <w:spacing w:after="240" w:line="252" w:lineRule="auto"/>
      <w:ind w:left="2880" w:hanging="2880"/>
      <w:contextualSpacing/>
    </w:pPr>
    <w:rPr>
      <w:rFonts w:ascii="Arial" w:eastAsia="Times New Roman" w:hAnsi="Arial" w:cs="Times New Roman"/>
      <w:color w:val="0E68AB" w:themeColor="text2" w:themeTint="D9"/>
      <w:szCs w:val="18"/>
    </w:rPr>
  </w:style>
  <w:style w:type="character" w:styleId="FollowedHyperlink">
    <w:name w:val="FollowedHyperlink"/>
    <w:basedOn w:val="DefaultParagraphFont"/>
    <w:uiPriority w:val="99"/>
    <w:semiHidden/>
    <w:unhideWhenUsed/>
    <w:rsid w:val="007B6E63"/>
    <w:rPr>
      <w:color w:val="0081E3" w:themeColor="followedHyperlink"/>
      <w:u w:val="single"/>
    </w:rPr>
  </w:style>
  <w:style w:type="character" w:customStyle="1" w:styleId="Heading5Char">
    <w:name w:val="Heading 5 Char"/>
    <w:basedOn w:val="DefaultParagraphFont"/>
    <w:link w:val="Heading5"/>
    <w:uiPriority w:val="9"/>
    <w:rsid w:val="00210B59"/>
    <w:rPr>
      <w:rFonts w:cstheme="minorHAnsi"/>
      <w:b/>
      <w:color w:val="555B5D" w:themeColor="accent3" w:themeShade="BF"/>
      <w:sz w:val="20"/>
      <w:szCs w:val="20"/>
    </w:rPr>
  </w:style>
  <w:style w:type="character" w:customStyle="1" w:styleId="Heading6Char">
    <w:name w:val="Heading 6 Char"/>
    <w:basedOn w:val="DefaultParagraphFont"/>
    <w:link w:val="Heading6"/>
    <w:uiPriority w:val="9"/>
    <w:rsid w:val="00637D52"/>
    <w:rPr>
      <w:rFonts w:cstheme="minorHAnsi"/>
      <w:b/>
      <w:color w:val="073658" w:themeColor="text2" w:themeShade="BF"/>
      <w:sz w:val="18"/>
      <w:szCs w:val="18"/>
    </w:rPr>
  </w:style>
  <w:style w:type="character" w:customStyle="1" w:styleId="Heading7Char">
    <w:name w:val="Heading 7 Char"/>
    <w:basedOn w:val="DefaultParagraphFont"/>
    <w:link w:val="Heading7"/>
    <w:uiPriority w:val="9"/>
    <w:semiHidden/>
    <w:rsid w:val="00B01E6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1E6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1E6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01E6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1E60"/>
    <w:pPr>
      <w:spacing w:after="0" w:line="240" w:lineRule="auto"/>
      <w:contextualSpacing/>
    </w:pPr>
    <w:rPr>
      <w:rFonts w:asciiTheme="majorHAnsi" w:eastAsiaTheme="majorEastAsia" w:hAnsiTheme="majorHAnsi" w:cstheme="majorBidi"/>
      <w:color w:val="68825A" w:themeColor="accent1" w:themeShade="BF"/>
      <w:spacing w:val="-7"/>
      <w:sz w:val="80"/>
      <w:szCs w:val="80"/>
    </w:rPr>
  </w:style>
  <w:style w:type="character" w:customStyle="1" w:styleId="TitleChar">
    <w:name w:val="Title Char"/>
    <w:basedOn w:val="DefaultParagraphFont"/>
    <w:link w:val="Title"/>
    <w:uiPriority w:val="10"/>
    <w:rsid w:val="00B01E60"/>
    <w:rPr>
      <w:rFonts w:asciiTheme="majorHAnsi" w:eastAsiaTheme="majorEastAsia" w:hAnsiTheme="majorHAnsi" w:cstheme="majorBidi"/>
      <w:color w:val="68825A" w:themeColor="accent1" w:themeShade="BF"/>
      <w:spacing w:val="-7"/>
      <w:sz w:val="80"/>
      <w:szCs w:val="80"/>
    </w:rPr>
  </w:style>
  <w:style w:type="paragraph" w:styleId="Subtitle">
    <w:name w:val="Subtitle"/>
    <w:basedOn w:val="Normal"/>
    <w:next w:val="Normal"/>
    <w:link w:val="SubtitleChar"/>
    <w:uiPriority w:val="11"/>
    <w:qFormat/>
    <w:rsid w:val="00B01E6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1E6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01E60"/>
    <w:rPr>
      <w:b/>
      <w:bCs/>
    </w:rPr>
  </w:style>
  <w:style w:type="character" w:styleId="Emphasis">
    <w:name w:val="Emphasis"/>
    <w:basedOn w:val="DefaultParagraphFont"/>
    <w:uiPriority w:val="20"/>
    <w:qFormat/>
    <w:rsid w:val="00B01E60"/>
    <w:rPr>
      <w:i/>
      <w:iCs/>
    </w:rPr>
  </w:style>
  <w:style w:type="paragraph" w:styleId="NoSpacing">
    <w:name w:val="No Spacing"/>
    <w:uiPriority w:val="1"/>
    <w:qFormat/>
    <w:rsid w:val="00B01E60"/>
    <w:pPr>
      <w:spacing w:after="0" w:line="240" w:lineRule="auto"/>
    </w:pPr>
  </w:style>
  <w:style w:type="paragraph" w:styleId="Quote">
    <w:name w:val="Quote"/>
    <w:basedOn w:val="Normal"/>
    <w:next w:val="Normal"/>
    <w:link w:val="QuoteChar"/>
    <w:uiPriority w:val="29"/>
    <w:qFormat/>
    <w:rsid w:val="00B01E6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1E60"/>
    <w:rPr>
      <w:i/>
      <w:iCs/>
    </w:rPr>
  </w:style>
  <w:style w:type="paragraph" w:styleId="IntenseQuote">
    <w:name w:val="Intense Quote"/>
    <w:basedOn w:val="Normal"/>
    <w:next w:val="Normal"/>
    <w:link w:val="IntenseQuoteChar"/>
    <w:uiPriority w:val="30"/>
    <w:qFormat/>
    <w:rsid w:val="00B01E60"/>
    <w:pPr>
      <w:spacing w:before="100" w:beforeAutospacing="1" w:after="240"/>
      <w:ind w:left="864" w:right="864"/>
      <w:jc w:val="center"/>
    </w:pPr>
    <w:rPr>
      <w:rFonts w:asciiTheme="majorHAnsi" w:eastAsiaTheme="majorEastAsia" w:hAnsiTheme="majorHAnsi" w:cstheme="majorBidi"/>
      <w:color w:val="8EA780" w:themeColor="accent1"/>
      <w:sz w:val="28"/>
      <w:szCs w:val="28"/>
    </w:rPr>
  </w:style>
  <w:style w:type="character" w:customStyle="1" w:styleId="IntenseQuoteChar">
    <w:name w:val="Intense Quote Char"/>
    <w:basedOn w:val="DefaultParagraphFont"/>
    <w:link w:val="IntenseQuote"/>
    <w:uiPriority w:val="30"/>
    <w:rsid w:val="00B01E60"/>
    <w:rPr>
      <w:rFonts w:asciiTheme="majorHAnsi" w:eastAsiaTheme="majorEastAsia" w:hAnsiTheme="majorHAnsi" w:cstheme="majorBidi"/>
      <w:color w:val="8EA780" w:themeColor="accent1"/>
      <w:sz w:val="28"/>
      <w:szCs w:val="28"/>
    </w:rPr>
  </w:style>
  <w:style w:type="character" w:styleId="SubtleEmphasis">
    <w:name w:val="Subtle Emphasis"/>
    <w:basedOn w:val="DefaultParagraphFont"/>
    <w:uiPriority w:val="19"/>
    <w:qFormat/>
    <w:rsid w:val="00B01E60"/>
    <w:rPr>
      <w:i/>
      <w:iCs/>
      <w:color w:val="595959" w:themeColor="text1" w:themeTint="A6"/>
    </w:rPr>
  </w:style>
  <w:style w:type="character" w:styleId="IntenseEmphasis">
    <w:name w:val="Intense Emphasis"/>
    <w:basedOn w:val="DefaultParagraphFont"/>
    <w:uiPriority w:val="21"/>
    <w:qFormat/>
    <w:rsid w:val="00B01E60"/>
    <w:rPr>
      <w:b/>
      <w:bCs/>
      <w:i/>
      <w:iCs/>
    </w:rPr>
  </w:style>
  <w:style w:type="character" w:styleId="SubtleReference">
    <w:name w:val="Subtle Reference"/>
    <w:basedOn w:val="DefaultParagraphFont"/>
    <w:uiPriority w:val="31"/>
    <w:qFormat/>
    <w:rsid w:val="00B01E60"/>
    <w:rPr>
      <w:smallCaps/>
      <w:color w:val="404040" w:themeColor="text1" w:themeTint="BF"/>
    </w:rPr>
  </w:style>
  <w:style w:type="character" w:styleId="IntenseReference">
    <w:name w:val="Intense Reference"/>
    <w:basedOn w:val="DefaultParagraphFont"/>
    <w:uiPriority w:val="32"/>
    <w:qFormat/>
    <w:rsid w:val="00B01E60"/>
    <w:rPr>
      <w:b/>
      <w:bCs/>
      <w:smallCaps/>
      <w:u w:val="single"/>
    </w:rPr>
  </w:style>
  <w:style w:type="character" w:styleId="BookTitle">
    <w:name w:val="Book Title"/>
    <w:basedOn w:val="DefaultParagraphFont"/>
    <w:uiPriority w:val="33"/>
    <w:qFormat/>
    <w:rsid w:val="00B01E60"/>
    <w:rPr>
      <w:b/>
      <w:bCs/>
      <w:smallCaps/>
    </w:rPr>
  </w:style>
  <w:style w:type="paragraph" w:styleId="TOCHeading">
    <w:name w:val="TOC Heading"/>
    <w:basedOn w:val="Heading1"/>
    <w:next w:val="Normal"/>
    <w:uiPriority w:val="39"/>
    <w:unhideWhenUsed/>
    <w:qFormat/>
    <w:rsid w:val="00B01E60"/>
    <w:pPr>
      <w:outlineLvl w:val="9"/>
    </w:pPr>
  </w:style>
  <w:style w:type="paragraph" w:customStyle="1" w:styleId="MCHeading1">
    <w:name w:val="MC Heading 1"/>
    <w:basedOn w:val="RRSubhead1"/>
    <w:link w:val="MCHeading1Char"/>
    <w:rsid w:val="00210B59"/>
    <w:rPr>
      <w:rFonts w:asciiTheme="majorHAnsi" w:hAnsiTheme="majorHAnsi" w:cstheme="majorHAnsi"/>
    </w:rPr>
  </w:style>
  <w:style w:type="character" w:customStyle="1" w:styleId="RRBodyChar">
    <w:name w:val="RR Body Char"/>
    <w:basedOn w:val="DefaultParagraphFont"/>
    <w:link w:val="RRBody"/>
    <w:rsid w:val="00210B59"/>
    <w:rPr>
      <w:sz w:val="18"/>
    </w:rPr>
  </w:style>
  <w:style w:type="character" w:customStyle="1" w:styleId="RRSubhead1Char">
    <w:name w:val="RR Subhead 1 Char"/>
    <w:basedOn w:val="RRBodyChar"/>
    <w:link w:val="RRSubhead1"/>
    <w:rsid w:val="00210B59"/>
    <w:rPr>
      <w:color w:val="0081E3" w:themeColor="accent4"/>
      <w:sz w:val="30"/>
    </w:rPr>
  </w:style>
  <w:style w:type="character" w:customStyle="1" w:styleId="MCHeading1Char">
    <w:name w:val="MC Heading 1 Char"/>
    <w:basedOn w:val="RRSubhead1Char"/>
    <w:link w:val="MCHeading1"/>
    <w:rsid w:val="00210B59"/>
    <w:rPr>
      <w:rFonts w:asciiTheme="majorHAnsi" w:hAnsiTheme="majorHAnsi" w:cstheme="majorHAnsi"/>
      <w:color w:val="0081E3" w:themeColor="accent4"/>
      <w:sz w:val="30"/>
    </w:rPr>
  </w:style>
  <w:style w:type="character" w:customStyle="1" w:styleId="UnresolvedMention1">
    <w:name w:val="Unresolved Mention1"/>
    <w:basedOn w:val="DefaultParagraphFont"/>
    <w:uiPriority w:val="99"/>
    <w:semiHidden/>
    <w:unhideWhenUsed/>
    <w:rsid w:val="00375E5B"/>
    <w:rPr>
      <w:color w:val="605E5C"/>
      <w:shd w:val="clear" w:color="auto" w:fill="E1DFDD"/>
    </w:rPr>
  </w:style>
  <w:style w:type="paragraph" w:styleId="Revision">
    <w:name w:val="Revision"/>
    <w:hidden/>
    <w:uiPriority w:val="99"/>
    <w:semiHidden/>
    <w:rsid w:val="00312CD1"/>
    <w:pPr>
      <w:spacing w:after="0" w:line="240" w:lineRule="auto"/>
    </w:pPr>
    <w:rPr>
      <w:sz w:val="18"/>
    </w:rPr>
  </w:style>
  <w:style w:type="character" w:customStyle="1" w:styleId="UnresolvedMention2">
    <w:name w:val="Unresolved Mention2"/>
    <w:basedOn w:val="DefaultParagraphFont"/>
    <w:uiPriority w:val="99"/>
    <w:semiHidden/>
    <w:unhideWhenUsed/>
    <w:rsid w:val="001A12E8"/>
    <w:rPr>
      <w:color w:val="605E5C"/>
      <w:shd w:val="clear" w:color="auto" w:fill="E1DFDD"/>
    </w:rPr>
  </w:style>
  <w:style w:type="character" w:customStyle="1" w:styleId="UnresolvedMention3">
    <w:name w:val="Unresolved Mention3"/>
    <w:basedOn w:val="DefaultParagraphFont"/>
    <w:uiPriority w:val="99"/>
    <w:semiHidden/>
    <w:unhideWhenUsed/>
    <w:rsid w:val="0019166E"/>
    <w:rPr>
      <w:color w:val="605E5C"/>
      <w:shd w:val="clear" w:color="auto" w:fill="E1DFDD"/>
    </w:rPr>
  </w:style>
  <w:style w:type="character" w:customStyle="1" w:styleId="UnresolvedMention4">
    <w:name w:val="Unresolved Mention4"/>
    <w:basedOn w:val="DefaultParagraphFont"/>
    <w:uiPriority w:val="99"/>
    <w:semiHidden/>
    <w:unhideWhenUsed/>
    <w:rsid w:val="00881C19"/>
    <w:rPr>
      <w:color w:val="605E5C"/>
      <w:shd w:val="clear" w:color="auto" w:fill="E1DFDD"/>
    </w:rPr>
  </w:style>
  <w:style w:type="character" w:customStyle="1" w:styleId="UnresolvedMention5">
    <w:name w:val="Unresolved Mention5"/>
    <w:basedOn w:val="DefaultParagraphFont"/>
    <w:uiPriority w:val="99"/>
    <w:semiHidden/>
    <w:unhideWhenUsed/>
    <w:rsid w:val="00F57FA3"/>
    <w:rPr>
      <w:color w:val="605E5C"/>
      <w:shd w:val="clear" w:color="auto" w:fill="E1DFDD"/>
    </w:rPr>
  </w:style>
  <w:style w:type="character" w:styleId="UnresolvedMention">
    <w:name w:val="Unresolved Mention"/>
    <w:basedOn w:val="DefaultParagraphFont"/>
    <w:uiPriority w:val="99"/>
    <w:semiHidden/>
    <w:unhideWhenUsed/>
    <w:rsid w:val="00217093"/>
    <w:rPr>
      <w:color w:val="605E5C"/>
      <w:shd w:val="clear" w:color="auto" w:fill="E1DFDD"/>
    </w:rPr>
  </w:style>
  <w:style w:type="paragraph" w:customStyle="1" w:styleId="Default">
    <w:name w:val="Default"/>
    <w:rsid w:val="00EB26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1069">
      <w:bodyDiv w:val="1"/>
      <w:marLeft w:val="0"/>
      <w:marRight w:val="0"/>
      <w:marTop w:val="0"/>
      <w:marBottom w:val="0"/>
      <w:divBdr>
        <w:top w:val="none" w:sz="0" w:space="0" w:color="auto"/>
        <w:left w:val="none" w:sz="0" w:space="0" w:color="auto"/>
        <w:bottom w:val="none" w:sz="0" w:space="0" w:color="auto"/>
        <w:right w:val="none" w:sz="0" w:space="0" w:color="auto"/>
      </w:divBdr>
    </w:div>
    <w:div w:id="55470333">
      <w:bodyDiv w:val="1"/>
      <w:marLeft w:val="0"/>
      <w:marRight w:val="0"/>
      <w:marTop w:val="0"/>
      <w:marBottom w:val="0"/>
      <w:divBdr>
        <w:top w:val="none" w:sz="0" w:space="0" w:color="auto"/>
        <w:left w:val="none" w:sz="0" w:space="0" w:color="auto"/>
        <w:bottom w:val="none" w:sz="0" w:space="0" w:color="auto"/>
        <w:right w:val="none" w:sz="0" w:space="0" w:color="auto"/>
      </w:divBdr>
    </w:div>
    <w:div w:id="55780551">
      <w:bodyDiv w:val="1"/>
      <w:marLeft w:val="0"/>
      <w:marRight w:val="0"/>
      <w:marTop w:val="0"/>
      <w:marBottom w:val="0"/>
      <w:divBdr>
        <w:top w:val="none" w:sz="0" w:space="0" w:color="auto"/>
        <w:left w:val="none" w:sz="0" w:space="0" w:color="auto"/>
        <w:bottom w:val="none" w:sz="0" w:space="0" w:color="auto"/>
        <w:right w:val="none" w:sz="0" w:space="0" w:color="auto"/>
      </w:divBdr>
    </w:div>
    <w:div w:id="103574011">
      <w:bodyDiv w:val="1"/>
      <w:marLeft w:val="0"/>
      <w:marRight w:val="0"/>
      <w:marTop w:val="0"/>
      <w:marBottom w:val="0"/>
      <w:divBdr>
        <w:top w:val="none" w:sz="0" w:space="0" w:color="auto"/>
        <w:left w:val="none" w:sz="0" w:space="0" w:color="auto"/>
        <w:bottom w:val="none" w:sz="0" w:space="0" w:color="auto"/>
        <w:right w:val="none" w:sz="0" w:space="0" w:color="auto"/>
      </w:divBdr>
    </w:div>
    <w:div w:id="125701159">
      <w:bodyDiv w:val="1"/>
      <w:marLeft w:val="0"/>
      <w:marRight w:val="0"/>
      <w:marTop w:val="0"/>
      <w:marBottom w:val="0"/>
      <w:divBdr>
        <w:top w:val="none" w:sz="0" w:space="0" w:color="auto"/>
        <w:left w:val="none" w:sz="0" w:space="0" w:color="auto"/>
        <w:bottom w:val="none" w:sz="0" w:space="0" w:color="auto"/>
        <w:right w:val="none" w:sz="0" w:space="0" w:color="auto"/>
      </w:divBdr>
    </w:div>
    <w:div w:id="132604948">
      <w:bodyDiv w:val="1"/>
      <w:marLeft w:val="0"/>
      <w:marRight w:val="0"/>
      <w:marTop w:val="0"/>
      <w:marBottom w:val="0"/>
      <w:divBdr>
        <w:top w:val="none" w:sz="0" w:space="0" w:color="auto"/>
        <w:left w:val="none" w:sz="0" w:space="0" w:color="auto"/>
        <w:bottom w:val="none" w:sz="0" w:space="0" w:color="auto"/>
        <w:right w:val="none" w:sz="0" w:space="0" w:color="auto"/>
      </w:divBdr>
    </w:div>
    <w:div w:id="166752322">
      <w:bodyDiv w:val="1"/>
      <w:marLeft w:val="0"/>
      <w:marRight w:val="0"/>
      <w:marTop w:val="0"/>
      <w:marBottom w:val="0"/>
      <w:divBdr>
        <w:top w:val="none" w:sz="0" w:space="0" w:color="auto"/>
        <w:left w:val="none" w:sz="0" w:space="0" w:color="auto"/>
        <w:bottom w:val="none" w:sz="0" w:space="0" w:color="auto"/>
        <w:right w:val="none" w:sz="0" w:space="0" w:color="auto"/>
      </w:divBdr>
    </w:div>
    <w:div w:id="227305904">
      <w:bodyDiv w:val="1"/>
      <w:marLeft w:val="0"/>
      <w:marRight w:val="0"/>
      <w:marTop w:val="0"/>
      <w:marBottom w:val="0"/>
      <w:divBdr>
        <w:top w:val="none" w:sz="0" w:space="0" w:color="auto"/>
        <w:left w:val="none" w:sz="0" w:space="0" w:color="auto"/>
        <w:bottom w:val="none" w:sz="0" w:space="0" w:color="auto"/>
        <w:right w:val="none" w:sz="0" w:space="0" w:color="auto"/>
      </w:divBdr>
    </w:div>
    <w:div w:id="245069625">
      <w:bodyDiv w:val="1"/>
      <w:marLeft w:val="0"/>
      <w:marRight w:val="0"/>
      <w:marTop w:val="0"/>
      <w:marBottom w:val="0"/>
      <w:divBdr>
        <w:top w:val="none" w:sz="0" w:space="0" w:color="auto"/>
        <w:left w:val="none" w:sz="0" w:space="0" w:color="auto"/>
        <w:bottom w:val="none" w:sz="0" w:space="0" w:color="auto"/>
        <w:right w:val="none" w:sz="0" w:space="0" w:color="auto"/>
      </w:divBdr>
    </w:div>
    <w:div w:id="245238049">
      <w:bodyDiv w:val="1"/>
      <w:marLeft w:val="0"/>
      <w:marRight w:val="0"/>
      <w:marTop w:val="0"/>
      <w:marBottom w:val="0"/>
      <w:divBdr>
        <w:top w:val="none" w:sz="0" w:space="0" w:color="auto"/>
        <w:left w:val="none" w:sz="0" w:space="0" w:color="auto"/>
        <w:bottom w:val="none" w:sz="0" w:space="0" w:color="auto"/>
        <w:right w:val="none" w:sz="0" w:space="0" w:color="auto"/>
      </w:divBdr>
    </w:div>
    <w:div w:id="245772993">
      <w:bodyDiv w:val="1"/>
      <w:marLeft w:val="0"/>
      <w:marRight w:val="0"/>
      <w:marTop w:val="0"/>
      <w:marBottom w:val="0"/>
      <w:divBdr>
        <w:top w:val="none" w:sz="0" w:space="0" w:color="auto"/>
        <w:left w:val="none" w:sz="0" w:space="0" w:color="auto"/>
        <w:bottom w:val="none" w:sz="0" w:space="0" w:color="auto"/>
        <w:right w:val="none" w:sz="0" w:space="0" w:color="auto"/>
      </w:divBdr>
    </w:div>
    <w:div w:id="247736021">
      <w:bodyDiv w:val="1"/>
      <w:marLeft w:val="0"/>
      <w:marRight w:val="0"/>
      <w:marTop w:val="0"/>
      <w:marBottom w:val="0"/>
      <w:divBdr>
        <w:top w:val="none" w:sz="0" w:space="0" w:color="auto"/>
        <w:left w:val="none" w:sz="0" w:space="0" w:color="auto"/>
        <w:bottom w:val="none" w:sz="0" w:space="0" w:color="auto"/>
        <w:right w:val="none" w:sz="0" w:space="0" w:color="auto"/>
      </w:divBdr>
    </w:div>
    <w:div w:id="252858012">
      <w:bodyDiv w:val="1"/>
      <w:marLeft w:val="0"/>
      <w:marRight w:val="0"/>
      <w:marTop w:val="0"/>
      <w:marBottom w:val="0"/>
      <w:divBdr>
        <w:top w:val="none" w:sz="0" w:space="0" w:color="auto"/>
        <w:left w:val="none" w:sz="0" w:space="0" w:color="auto"/>
        <w:bottom w:val="none" w:sz="0" w:space="0" w:color="auto"/>
        <w:right w:val="none" w:sz="0" w:space="0" w:color="auto"/>
      </w:divBdr>
    </w:div>
    <w:div w:id="291064225">
      <w:bodyDiv w:val="1"/>
      <w:marLeft w:val="0"/>
      <w:marRight w:val="0"/>
      <w:marTop w:val="0"/>
      <w:marBottom w:val="0"/>
      <w:divBdr>
        <w:top w:val="none" w:sz="0" w:space="0" w:color="auto"/>
        <w:left w:val="none" w:sz="0" w:space="0" w:color="auto"/>
        <w:bottom w:val="none" w:sz="0" w:space="0" w:color="auto"/>
        <w:right w:val="none" w:sz="0" w:space="0" w:color="auto"/>
      </w:divBdr>
    </w:div>
    <w:div w:id="311443473">
      <w:bodyDiv w:val="1"/>
      <w:marLeft w:val="0"/>
      <w:marRight w:val="0"/>
      <w:marTop w:val="0"/>
      <w:marBottom w:val="0"/>
      <w:divBdr>
        <w:top w:val="none" w:sz="0" w:space="0" w:color="auto"/>
        <w:left w:val="none" w:sz="0" w:space="0" w:color="auto"/>
        <w:bottom w:val="none" w:sz="0" w:space="0" w:color="auto"/>
        <w:right w:val="none" w:sz="0" w:space="0" w:color="auto"/>
      </w:divBdr>
    </w:div>
    <w:div w:id="321855652">
      <w:bodyDiv w:val="1"/>
      <w:marLeft w:val="0"/>
      <w:marRight w:val="0"/>
      <w:marTop w:val="0"/>
      <w:marBottom w:val="0"/>
      <w:divBdr>
        <w:top w:val="none" w:sz="0" w:space="0" w:color="auto"/>
        <w:left w:val="none" w:sz="0" w:space="0" w:color="auto"/>
        <w:bottom w:val="none" w:sz="0" w:space="0" w:color="auto"/>
        <w:right w:val="none" w:sz="0" w:space="0" w:color="auto"/>
      </w:divBdr>
    </w:div>
    <w:div w:id="330059597">
      <w:bodyDiv w:val="1"/>
      <w:marLeft w:val="0"/>
      <w:marRight w:val="0"/>
      <w:marTop w:val="0"/>
      <w:marBottom w:val="0"/>
      <w:divBdr>
        <w:top w:val="none" w:sz="0" w:space="0" w:color="auto"/>
        <w:left w:val="none" w:sz="0" w:space="0" w:color="auto"/>
        <w:bottom w:val="none" w:sz="0" w:space="0" w:color="auto"/>
        <w:right w:val="none" w:sz="0" w:space="0" w:color="auto"/>
      </w:divBdr>
    </w:div>
    <w:div w:id="374551937">
      <w:bodyDiv w:val="1"/>
      <w:marLeft w:val="0"/>
      <w:marRight w:val="0"/>
      <w:marTop w:val="0"/>
      <w:marBottom w:val="0"/>
      <w:divBdr>
        <w:top w:val="none" w:sz="0" w:space="0" w:color="auto"/>
        <w:left w:val="none" w:sz="0" w:space="0" w:color="auto"/>
        <w:bottom w:val="none" w:sz="0" w:space="0" w:color="auto"/>
        <w:right w:val="none" w:sz="0" w:space="0" w:color="auto"/>
      </w:divBdr>
    </w:div>
    <w:div w:id="397243840">
      <w:bodyDiv w:val="1"/>
      <w:marLeft w:val="0"/>
      <w:marRight w:val="0"/>
      <w:marTop w:val="0"/>
      <w:marBottom w:val="0"/>
      <w:divBdr>
        <w:top w:val="none" w:sz="0" w:space="0" w:color="auto"/>
        <w:left w:val="none" w:sz="0" w:space="0" w:color="auto"/>
        <w:bottom w:val="none" w:sz="0" w:space="0" w:color="auto"/>
        <w:right w:val="none" w:sz="0" w:space="0" w:color="auto"/>
      </w:divBdr>
    </w:div>
    <w:div w:id="407534034">
      <w:bodyDiv w:val="1"/>
      <w:marLeft w:val="0"/>
      <w:marRight w:val="0"/>
      <w:marTop w:val="0"/>
      <w:marBottom w:val="0"/>
      <w:divBdr>
        <w:top w:val="none" w:sz="0" w:space="0" w:color="auto"/>
        <w:left w:val="none" w:sz="0" w:space="0" w:color="auto"/>
        <w:bottom w:val="none" w:sz="0" w:space="0" w:color="auto"/>
        <w:right w:val="none" w:sz="0" w:space="0" w:color="auto"/>
      </w:divBdr>
    </w:div>
    <w:div w:id="411777713">
      <w:bodyDiv w:val="1"/>
      <w:marLeft w:val="0"/>
      <w:marRight w:val="0"/>
      <w:marTop w:val="0"/>
      <w:marBottom w:val="0"/>
      <w:divBdr>
        <w:top w:val="none" w:sz="0" w:space="0" w:color="auto"/>
        <w:left w:val="none" w:sz="0" w:space="0" w:color="auto"/>
        <w:bottom w:val="none" w:sz="0" w:space="0" w:color="auto"/>
        <w:right w:val="none" w:sz="0" w:space="0" w:color="auto"/>
      </w:divBdr>
    </w:div>
    <w:div w:id="445855012">
      <w:bodyDiv w:val="1"/>
      <w:marLeft w:val="0"/>
      <w:marRight w:val="0"/>
      <w:marTop w:val="0"/>
      <w:marBottom w:val="0"/>
      <w:divBdr>
        <w:top w:val="none" w:sz="0" w:space="0" w:color="auto"/>
        <w:left w:val="none" w:sz="0" w:space="0" w:color="auto"/>
        <w:bottom w:val="none" w:sz="0" w:space="0" w:color="auto"/>
        <w:right w:val="none" w:sz="0" w:space="0" w:color="auto"/>
      </w:divBdr>
    </w:div>
    <w:div w:id="452405500">
      <w:bodyDiv w:val="1"/>
      <w:marLeft w:val="0"/>
      <w:marRight w:val="0"/>
      <w:marTop w:val="0"/>
      <w:marBottom w:val="0"/>
      <w:divBdr>
        <w:top w:val="none" w:sz="0" w:space="0" w:color="auto"/>
        <w:left w:val="none" w:sz="0" w:space="0" w:color="auto"/>
        <w:bottom w:val="none" w:sz="0" w:space="0" w:color="auto"/>
        <w:right w:val="none" w:sz="0" w:space="0" w:color="auto"/>
      </w:divBdr>
    </w:div>
    <w:div w:id="452947203">
      <w:bodyDiv w:val="1"/>
      <w:marLeft w:val="0"/>
      <w:marRight w:val="0"/>
      <w:marTop w:val="0"/>
      <w:marBottom w:val="0"/>
      <w:divBdr>
        <w:top w:val="none" w:sz="0" w:space="0" w:color="auto"/>
        <w:left w:val="none" w:sz="0" w:space="0" w:color="auto"/>
        <w:bottom w:val="none" w:sz="0" w:space="0" w:color="auto"/>
        <w:right w:val="none" w:sz="0" w:space="0" w:color="auto"/>
      </w:divBdr>
    </w:div>
    <w:div w:id="455953986">
      <w:bodyDiv w:val="1"/>
      <w:marLeft w:val="0"/>
      <w:marRight w:val="0"/>
      <w:marTop w:val="0"/>
      <w:marBottom w:val="0"/>
      <w:divBdr>
        <w:top w:val="none" w:sz="0" w:space="0" w:color="auto"/>
        <w:left w:val="none" w:sz="0" w:space="0" w:color="auto"/>
        <w:bottom w:val="none" w:sz="0" w:space="0" w:color="auto"/>
        <w:right w:val="none" w:sz="0" w:space="0" w:color="auto"/>
      </w:divBdr>
    </w:div>
    <w:div w:id="458501336">
      <w:bodyDiv w:val="1"/>
      <w:marLeft w:val="0"/>
      <w:marRight w:val="0"/>
      <w:marTop w:val="0"/>
      <w:marBottom w:val="0"/>
      <w:divBdr>
        <w:top w:val="none" w:sz="0" w:space="0" w:color="auto"/>
        <w:left w:val="none" w:sz="0" w:space="0" w:color="auto"/>
        <w:bottom w:val="none" w:sz="0" w:space="0" w:color="auto"/>
        <w:right w:val="none" w:sz="0" w:space="0" w:color="auto"/>
      </w:divBdr>
    </w:div>
    <w:div w:id="472261341">
      <w:bodyDiv w:val="1"/>
      <w:marLeft w:val="0"/>
      <w:marRight w:val="0"/>
      <w:marTop w:val="0"/>
      <w:marBottom w:val="0"/>
      <w:divBdr>
        <w:top w:val="none" w:sz="0" w:space="0" w:color="auto"/>
        <w:left w:val="none" w:sz="0" w:space="0" w:color="auto"/>
        <w:bottom w:val="none" w:sz="0" w:space="0" w:color="auto"/>
        <w:right w:val="none" w:sz="0" w:space="0" w:color="auto"/>
      </w:divBdr>
    </w:div>
    <w:div w:id="524565643">
      <w:bodyDiv w:val="1"/>
      <w:marLeft w:val="0"/>
      <w:marRight w:val="0"/>
      <w:marTop w:val="0"/>
      <w:marBottom w:val="0"/>
      <w:divBdr>
        <w:top w:val="none" w:sz="0" w:space="0" w:color="auto"/>
        <w:left w:val="none" w:sz="0" w:space="0" w:color="auto"/>
        <w:bottom w:val="none" w:sz="0" w:space="0" w:color="auto"/>
        <w:right w:val="none" w:sz="0" w:space="0" w:color="auto"/>
      </w:divBdr>
    </w:div>
    <w:div w:id="527984045">
      <w:bodyDiv w:val="1"/>
      <w:marLeft w:val="0"/>
      <w:marRight w:val="0"/>
      <w:marTop w:val="0"/>
      <w:marBottom w:val="0"/>
      <w:divBdr>
        <w:top w:val="none" w:sz="0" w:space="0" w:color="auto"/>
        <w:left w:val="none" w:sz="0" w:space="0" w:color="auto"/>
        <w:bottom w:val="none" w:sz="0" w:space="0" w:color="auto"/>
        <w:right w:val="none" w:sz="0" w:space="0" w:color="auto"/>
      </w:divBdr>
    </w:div>
    <w:div w:id="552733214">
      <w:bodyDiv w:val="1"/>
      <w:marLeft w:val="0"/>
      <w:marRight w:val="0"/>
      <w:marTop w:val="0"/>
      <w:marBottom w:val="0"/>
      <w:divBdr>
        <w:top w:val="none" w:sz="0" w:space="0" w:color="auto"/>
        <w:left w:val="none" w:sz="0" w:space="0" w:color="auto"/>
        <w:bottom w:val="none" w:sz="0" w:space="0" w:color="auto"/>
        <w:right w:val="none" w:sz="0" w:space="0" w:color="auto"/>
      </w:divBdr>
    </w:div>
    <w:div w:id="585844600">
      <w:bodyDiv w:val="1"/>
      <w:marLeft w:val="0"/>
      <w:marRight w:val="0"/>
      <w:marTop w:val="0"/>
      <w:marBottom w:val="0"/>
      <w:divBdr>
        <w:top w:val="none" w:sz="0" w:space="0" w:color="auto"/>
        <w:left w:val="none" w:sz="0" w:space="0" w:color="auto"/>
        <w:bottom w:val="none" w:sz="0" w:space="0" w:color="auto"/>
        <w:right w:val="none" w:sz="0" w:space="0" w:color="auto"/>
      </w:divBdr>
    </w:div>
    <w:div w:id="617487905">
      <w:bodyDiv w:val="1"/>
      <w:marLeft w:val="0"/>
      <w:marRight w:val="0"/>
      <w:marTop w:val="0"/>
      <w:marBottom w:val="0"/>
      <w:divBdr>
        <w:top w:val="none" w:sz="0" w:space="0" w:color="auto"/>
        <w:left w:val="none" w:sz="0" w:space="0" w:color="auto"/>
        <w:bottom w:val="none" w:sz="0" w:space="0" w:color="auto"/>
        <w:right w:val="none" w:sz="0" w:space="0" w:color="auto"/>
      </w:divBdr>
    </w:div>
    <w:div w:id="642009032">
      <w:bodyDiv w:val="1"/>
      <w:marLeft w:val="0"/>
      <w:marRight w:val="0"/>
      <w:marTop w:val="0"/>
      <w:marBottom w:val="0"/>
      <w:divBdr>
        <w:top w:val="none" w:sz="0" w:space="0" w:color="auto"/>
        <w:left w:val="none" w:sz="0" w:space="0" w:color="auto"/>
        <w:bottom w:val="none" w:sz="0" w:space="0" w:color="auto"/>
        <w:right w:val="none" w:sz="0" w:space="0" w:color="auto"/>
      </w:divBdr>
    </w:div>
    <w:div w:id="659699829">
      <w:bodyDiv w:val="1"/>
      <w:marLeft w:val="0"/>
      <w:marRight w:val="0"/>
      <w:marTop w:val="0"/>
      <w:marBottom w:val="0"/>
      <w:divBdr>
        <w:top w:val="none" w:sz="0" w:space="0" w:color="auto"/>
        <w:left w:val="none" w:sz="0" w:space="0" w:color="auto"/>
        <w:bottom w:val="none" w:sz="0" w:space="0" w:color="auto"/>
        <w:right w:val="none" w:sz="0" w:space="0" w:color="auto"/>
      </w:divBdr>
    </w:div>
    <w:div w:id="674527890">
      <w:bodyDiv w:val="1"/>
      <w:marLeft w:val="0"/>
      <w:marRight w:val="0"/>
      <w:marTop w:val="0"/>
      <w:marBottom w:val="0"/>
      <w:divBdr>
        <w:top w:val="none" w:sz="0" w:space="0" w:color="auto"/>
        <w:left w:val="none" w:sz="0" w:space="0" w:color="auto"/>
        <w:bottom w:val="none" w:sz="0" w:space="0" w:color="auto"/>
        <w:right w:val="none" w:sz="0" w:space="0" w:color="auto"/>
      </w:divBdr>
    </w:div>
    <w:div w:id="674844441">
      <w:bodyDiv w:val="1"/>
      <w:marLeft w:val="0"/>
      <w:marRight w:val="0"/>
      <w:marTop w:val="0"/>
      <w:marBottom w:val="0"/>
      <w:divBdr>
        <w:top w:val="none" w:sz="0" w:space="0" w:color="auto"/>
        <w:left w:val="none" w:sz="0" w:space="0" w:color="auto"/>
        <w:bottom w:val="none" w:sz="0" w:space="0" w:color="auto"/>
        <w:right w:val="none" w:sz="0" w:space="0" w:color="auto"/>
      </w:divBdr>
    </w:div>
    <w:div w:id="676273913">
      <w:bodyDiv w:val="1"/>
      <w:marLeft w:val="0"/>
      <w:marRight w:val="0"/>
      <w:marTop w:val="0"/>
      <w:marBottom w:val="0"/>
      <w:divBdr>
        <w:top w:val="none" w:sz="0" w:space="0" w:color="auto"/>
        <w:left w:val="none" w:sz="0" w:space="0" w:color="auto"/>
        <w:bottom w:val="none" w:sz="0" w:space="0" w:color="auto"/>
        <w:right w:val="none" w:sz="0" w:space="0" w:color="auto"/>
      </w:divBdr>
    </w:div>
    <w:div w:id="706566149">
      <w:bodyDiv w:val="1"/>
      <w:marLeft w:val="0"/>
      <w:marRight w:val="0"/>
      <w:marTop w:val="0"/>
      <w:marBottom w:val="0"/>
      <w:divBdr>
        <w:top w:val="none" w:sz="0" w:space="0" w:color="auto"/>
        <w:left w:val="none" w:sz="0" w:space="0" w:color="auto"/>
        <w:bottom w:val="none" w:sz="0" w:space="0" w:color="auto"/>
        <w:right w:val="none" w:sz="0" w:space="0" w:color="auto"/>
      </w:divBdr>
    </w:div>
    <w:div w:id="729961594">
      <w:bodyDiv w:val="1"/>
      <w:marLeft w:val="0"/>
      <w:marRight w:val="0"/>
      <w:marTop w:val="0"/>
      <w:marBottom w:val="0"/>
      <w:divBdr>
        <w:top w:val="none" w:sz="0" w:space="0" w:color="auto"/>
        <w:left w:val="none" w:sz="0" w:space="0" w:color="auto"/>
        <w:bottom w:val="none" w:sz="0" w:space="0" w:color="auto"/>
        <w:right w:val="none" w:sz="0" w:space="0" w:color="auto"/>
      </w:divBdr>
    </w:div>
    <w:div w:id="749739278">
      <w:bodyDiv w:val="1"/>
      <w:marLeft w:val="0"/>
      <w:marRight w:val="0"/>
      <w:marTop w:val="0"/>
      <w:marBottom w:val="0"/>
      <w:divBdr>
        <w:top w:val="none" w:sz="0" w:space="0" w:color="auto"/>
        <w:left w:val="none" w:sz="0" w:space="0" w:color="auto"/>
        <w:bottom w:val="none" w:sz="0" w:space="0" w:color="auto"/>
        <w:right w:val="none" w:sz="0" w:space="0" w:color="auto"/>
      </w:divBdr>
    </w:div>
    <w:div w:id="781339564">
      <w:bodyDiv w:val="1"/>
      <w:marLeft w:val="0"/>
      <w:marRight w:val="0"/>
      <w:marTop w:val="0"/>
      <w:marBottom w:val="0"/>
      <w:divBdr>
        <w:top w:val="none" w:sz="0" w:space="0" w:color="auto"/>
        <w:left w:val="none" w:sz="0" w:space="0" w:color="auto"/>
        <w:bottom w:val="none" w:sz="0" w:space="0" w:color="auto"/>
        <w:right w:val="none" w:sz="0" w:space="0" w:color="auto"/>
      </w:divBdr>
    </w:div>
    <w:div w:id="812989755">
      <w:bodyDiv w:val="1"/>
      <w:marLeft w:val="0"/>
      <w:marRight w:val="0"/>
      <w:marTop w:val="0"/>
      <w:marBottom w:val="0"/>
      <w:divBdr>
        <w:top w:val="none" w:sz="0" w:space="0" w:color="auto"/>
        <w:left w:val="none" w:sz="0" w:space="0" w:color="auto"/>
        <w:bottom w:val="none" w:sz="0" w:space="0" w:color="auto"/>
        <w:right w:val="none" w:sz="0" w:space="0" w:color="auto"/>
      </w:divBdr>
    </w:div>
    <w:div w:id="830753312">
      <w:bodyDiv w:val="1"/>
      <w:marLeft w:val="0"/>
      <w:marRight w:val="0"/>
      <w:marTop w:val="0"/>
      <w:marBottom w:val="0"/>
      <w:divBdr>
        <w:top w:val="none" w:sz="0" w:space="0" w:color="auto"/>
        <w:left w:val="none" w:sz="0" w:space="0" w:color="auto"/>
        <w:bottom w:val="none" w:sz="0" w:space="0" w:color="auto"/>
        <w:right w:val="none" w:sz="0" w:space="0" w:color="auto"/>
      </w:divBdr>
    </w:div>
    <w:div w:id="935141121">
      <w:bodyDiv w:val="1"/>
      <w:marLeft w:val="0"/>
      <w:marRight w:val="0"/>
      <w:marTop w:val="0"/>
      <w:marBottom w:val="0"/>
      <w:divBdr>
        <w:top w:val="none" w:sz="0" w:space="0" w:color="auto"/>
        <w:left w:val="none" w:sz="0" w:space="0" w:color="auto"/>
        <w:bottom w:val="none" w:sz="0" w:space="0" w:color="auto"/>
        <w:right w:val="none" w:sz="0" w:space="0" w:color="auto"/>
      </w:divBdr>
    </w:div>
    <w:div w:id="941256950">
      <w:bodyDiv w:val="1"/>
      <w:marLeft w:val="0"/>
      <w:marRight w:val="0"/>
      <w:marTop w:val="0"/>
      <w:marBottom w:val="0"/>
      <w:divBdr>
        <w:top w:val="none" w:sz="0" w:space="0" w:color="auto"/>
        <w:left w:val="none" w:sz="0" w:space="0" w:color="auto"/>
        <w:bottom w:val="none" w:sz="0" w:space="0" w:color="auto"/>
        <w:right w:val="none" w:sz="0" w:space="0" w:color="auto"/>
      </w:divBdr>
    </w:div>
    <w:div w:id="954019950">
      <w:bodyDiv w:val="1"/>
      <w:marLeft w:val="0"/>
      <w:marRight w:val="0"/>
      <w:marTop w:val="0"/>
      <w:marBottom w:val="0"/>
      <w:divBdr>
        <w:top w:val="none" w:sz="0" w:space="0" w:color="auto"/>
        <w:left w:val="none" w:sz="0" w:space="0" w:color="auto"/>
        <w:bottom w:val="none" w:sz="0" w:space="0" w:color="auto"/>
        <w:right w:val="none" w:sz="0" w:space="0" w:color="auto"/>
      </w:divBdr>
    </w:div>
    <w:div w:id="996231309">
      <w:bodyDiv w:val="1"/>
      <w:marLeft w:val="0"/>
      <w:marRight w:val="0"/>
      <w:marTop w:val="0"/>
      <w:marBottom w:val="0"/>
      <w:divBdr>
        <w:top w:val="none" w:sz="0" w:space="0" w:color="auto"/>
        <w:left w:val="none" w:sz="0" w:space="0" w:color="auto"/>
        <w:bottom w:val="none" w:sz="0" w:space="0" w:color="auto"/>
        <w:right w:val="none" w:sz="0" w:space="0" w:color="auto"/>
      </w:divBdr>
    </w:div>
    <w:div w:id="1024944694">
      <w:bodyDiv w:val="1"/>
      <w:marLeft w:val="0"/>
      <w:marRight w:val="0"/>
      <w:marTop w:val="0"/>
      <w:marBottom w:val="0"/>
      <w:divBdr>
        <w:top w:val="none" w:sz="0" w:space="0" w:color="auto"/>
        <w:left w:val="none" w:sz="0" w:space="0" w:color="auto"/>
        <w:bottom w:val="none" w:sz="0" w:space="0" w:color="auto"/>
        <w:right w:val="none" w:sz="0" w:space="0" w:color="auto"/>
      </w:divBdr>
    </w:div>
    <w:div w:id="1030493537">
      <w:bodyDiv w:val="1"/>
      <w:marLeft w:val="0"/>
      <w:marRight w:val="0"/>
      <w:marTop w:val="0"/>
      <w:marBottom w:val="0"/>
      <w:divBdr>
        <w:top w:val="none" w:sz="0" w:space="0" w:color="auto"/>
        <w:left w:val="none" w:sz="0" w:space="0" w:color="auto"/>
        <w:bottom w:val="none" w:sz="0" w:space="0" w:color="auto"/>
        <w:right w:val="none" w:sz="0" w:space="0" w:color="auto"/>
      </w:divBdr>
    </w:div>
    <w:div w:id="1033503075">
      <w:bodyDiv w:val="1"/>
      <w:marLeft w:val="0"/>
      <w:marRight w:val="0"/>
      <w:marTop w:val="0"/>
      <w:marBottom w:val="0"/>
      <w:divBdr>
        <w:top w:val="none" w:sz="0" w:space="0" w:color="auto"/>
        <w:left w:val="none" w:sz="0" w:space="0" w:color="auto"/>
        <w:bottom w:val="none" w:sz="0" w:space="0" w:color="auto"/>
        <w:right w:val="none" w:sz="0" w:space="0" w:color="auto"/>
      </w:divBdr>
    </w:div>
    <w:div w:id="1052339525">
      <w:bodyDiv w:val="1"/>
      <w:marLeft w:val="0"/>
      <w:marRight w:val="0"/>
      <w:marTop w:val="0"/>
      <w:marBottom w:val="0"/>
      <w:divBdr>
        <w:top w:val="none" w:sz="0" w:space="0" w:color="auto"/>
        <w:left w:val="none" w:sz="0" w:space="0" w:color="auto"/>
        <w:bottom w:val="none" w:sz="0" w:space="0" w:color="auto"/>
        <w:right w:val="none" w:sz="0" w:space="0" w:color="auto"/>
      </w:divBdr>
    </w:div>
    <w:div w:id="1091240440">
      <w:bodyDiv w:val="1"/>
      <w:marLeft w:val="0"/>
      <w:marRight w:val="0"/>
      <w:marTop w:val="0"/>
      <w:marBottom w:val="0"/>
      <w:divBdr>
        <w:top w:val="none" w:sz="0" w:space="0" w:color="auto"/>
        <w:left w:val="none" w:sz="0" w:space="0" w:color="auto"/>
        <w:bottom w:val="none" w:sz="0" w:space="0" w:color="auto"/>
        <w:right w:val="none" w:sz="0" w:space="0" w:color="auto"/>
      </w:divBdr>
    </w:div>
    <w:div w:id="1094863304">
      <w:bodyDiv w:val="1"/>
      <w:marLeft w:val="0"/>
      <w:marRight w:val="0"/>
      <w:marTop w:val="0"/>
      <w:marBottom w:val="0"/>
      <w:divBdr>
        <w:top w:val="none" w:sz="0" w:space="0" w:color="auto"/>
        <w:left w:val="none" w:sz="0" w:space="0" w:color="auto"/>
        <w:bottom w:val="none" w:sz="0" w:space="0" w:color="auto"/>
        <w:right w:val="none" w:sz="0" w:space="0" w:color="auto"/>
      </w:divBdr>
    </w:div>
    <w:div w:id="1133719600">
      <w:bodyDiv w:val="1"/>
      <w:marLeft w:val="0"/>
      <w:marRight w:val="0"/>
      <w:marTop w:val="0"/>
      <w:marBottom w:val="0"/>
      <w:divBdr>
        <w:top w:val="none" w:sz="0" w:space="0" w:color="auto"/>
        <w:left w:val="none" w:sz="0" w:space="0" w:color="auto"/>
        <w:bottom w:val="none" w:sz="0" w:space="0" w:color="auto"/>
        <w:right w:val="none" w:sz="0" w:space="0" w:color="auto"/>
      </w:divBdr>
    </w:div>
    <w:div w:id="1149437795">
      <w:bodyDiv w:val="1"/>
      <w:marLeft w:val="0"/>
      <w:marRight w:val="0"/>
      <w:marTop w:val="0"/>
      <w:marBottom w:val="0"/>
      <w:divBdr>
        <w:top w:val="none" w:sz="0" w:space="0" w:color="auto"/>
        <w:left w:val="none" w:sz="0" w:space="0" w:color="auto"/>
        <w:bottom w:val="none" w:sz="0" w:space="0" w:color="auto"/>
        <w:right w:val="none" w:sz="0" w:space="0" w:color="auto"/>
      </w:divBdr>
    </w:div>
    <w:div w:id="1230578228">
      <w:bodyDiv w:val="1"/>
      <w:marLeft w:val="0"/>
      <w:marRight w:val="0"/>
      <w:marTop w:val="0"/>
      <w:marBottom w:val="0"/>
      <w:divBdr>
        <w:top w:val="none" w:sz="0" w:space="0" w:color="auto"/>
        <w:left w:val="none" w:sz="0" w:space="0" w:color="auto"/>
        <w:bottom w:val="none" w:sz="0" w:space="0" w:color="auto"/>
        <w:right w:val="none" w:sz="0" w:space="0" w:color="auto"/>
      </w:divBdr>
    </w:div>
    <w:div w:id="1238982728">
      <w:bodyDiv w:val="1"/>
      <w:marLeft w:val="0"/>
      <w:marRight w:val="0"/>
      <w:marTop w:val="0"/>
      <w:marBottom w:val="0"/>
      <w:divBdr>
        <w:top w:val="none" w:sz="0" w:space="0" w:color="auto"/>
        <w:left w:val="none" w:sz="0" w:space="0" w:color="auto"/>
        <w:bottom w:val="none" w:sz="0" w:space="0" w:color="auto"/>
        <w:right w:val="none" w:sz="0" w:space="0" w:color="auto"/>
      </w:divBdr>
    </w:div>
    <w:div w:id="1243636531">
      <w:bodyDiv w:val="1"/>
      <w:marLeft w:val="0"/>
      <w:marRight w:val="0"/>
      <w:marTop w:val="0"/>
      <w:marBottom w:val="0"/>
      <w:divBdr>
        <w:top w:val="none" w:sz="0" w:space="0" w:color="auto"/>
        <w:left w:val="none" w:sz="0" w:space="0" w:color="auto"/>
        <w:bottom w:val="none" w:sz="0" w:space="0" w:color="auto"/>
        <w:right w:val="none" w:sz="0" w:space="0" w:color="auto"/>
      </w:divBdr>
    </w:div>
    <w:div w:id="1244073963">
      <w:bodyDiv w:val="1"/>
      <w:marLeft w:val="0"/>
      <w:marRight w:val="0"/>
      <w:marTop w:val="0"/>
      <w:marBottom w:val="0"/>
      <w:divBdr>
        <w:top w:val="none" w:sz="0" w:space="0" w:color="auto"/>
        <w:left w:val="none" w:sz="0" w:space="0" w:color="auto"/>
        <w:bottom w:val="none" w:sz="0" w:space="0" w:color="auto"/>
        <w:right w:val="none" w:sz="0" w:space="0" w:color="auto"/>
      </w:divBdr>
    </w:div>
    <w:div w:id="1256792037">
      <w:bodyDiv w:val="1"/>
      <w:marLeft w:val="0"/>
      <w:marRight w:val="0"/>
      <w:marTop w:val="0"/>
      <w:marBottom w:val="0"/>
      <w:divBdr>
        <w:top w:val="none" w:sz="0" w:space="0" w:color="auto"/>
        <w:left w:val="none" w:sz="0" w:space="0" w:color="auto"/>
        <w:bottom w:val="none" w:sz="0" w:space="0" w:color="auto"/>
        <w:right w:val="none" w:sz="0" w:space="0" w:color="auto"/>
      </w:divBdr>
    </w:div>
    <w:div w:id="1272974601">
      <w:bodyDiv w:val="1"/>
      <w:marLeft w:val="0"/>
      <w:marRight w:val="0"/>
      <w:marTop w:val="0"/>
      <w:marBottom w:val="0"/>
      <w:divBdr>
        <w:top w:val="none" w:sz="0" w:space="0" w:color="auto"/>
        <w:left w:val="none" w:sz="0" w:space="0" w:color="auto"/>
        <w:bottom w:val="none" w:sz="0" w:space="0" w:color="auto"/>
        <w:right w:val="none" w:sz="0" w:space="0" w:color="auto"/>
      </w:divBdr>
    </w:div>
    <w:div w:id="1283151279">
      <w:bodyDiv w:val="1"/>
      <w:marLeft w:val="0"/>
      <w:marRight w:val="0"/>
      <w:marTop w:val="0"/>
      <w:marBottom w:val="0"/>
      <w:divBdr>
        <w:top w:val="none" w:sz="0" w:space="0" w:color="auto"/>
        <w:left w:val="none" w:sz="0" w:space="0" w:color="auto"/>
        <w:bottom w:val="none" w:sz="0" w:space="0" w:color="auto"/>
        <w:right w:val="none" w:sz="0" w:space="0" w:color="auto"/>
      </w:divBdr>
    </w:div>
    <w:div w:id="1306856130">
      <w:bodyDiv w:val="1"/>
      <w:marLeft w:val="0"/>
      <w:marRight w:val="0"/>
      <w:marTop w:val="0"/>
      <w:marBottom w:val="0"/>
      <w:divBdr>
        <w:top w:val="none" w:sz="0" w:space="0" w:color="auto"/>
        <w:left w:val="none" w:sz="0" w:space="0" w:color="auto"/>
        <w:bottom w:val="none" w:sz="0" w:space="0" w:color="auto"/>
        <w:right w:val="none" w:sz="0" w:space="0" w:color="auto"/>
      </w:divBdr>
    </w:div>
    <w:div w:id="1332561727">
      <w:bodyDiv w:val="1"/>
      <w:marLeft w:val="0"/>
      <w:marRight w:val="0"/>
      <w:marTop w:val="0"/>
      <w:marBottom w:val="0"/>
      <w:divBdr>
        <w:top w:val="none" w:sz="0" w:space="0" w:color="auto"/>
        <w:left w:val="none" w:sz="0" w:space="0" w:color="auto"/>
        <w:bottom w:val="none" w:sz="0" w:space="0" w:color="auto"/>
        <w:right w:val="none" w:sz="0" w:space="0" w:color="auto"/>
      </w:divBdr>
    </w:div>
    <w:div w:id="1346438096">
      <w:bodyDiv w:val="1"/>
      <w:marLeft w:val="0"/>
      <w:marRight w:val="0"/>
      <w:marTop w:val="0"/>
      <w:marBottom w:val="0"/>
      <w:divBdr>
        <w:top w:val="none" w:sz="0" w:space="0" w:color="auto"/>
        <w:left w:val="none" w:sz="0" w:space="0" w:color="auto"/>
        <w:bottom w:val="none" w:sz="0" w:space="0" w:color="auto"/>
        <w:right w:val="none" w:sz="0" w:space="0" w:color="auto"/>
      </w:divBdr>
    </w:div>
    <w:div w:id="1364555912">
      <w:bodyDiv w:val="1"/>
      <w:marLeft w:val="0"/>
      <w:marRight w:val="0"/>
      <w:marTop w:val="0"/>
      <w:marBottom w:val="0"/>
      <w:divBdr>
        <w:top w:val="none" w:sz="0" w:space="0" w:color="auto"/>
        <w:left w:val="none" w:sz="0" w:space="0" w:color="auto"/>
        <w:bottom w:val="none" w:sz="0" w:space="0" w:color="auto"/>
        <w:right w:val="none" w:sz="0" w:space="0" w:color="auto"/>
      </w:divBdr>
    </w:div>
    <w:div w:id="1372144944">
      <w:bodyDiv w:val="1"/>
      <w:marLeft w:val="0"/>
      <w:marRight w:val="0"/>
      <w:marTop w:val="0"/>
      <w:marBottom w:val="0"/>
      <w:divBdr>
        <w:top w:val="none" w:sz="0" w:space="0" w:color="auto"/>
        <w:left w:val="none" w:sz="0" w:space="0" w:color="auto"/>
        <w:bottom w:val="none" w:sz="0" w:space="0" w:color="auto"/>
        <w:right w:val="none" w:sz="0" w:space="0" w:color="auto"/>
      </w:divBdr>
    </w:div>
    <w:div w:id="1381442105">
      <w:bodyDiv w:val="1"/>
      <w:marLeft w:val="0"/>
      <w:marRight w:val="0"/>
      <w:marTop w:val="0"/>
      <w:marBottom w:val="0"/>
      <w:divBdr>
        <w:top w:val="none" w:sz="0" w:space="0" w:color="auto"/>
        <w:left w:val="none" w:sz="0" w:space="0" w:color="auto"/>
        <w:bottom w:val="none" w:sz="0" w:space="0" w:color="auto"/>
        <w:right w:val="none" w:sz="0" w:space="0" w:color="auto"/>
      </w:divBdr>
    </w:div>
    <w:div w:id="1390110973">
      <w:bodyDiv w:val="1"/>
      <w:marLeft w:val="0"/>
      <w:marRight w:val="0"/>
      <w:marTop w:val="0"/>
      <w:marBottom w:val="0"/>
      <w:divBdr>
        <w:top w:val="none" w:sz="0" w:space="0" w:color="auto"/>
        <w:left w:val="none" w:sz="0" w:space="0" w:color="auto"/>
        <w:bottom w:val="none" w:sz="0" w:space="0" w:color="auto"/>
        <w:right w:val="none" w:sz="0" w:space="0" w:color="auto"/>
      </w:divBdr>
    </w:div>
    <w:div w:id="1400402543">
      <w:bodyDiv w:val="1"/>
      <w:marLeft w:val="0"/>
      <w:marRight w:val="0"/>
      <w:marTop w:val="0"/>
      <w:marBottom w:val="0"/>
      <w:divBdr>
        <w:top w:val="none" w:sz="0" w:space="0" w:color="auto"/>
        <w:left w:val="none" w:sz="0" w:space="0" w:color="auto"/>
        <w:bottom w:val="none" w:sz="0" w:space="0" w:color="auto"/>
        <w:right w:val="none" w:sz="0" w:space="0" w:color="auto"/>
      </w:divBdr>
    </w:div>
    <w:div w:id="1401056250">
      <w:bodyDiv w:val="1"/>
      <w:marLeft w:val="0"/>
      <w:marRight w:val="0"/>
      <w:marTop w:val="0"/>
      <w:marBottom w:val="0"/>
      <w:divBdr>
        <w:top w:val="none" w:sz="0" w:space="0" w:color="auto"/>
        <w:left w:val="none" w:sz="0" w:space="0" w:color="auto"/>
        <w:bottom w:val="none" w:sz="0" w:space="0" w:color="auto"/>
        <w:right w:val="none" w:sz="0" w:space="0" w:color="auto"/>
      </w:divBdr>
    </w:div>
    <w:div w:id="1475485188">
      <w:bodyDiv w:val="1"/>
      <w:marLeft w:val="0"/>
      <w:marRight w:val="0"/>
      <w:marTop w:val="0"/>
      <w:marBottom w:val="0"/>
      <w:divBdr>
        <w:top w:val="none" w:sz="0" w:space="0" w:color="auto"/>
        <w:left w:val="none" w:sz="0" w:space="0" w:color="auto"/>
        <w:bottom w:val="none" w:sz="0" w:space="0" w:color="auto"/>
        <w:right w:val="none" w:sz="0" w:space="0" w:color="auto"/>
      </w:divBdr>
    </w:div>
    <w:div w:id="1481341417">
      <w:bodyDiv w:val="1"/>
      <w:marLeft w:val="0"/>
      <w:marRight w:val="0"/>
      <w:marTop w:val="0"/>
      <w:marBottom w:val="0"/>
      <w:divBdr>
        <w:top w:val="none" w:sz="0" w:space="0" w:color="auto"/>
        <w:left w:val="none" w:sz="0" w:space="0" w:color="auto"/>
        <w:bottom w:val="none" w:sz="0" w:space="0" w:color="auto"/>
        <w:right w:val="none" w:sz="0" w:space="0" w:color="auto"/>
      </w:divBdr>
    </w:div>
    <w:div w:id="1518304236">
      <w:bodyDiv w:val="1"/>
      <w:marLeft w:val="0"/>
      <w:marRight w:val="0"/>
      <w:marTop w:val="0"/>
      <w:marBottom w:val="0"/>
      <w:divBdr>
        <w:top w:val="none" w:sz="0" w:space="0" w:color="auto"/>
        <w:left w:val="none" w:sz="0" w:space="0" w:color="auto"/>
        <w:bottom w:val="none" w:sz="0" w:space="0" w:color="auto"/>
        <w:right w:val="none" w:sz="0" w:space="0" w:color="auto"/>
      </w:divBdr>
      <w:divsChild>
        <w:div w:id="258416458">
          <w:marLeft w:val="547"/>
          <w:marRight w:val="0"/>
          <w:marTop w:val="0"/>
          <w:marBottom w:val="0"/>
          <w:divBdr>
            <w:top w:val="none" w:sz="0" w:space="0" w:color="auto"/>
            <w:left w:val="none" w:sz="0" w:space="0" w:color="auto"/>
            <w:bottom w:val="none" w:sz="0" w:space="0" w:color="auto"/>
            <w:right w:val="none" w:sz="0" w:space="0" w:color="auto"/>
          </w:divBdr>
        </w:div>
      </w:divsChild>
    </w:div>
    <w:div w:id="1529873680">
      <w:bodyDiv w:val="1"/>
      <w:marLeft w:val="0"/>
      <w:marRight w:val="0"/>
      <w:marTop w:val="0"/>
      <w:marBottom w:val="0"/>
      <w:divBdr>
        <w:top w:val="none" w:sz="0" w:space="0" w:color="auto"/>
        <w:left w:val="none" w:sz="0" w:space="0" w:color="auto"/>
        <w:bottom w:val="none" w:sz="0" w:space="0" w:color="auto"/>
        <w:right w:val="none" w:sz="0" w:space="0" w:color="auto"/>
      </w:divBdr>
    </w:div>
    <w:div w:id="1566717280">
      <w:bodyDiv w:val="1"/>
      <w:marLeft w:val="0"/>
      <w:marRight w:val="0"/>
      <w:marTop w:val="0"/>
      <w:marBottom w:val="0"/>
      <w:divBdr>
        <w:top w:val="none" w:sz="0" w:space="0" w:color="auto"/>
        <w:left w:val="none" w:sz="0" w:space="0" w:color="auto"/>
        <w:bottom w:val="none" w:sz="0" w:space="0" w:color="auto"/>
        <w:right w:val="none" w:sz="0" w:space="0" w:color="auto"/>
      </w:divBdr>
    </w:div>
    <w:div w:id="1570112722">
      <w:bodyDiv w:val="1"/>
      <w:marLeft w:val="0"/>
      <w:marRight w:val="0"/>
      <w:marTop w:val="0"/>
      <w:marBottom w:val="0"/>
      <w:divBdr>
        <w:top w:val="none" w:sz="0" w:space="0" w:color="auto"/>
        <w:left w:val="none" w:sz="0" w:space="0" w:color="auto"/>
        <w:bottom w:val="none" w:sz="0" w:space="0" w:color="auto"/>
        <w:right w:val="none" w:sz="0" w:space="0" w:color="auto"/>
      </w:divBdr>
    </w:div>
    <w:div w:id="1627542754">
      <w:bodyDiv w:val="1"/>
      <w:marLeft w:val="0"/>
      <w:marRight w:val="0"/>
      <w:marTop w:val="0"/>
      <w:marBottom w:val="0"/>
      <w:divBdr>
        <w:top w:val="none" w:sz="0" w:space="0" w:color="auto"/>
        <w:left w:val="none" w:sz="0" w:space="0" w:color="auto"/>
        <w:bottom w:val="none" w:sz="0" w:space="0" w:color="auto"/>
        <w:right w:val="none" w:sz="0" w:space="0" w:color="auto"/>
      </w:divBdr>
    </w:div>
    <w:div w:id="1686858033">
      <w:bodyDiv w:val="1"/>
      <w:marLeft w:val="0"/>
      <w:marRight w:val="0"/>
      <w:marTop w:val="0"/>
      <w:marBottom w:val="0"/>
      <w:divBdr>
        <w:top w:val="none" w:sz="0" w:space="0" w:color="auto"/>
        <w:left w:val="none" w:sz="0" w:space="0" w:color="auto"/>
        <w:bottom w:val="none" w:sz="0" w:space="0" w:color="auto"/>
        <w:right w:val="none" w:sz="0" w:space="0" w:color="auto"/>
      </w:divBdr>
    </w:div>
    <w:div w:id="1738016620">
      <w:bodyDiv w:val="1"/>
      <w:marLeft w:val="0"/>
      <w:marRight w:val="0"/>
      <w:marTop w:val="0"/>
      <w:marBottom w:val="0"/>
      <w:divBdr>
        <w:top w:val="none" w:sz="0" w:space="0" w:color="auto"/>
        <w:left w:val="none" w:sz="0" w:space="0" w:color="auto"/>
        <w:bottom w:val="none" w:sz="0" w:space="0" w:color="auto"/>
        <w:right w:val="none" w:sz="0" w:space="0" w:color="auto"/>
      </w:divBdr>
    </w:div>
    <w:div w:id="1783185298">
      <w:bodyDiv w:val="1"/>
      <w:marLeft w:val="0"/>
      <w:marRight w:val="0"/>
      <w:marTop w:val="0"/>
      <w:marBottom w:val="0"/>
      <w:divBdr>
        <w:top w:val="none" w:sz="0" w:space="0" w:color="auto"/>
        <w:left w:val="none" w:sz="0" w:space="0" w:color="auto"/>
        <w:bottom w:val="none" w:sz="0" w:space="0" w:color="auto"/>
        <w:right w:val="none" w:sz="0" w:space="0" w:color="auto"/>
      </w:divBdr>
    </w:div>
    <w:div w:id="1784760954">
      <w:bodyDiv w:val="1"/>
      <w:marLeft w:val="0"/>
      <w:marRight w:val="0"/>
      <w:marTop w:val="0"/>
      <w:marBottom w:val="0"/>
      <w:divBdr>
        <w:top w:val="none" w:sz="0" w:space="0" w:color="auto"/>
        <w:left w:val="none" w:sz="0" w:space="0" w:color="auto"/>
        <w:bottom w:val="none" w:sz="0" w:space="0" w:color="auto"/>
        <w:right w:val="none" w:sz="0" w:space="0" w:color="auto"/>
      </w:divBdr>
    </w:div>
    <w:div w:id="1816331317">
      <w:bodyDiv w:val="1"/>
      <w:marLeft w:val="0"/>
      <w:marRight w:val="0"/>
      <w:marTop w:val="0"/>
      <w:marBottom w:val="0"/>
      <w:divBdr>
        <w:top w:val="none" w:sz="0" w:space="0" w:color="auto"/>
        <w:left w:val="none" w:sz="0" w:space="0" w:color="auto"/>
        <w:bottom w:val="none" w:sz="0" w:space="0" w:color="auto"/>
        <w:right w:val="none" w:sz="0" w:space="0" w:color="auto"/>
      </w:divBdr>
    </w:div>
    <w:div w:id="1829976485">
      <w:bodyDiv w:val="1"/>
      <w:marLeft w:val="0"/>
      <w:marRight w:val="0"/>
      <w:marTop w:val="0"/>
      <w:marBottom w:val="0"/>
      <w:divBdr>
        <w:top w:val="none" w:sz="0" w:space="0" w:color="auto"/>
        <w:left w:val="none" w:sz="0" w:space="0" w:color="auto"/>
        <w:bottom w:val="none" w:sz="0" w:space="0" w:color="auto"/>
        <w:right w:val="none" w:sz="0" w:space="0" w:color="auto"/>
      </w:divBdr>
    </w:div>
    <w:div w:id="1831016541">
      <w:bodyDiv w:val="1"/>
      <w:marLeft w:val="0"/>
      <w:marRight w:val="0"/>
      <w:marTop w:val="0"/>
      <w:marBottom w:val="0"/>
      <w:divBdr>
        <w:top w:val="none" w:sz="0" w:space="0" w:color="auto"/>
        <w:left w:val="none" w:sz="0" w:space="0" w:color="auto"/>
        <w:bottom w:val="none" w:sz="0" w:space="0" w:color="auto"/>
        <w:right w:val="none" w:sz="0" w:space="0" w:color="auto"/>
      </w:divBdr>
    </w:div>
    <w:div w:id="1833832348">
      <w:bodyDiv w:val="1"/>
      <w:marLeft w:val="0"/>
      <w:marRight w:val="0"/>
      <w:marTop w:val="0"/>
      <w:marBottom w:val="0"/>
      <w:divBdr>
        <w:top w:val="none" w:sz="0" w:space="0" w:color="auto"/>
        <w:left w:val="none" w:sz="0" w:space="0" w:color="auto"/>
        <w:bottom w:val="none" w:sz="0" w:space="0" w:color="auto"/>
        <w:right w:val="none" w:sz="0" w:space="0" w:color="auto"/>
      </w:divBdr>
    </w:div>
    <w:div w:id="1836843277">
      <w:bodyDiv w:val="1"/>
      <w:marLeft w:val="0"/>
      <w:marRight w:val="0"/>
      <w:marTop w:val="0"/>
      <w:marBottom w:val="0"/>
      <w:divBdr>
        <w:top w:val="none" w:sz="0" w:space="0" w:color="auto"/>
        <w:left w:val="none" w:sz="0" w:space="0" w:color="auto"/>
        <w:bottom w:val="none" w:sz="0" w:space="0" w:color="auto"/>
        <w:right w:val="none" w:sz="0" w:space="0" w:color="auto"/>
      </w:divBdr>
    </w:div>
    <w:div w:id="1850214903">
      <w:bodyDiv w:val="1"/>
      <w:marLeft w:val="0"/>
      <w:marRight w:val="0"/>
      <w:marTop w:val="0"/>
      <w:marBottom w:val="0"/>
      <w:divBdr>
        <w:top w:val="none" w:sz="0" w:space="0" w:color="auto"/>
        <w:left w:val="none" w:sz="0" w:space="0" w:color="auto"/>
        <w:bottom w:val="none" w:sz="0" w:space="0" w:color="auto"/>
        <w:right w:val="none" w:sz="0" w:space="0" w:color="auto"/>
      </w:divBdr>
    </w:div>
    <w:div w:id="1859074008">
      <w:bodyDiv w:val="1"/>
      <w:marLeft w:val="0"/>
      <w:marRight w:val="0"/>
      <w:marTop w:val="0"/>
      <w:marBottom w:val="0"/>
      <w:divBdr>
        <w:top w:val="none" w:sz="0" w:space="0" w:color="auto"/>
        <w:left w:val="none" w:sz="0" w:space="0" w:color="auto"/>
        <w:bottom w:val="none" w:sz="0" w:space="0" w:color="auto"/>
        <w:right w:val="none" w:sz="0" w:space="0" w:color="auto"/>
      </w:divBdr>
    </w:div>
    <w:div w:id="1873299229">
      <w:bodyDiv w:val="1"/>
      <w:marLeft w:val="0"/>
      <w:marRight w:val="0"/>
      <w:marTop w:val="0"/>
      <w:marBottom w:val="0"/>
      <w:divBdr>
        <w:top w:val="none" w:sz="0" w:space="0" w:color="auto"/>
        <w:left w:val="none" w:sz="0" w:space="0" w:color="auto"/>
        <w:bottom w:val="none" w:sz="0" w:space="0" w:color="auto"/>
        <w:right w:val="none" w:sz="0" w:space="0" w:color="auto"/>
      </w:divBdr>
    </w:div>
    <w:div w:id="1914122548">
      <w:bodyDiv w:val="1"/>
      <w:marLeft w:val="0"/>
      <w:marRight w:val="0"/>
      <w:marTop w:val="0"/>
      <w:marBottom w:val="0"/>
      <w:divBdr>
        <w:top w:val="none" w:sz="0" w:space="0" w:color="auto"/>
        <w:left w:val="none" w:sz="0" w:space="0" w:color="auto"/>
        <w:bottom w:val="none" w:sz="0" w:space="0" w:color="auto"/>
        <w:right w:val="none" w:sz="0" w:space="0" w:color="auto"/>
      </w:divBdr>
    </w:div>
    <w:div w:id="1919828189">
      <w:bodyDiv w:val="1"/>
      <w:marLeft w:val="0"/>
      <w:marRight w:val="0"/>
      <w:marTop w:val="0"/>
      <w:marBottom w:val="0"/>
      <w:divBdr>
        <w:top w:val="none" w:sz="0" w:space="0" w:color="auto"/>
        <w:left w:val="none" w:sz="0" w:space="0" w:color="auto"/>
        <w:bottom w:val="none" w:sz="0" w:space="0" w:color="auto"/>
        <w:right w:val="none" w:sz="0" w:space="0" w:color="auto"/>
      </w:divBdr>
    </w:div>
    <w:div w:id="1931232026">
      <w:bodyDiv w:val="1"/>
      <w:marLeft w:val="0"/>
      <w:marRight w:val="0"/>
      <w:marTop w:val="0"/>
      <w:marBottom w:val="0"/>
      <w:divBdr>
        <w:top w:val="none" w:sz="0" w:space="0" w:color="auto"/>
        <w:left w:val="none" w:sz="0" w:space="0" w:color="auto"/>
        <w:bottom w:val="none" w:sz="0" w:space="0" w:color="auto"/>
        <w:right w:val="none" w:sz="0" w:space="0" w:color="auto"/>
      </w:divBdr>
    </w:div>
    <w:div w:id="1952980035">
      <w:bodyDiv w:val="1"/>
      <w:marLeft w:val="0"/>
      <w:marRight w:val="0"/>
      <w:marTop w:val="0"/>
      <w:marBottom w:val="0"/>
      <w:divBdr>
        <w:top w:val="none" w:sz="0" w:space="0" w:color="auto"/>
        <w:left w:val="none" w:sz="0" w:space="0" w:color="auto"/>
        <w:bottom w:val="none" w:sz="0" w:space="0" w:color="auto"/>
        <w:right w:val="none" w:sz="0" w:space="0" w:color="auto"/>
      </w:divBdr>
    </w:div>
    <w:div w:id="1957447603">
      <w:bodyDiv w:val="1"/>
      <w:marLeft w:val="0"/>
      <w:marRight w:val="0"/>
      <w:marTop w:val="0"/>
      <w:marBottom w:val="0"/>
      <w:divBdr>
        <w:top w:val="none" w:sz="0" w:space="0" w:color="auto"/>
        <w:left w:val="none" w:sz="0" w:space="0" w:color="auto"/>
        <w:bottom w:val="none" w:sz="0" w:space="0" w:color="auto"/>
        <w:right w:val="none" w:sz="0" w:space="0" w:color="auto"/>
      </w:divBdr>
    </w:div>
    <w:div w:id="1959138414">
      <w:bodyDiv w:val="1"/>
      <w:marLeft w:val="0"/>
      <w:marRight w:val="0"/>
      <w:marTop w:val="0"/>
      <w:marBottom w:val="0"/>
      <w:divBdr>
        <w:top w:val="none" w:sz="0" w:space="0" w:color="auto"/>
        <w:left w:val="none" w:sz="0" w:space="0" w:color="auto"/>
        <w:bottom w:val="none" w:sz="0" w:space="0" w:color="auto"/>
        <w:right w:val="none" w:sz="0" w:space="0" w:color="auto"/>
      </w:divBdr>
    </w:div>
    <w:div w:id="1960913692">
      <w:bodyDiv w:val="1"/>
      <w:marLeft w:val="0"/>
      <w:marRight w:val="0"/>
      <w:marTop w:val="0"/>
      <w:marBottom w:val="0"/>
      <w:divBdr>
        <w:top w:val="none" w:sz="0" w:space="0" w:color="auto"/>
        <w:left w:val="none" w:sz="0" w:space="0" w:color="auto"/>
        <w:bottom w:val="none" w:sz="0" w:space="0" w:color="auto"/>
        <w:right w:val="none" w:sz="0" w:space="0" w:color="auto"/>
      </w:divBdr>
    </w:div>
    <w:div w:id="1967081849">
      <w:bodyDiv w:val="1"/>
      <w:marLeft w:val="0"/>
      <w:marRight w:val="0"/>
      <w:marTop w:val="0"/>
      <w:marBottom w:val="0"/>
      <w:divBdr>
        <w:top w:val="none" w:sz="0" w:space="0" w:color="auto"/>
        <w:left w:val="none" w:sz="0" w:space="0" w:color="auto"/>
        <w:bottom w:val="none" w:sz="0" w:space="0" w:color="auto"/>
        <w:right w:val="none" w:sz="0" w:space="0" w:color="auto"/>
      </w:divBdr>
    </w:div>
    <w:div w:id="1969165018">
      <w:bodyDiv w:val="1"/>
      <w:marLeft w:val="0"/>
      <w:marRight w:val="0"/>
      <w:marTop w:val="0"/>
      <w:marBottom w:val="0"/>
      <w:divBdr>
        <w:top w:val="none" w:sz="0" w:space="0" w:color="auto"/>
        <w:left w:val="none" w:sz="0" w:space="0" w:color="auto"/>
        <w:bottom w:val="none" w:sz="0" w:space="0" w:color="auto"/>
        <w:right w:val="none" w:sz="0" w:space="0" w:color="auto"/>
      </w:divBdr>
    </w:div>
    <w:div w:id="1970041389">
      <w:bodyDiv w:val="1"/>
      <w:marLeft w:val="0"/>
      <w:marRight w:val="0"/>
      <w:marTop w:val="0"/>
      <w:marBottom w:val="0"/>
      <w:divBdr>
        <w:top w:val="none" w:sz="0" w:space="0" w:color="auto"/>
        <w:left w:val="none" w:sz="0" w:space="0" w:color="auto"/>
        <w:bottom w:val="none" w:sz="0" w:space="0" w:color="auto"/>
        <w:right w:val="none" w:sz="0" w:space="0" w:color="auto"/>
      </w:divBdr>
    </w:div>
    <w:div w:id="1970552238">
      <w:bodyDiv w:val="1"/>
      <w:marLeft w:val="0"/>
      <w:marRight w:val="0"/>
      <w:marTop w:val="0"/>
      <w:marBottom w:val="0"/>
      <w:divBdr>
        <w:top w:val="none" w:sz="0" w:space="0" w:color="auto"/>
        <w:left w:val="none" w:sz="0" w:space="0" w:color="auto"/>
        <w:bottom w:val="none" w:sz="0" w:space="0" w:color="auto"/>
        <w:right w:val="none" w:sz="0" w:space="0" w:color="auto"/>
      </w:divBdr>
    </w:div>
    <w:div w:id="1974016361">
      <w:bodyDiv w:val="1"/>
      <w:marLeft w:val="0"/>
      <w:marRight w:val="0"/>
      <w:marTop w:val="0"/>
      <w:marBottom w:val="0"/>
      <w:divBdr>
        <w:top w:val="none" w:sz="0" w:space="0" w:color="auto"/>
        <w:left w:val="none" w:sz="0" w:space="0" w:color="auto"/>
        <w:bottom w:val="none" w:sz="0" w:space="0" w:color="auto"/>
        <w:right w:val="none" w:sz="0" w:space="0" w:color="auto"/>
      </w:divBdr>
    </w:div>
    <w:div w:id="1984460930">
      <w:bodyDiv w:val="1"/>
      <w:marLeft w:val="0"/>
      <w:marRight w:val="0"/>
      <w:marTop w:val="0"/>
      <w:marBottom w:val="0"/>
      <w:divBdr>
        <w:top w:val="none" w:sz="0" w:space="0" w:color="auto"/>
        <w:left w:val="none" w:sz="0" w:space="0" w:color="auto"/>
        <w:bottom w:val="none" w:sz="0" w:space="0" w:color="auto"/>
        <w:right w:val="none" w:sz="0" w:space="0" w:color="auto"/>
      </w:divBdr>
    </w:div>
    <w:div w:id="2000497166">
      <w:bodyDiv w:val="1"/>
      <w:marLeft w:val="0"/>
      <w:marRight w:val="0"/>
      <w:marTop w:val="0"/>
      <w:marBottom w:val="0"/>
      <w:divBdr>
        <w:top w:val="none" w:sz="0" w:space="0" w:color="auto"/>
        <w:left w:val="none" w:sz="0" w:space="0" w:color="auto"/>
        <w:bottom w:val="none" w:sz="0" w:space="0" w:color="auto"/>
        <w:right w:val="none" w:sz="0" w:space="0" w:color="auto"/>
      </w:divBdr>
    </w:div>
    <w:div w:id="2009482295">
      <w:bodyDiv w:val="1"/>
      <w:marLeft w:val="0"/>
      <w:marRight w:val="0"/>
      <w:marTop w:val="0"/>
      <w:marBottom w:val="0"/>
      <w:divBdr>
        <w:top w:val="none" w:sz="0" w:space="0" w:color="auto"/>
        <w:left w:val="none" w:sz="0" w:space="0" w:color="auto"/>
        <w:bottom w:val="none" w:sz="0" w:space="0" w:color="auto"/>
        <w:right w:val="none" w:sz="0" w:space="0" w:color="auto"/>
      </w:divBdr>
    </w:div>
    <w:div w:id="2013532226">
      <w:bodyDiv w:val="1"/>
      <w:marLeft w:val="0"/>
      <w:marRight w:val="0"/>
      <w:marTop w:val="0"/>
      <w:marBottom w:val="0"/>
      <w:divBdr>
        <w:top w:val="none" w:sz="0" w:space="0" w:color="auto"/>
        <w:left w:val="none" w:sz="0" w:space="0" w:color="auto"/>
        <w:bottom w:val="none" w:sz="0" w:space="0" w:color="auto"/>
        <w:right w:val="none" w:sz="0" w:space="0" w:color="auto"/>
      </w:divBdr>
    </w:div>
    <w:div w:id="2066178879">
      <w:bodyDiv w:val="1"/>
      <w:marLeft w:val="0"/>
      <w:marRight w:val="0"/>
      <w:marTop w:val="0"/>
      <w:marBottom w:val="0"/>
      <w:divBdr>
        <w:top w:val="none" w:sz="0" w:space="0" w:color="auto"/>
        <w:left w:val="none" w:sz="0" w:space="0" w:color="auto"/>
        <w:bottom w:val="none" w:sz="0" w:space="0" w:color="auto"/>
        <w:right w:val="none" w:sz="0" w:space="0" w:color="auto"/>
      </w:divBdr>
    </w:div>
    <w:div w:id="2098401389">
      <w:bodyDiv w:val="1"/>
      <w:marLeft w:val="0"/>
      <w:marRight w:val="0"/>
      <w:marTop w:val="0"/>
      <w:marBottom w:val="0"/>
      <w:divBdr>
        <w:top w:val="none" w:sz="0" w:space="0" w:color="auto"/>
        <w:left w:val="none" w:sz="0" w:space="0" w:color="auto"/>
        <w:bottom w:val="none" w:sz="0" w:space="0" w:color="auto"/>
        <w:right w:val="none" w:sz="0" w:space="0" w:color="auto"/>
      </w:divBdr>
    </w:div>
    <w:div w:id="211859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10.xml"/><Relationship Id="rId39" Type="http://schemas.openxmlformats.org/officeDocument/2006/relationships/hyperlink" Target="http://www.milliman.com" TargetMode="External"/><Relationship Id="rId21" Type="http://schemas.openxmlformats.org/officeDocument/2006/relationships/header" Target="header6.xml"/><Relationship Id="rId34" Type="http://schemas.openxmlformats.org/officeDocument/2006/relationships/header" Target="header16.xml"/><Relationship Id="rId42" Type="http://schemas.openxmlformats.org/officeDocument/2006/relationships/footer" Target="footer7.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eader" Target="header14.xml"/><Relationship Id="rId37" Type="http://schemas.openxmlformats.org/officeDocument/2006/relationships/image" Target="media/image5.png"/><Relationship Id="rId40" Type="http://schemas.openxmlformats.org/officeDocument/2006/relationships/header" Target="header18.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footer" Target="footer5.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iff"/><Relationship Id="rId22" Type="http://schemas.openxmlformats.org/officeDocument/2006/relationships/header" Target="header7.xml"/><Relationship Id="rId27" Type="http://schemas.openxmlformats.org/officeDocument/2006/relationships/footer" Target="footer4.xml"/><Relationship Id="rId30" Type="http://schemas.openxmlformats.org/officeDocument/2006/relationships/header" Target="header13.xml"/><Relationship Id="rId35" Type="http://schemas.openxmlformats.org/officeDocument/2006/relationships/footer" Target="footer6.xml"/><Relationship Id="rId43" Type="http://schemas.openxmlformats.org/officeDocument/2006/relationships/header" Target="header20.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9.xml"/><Relationship Id="rId33" Type="http://schemas.openxmlformats.org/officeDocument/2006/relationships/header" Target="header15.xml"/><Relationship Id="rId38" Type="http://schemas.openxmlformats.org/officeDocument/2006/relationships/hyperlink" Target="http://www.milliman.com" TargetMode="External"/><Relationship Id="rId20" Type="http://schemas.openxmlformats.org/officeDocument/2006/relationships/header" Target="header5.xml"/><Relationship Id="rId41" Type="http://schemas.openxmlformats.org/officeDocument/2006/relationships/header" Target="header19.xml"/></Relationships>
</file>

<file path=word/_rels/footnotes.xml.rels><?xml version="1.0" encoding="UTF-8" standalone="yes"?>
<Relationships xmlns="http://schemas.openxmlformats.org/package/2006/relationships"><Relationship Id="rId3" Type="http://schemas.openxmlformats.org/officeDocument/2006/relationships/hyperlink" Target="https://www.cms.gov/research-statistics-data-and-systems/statistics-trends-and-reports/nationalhealthexpenddata/nationalhealthaccountsprojected.html" TargetMode="External"/><Relationship Id="rId7" Type="http://schemas.openxmlformats.org/officeDocument/2006/relationships/hyperlink" Target="https://www.cms.gov/files/document/qualitywithholdresultsreportridy4.pdf" TargetMode="External"/><Relationship Id="rId2" Type="http://schemas.openxmlformats.org/officeDocument/2006/relationships/hyperlink" Target="https://www.cms.gov/Medicare-Medicaid-Coordination/Medicare-and-Medicaid-Coordination/Medicare-Medicaid-Coordination-Office/FinancialAlignmentInitiative/Downloads/RIMOU.pdf" TargetMode="External"/><Relationship Id="rId1" Type="http://schemas.openxmlformats.org/officeDocument/2006/relationships/hyperlink" Target="http://www.actuarialstandardsboard.org/asops/medicaid-managed-care-capitation-rate-development-and-certification/" TargetMode="External"/><Relationship Id="rId6" Type="http://schemas.openxmlformats.org/officeDocument/2006/relationships/hyperlink" Target="https://www.cms.gov/files/document/qualitywithholdresultsreportridy3.pdf" TargetMode="External"/><Relationship Id="rId5" Type="http://schemas.openxmlformats.org/officeDocument/2006/relationships/hyperlink" Target="https://www.cms.gov/files/document/qualitywithholdresultsreportridy2.pdf" TargetMode="External"/><Relationship Id="rId4" Type="http://schemas.openxmlformats.org/officeDocument/2006/relationships/hyperlink" Target="https://www.cms.gov/Medicare-Medicaid-Coordination/Medicare-and-Medicaid-Coordination/Medicare-Medicaid-Coordination-Office/FinancialAlignmentInitiative/Downloads/QualityWithholdResultsReportRIDY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Milliman CURRENT 2016">
      <a:dk1>
        <a:sysClr val="windowText" lastClr="000000"/>
      </a:dk1>
      <a:lt1>
        <a:sysClr val="window" lastClr="FFFFFF"/>
      </a:lt1>
      <a:dk2>
        <a:srgbClr val="0A4977"/>
      </a:dk2>
      <a:lt2>
        <a:srgbClr val="39414D"/>
      </a:lt2>
      <a:accent1>
        <a:srgbClr val="8EA780"/>
      </a:accent1>
      <a:accent2>
        <a:srgbClr val="C6C9CA"/>
      </a:accent2>
      <a:accent3>
        <a:srgbClr val="727A7D"/>
      </a:accent3>
      <a:accent4>
        <a:srgbClr val="0081E3"/>
      </a:accent4>
      <a:accent5>
        <a:srgbClr val="FFA200"/>
      </a:accent5>
      <a:accent6>
        <a:srgbClr val="64A623"/>
      </a:accent6>
      <a:hlink>
        <a:srgbClr val="0081E3"/>
      </a:hlink>
      <a:folHlink>
        <a:srgbClr val="0081E3"/>
      </a:folHlink>
    </a:clrScheme>
    <a:fontScheme name="Millima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3EC299757F384480B694E1598C47A8" ma:contentTypeVersion="0" ma:contentTypeDescription="Create a new document." ma:contentTypeScope="" ma:versionID="d51c6adafe459a4b2b61f0c5caec7ce6">
  <xsd:schema xmlns:xsd="http://www.w3.org/2001/XMLSchema" xmlns:xs="http://www.w3.org/2001/XMLSchema" xmlns:p="http://schemas.microsoft.com/office/2006/metadata/properties" targetNamespace="http://schemas.microsoft.com/office/2006/metadata/properties" ma:root="true" ma:fieldsID="1018941ab4f2dfd244f3902ec1f651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5D17A7-DFB8-46AF-9E64-F98FA3798ECD}">
  <ds:schemaRefs>
    <ds:schemaRef ds:uri="http://schemas.microsoft.com/office/2006/documentManagement/types"/>
    <ds:schemaRef ds:uri="http://schemas.openxmlformats.org/package/2006/metadata/core-properties"/>
    <ds:schemaRef ds:uri="http://www.w3.org/XML/1998/namespace"/>
    <ds:schemaRef ds:uri="http://purl.org/dc/elements/1.1/"/>
    <ds:schemaRef ds:uri="http://purl.org/dc/terms/"/>
    <ds:schemaRef ds:uri="http://purl.org/dc/dcmityp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DE0D8EB1-A39B-4FEC-A9D0-2FFE3545C449}">
  <ds:schemaRefs>
    <ds:schemaRef ds:uri="http://schemas.openxmlformats.org/officeDocument/2006/bibliography"/>
  </ds:schemaRefs>
</ds:datastoreItem>
</file>

<file path=customXml/itemProps3.xml><?xml version="1.0" encoding="utf-8"?>
<ds:datastoreItem xmlns:ds="http://schemas.openxmlformats.org/officeDocument/2006/customXml" ds:itemID="{B31DFF70-DB0A-41BF-A5A6-544EB1EF7AC6}">
  <ds:schemaRefs>
    <ds:schemaRef ds:uri="http://schemas.microsoft.com/sharepoint/v3/contenttype/forms"/>
  </ds:schemaRefs>
</ds:datastoreItem>
</file>

<file path=customXml/itemProps4.xml><?xml version="1.0" encoding="utf-8"?>
<ds:datastoreItem xmlns:ds="http://schemas.openxmlformats.org/officeDocument/2006/customXml" ds:itemID="{5A97911A-6C5A-484C-921E-E8B0347A6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16649</TotalTime>
  <Pages>44</Pages>
  <Words>13356</Words>
  <Characters>76133</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Report template with corporate brand colors, styles, and formatting - US letter</vt:lpstr>
    </vt:vector>
  </TitlesOfParts>
  <Company/>
  <LinksUpToDate>false</LinksUpToDate>
  <CharactersWithSpaces>89311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 with corporate brand colors, styles, and formatting - US letter</dc:title>
  <dc:subject/>
  <dc:creator>Christine M. Mytelka</dc:creator>
  <cp:keywords/>
  <dc:description/>
  <cp:lastModifiedBy>Valerie Miller</cp:lastModifiedBy>
  <cp:revision>540</cp:revision>
  <cp:lastPrinted>2021-01-20T22:26:00Z</cp:lastPrinted>
  <dcterms:created xsi:type="dcterms:W3CDTF">2020-06-30T17:27:00Z</dcterms:created>
  <dcterms:modified xsi:type="dcterms:W3CDTF">2022-07-22T13:12:00Z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0x010100ED3EC299757F384480B694E1598C47A8</vt:lpwstr>
  </property>
  <property fmtid="{D5CDD505-2E9C-101B-9397-08002B2CF9AE}" pid="3" name="Thumbnail">
    <vt:lpwstr>, </vt:lpwstr>
  </property>
</Properties>
</file>