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7.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967BB" w14:textId="7618FC7B" w:rsidR="007A6BC0" w:rsidRDefault="00A460A8" w:rsidP="00210B59">
      <w:pPr>
        <w:pStyle w:val="RRCoverSubtitle"/>
        <w:rPr>
          <w:b/>
          <w:color w:val="0081E3" w:themeColor="accent4"/>
          <w:sz w:val="48"/>
          <w:szCs w:val="48"/>
        </w:rPr>
      </w:pPr>
      <w:r>
        <w:rPr>
          <w:b/>
          <w:color w:val="0081E3" w:themeColor="accent4"/>
          <w:sz w:val="48"/>
          <w:szCs w:val="48"/>
        </w:rPr>
        <w:t xml:space="preserve">Program of All-Inclusive Care for the Elderly </w:t>
      </w:r>
    </w:p>
    <w:p w14:paraId="08924346" w14:textId="715F1FE5" w:rsidR="002D7A77" w:rsidRPr="0046181A" w:rsidRDefault="008041A1" w:rsidP="00210B59">
      <w:pPr>
        <w:pStyle w:val="RRCoverSubtitle"/>
        <w:rPr>
          <w:b/>
          <w:color w:val="0081E3" w:themeColor="accent4"/>
          <w:szCs w:val="32"/>
        </w:rPr>
      </w:pPr>
      <w:r w:rsidRPr="0046181A">
        <w:rPr>
          <w:b/>
          <w:color w:val="0081E3" w:themeColor="accent4"/>
          <w:szCs w:val="32"/>
        </w:rPr>
        <w:t>Development of SFY 2022 AWOP</w:t>
      </w:r>
      <w:r w:rsidR="009A0BFB">
        <w:rPr>
          <w:b/>
          <w:color w:val="0081E3" w:themeColor="accent4"/>
          <w:szCs w:val="32"/>
        </w:rPr>
        <w:t>s</w:t>
      </w:r>
      <w:r w:rsidRPr="0046181A">
        <w:rPr>
          <w:b/>
          <w:color w:val="0081E3" w:themeColor="accent4"/>
          <w:szCs w:val="32"/>
        </w:rPr>
        <w:t xml:space="preserve"> and Capitation Rates</w:t>
      </w:r>
      <w:r w:rsidR="0022106C">
        <w:rPr>
          <w:b/>
          <w:color w:val="0081E3" w:themeColor="accent4"/>
          <w:szCs w:val="32"/>
        </w:rPr>
        <w:t>: DRAFT</w:t>
      </w:r>
    </w:p>
    <w:p w14:paraId="52F96CB6" w14:textId="77777777" w:rsidR="0022106C" w:rsidRDefault="0022106C" w:rsidP="0081321B">
      <w:pPr>
        <w:pStyle w:val="RRCoverDate"/>
        <w:spacing w:before="0" w:after="0" w:line="300" w:lineRule="auto"/>
        <w:rPr>
          <w:rFonts w:asciiTheme="majorHAnsi" w:hAnsiTheme="majorHAnsi"/>
          <w:b/>
          <w:sz w:val="20"/>
          <w:szCs w:val="20"/>
        </w:rPr>
      </w:pPr>
    </w:p>
    <w:p w14:paraId="4B300057" w14:textId="77777777" w:rsidR="0022106C" w:rsidRDefault="0022106C" w:rsidP="0081321B">
      <w:pPr>
        <w:pStyle w:val="RRCoverDate"/>
        <w:spacing w:before="0" w:after="0" w:line="300" w:lineRule="auto"/>
        <w:rPr>
          <w:rFonts w:asciiTheme="majorHAnsi" w:hAnsiTheme="majorHAnsi"/>
          <w:b/>
          <w:sz w:val="20"/>
          <w:szCs w:val="20"/>
        </w:rPr>
      </w:pPr>
    </w:p>
    <w:p w14:paraId="4A19E1CD" w14:textId="45CC56F0" w:rsidR="001B2A88" w:rsidRDefault="00B52EB3" w:rsidP="0081321B">
      <w:pPr>
        <w:pStyle w:val="RRCoverDate"/>
        <w:spacing w:before="0" w:after="0" w:line="300" w:lineRule="auto"/>
        <w:rPr>
          <w:rFonts w:asciiTheme="majorHAnsi" w:hAnsiTheme="majorHAnsi"/>
          <w:b/>
          <w:sz w:val="20"/>
          <w:szCs w:val="20"/>
        </w:rPr>
      </w:pPr>
      <w:r>
        <w:rPr>
          <w:rFonts w:asciiTheme="majorHAnsi" w:hAnsiTheme="majorHAnsi"/>
          <w:b/>
          <w:sz w:val="20"/>
          <w:szCs w:val="20"/>
        </w:rPr>
        <w:t>July 1, 2021 through June 30, 202</w:t>
      </w:r>
      <w:r w:rsidR="007B1014">
        <w:rPr>
          <w:rFonts w:asciiTheme="majorHAnsi" w:hAnsiTheme="majorHAnsi"/>
          <w:b/>
          <w:sz w:val="20"/>
          <w:szCs w:val="20"/>
        </w:rPr>
        <w:t>2</w:t>
      </w:r>
    </w:p>
    <w:p w14:paraId="6DA91147" w14:textId="77777777" w:rsidR="0081321B" w:rsidRPr="0095687F" w:rsidRDefault="0081321B" w:rsidP="0095687F">
      <w:pPr>
        <w:pStyle w:val="RRCoverDate"/>
        <w:spacing w:before="0" w:after="0" w:line="300" w:lineRule="auto"/>
        <w:rPr>
          <w:rFonts w:asciiTheme="majorHAnsi" w:hAnsiTheme="majorHAnsi"/>
          <w:b/>
          <w:sz w:val="20"/>
          <w:szCs w:val="20"/>
        </w:rPr>
      </w:pPr>
    </w:p>
    <w:p w14:paraId="7B81157E" w14:textId="3A4B84E9" w:rsidR="003E3BCD" w:rsidRPr="007A0748" w:rsidRDefault="0081321B" w:rsidP="00210B59">
      <w:pPr>
        <w:pStyle w:val="RRCoverSubtitle"/>
        <w:rPr>
          <w:sz w:val="28"/>
        </w:rPr>
      </w:pPr>
      <w:r w:rsidRPr="00F363ED">
        <w:rPr>
          <w:b/>
          <w:bCs/>
        </w:rPr>
        <w:t>Rhode Island</w:t>
      </w:r>
      <w:r>
        <w:rPr>
          <w:b/>
          <w:bCs/>
        </w:rPr>
        <w:t xml:space="preserve">, </w:t>
      </w:r>
      <w:r w:rsidRPr="00F363ED">
        <w:rPr>
          <w:b/>
          <w:bCs/>
        </w:rPr>
        <w:t xml:space="preserve">Executive Office of Health </w:t>
      </w:r>
      <w:r>
        <w:rPr>
          <w:b/>
          <w:bCs/>
        </w:rPr>
        <w:t>and</w:t>
      </w:r>
      <w:r w:rsidRPr="00F363ED">
        <w:rPr>
          <w:b/>
          <w:bCs/>
        </w:rPr>
        <w:t xml:space="preserve"> Human Services</w:t>
      </w:r>
    </w:p>
    <w:p w14:paraId="5F38FB4B" w14:textId="12537603" w:rsidR="004D5199" w:rsidRDefault="0031143D" w:rsidP="004D5199">
      <w:pPr>
        <w:pStyle w:val="RRCoverAuthor"/>
      </w:pPr>
      <w:r>
        <w:fldChar w:fldCharType="begin"/>
      </w:r>
      <w:r>
        <w:instrText xml:space="preserve"> DATE \@ "MMMM d, yyyy" </w:instrText>
      </w:r>
      <w:r>
        <w:fldChar w:fldCharType="separate"/>
      </w:r>
      <w:r w:rsidR="00453A52">
        <w:rPr>
          <w:noProof/>
        </w:rPr>
        <w:t>May 11, 2022</w:t>
      </w:r>
      <w:r>
        <w:fldChar w:fldCharType="end"/>
      </w:r>
    </w:p>
    <w:p w14:paraId="12CA5FCE" w14:textId="501E2445" w:rsidR="0081321B" w:rsidRPr="007A0748" w:rsidRDefault="0081321B" w:rsidP="0081321B">
      <w:pPr>
        <w:pStyle w:val="RRCoverAuthor"/>
        <w:rPr>
          <w:sz w:val="8"/>
        </w:rPr>
      </w:pPr>
    </w:p>
    <w:p w14:paraId="5F755B9E" w14:textId="7EEE2560" w:rsidR="00576F70" w:rsidRDefault="00576F70" w:rsidP="00576F70">
      <w:pPr>
        <w:pStyle w:val="RRCoverAuthor"/>
      </w:pPr>
      <w:r>
        <w:rPr>
          <w:color w:val="0081E3" w:themeColor="accent4"/>
        </w:rPr>
        <w:t>Ian McCulla</w:t>
      </w:r>
      <w:r>
        <w:t>, FSA, MAAA</w:t>
      </w:r>
    </w:p>
    <w:p w14:paraId="3448B050" w14:textId="77777777" w:rsidR="00576F70" w:rsidRDefault="00576F70" w:rsidP="00576F70">
      <w:pPr>
        <w:pStyle w:val="RRCoverAuthor"/>
      </w:pPr>
      <w:r>
        <w:t>Principal and Consulting Actuary</w:t>
      </w:r>
      <w:r w:rsidRPr="003C07FB">
        <w:rPr>
          <w:color w:val="0081E3" w:themeColor="accent4"/>
        </w:rPr>
        <w:t xml:space="preserve"> </w:t>
      </w:r>
    </w:p>
    <w:p w14:paraId="7FB1A9B8" w14:textId="4231AC03" w:rsidR="00E54F84" w:rsidRDefault="00E14052" w:rsidP="00E14052">
      <w:pPr>
        <w:pStyle w:val="RRCoverAuthor"/>
        <w:tabs>
          <w:tab w:val="clear" w:pos="5040"/>
          <w:tab w:val="left" w:pos="6281"/>
        </w:tabs>
      </w:pPr>
      <w:r>
        <w:tab/>
      </w:r>
    </w:p>
    <w:p w14:paraId="6845C620" w14:textId="03BCB61D" w:rsidR="0081321B" w:rsidRDefault="00363239" w:rsidP="0081321B">
      <w:pPr>
        <w:pStyle w:val="RRCoverAuthor"/>
      </w:pPr>
      <w:r>
        <w:rPr>
          <w:color w:val="0081E3" w:themeColor="accent4"/>
        </w:rPr>
        <w:t>Jason Melek</w:t>
      </w:r>
      <w:r w:rsidR="0081321B">
        <w:t>, FSA, MAAA</w:t>
      </w:r>
    </w:p>
    <w:p w14:paraId="0B520052" w14:textId="79A31A80" w:rsidR="001B2A88" w:rsidRDefault="0081321B" w:rsidP="00210B59">
      <w:pPr>
        <w:pStyle w:val="RRCoverAuthor"/>
      </w:pPr>
      <w:r>
        <w:t>C</w:t>
      </w:r>
      <w:r w:rsidR="005019A5">
        <w:t>onsulting Actuary</w:t>
      </w:r>
      <w:r w:rsidR="001B2A88" w:rsidRPr="003C07FB">
        <w:rPr>
          <w:color w:val="0081E3" w:themeColor="accent4"/>
        </w:rPr>
        <w:t xml:space="preserve"> </w:t>
      </w:r>
    </w:p>
    <w:p w14:paraId="63E30069" w14:textId="77777777" w:rsidR="00B00F42" w:rsidRDefault="00610E90" w:rsidP="00210B59">
      <w:pPr>
        <w:pStyle w:val="RRObject"/>
        <w:sectPr w:rsidR="00B00F42" w:rsidSect="001B2A88">
          <w:headerReference w:type="even" r:id="rId11"/>
          <w:headerReference w:type="default" r:id="rId12"/>
          <w:headerReference w:type="first" r:id="rId13"/>
          <w:footerReference w:type="first" r:id="rId14"/>
          <w:pgSz w:w="12240" w:h="15840" w:code="1"/>
          <w:pgMar w:top="1440" w:right="720" w:bottom="1037" w:left="720" w:header="432" w:footer="144" w:gutter="0"/>
          <w:cols w:space="720"/>
          <w:titlePg/>
          <w:docGrid w:linePitch="360"/>
        </w:sectPr>
      </w:pPr>
      <w:r>
        <w:rPr>
          <w:noProof/>
        </w:rPr>
        <w:drawing>
          <wp:anchor distT="0" distB="0" distL="114300" distR="114300" simplePos="0" relativeHeight="251658240" behindDoc="0" locked="1" layoutInCell="1" allowOverlap="1" wp14:anchorId="6F700621" wp14:editId="37A807C4">
            <wp:simplePos x="0" y="0"/>
            <wp:positionH relativeFrom="margin">
              <wp:posOffset>5195570</wp:posOffset>
            </wp:positionH>
            <wp:positionV relativeFrom="margin">
              <wp:posOffset>8154035</wp:posOffset>
            </wp:positionV>
            <wp:extent cx="1663700" cy="356235"/>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liman Logo.jp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663700" cy="356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2A88">
        <w:rPr>
          <w:noProof/>
        </w:rPr>
        <w:drawing>
          <wp:anchor distT="0" distB="0" distL="114300" distR="114300" simplePos="0" relativeHeight="251658243" behindDoc="0" locked="1" layoutInCell="1" allowOverlap="1" wp14:anchorId="443EB3B5" wp14:editId="348107DD">
            <wp:simplePos x="0" y="0"/>
            <wp:positionH relativeFrom="page">
              <wp:posOffset>16510</wp:posOffset>
            </wp:positionH>
            <wp:positionV relativeFrom="page">
              <wp:posOffset>4379595</wp:posOffset>
            </wp:positionV>
            <wp:extent cx="7778115" cy="441579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 Image.jpg"/>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7778115" cy="4415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93A5F2" w14:textId="77777777" w:rsidR="001B2A88" w:rsidRDefault="001B2A88" w:rsidP="00210B59">
      <w:pPr>
        <w:rPr>
          <w:color w:val="0A4977" w:themeColor="text2"/>
          <w:sz w:val="28"/>
        </w:rPr>
      </w:pPr>
      <w:r>
        <w:lastRenderedPageBreak/>
        <w:br w:type="page"/>
      </w:r>
      <w:r>
        <w:rPr>
          <w:noProof/>
        </w:rPr>
        <w:drawing>
          <wp:anchor distT="0" distB="0" distL="114300" distR="114300" simplePos="0" relativeHeight="251658245" behindDoc="0" locked="0" layoutInCell="1" allowOverlap="1" wp14:anchorId="55176C58" wp14:editId="7EA45B9C">
            <wp:simplePos x="0" y="0"/>
            <wp:positionH relativeFrom="column">
              <wp:posOffset>-900853</wp:posOffset>
            </wp:positionH>
            <wp:positionV relativeFrom="paragraph">
              <wp:posOffset>-900853</wp:posOffset>
            </wp:positionV>
            <wp:extent cx="7764817" cy="1004858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lash page logo-0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764817" cy="1004858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4" behindDoc="1" locked="1" layoutInCell="1" allowOverlap="1" wp14:anchorId="025B623E" wp14:editId="06D48DAA">
                <wp:simplePos x="0" y="0"/>
                <wp:positionH relativeFrom="page">
                  <wp:posOffset>13335</wp:posOffset>
                </wp:positionH>
                <wp:positionV relativeFrom="page">
                  <wp:posOffset>13335</wp:posOffset>
                </wp:positionV>
                <wp:extent cx="7764780" cy="10789920"/>
                <wp:effectExtent l="0" t="0" r="7620" b="0"/>
                <wp:wrapNone/>
                <wp:docPr id="4" name="Rectangle 4"/>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51F6F4A" id="Rectangle 4" o:spid="_x0000_s1026" style="position:absolute;margin-left:1.05pt;margin-top:1.05pt;width:611.4pt;height:849.6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" fillcolor="#727a7d [3206]" stroked="f" strokeweight="1pt">
                <w10:wrap anchorx="page" anchory="page"/>
                <w10:anchorlock/>
              </v:rect>
            </w:pict>
          </mc:Fallback>
        </mc:AlternateContent>
      </w:r>
    </w:p>
    <w:sdt>
      <w:sdtPr>
        <w:rPr>
          <w:rFonts w:asciiTheme="minorHAnsi" w:hAnsiTheme="minorHAnsi" w:cstheme="minorBidi"/>
          <w:b/>
          <w:caps/>
          <w:color w:val="auto"/>
          <w:sz w:val="18"/>
        </w:rPr>
        <w:id w:val="1920750743"/>
        <w:docPartObj>
          <w:docPartGallery w:val="Table of Contents"/>
          <w:docPartUnique/>
        </w:docPartObj>
      </w:sdtPr>
      <w:sdtEndPr>
        <w:rPr>
          <w:noProof/>
        </w:rPr>
      </w:sdtEndPr>
      <w:sdtContent>
        <w:p w14:paraId="77447C54" w14:textId="4E235527" w:rsidR="00593603" w:rsidRDefault="00593603" w:rsidP="000B2662">
          <w:pPr>
            <w:pStyle w:val="TOCHeading"/>
          </w:pPr>
          <w:r w:rsidRPr="00593603">
            <w:t>Table of Contents</w:t>
          </w:r>
        </w:p>
        <w:p w14:paraId="0E130EB2" w14:textId="07547EF2" w:rsidR="007944E3" w:rsidRDefault="00375E5B" w:rsidP="007944E3">
          <w:pPr>
            <w:pStyle w:val="TOC1"/>
            <w:rPr>
              <w:noProof/>
              <w:sz w:val="22"/>
              <w:szCs w:val="22"/>
            </w:rPr>
          </w:pPr>
          <w:r>
            <w:rPr>
              <w:bCs/>
              <w:noProof/>
            </w:rPr>
            <w:fldChar w:fldCharType="begin"/>
          </w:r>
          <w:r>
            <w:rPr>
              <w:bCs/>
              <w:noProof/>
            </w:rPr>
            <w:instrText xml:space="preserve"> TOC \o "1-4" \h \z \u </w:instrText>
          </w:r>
          <w:r>
            <w:rPr>
              <w:bCs/>
              <w:noProof/>
            </w:rPr>
            <w:fldChar w:fldCharType="separate"/>
          </w:r>
          <w:hyperlink w:anchor="_Toc91081147" w:history="1">
            <w:r w:rsidR="007944E3" w:rsidRPr="00BF6EE6">
              <w:rPr>
                <w:rStyle w:val="Hyperlink"/>
                <w:noProof/>
              </w:rPr>
              <w:t>I. Executive Summary</w:t>
            </w:r>
            <w:r w:rsidR="007944E3">
              <w:rPr>
                <w:noProof/>
                <w:webHidden/>
              </w:rPr>
              <w:tab/>
            </w:r>
            <w:r w:rsidR="007944E3">
              <w:rPr>
                <w:noProof/>
                <w:webHidden/>
              </w:rPr>
              <w:fldChar w:fldCharType="begin"/>
            </w:r>
            <w:r w:rsidR="007944E3">
              <w:rPr>
                <w:noProof/>
                <w:webHidden/>
              </w:rPr>
              <w:instrText xml:space="preserve"> PAGEREF _Toc91081147 \h </w:instrText>
            </w:r>
            <w:r w:rsidR="007944E3">
              <w:rPr>
                <w:noProof/>
                <w:webHidden/>
              </w:rPr>
            </w:r>
            <w:r w:rsidR="007944E3">
              <w:rPr>
                <w:noProof/>
                <w:webHidden/>
              </w:rPr>
              <w:fldChar w:fldCharType="separate"/>
            </w:r>
            <w:r w:rsidR="00453A52">
              <w:rPr>
                <w:noProof/>
                <w:webHidden/>
              </w:rPr>
              <w:t>1</w:t>
            </w:r>
            <w:r w:rsidR="007944E3">
              <w:rPr>
                <w:noProof/>
                <w:webHidden/>
              </w:rPr>
              <w:fldChar w:fldCharType="end"/>
            </w:r>
          </w:hyperlink>
        </w:p>
        <w:p w14:paraId="0C276F1A" w14:textId="6E51A953" w:rsidR="007944E3" w:rsidRDefault="00453A52" w:rsidP="007944E3">
          <w:pPr>
            <w:pStyle w:val="TOC1"/>
            <w:rPr>
              <w:noProof/>
              <w:sz w:val="22"/>
              <w:szCs w:val="22"/>
            </w:rPr>
          </w:pPr>
          <w:hyperlink w:anchor="_Toc91081148" w:history="1">
            <w:r w:rsidR="007944E3" w:rsidRPr="00BF6EE6">
              <w:rPr>
                <w:rStyle w:val="Hyperlink"/>
                <w:noProof/>
              </w:rPr>
              <w:t>II. PACE AWOP Methodology</w:t>
            </w:r>
            <w:r w:rsidR="007944E3">
              <w:rPr>
                <w:noProof/>
                <w:webHidden/>
              </w:rPr>
              <w:tab/>
            </w:r>
            <w:r w:rsidR="007944E3">
              <w:rPr>
                <w:noProof/>
                <w:webHidden/>
              </w:rPr>
              <w:fldChar w:fldCharType="begin"/>
            </w:r>
            <w:r w:rsidR="007944E3">
              <w:rPr>
                <w:noProof/>
                <w:webHidden/>
              </w:rPr>
              <w:instrText xml:space="preserve"> PAGEREF _Toc91081148 \h </w:instrText>
            </w:r>
            <w:r w:rsidR="007944E3">
              <w:rPr>
                <w:noProof/>
                <w:webHidden/>
              </w:rPr>
            </w:r>
            <w:r w:rsidR="007944E3">
              <w:rPr>
                <w:noProof/>
                <w:webHidden/>
              </w:rPr>
              <w:fldChar w:fldCharType="separate"/>
            </w:r>
            <w:r>
              <w:rPr>
                <w:noProof/>
                <w:webHidden/>
              </w:rPr>
              <w:t>3</w:t>
            </w:r>
            <w:r w:rsidR="007944E3">
              <w:rPr>
                <w:noProof/>
                <w:webHidden/>
              </w:rPr>
              <w:fldChar w:fldCharType="end"/>
            </w:r>
          </w:hyperlink>
        </w:p>
        <w:p w14:paraId="5FDDE0E8" w14:textId="48260BF7" w:rsidR="007944E3" w:rsidRDefault="00453A52" w:rsidP="007944E3">
          <w:pPr>
            <w:pStyle w:val="TOC3"/>
            <w:rPr>
              <w:noProof/>
              <w:color w:val="auto"/>
              <w:sz w:val="22"/>
              <w:szCs w:val="22"/>
            </w:rPr>
          </w:pPr>
          <w:hyperlink w:anchor="_Toc91081149" w:history="1">
            <w:r w:rsidR="007944E3" w:rsidRPr="00BF6EE6">
              <w:rPr>
                <w:rStyle w:val="Hyperlink"/>
                <w:noProof/>
              </w:rPr>
              <w:t>Step 1:  Define Proxy Pace Population</w:t>
            </w:r>
            <w:r w:rsidR="007944E3">
              <w:rPr>
                <w:noProof/>
                <w:webHidden/>
              </w:rPr>
              <w:tab/>
            </w:r>
            <w:r w:rsidR="007944E3">
              <w:rPr>
                <w:noProof/>
                <w:webHidden/>
              </w:rPr>
              <w:fldChar w:fldCharType="begin"/>
            </w:r>
            <w:r w:rsidR="007944E3">
              <w:rPr>
                <w:noProof/>
                <w:webHidden/>
              </w:rPr>
              <w:instrText xml:space="preserve"> PAGEREF _Toc91081149 \h </w:instrText>
            </w:r>
            <w:r w:rsidR="007944E3">
              <w:rPr>
                <w:noProof/>
                <w:webHidden/>
              </w:rPr>
            </w:r>
            <w:r w:rsidR="007944E3">
              <w:rPr>
                <w:noProof/>
                <w:webHidden/>
              </w:rPr>
              <w:fldChar w:fldCharType="separate"/>
            </w:r>
            <w:r>
              <w:rPr>
                <w:noProof/>
                <w:webHidden/>
              </w:rPr>
              <w:t>3</w:t>
            </w:r>
            <w:r w:rsidR="007944E3">
              <w:rPr>
                <w:noProof/>
                <w:webHidden/>
              </w:rPr>
              <w:fldChar w:fldCharType="end"/>
            </w:r>
          </w:hyperlink>
        </w:p>
        <w:p w14:paraId="5E0A016A" w14:textId="499162A7" w:rsidR="007944E3" w:rsidRDefault="00453A52" w:rsidP="007944E3">
          <w:pPr>
            <w:pStyle w:val="TOC3"/>
            <w:rPr>
              <w:noProof/>
              <w:color w:val="auto"/>
              <w:sz w:val="22"/>
              <w:szCs w:val="22"/>
            </w:rPr>
          </w:pPr>
          <w:hyperlink w:anchor="_Toc91081150" w:history="1">
            <w:r w:rsidR="007944E3" w:rsidRPr="00BF6EE6">
              <w:rPr>
                <w:rStyle w:val="Hyperlink"/>
                <w:noProof/>
              </w:rPr>
              <w:t>Step 2:  Summarize FFS, NEMT, and Patient Liability for Proxy PACE population</w:t>
            </w:r>
            <w:r w:rsidR="007944E3">
              <w:rPr>
                <w:noProof/>
                <w:webHidden/>
              </w:rPr>
              <w:tab/>
            </w:r>
            <w:r w:rsidR="007944E3">
              <w:rPr>
                <w:noProof/>
                <w:webHidden/>
              </w:rPr>
              <w:fldChar w:fldCharType="begin"/>
            </w:r>
            <w:r w:rsidR="007944E3">
              <w:rPr>
                <w:noProof/>
                <w:webHidden/>
              </w:rPr>
              <w:instrText xml:space="preserve"> PAGEREF _Toc91081150 \h </w:instrText>
            </w:r>
            <w:r w:rsidR="007944E3">
              <w:rPr>
                <w:noProof/>
                <w:webHidden/>
              </w:rPr>
            </w:r>
            <w:r w:rsidR="007944E3">
              <w:rPr>
                <w:noProof/>
                <w:webHidden/>
              </w:rPr>
              <w:fldChar w:fldCharType="separate"/>
            </w:r>
            <w:r>
              <w:rPr>
                <w:noProof/>
                <w:webHidden/>
              </w:rPr>
              <w:t>4</w:t>
            </w:r>
            <w:r w:rsidR="007944E3">
              <w:rPr>
                <w:noProof/>
                <w:webHidden/>
              </w:rPr>
              <w:fldChar w:fldCharType="end"/>
            </w:r>
          </w:hyperlink>
        </w:p>
        <w:p w14:paraId="40E5373E" w14:textId="744043AF" w:rsidR="007944E3" w:rsidRDefault="00453A52" w:rsidP="007944E3">
          <w:pPr>
            <w:pStyle w:val="TOC3"/>
            <w:rPr>
              <w:noProof/>
              <w:color w:val="auto"/>
              <w:sz w:val="22"/>
              <w:szCs w:val="22"/>
            </w:rPr>
          </w:pPr>
          <w:hyperlink w:anchor="_Toc91081151" w:history="1">
            <w:r w:rsidR="007944E3" w:rsidRPr="00BF6EE6">
              <w:rPr>
                <w:rStyle w:val="Hyperlink"/>
                <w:noProof/>
              </w:rPr>
              <w:t>Step 3:  Apply Retrospective Completion and Trend Adjustments</w:t>
            </w:r>
            <w:r w:rsidR="007944E3">
              <w:rPr>
                <w:noProof/>
                <w:webHidden/>
              </w:rPr>
              <w:tab/>
            </w:r>
            <w:r w:rsidR="007944E3">
              <w:rPr>
                <w:noProof/>
                <w:webHidden/>
              </w:rPr>
              <w:fldChar w:fldCharType="begin"/>
            </w:r>
            <w:r w:rsidR="007944E3">
              <w:rPr>
                <w:noProof/>
                <w:webHidden/>
              </w:rPr>
              <w:instrText xml:space="preserve"> PAGEREF _Toc91081151 \h </w:instrText>
            </w:r>
            <w:r w:rsidR="007944E3">
              <w:rPr>
                <w:noProof/>
                <w:webHidden/>
              </w:rPr>
            </w:r>
            <w:r w:rsidR="007944E3">
              <w:rPr>
                <w:noProof/>
                <w:webHidden/>
              </w:rPr>
              <w:fldChar w:fldCharType="separate"/>
            </w:r>
            <w:r>
              <w:rPr>
                <w:noProof/>
                <w:webHidden/>
              </w:rPr>
              <w:t>5</w:t>
            </w:r>
            <w:r w:rsidR="007944E3">
              <w:rPr>
                <w:noProof/>
                <w:webHidden/>
              </w:rPr>
              <w:fldChar w:fldCharType="end"/>
            </w:r>
          </w:hyperlink>
        </w:p>
        <w:p w14:paraId="34852967" w14:textId="77C4169D" w:rsidR="007944E3" w:rsidRDefault="00453A52" w:rsidP="007944E3">
          <w:pPr>
            <w:pStyle w:val="TOC3"/>
            <w:rPr>
              <w:noProof/>
              <w:color w:val="auto"/>
              <w:sz w:val="22"/>
              <w:szCs w:val="22"/>
            </w:rPr>
          </w:pPr>
          <w:hyperlink w:anchor="_Toc91081152" w:history="1">
            <w:r w:rsidR="007944E3" w:rsidRPr="00BF6EE6">
              <w:rPr>
                <w:rStyle w:val="Hyperlink"/>
                <w:noProof/>
              </w:rPr>
              <w:t>Step 4:  Apply Adjustments to Reflect the PACE Population Acuity</w:t>
            </w:r>
            <w:r w:rsidR="007944E3">
              <w:rPr>
                <w:noProof/>
                <w:webHidden/>
              </w:rPr>
              <w:tab/>
            </w:r>
            <w:r w:rsidR="007944E3">
              <w:rPr>
                <w:noProof/>
                <w:webHidden/>
              </w:rPr>
              <w:fldChar w:fldCharType="begin"/>
            </w:r>
            <w:r w:rsidR="007944E3">
              <w:rPr>
                <w:noProof/>
                <w:webHidden/>
              </w:rPr>
              <w:instrText xml:space="preserve"> PAGEREF _Toc91081152 \h </w:instrText>
            </w:r>
            <w:r w:rsidR="007944E3">
              <w:rPr>
                <w:noProof/>
                <w:webHidden/>
              </w:rPr>
            </w:r>
            <w:r w:rsidR="007944E3">
              <w:rPr>
                <w:noProof/>
                <w:webHidden/>
              </w:rPr>
              <w:fldChar w:fldCharType="separate"/>
            </w:r>
            <w:r>
              <w:rPr>
                <w:noProof/>
                <w:webHidden/>
              </w:rPr>
              <w:t>5</w:t>
            </w:r>
            <w:r w:rsidR="007944E3">
              <w:rPr>
                <w:noProof/>
                <w:webHidden/>
              </w:rPr>
              <w:fldChar w:fldCharType="end"/>
            </w:r>
          </w:hyperlink>
        </w:p>
        <w:p w14:paraId="73923320" w14:textId="14AD6681" w:rsidR="007944E3" w:rsidRDefault="00453A52" w:rsidP="007944E3">
          <w:pPr>
            <w:pStyle w:val="TOC3"/>
            <w:rPr>
              <w:noProof/>
              <w:color w:val="auto"/>
              <w:sz w:val="22"/>
              <w:szCs w:val="22"/>
            </w:rPr>
          </w:pPr>
          <w:hyperlink w:anchor="_Toc91081153" w:history="1">
            <w:r w:rsidR="007944E3" w:rsidRPr="00BF6EE6">
              <w:rPr>
                <w:rStyle w:val="Hyperlink"/>
                <w:noProof/>
              </w:rPr>
              <w:t>Step 5:  Apply Prospective Program Adjustments</w:t>
            </w:r>
            <w:r w:rsidR="007944E3">
              <w:rPr>
                <w:noProof/>
                <w:webHidden/>
              </w:rPr>
              <w:tab/>
            </w:r>
            <w:r w:rsidR="007944E3">
              <w:rPr>
                <w:noProof/>
                <w:webHidden/>
              </w:rPr>
              <w:fldChar w:fldCharType="begin"/>
            </w:r>
            <w:r w:rsidR="007944E3">
              <w:rPr>
                <w:noProof/>
                <w:webHidden/>
              </w:rPr>
              <w:instrText xml:space="preserve"> PAGEREF _Toc91081153 \h </w:instrText>
            </w:r>
            <w:r w:rsidR="007944E3">
              <w:rPr>
                <w:noProof/>
                <w:webHidden/>
              </w:rPr>
            </w:r>
            <w:r w:rsidR="007944E3">
              <w:rPr>
                <w:noProof/>
                <w:webHidden/>
              </w:rPr>
              <w:fldChar w:fldCharType="separate"/>
            </w:r>
            <w:r>
              <w:rPr>
                <w:noProof/>
                <w:webHidden/>
              </w:rPr>
              <w:t>6</w:t>
            </w:r>
            <w:r w:rsidR="007944E3">
              <w:rPr>
                <w:noProof/>
                <w:webHidden/>
              </w:rPr>
              <w:fldChar w:fldCharType="end"/>
            </w:r>
          </w:hyperlink>
        </w:p>
        <w:p w14:paraId="4AC0433E" w14:textId="6F953888" w:rsidR="007944E3" w:rsidRDefault="00453A52" w:rsidP="007944E3">
          <w:pPr>
            <w:pStyle w:val="TOC3"/>
            <w:rPr>
              <w:noProof/>
              <w:color w:val="auto"/>
              <w:sz w:val="22"/>
              <w:szCs w:val="22"/>
            </w:rPr>
          </w:pPr>
          <w:hyperlink w:anchor="_Toc91081154" w:history="1">
            <w:r w:rsidR="007944E3" w:rsidRPr="00BF6EE6">
              <w:rPr>
                <w:rStyle w:val="Hyperlink"/>
                <w:noProof/>
              </w:rPr>
              <w:t>Step 7:  Combine the Non-Dual HCBS FFS and Managed Care Experience</w:t>
            </w:r>
            <w:r w:rsidR="007944E3">
              <w:rPr>
                <w:noProof/>
                <w:webHidden/>
              </w:rPr>
              <w:tab/>
            </w:r>
            <w:r w:rsidR="007944E3">
              <w:rPr>
                <w:noProof/>
                <w:webHidden/>
              </w:rPr>
              <w:fldChar w:fldCharType="begin"/>
            </w:r>
            <w:r w:rsidR="007944E3">
              <w:rPr>
                <w:noProof/>
                <w:webHidden/>
              </w:rPr>
              <w:instrText xml:space="preserve"> PAGEREF _Toc91081154 \h </w:instrText>
            </w:r>
            <w:r w:rsidR="007944E3">
              <w:rPr>
                <w:noProof/>
                <w:webHidden/>
              </w:rPr>
            </w:r>
            <w:r w:rsidR="007944E3">
              <w:rPr>
                <w:noProof/>
                <w:webHidden/>
              </w:rPr>
              <w:fldChar w:fldCharType="separate"/>
            </w:r>
            <w:r>
              <w:rPr>
                <w:noProof/>
                <w:webHidden/>
              </w:rPr>
              <w:t>9</w:t>
            </w:r>
            <w:r w:rsidR="007944E3">
              <w:rPr>
                <w:noProof/>
                <w:webHidden/>
              </w:rPr>
              <w:fldChar w:fldCharType="end"/>
            </w:r>
          </w:hyperlink>
        </w:p>
        <w:p w14:paraId="4CE07BA9" w14:textId="273206C4" w:rsidR="007944E3" w:rsidRDefault="00453A52" w:rsidP="007944E3">
          <w:pPr>
            <w:pStyle w:val="TOC3"/>
            <w:rPr>
              <w:noProof/>
              <w:color w:val="auto"/>
              <w:sz w:val="22"/>
              <w:szCs w:val="22"/>
            </w:rPr>
          </w:pPr>
          <w:hyperlink w:anchor="_Toc91081155" w:history="1">
            <w:r w:rsidR="007944E3" w:rsidRPr="00BF6EE6">
              <w:rPr>
                <w:rStyle w:val="Hyperlink"/>
                <w:noProof/>
              </w:rPr>
              <w:t>Step 8:  Include Administrative Cost Load</w:t>
            </w:r>
            <w:r w:rsidR="007944E3">
              <w:rPr>
                <w:noProof/>
                <w:webHidden/>
              </w:rPr>
              <w:tab/>
            </w:r>
            <w:r w:rsidR="007944E3">
              <w:rPr>
                <w:noProof/>
                <w:webHidden/>
              </w:rPr>
              <w:fldChar w:fldCharType="begin"/>
            </w:r>
            <w:r w:rsidR="007944E3">
              <w:rPr>
                <w:noProof/>
                <w:webHidden/>
              </w:rPr>
              <w:instrText xml:space="preserve"> PAGEREF _Toc91081155 \h </w:instrText>
            </w:r>
            <w:r w:rsidR="007944E3">
              <w:rPr>
                <w:noProof/>
                <w:webHidden/>
              </w:rPr>
            </w:r>
            <w:r w:rsidR="007944E3">
              <w:rPr>
                <w:noProof/>
                <w:webHidden/>
              </w:rPr>
              <w:fldChar w:fldCharType="separate"/>
            </w:r>
            <w:r>
              <w:rPr>
                <w:noProof/>
                <w:webHidden/>
              </w:rPr>
              <w:t>9</w:t>
            </w:r>
            <w:r w:rsidR="007944E3">
              <w:rPr>
                <w:noProof/>
                <w:webHidden/>
              </w:rPr>
              <w:fldChar w:fldCharType="end"/>
            </w:r>
          </w:hyperlink>
        </w:p>
        <w:p w14:paraId="5AF4EFF0" w14:textId="245B77A1" w:rsidR="007944E3" w:rsidRDefault="00453A52" w:rsidP="007944E3">
          <w:pPr>
            <w:pStyle w:val="TOC3"/>
            <w:rPr>
              <w:noProof/>
              <w:color w:val="auto"/>
              <w:sz w:val="22"/>
              <w:szCs w:val="22"/>
            </w:rPr>
          </w:pPr>
          <w:hyperlink w:anchor="_Toc91081156" w:history="1">
            <w:r w:rsidR="007944E3" w:rsidRPr="00BF6EE6">
              <w:rPr>
                <w:rStyle w:val="Hyperlink"/>
                <w:noProof/>
              </w:rPr>
              <w:t>Step 9:  Composite the HCBS and Nursing Home Populations to Form a Blended AWOP</w:t>
            </w:r>
            <w:r w:rsidR="007944E3">
              <w:rPr>
                <w:noProof/>
                <w:webHidden/>
              </w:rPr>
              <w:tab/>
            </w:r>
            <w:r w:rsidR="007944E3">
              <w:rPr>
                <w:noProof/>
                <w:webHidden/>
              </w:rPr>
              <w:fldChar w:fldCharType="begin"/>
            </w:r>
            <w:r w:rsidR="007944E3">
              <w:rPr>
                <w:noProof/>
                <w:webHidden/>
              </w:rPr>
              <w:instrText xml:space="preserve"> PAGEREF _Toc91081156 \h </w:instrText>
            </w:r>
            <w:r w:rsidR="007944E3">
              <w:rPr>
                <w:noProof/>
                <w:webHidden/>
              </w:rPr>
            </w:r>
            <w:r w:rsidR="007944E3">
              <w:rPr>
                <w:noProof/>
                <w:webHidden/>
              </w:rPr>
              <w:fldChar w:fldCharType="separate"/>
            </w:r>
            <w:r>
              <w:rPr>
                <w:noProof/>
                <w:webHidden/>
              </w:rPr>
              <w:t>9</w:t>
            </w:r>
            <w:r w:rsidR="007944E3">
              <w:rPr>
                <w:noProof/>
                <w:webHidden/>
              </w:rPr>
              <w:fldChar w:fldCharType="end"/>
            </w:r>
          </w:hyperlink>
        </w:p>
        <w:p w14:paraId="01A5B976" w14:textId="23135768" w:rsidR="007944E3" w:rsidRDefault="00453A52" w:rsidP="007944E3">
          <w:pPr>
            <w:pStyle w:val="TOC1"/>
            <w:rPr>
              <w:noProof/>
              <w:sz w:val="22"/>
              <w:szCs w:val="22"/>
            </w:rPr>
          </w:pPr>
          <w:hyperlink w:anchor="_Toc91081157" w:history="1">
            <w:r w:rsidR="007944E3" w:rsidRPr="00BF6EE6">
              <w:rPr>
                <w:rStyle w:val="Hyperlink"/>
                <w:noProof/>
              </w:rPr>
              <w:t>III. PACE Capitation Rate Methodology</w:t>
            </w:r>
            <w:r w:rsidR="007944E3">
              <w:rPr>
                <w:noProof/>
                <w:webHidden/>
              </w:rPr>
              <w:tab/>
            </w:r>
            <w:r w:rsidR="007944E3">
              <w:rPr>
                <w:noProof/>
                <w:webHidden/>
              </w:rPr>
              <w:fldChar w:fldCharType="begin"/>
            </w:r>
            <w:r w:rsidR="007944E3">
              <w:rPr>
                <w:noProof/>
                <w:webHidden/>
              </w:rPr>
              <w:instrText xml:space="preserve"> PAGEREF _Toc91081157 \h </w:instrText>
            </w:r>
            <w:r w:rsidR="007944E3">
              <w:rPr>
                <w:noProof/>
                <w:webHidden/>
              </w:rPr>
            </w:r>
            <w:r w:rsidR="007944E3">
              <w:rPr>
                <w:noProof/>
                <w:webHidden/>
              </w:rPr>
              <w:fldChar w:fldCharType="separate"/>
            </w:r>
            <w:r>
              <w:rPr>
                <w:noProof/>
                <w:webHidden/>
              </w:rPr>
              <w:t>11</w:t>
            </w:r>
            <w:r w:rsidR="007944E3">
              <w:rPr>
                <w:noProof/>
                <w:webHidden/>
              </w:rPr>
              <w:fldChar w:fldCharType="end"/>
            </w:r>
          </w:hyperlink>
        </w:p>
        <w:p w14:paraId="4DC88D3A" w14:textId="63C4AF8A" w:rsidR="007944E3" w:rsidRDefault="00453A52" w:rsidP="007944E3">
          <w:pPr>
            <w:pStyle w:val="TOC1"/>
            <w:rPr>
              <w:noProof/>
              <w:sz w:val="22"/>
              <w:szCs w:val="22"/>
            </w:rPr>
          </w:pPr>
          <w:hyperlink w:anchor="_Toc91081158" w:history="1">
            <w:r w:rsidR="007944E3" w:rsidRPr="00BF6EE6">
              <w:rPr>
                <w:rStyle w:val="Hyperlink"/>
                <w:noProof/>
              </w:rPr>
              <w:t>VI. Data Reliance and Limitations</w:t>
            </w:r>
            <w:r w:rsidR="007944E3">
              <w:rPr>
                <w:noProof/>
                <w:webHidden/>
              </w:rPr>
              <w:tab/>
            </w:r>
            <w:r w:rsidR="007944E3">
              <w:rPr>
                <w:noProof/>
                <w:webHidden/>
              </w:rPr>
              <w:fldChar w:fldCharType="begin"/>
            </w:r>
            <w:r w:rsidR="007944E3">
              <w:rPr>
                <w:noProof/>
                <w:webHidden/>
              </w:rPr>
              <w:instrText xml:space="preserve"> PAGEREF _Toc91081158 \h </w:instrText>
            </w:r>
            <w:r w:rsidR="007944E3">
              <w:rPr>
                <w:noProof/>
                <w:webHidden/>
              </w:rPr>
            </w:r>
            <w:r w:rsidR="007944E3">
              <w:rPr>
                <w:noProof/>
                <w:webHidden/>
              </w:rPr>
              <w:fldChar w:fldCharType="separate"/>
            </w:r>
            <w:r>
              <w:rPr>
                <w:noProof/>
                <w:webHidden/>
              </w:rPr>
              <w:t>12</w:t>
            </w:r>
            <w:r w:rsidR="007944E3">
              <w:rPr>
                <w:noProof/>
                <w:webHidden/>
              </w:rPr>
              <w:fldChar w:fldCharType="end"/>
            </w:r>
          </w:hyperlink>
        </w:p>
        <w:p w14:paraId="21DECE1A" w14:textId="0B8F3593" w:rsidR="007944E3" w:rsidRDefault="00453A52" w:rsidP="007944E3">
          <w:pPr>
            <w:pStyle w:val="TOC1"/>
            <w:rPr>
              <w:noProof/>
              <w:sz w:val="22"/>
              <w:szCs w:val="22"/>
            </w:rPr>
          </w:pPr>
          <w:hyperlink w:anchor="_Toc91081159" w:history="1">
            <w:r w:rsidR="007944E3" w:rsidRPr="00BF6EE6">
              <w:rPr>
                <w:rStyle w:val="Hyperlink"/>
                <w:noProof/>
              </w:rPr>
              <w:t>Appendix 1: CY 2019 Base Data Development</w:t>
            </w:r>
          </w:hyperlink>
        </w:p>
        <w:p w14:paraId="7B958D30" w14:textId="10070639" w:rsidR="007944E3" w:rsidRDefault="00453A52" w:rsidP="007944E3">
          <w:pPr>
            <w:pStyle w:val="TOC1"/>
            <w:rPr>
              <w:noProof/>
              <w:sz w:val="22"/>
              <w:szCs w:val="22"/>
            </w:rPr>
          </w:pPr>
          <w:hyperlink w:anchor="_Toc91081160" w:history="1">
            <w:r w:rsidR="007944E3" w:rsidRPr="00BF6EE6">
              <w:rPr>
                <w:rStyle w:val="Hyperlink"/>
                <w:noProof/>
              </w:rPr>
              <w:t>Appendix 2: SFY 2022 Projected Benefit Expense Development</w:t>
            </w:r>
          </w:hyperlink>
        </w:p>
        <w:p w14:paraId="33567129" w14:textId="7886668F" w:rsidR="007944E3" w:rsidRDefault="00453A52" w:rsidP="007944E3">
          <w:pPr>
            <w:pStyle w:val="TOC1"/>
            <w:rPr>
              <w:noProof/>
              <w:sz w:val="22"/>
              <w:szCs w:val="22"/>
            </w:rPr>
          </w:pPr>
          <w:hyperlink w:anchor="_Toc91081161" w:history="1">
            <w:r w:rsidR="007944E3" w:rsidRPr="00BF6EE6">
              <w:rPr>
                <w:rStyle w:val="Hyperlink"/>
                <w:noProof/>
              </w:rPr>
              <w:t>Appendix 3: Non-Dual HCBS Blending</w:t>
            </w:r>
          </w:hyperlink>
        </w:p>
        <w:p w14:paraId="163FFC27" w14:textId="57198272" w:rsidR="007944E3" w:rsidRDefault="00453A52" w:rsidP="007944E3">
          <w:pPr>
            <w:pStyle w:val="TOC1"/>
            <w:rPr>
              <w:noProof/>
              <w:sz w:val="22"/>
              <w:szCs w:val="22"/>
            </w:rPr>
          </w:pPr>
          <w:hyperlink w:anchor="_Toc91081162" w:history="1">
            <w:r w:rsidR="007944E3" w:rsidRPr="00BF6EE6">
              <w:rPr>
                <w:rStyle w:val="Hyperlink"/>
                <w:noProof/>
              </w:rPr>
              <w:t>Appendix 4: SFY 2022 AWOP and Capitation Rate Development</w:t>
            </w:r>
          </w:hyperlink>
        </w:p>
        <w:p w14:paraId="2E4523CC" w14:textId="2FB917DF" w:rsidR="009503CA" w:rsidRDefault="00375E5B" w:rsidP="007944E3">
          <w:pPr>
            <w:pStyle w:val="TOC1"/>
            <w:sectPr w:rsidR="009503CA" w:rsidSect="009503CA">
              <w:headerReference w:type="even" r:id="rId18"/>
              <w:headerReference w:type="default" r:id="rId19"/>
              <w:footerReference w:type="default" r:id="rId20"/>
              <w:headerReference w:type="first" r:id="rId21"/>
              <w:pgSz w:w="12240" w:h="15840" w:code="1"/>
              <w:pgMar w:top="1440" w:right="1440" w:bottom="1440" w:left="1440" w:header="720" w:footer="720" w:gutter="0"/>
              <w:pgNumType w:start="0"/>
              <w:cols w:space="720"/>
              <w:titlePg/>
              <w:docGrid w:linePitch="360"/>
            </w:sectPr>
          </w:pPr>
          <w:r>
            <w:rPr>
              <w:noProof/>
            </w:rPr>
            <w:fldChar w:fldCharType="end"/>
          </w:r>
        </w:p>
      </w:sdtContent>
    </w:sdt>
    <w:p w14:paraId="141BD6FC" w14:textId="1F784CAE" w:rsidR="002E1FD8" w:rsidRDefault="00A460A8" w:rsidP="000B2662">
      <w:pPr>
        <w:pStyle w:val="Heading1"/>
      </w:pPr>
      <w:bookmarkStart w:id="0" w:name="_Toc8984983"/>
      <w:bookmarkStart w:id="1" w:name="_Toc91081147"/>
      <w:r w:rsidRPr="00A460A8">
        <w:lastRenderedPageBreak/>
        <w:t>I.</w:t>
      </w:r>
      <w:r>
        <w:t xml:space="preserve"> </w:t>
      </w:r>
      <w:r w:rsidR="00553928" w:rsidRPr="00A460A8">
        <w:t>Executive</w:t>
      </w:r>
      <w:r w:rsidR="00553928">
        <w:t xml:space="preserve"> Summary</w:t>
      </w:r>
      <w:bookmarkEnd w:id="0"/>
      <w:bookmarkEnd w:id="1"/>
    </w:p>
    <w:p w14:paraId="4DE982E3" w14:textId="0ACB780F" w:rsidR="00C111CB" w:rsidRPr="00C111CB" w:rsidRDefault="00FF5436" w:rsidP="00802253">
      <w:pPr>
        <w:pStyle w:val="RRBody"/>
        <w:jc w:val="left"/>
      </w:pPr>
      <w:r w:rsidRPr="006C351B">
        <w:t xml:space="preserve">Milliman, Inc. (Milliman) has been retained by </w:t>
      </w:r>
      <w:r w:rsidRPr="00BD0DBF">
        <w:t xml:space="preserve">the Rhode Island Executive Office of Health </w:t>
      </w:r>
      <w:r>
        <w:t>and</w:t>
      </w:r>
      <w:r w:rsidRPr="00BD0DBF">
        <w:t xml:space="preserve"> Human Services (EOHHS)</w:t>
      </w:r>
      <w:r>
        <w:t xml:space="preserve"> </w:t>
      </w:r>
      <w:r w:rsidRPr="006C351B">
        <w:t>to</w:t>
      </w:r>
      <w:r w:rsidR="00A460A8" w:rsidRPr="00CB0BE3">
        <w:t xml:space="preserve"> assist with the development of the Program of All-Inclusive Care for the Elderly (PACE) Medicaid capitation rates effective for July 1, 202</w:t>
      </w:r>
      <w:r w:rsidR="00A460A8">
        <w:t>1</w:t>
      </w:r>
      <w:r w:rsidR="00A460A8" w:rsidRPr="00CB0BE3">
        <w:t xml:space="preserve"> through June 30, </w:t>
      </w:r>
      <w:r w:rsidR="00255CE7" w:rsidRPr="00CB0BE3">
        <w:t>202</w:t>
      </w:r>
      <w:r w:rsidR="00255CE7">
        <w:t>2</w:t>
      </w:r>
      <w:r w:rsidR="00255CE7" w:rsidRPr="00CB0BE3">
        <w:t xml:space="preserve"> </w:t>
      </w:r>
      <w:r w:rsidR="00B85D61">
        <w:t xml:space="preserve">and </w:t>
      </w:r>
      <w:r w:rsidR="00A460A8" w:rsidRPr="00CB0BE3">
        <w:t>the Medicaid amounts that would otherwise have been paid (AWOP</w:t>
      </w:r>
      <w:r w:rsidR="00F140A2">
        <w:t>s</w:t>
      </w:r>
      <w:r w:rsidR="00A460A8" w:rsidRPr="00CB0BE3">
        <w:t>) if individuals were not enrolled in PACE. This report documents the methodology used in developing the AWOP</w:t>
      </w:r>
      <w:r w:rsidR="00F140A2">
        <w:t>s</w:t>
      </w:r>
      <w:r w:rsidR="00A460A8" w:rsidRPr="00CB0BE3">
        <w:t xml:space="preserve"> and capitation rates. The AWOP values </w:t>
      </w:r>
      <w:r w:rsidR="00255CE7">
        <w:t xml:space="preserve">and capitation rates </w:t>
      </w:r>
      <w:r w:rsidR="00A460A8" w:rsidRPr="00CB0BE3">
        <w:t>documented in this report correspond to the twelve-month period of July 1, 202</w:t>
      </w:r>
      <w:r w:rsidR="00A460A8">
        <w:t>1</w:t>
      </w:r>
      <w:r w:rsidR="00A460A8" w:rsidRPr="00CB0BE3">
        <w:t xml:space="preserve"> through June 30, 202</w:t>
      </w:r>
      <w:r w:rsidR="00A460A8">
        <w:t>2</w:t>
      </w:r>
      <w:r w:rsidR="00A460A8" w:rsidRPr="00CB0BE3">
        <w:t xml:space="preserve"> (SFY 202</w:t>
      </w:r>
      <w:r w:rsidR="00A460A8">
        <w:t>2</w:t>
      </w:r>
      <w:r w:rsidR="00A460A8" w:rsidRPr="00CB0BE3">
        <w:t xml:space="preserve">). </w:t>
      </w:r>
      <w:r w:rsidR="008D7DD9">
        <w:t xml:space="preserve">It is anticipated that </w:t>
      </w:r>
      <w:r w:rsidR="00F64410">
        <w:t xml:space="preserve">EOHHS will </w:t>
      </w:r>
      <w:r w:rsidR="00D05F5F">
        <w:t>update the</w:t>
      </w:r>
      <w:r w:rsidR="008D7DD9">
        <w:t xml:space="preserve"> </w:t>
      </w:r>
      <w:r w:rsidR="0051415F">
        <w:t xml:space="preserve">AWOP values </w:t>
      </w:r>
      <w:r w:rsidR="00D05F5F">
        <w:t>in future years consistent with the state plan</w:t>
      </w:r>
      <w:r w:rsidR="005A7580">
        <w:t>.</w:t>
      </w:r>
    </w:p>
    <w:p w14:paraId="1F023CB6" w14:textId="2C7422AB" w:rsidR="00B16A87" w:rsidRPr="003333DF" w:rsidRDefault="00B16A87" w:rsidP="00802253">
      <w:pPr>
        <w:pStyle w:val="Subhead1"/>
        <w:spacing w:before="180" w:after="180"/>
      </w:pPr>
      <w:r w:rsidRPr="00467B61">
        <w:t>PACE Background</w:t>
      </w:r>
    </w:p>
    <w:p w14:paraId="33DFCAB0" w14:textId="64DD9EF3" w:rsidR="00D4560B" w:rsidRPr="00D4560B" w:rsidRDefault="00B16A87" w:rsidP="00802253">
      <w:pPr>
        <w:pStyle w:val="RRBody"/>
        <w:spacing w:after="120"/>
        <w:jc w:val="left"/>
      </w:pPr>
      <w:r w:rsidRPr="00CB0BE3">
        <w:t>The PACE program targets individuals who would otherwise qualify for Medicaid nursing facility placement and provides them with a comprehensive array of facility and home and community-based services. Individuals meeting the following criteria are eligible to receive services under PACE:</w:t>
      </w:r>
    </w:p>
    <w:p w14:paraId="5934E86F" w14:textId="30F81752" w:rsidR="00EA24FC" w:rsidRPr="003333DF" w:rsidRDefault="00B16A87" w:rsidP="00841E41">
      <w:pPr>
        <w:pStyle w:val="RRNumberedBullet1"/>
        <w:numPr>
          <w:ilvl w:val="0"/>
          <w:numId w:val="1"/>
        </w:numPr>
        <w:spacing w:before="60"/>
        <w:jc w:val="left"/>
      </w:pPr>
      <w:r w:rsidRPr="005E4EE8">
        <w:rPr>
          <w:szCs w:val="18"/>
        </w:rPr>
        <w:t>Age 55 and over</w:t>
      </w:r>
    </w:p>
    <w:p w14:paraId="748409C8" w14:textId="4689E8C0" w:rsidR="00A03FDB" w:rsidRPr="0090357A" w:rsidRDefault="0054641C" w:rsidP="00097A11">
      <w:pPr>
        <w:pStyle w:val="RRNumberedBullet1"/>
        <w:numPr>
          <w:ilvl w:val="0"/>
          <w:numId w:val="1"/>
        </w:numPr>
        <w:spacing w:before="60"/>
        <w:jc w:val="left"/>
        <w:rPr>
          <w:szCs w:val="18"/>
        </w:rPr>
      </w:pPr>
      <w:r w:rsidRPr="002352E4">
        <w:rPr>
          <w:szCs w:val="18"/>
        </w:rPr>
        <w:t>Determi</w:t>
      </w:r>
      <w:r w:rsidRPr="00EA24FC">
        <w:rPr>
          <w:szCs w:val="18"/>
        </w:rPr>
        <w:t>ned to be at nursing facility level of care</w:t>
      </w:r>
    </w:p>
    <w:p w14:paraId="75B5F75C" w14:textId="64A938A0" w:rsidR="00EE482A" w:rsidRPr="003333DF" w:rsidRDefault="00EE482A" w:rsidP="00C5080D">
      <w:pPr>
        <w:pStyle w:val="RRNumberedBullet1"/>
        <w:numPr>
          <w:ilvl w:val="0"/>
          <w:numId w:val="1"/>
        </w:numPr>
        <w:spacing w:before="60" w:after="120"/>
        <w:jc w:val="left"/>
      </w:pPr>
      <w:r>
        <w:rPr>
          <w:szCs w:val="18"/>
        </w:rPr>
        <w:t xml:space="preserve">Lives in an </w:t>
      </w:r>
      <w:r w:rsidR="00DC70D7">
        <w:rPr>
          <w:szCs w:val="18"/>
        </w:rPr>
        <w:t>authorized program area</w:t>
      </w:r>
    </w:p>
    <w:p w14:paraId="6FDE42BF" w14:textId="35228DB0" w:rsidR="00B16A87" w:rsidRPr="00FF5436" w:rsidRDefault="00B16A87" w:rsidP="0046181A">
      <w:pPr>
        <w:spacing w:after="120"/>
      </w:pPr>
      <w:r w:rsidRPr="005A536D">
        <w:rPr>
          <w:szCs w:val="18"/>
        </w:rPr>
        <w:t>PACE plans are capitated for both Medicare and Medicaid services, covering both acute and long-term care services and providing the full continuum of</w:t>
      </w:r>
      <w:r w:rsidRPr="00CB0BE3">
        <w:t xml:space="preserve"> care. The unique delivery system involves on-site care centers and case </w:t>
      </w:r>
      <w:r w:rsidRPr="00FF5436">
        <w:t>management provided by multi-disciplinary teams.</w:t>
      </w:r>
    </w:p>
    <w:p w14:paraId="3CB383B6" w14:textId="01E3043D" w:rsidR="00B16A87" w:rsidRPr="00CB0BE3" w:rsidRDefault="00B16A87" w:rsidP="00802253">
      <w:pPr>
        <w:pStyle w:val="RRBody"/>
        <w:spacing w:after="120"/>
        <w:jc w:val="left"/>
      </w:pPr>
      <w:r>
        <w:t>Rhode Island</w:t>
      </w:r>
      <w:r w:rsidRPr="00CB0BE3">
        <w:t xml:space="preserve"> has a single PACE site, </w:t>
      </w:r>
      <w:r w:rsidRPr="00200131">
        <w:t>PACE</w:t>
      </w:r>
      <w:r>
        <w:t xml:space="preserve"> Organization of Rhode Island</w:t>
      </w:r>
      <w:r w:rsidRPr="00200131">
        <w:t xml:space="preserve">, serving </w:t>
      </w:r>
      <w:r>
        <w:t xml:space="preserve">approximately </w:t>
      </w:r>
      <w:r w:rsidR="000D7BD3">
        <w:t>345</w:t>
      </w:r>
      <w:r w:rsidR="000D7BD3" w:rsidRPr="00200131">
        <w:t xml:space="preserve"> </w:t>
      </w:r>
      <w:r w:rsidRPr="00200131">
        <w:t xml:space="preserve">total </w:t>
      </w:r>
      <w:r w:rsidR="00A2344A">
        <w:t>d</w:t>
      </w:r>
      <w:r w:rsidRPr="00200131">
        <w:t>ual</w:t>
      </w:r>
      <w:r w:rsidR="00A2344A">
        <w:t xml:space="preserve"> e</w:t>
      </w:r>
      <w:r w:rsidRPr="00200131">
        <w:t>ligible and Medicaid</w:t>
      </w:r>
      <w:r w:rsidR="00A2344A">
        <w:t>-o</w:t>
      </w:r>
      <w:r w:rsidRPr="00200131">
        <w:t xml:space="preserve">nly </w:t>
      </w:r>
      <w:r w:rsidR="00571E22">
        <w:t xml:space="preserve">(non-dual) </w:t>
      </w:r>
      <w:r w:rsidR="00A2344A">
        <w:t>e</w:t>
      </w:r>
      <w:r w:rsidRPr="00200131">
        <w:t xml:space="preserve">ligible individuals as of </w:t>
      </w:r>
      <w:r>
        <w:t>July</w:t>
      </w:r>
      <w:r w:rsidRPr="00200131">
        <w:t xml:space="preserve"> 202</w:t>
      </w:r>
      <w:r>
        <w:t>1</w:t>
      </w:r>
      <w:r w:rsidRPr="00200131">
        <w:t xml:space="preserve">. </w:t>
      </w:r>
      <w:r w:rsidR="00C744F9">
        <w:t xml:space="preserve">Approximately 90% of the </w:t>
      </w:r>
      <w:r w:rsidR="00E512C1">
        <w:t xml:space="preserve">enrollees are estimated to be </w:t>
      </w:r>
      <w:r w:rsidR="00A2344A">
        <w:t>d</w:t>
      </w:r>
      <w:r w:rsidRPr="00200131">
        <w:t xml:space="preserve">ual </w:t>
      </w:r>
      <w:r w:rsidR="00A2344A">
        <w:t>e</w:t>
      </w:r>
      <w:r w:rsidRPr="00200131">
        <w:t>ligible</w:t>
      </w:r>
      <w:r w:rsidRPr="00CB0BE3">
        <w:t>.</w:t>
      </w:r>
    </w:p>
    <w:p w14:paraId="45954C6E" w14:textId="5384B3E5" w:rsidR="00033AE3" w:rsidRPr="00467B61" w:rsidRDefault="00391B60" w:rsidP="00802253">
      <w:pPr>
        <w:pStyle w:val="Subhead1"/>
        <w:spacing w:before="180" w:after="180"/>
      </w:pPr>
      <w:r>
        <w:t>SFY</w:t>
      </w:r>
      <w:r w:rsidR="00033AE3">
        <w:t xml:space="preserve"> 2022 </w:t>
      </w:r>
      <w:r>
        <w:t>PACE</w:t>
      </w:r>
      <w:r w:rsidR="00033AE3">
        <w:t xml:space="preserve"> capitation rates</w:t>
      </w:r>
      <w:r>
        <w:t xml:space="preserve"> </w:t>
      </w:r>
      <w:r w:rsidR="00332EB2">
        <w:t xml:space="preserve">overview </w:t>
      </w:r>
      <w:r>
        <w:t>AND METHODOLOGY</w:t>
      </w:r>
    </w:p>
    <w:p w14:paraId="5CA10FD8" w14:textId="239E05D3" w:rsidR="00033AE3" w:rsidRPr="00A02BF2" w:rsidRDefault="00033AE3" w:rsidP="00802253">
      <w:pPr>
        <w:pStyle w:val="RRBody"/>
        <w:spacing w:after="120"/>
        <w:jc w:val="left"/>
      </w:pPr>
      <w:r w:rsidRPr="00CB0BE3">
        <w:t xml:space="preserve">PACE Medicaid capitation rate requirements are set forth in 42 CFR §460.182 and </w:t>
      </w:r>
      <w:r w:rsidR="00667F24">
        <w:t>are</w:t>
      </w:r>
      <w:r w:rsidRPr="00CB0BE3">
        <w:t xml:space="preserve"> further described in the PACE Medicaid Capitation Rate Setting Guide (PACE Guide) released in December 2015 by </w:t>
      </w:r>
      <w:r>
        <w:t xml:space="preserve">CMS. </w:t>
      </w:r>
      <w:r w:rsidRPr="00CB0BE3">
        <w:t xml:space="preserve">This report follows the PACE Guide and documents the development of the </w:t>
      </w:r>
      <w:r w:rsidR="0031424F">
        <w:t>AWOP values and</w:t>
      </w:r>
      <w:r w:rsidRPr="00CB0BE3">
        <w:t xml:space="preserve"> capitation rates. </w:t>
      </w:r>
    </w:p>
    <w:p w14:paraId="61DA828E" w14:textId="7D26426B" w:rsidR="009109ED" w:rsidRPr="00EA24FC" w:rsidRDefault="00033AE3" w:rsidP="00C87D6C">
      <w:pPr>
        <w:pStyle w:val="RRNumberedBullet1"/>
        <w:numPr>
          <w:ilvl w:val="0"/>
          <w:numId w:val="1"/>
        </w:numPr>
        <w:spacing w:before="60" w:after="120"/>
        <w:jc w:val="left"/>
      </w:pPr>
      <w:r w:rsidRPr="002352E4">
        <w:rPr>
          <w:rFonts w:cs="Arial"/>
          <w:b/>
          <w:i/>
        </w:rPr>
        <w:t>AWOP</w:t>
      </w:r>
      <w:r w:rsidRPr="002352E4">
        <w:rPr>
          <w:rFonts w:cs="Arial"/>
        </w:rPr>
        <w:t xml:space="preserve"> – The SFY 2022 AWOP</w:t>
      </w:r>
      <w:r w:rsidR="00FB7811">
        <w:rPr>
          <w:rFonts w:cs="Arial"/>
        </w:rPr>
        <w:t>s</w:t>
      </w:r>
      <w:r w:rsidRPr="002352E4">
        <w:rPr>
          <w:rFonts w:cs="Arial"/>
        </w:rPr>
        <w:t xml:space="preserve"> </w:t>
      </w:r>
      <w:r w:rsidR="00FB7811">
        <w:rPr>
          <w:rFonts w:cs="Arial"/>
        </w:rPr>
        <w:t>are</w:t>
      </w:r>
      <w:r w:rsidRPr="002352E4">
        <w:rPr>
          <w:rFonts w:cs="Arial"/>
        </w:rPr>
        <w:t xml:space="preserve"> developed using </w:t>
      </w:r>
      <w:r w:rsidR="00416760" w:rsidRPr="002352E4">
        <w:rPr>
          <w:rFonts w:cs="Arial"/>
        </w:rPr>
        <w:t xml:space="preserve">members enrolled in the </w:t>
      </w:r>
      <w:r w:rsidR="00E35F2A" w:rsidRPr="002352E4">
        <w:rPr>
          <w:rFonts w:cs="Arial"/>
        </w:rPr>
        <w:t>f</w:t>
      </w:r>
      <w:r w:rsidRPr="002352E4">
        <w:rPr>
          <w:rFonts w:cs="Arial"/>
        </w:rPr>
        <w:t>ee-</w:t>
      </w:r>
      <w:r w:rsidR="00E35F2A" w:rsidRPr="0022064D">
        <w:rPr>
          <w:rFonts w:cs="Arial"/>
        </w:rPr>
        <w:t>f</w:t>
      </w:r>
      <w:r w:rsidRPr="0022064D">
        <w:rPr>
          <w:rFonts w:cs="Arial"/>
        </w:rPr>
        <w:t>or-</w:t>
      </w:r>
      <w:r w:rsidR="00E35F2A" w:rsidRPr="0022064D">
        <w:rPr>
          <w:rFonts w:cs="Arial"/>
        </w:rPr>
        <w:t>s</w:t>
      </w:r>
      <w:r w:rsidRPr="00C50181">
        <w:rPr>
          <w:rFonts w:cs="Arial"/>
        </w:rPr>
        <w:t xml:space="preserve">ervice (FFS) </w:t>
      </w:r>
      <w:r w:rsidR="00416760" w:rsidRPr="00C50181">
        <w:rPr>
          <w:rFonts w:cs="Arial"/>
        </w:rPr>
        <w:t>deli</w:t>
      </w:r>
      <w:r w:rsidR="00416760" w:rsidRPr="00C60385">
        <w:rPr>
          <w:rFonts w:cs="Arial"/>
        </w:rPr>
        <w:t>very system</w:t>
      </w:r>
      <w:r w:rsidR="009109ED" w:rsidRPr="00841E41">
        <w:rPr>
          <w:rFonts w:cs="Arial"/>
        </w:rPr>
        <w:t xml:space="preserve"> for all </w:t>
      </w:r>
      <w:r w:rsidR="00434581">
        <w:rPr>
          <w:rFonts w:cs="Arial"/>
        </w:rPr>
        <w:t xml:space="preserve">three </w:t>
      </w:r>
      <w:r w:rsidR="009109ED" w:rsidRPr="00841E41">
        <w:rPr>
          <w:rFonts w:cs="Arial"/>
        </w:rPr>
        <w:t>eligibility categories</w:t>
      </w:r>
      <w:r w:rsidR="00434581">
        <w:rPr>
          <w:rFonts w:cs="Arial"/>
        </w:rPr>
        <w:t xml:space="preserve"> (Duals 55-</w:t>
      </w:r>
      <w:r w:rsidR="00B5294A">
        <w:rPr>
          <w:rFonts w:cs="Arial"/>
        </w:rPr>
        <w:t xml:space="preserve">64, Duals 65+, and </w:t>
      </w:r>
      <w:proofErr w:type="gramStart"/>
      <w:r w:rsidR="00B5294A">
        <w:rPr>
          <w:rFonts w:cs="Arial"/>
        </w:rPr>
        <w:t>Non-Duals</w:t>
      </w:r>
      <w:proofErr w:type="gramEnd"/>
      <w:r w:rsidR="00B5294A">
        <w:rPr>
          <w:rFonts w:cs="Arial"/>
        </w:rPr>
        <w:t>)</w:t>
      </w:r>
      <w:r w:rsidRPr="00841E41">
        <w:rPr>
          <w:rFonts w:cs="Arial"/>
        </w:rPr>
        <w:t xml:space="preserve">. </w:t>
      </w:r>
      <w:r w:rsidR="009109ED" w:rsidRPr="00841E41">
        <w:rPr>
          <w:rFonts w:cs="Arial"/>
        </w:rPr>
        <w:t>In addition, members enrolled in the Rhody Health Partners (RHP) managed care program</w:t>
      </w:r>
      <w:r w:rsidR="008E3204" w:rsidRPr="00841E41">
        <w:rPr>
          <w:rFonts w:cs="Arial"/>
        </w:rPr>
        <w:t xml:space="preserve"> are included in the AWOP development for the non-dual HCBS </w:t>
      </w:r>
      <w:r w:rsidR="007905A9" w:rsidRPr="00841E41">
        <w:rPr>
          <w:rFonts w:cs="Arial"/>
        </w:rPr>
        <w:t>members</w:t>
      </w:r>
      <w:r w:rsidR="00493BF5" w:rsidRPr="00841E41">
        <w:rPr>
          <w:rFonts w:cs="Arial"/>
        </w:rPr>
        <w:t xml:space="preserve">. </w:t>
      </w:r>
    </w:p>
    <w:p w14:paraId="77D3B7B2" w14:textId="743D8CA6" w:rsidR="001C13F5" w:rsidRDefault="00704535" w:rsidP="0046181A">
      <w:pPr>
        <w:tabs>
          <w:tab w:val="left" w:pos="360"/>
          <w:tab w:val="left" w:pos="720"/>
          <w:tab w:val="left" w:pos="1080"/>
          <w:tab w:val="left" w:pos="1440"/>
          <w:tab w:val="left" w:pos="1800"/>
        </w:tabs>
        <w:spacing w:after="120"/>
        <w:ind w:left="360"/>
        <w:rPr>
          <w:rFonts w:cs="Arial"/>
        </w:rPr>
      </w:pPr>
      <w:r>
        <w:rPr>
          <w:rFonts w:cs="Arial"/>
        </w:rPr>
        <w:t>For FFS members, t</w:t>
      </w:r>
      <w:r w:rsidR="00033AE3">
        <w:rPr>
          <w:rFonts w:cs="Arial"/>
        </w:rPr>
        <w:t>he base data reflects calendar year</w:t>
      </w:r>
      <w:r w:rsidR="00CE360E">
        <w:rPr>
          <w:rFonts w:cs="Arial"/>
        </w:rPr>
        <w:t xml:space="preserve"> (CY)</w:t>
      </w:r>
      <w:r w:rsidR="00033AE3">
        <w:rPr>
          <w:rFonts w:cs="Arial"/>
        </w:rPr>
        <w:t xml:space="preserve"> 2019 incurred </w:t>
      </w:r>
      <w:r w:rsidR="009809D8">
        <w:rPr>
          <w:rFonts w:cs="Arial"/>
        </w:rPr>
        <w:t xml:space="preserve">FFS </w:t>
      </w:r>
      <w:r w:rsidR="00033AE3">
        <w:rPr>
          <w:rFonts w:cs="Arial"/>
        </w:rPr>
        <w:t xml:space="preserve">experience, with claims paid through May 31, 2021. </w:t>
      </w:r>
      <w:r w:rsidR="00BF75A3">
        <w:rPr>
          <w:rFonts w:cs="Arial"/>
        </w:rPr>
        <w:t>For the RHP</w:t>
      </w:r>
      <w:r w:rsidR="00033AE3">
        <w:rPr>
          <w:rFonts w:cs="Arial"/>
        </w:rPr>
        <w:t xml:space="preserve"> </w:t>
      </w:r>
      <w:r w:rsidR="00EF3BEE">
        <w:rPr>
          <w:rFonts w:cs="Arial"/>
        </w:rPr>
        <w:t>members, the base data reflects a combination of the CY 2019</w:t>
      </w:r>
      <w:r w:rsidR="009809D8">
        <w:rPr>
          <w:rFonts w:cs="Arial"/>
        </w:rPr>
        <w:t xml:space="preserve"> FFS experience and SFY 2022 Medicaid managed care capitation rates. </w:t>
      </w:r>
      <w:r w:rsidR="00033AE3">
        <w:rPr>
          <w:rFonts w:cs="Arial"/>
        </w:rPr>
        <w:t>We</w:t>
      </w:r>
      <w:r w:rsidR="00033AE3" w:rsidRPr="00CB0BE3">
        <w:rPr>
          <w:rFonts w:cs="Arial"/>
        </w:rPr>
        <w:t xml:space="preserve"> applied corresponding trend and program adjustments to </w:t>
      </w:r>
      <w:r w:rsidR="00033AE3">
        <w:rPr>
          <w:rFonts w:cs="Arial"/>
        </w:rPr>
        <w:t xml:space="preserve">the </w:t>
      </w:r>
      <w:r w:rsidR="009809D8">
        <w:rPr>
          <w:rFonts w:cs="Arial"/>
        </w:rPr>
        <w:t xml:space="preserve">CY 2019 FFS </w:t>
      </w:r>
      <w:r w:rsidR="00033AE3">
        <w:rPr>
          <w:rFonts w:cs="Arial"/>
        </w:rPr>
        <w:t xml:space="preserve">base data to </w:t>
      </w:r>
      <w:r w:rsidR="00AF13FE">
        <w:rPr>
          <w:rFonts w:cs="Arial"/>
        </w:rPr>
        <w:t>adjust</w:t>
      </w:r>
      <w:r w:rsidR="00033AE3" w:rsidRPr="00CB0BE3">
        <w:rPr>
          <w:rFonts w:cs="Arial"/>
        </w:rPr>
        <w:t xml:space="preserve"> the </w:t>
      </w:r>
      <w:r w:rsidR="00AF13FE">
        <w:rPr>
          <w:rFonts w:cs="Arial"/>
        </w:rPr>
        <w:t xml:space="preserve">data to </w:t>
      </w:r>
      <w:r w:rsidR="00033AE3" w:rsidRPr="00CB0BE3">
        <w:rPr>
          <w:rFonts w:cs="Arial"/>
        </w:rPr>
        <w:t>the SFY 202</w:t>
      </w:r>
      <w:r w:rsidR="00033AE3">
        <w:rPr>
          <w:rFonts w:cs="Arial"/>
        </w:rPr>
        <w:t>2</w:t>
      </w:r>
      <w:r w:rsidR="00033AE3" w:rsidRPr="00CB0BE3">
        <w:rPr>
          <w:rFonts w:cs="Arial"/>
        </w:rPr>
        <w:t xml:space="preserve"> </w:t>
      </w:r>
      <w:r w:rsidR="00AF13FE">
        <w:rPr>
          <w:rFonts w:cs="Arial"/>
        </w:rPr>
        <w:t>rating</w:t>
      </w:r>
      <w:r w:rsidR="00033AE3" w:rsidRPr="00CB0BE3">
        <w:rPr>
          <w:rFonts w:cs="Arial"/>
        </w:rPr>
        <w:t xml:space="preserve"> period. </w:t>
      </w:r>
    </w:p>
    <w:p w14:paraId="29E9BEB7" w14:textId="1C24FD25" w:rsidR="00033AE3" w:rsidRPr="00CB0BE3" w:rsidRDefault="00E77D75" w:rsidP="0046181A">
      <w:pPr>
        <w:tabs>
          <w:tab w:val="left" w:pos="360"/>
          <w:tab w:val="left" w:pos="720"/>
          <w:tab w:val="left" w:pos="1080"/>
          <w:tab w:val="left" w:pos="1440"/>
          <w:tab w:val="left" w:pos="1800"/>
        </w:tabs>
        <w:spacing w:after="120"/>
        <w:ind w:left="360"/>
        <w:rPr>
          <w:rFonts w:cs="Arial"/>
        </w:rPr>
      </w:pPr>
      <w:r>
        <w:rPr>
          <w:rFonts w:cs="Arial"/>
        </w:rPr>
        <w:t>T</w:t>
      </w:r>
      <w:r w:rsidR="00033AE3" w:rsidRPr="0040378B">
        <w:rPr>
          <w:rFonts w:cs="Arial"/>
        </w:rPr>
        <w:t xml:space="preserve">he </w:t>
      </w:r>
      <w:r w:rsidR="00033AE3">
        <w:rPr>
          <w:rFonts w:cs="Arial"/>
        </w:rPr>
        <w:t xml:space="preserve">SFY 2022 </w:t>
      </w:r>
      <w:r w:rsidR="00033AE3" w:rsidRPr="0040378B">
        <w:rPr>
          <w:rFonts w:cs="Arial"/>
        </w:rPr>
        <w:t>AWOP</w:t>
      </w:r>
      <w:r w:rsidR="008F2BC6">
        <w:rPr>
          <w:rFonts w:cs="Arial"/>
        </w:rPr>
        <w:t>s</w:t>
      </w:r>
      <w:r w:rsidR="00033AE3" w:rsidRPr="0040378B">
        <w:rPr>
          <w:rFonts w:cs="Arial"/>
        </w:rPr>
        <w:t xml:space="preserve"> </w:t>
      </w:r>
      <w:r w:rsidR="00033AE3">
        <w:rPr>
          <w:rFonts w:cs="Arial"/>
        </w:rPr>
        <w:t>include</w:t>
      </w:r>
      <w:r w:rsidR="00033AE3" w:rsidRPr="0040378B">
        <w:rPr>
          <w:rFonts w:cs="Arial"/>
        </w:rPr>
        <w:t xml:space="preserve"> a</w:t>
      </w:r>
      <w:r w:rsidR="00033AE3">
        <w:rPr>
          <w:rFonts w:cs="Arial"/>
        </w:rPr>
        <w:t>n administrative cost allowance based on EOHHS central administration costs</w:t>
      </w:r>
      <w:r w:rsidR="000C71F5">
        <w:rPr>
          <w:rFonts w:cs="Arial"/>
        </w:rPr>
        <w:t xml:space="preserve">. The </w:t>
      </w:r>
      <w:r w:rsidR="0005752F">
        <w:rPr>
          <w:rFonts w:cs="Arial"/>
        </w:rPr>
        <w:t>AWOP</w:t>
      </w:r>
      <w:r w:rsidR="008F2BC6">
        <w:rPr>
          <w:rFonts w:cs="Arial"/>
        </w:rPr>
        <w:t>s</w:t>
      </w:r>
      <w:r w:rsidR="00914953">
        <w:rPr>
          <w:rFonts w:cs="Arial"/>
        </w:rPr>
        <w:t xml:space="preserve"> </w:t>
      </w:r>
      <w:r w:rsidR="008F2BC6">
        <w:rPr>
          <w:rFonts w:cs="Arial"/>
        </w:rPr>
        <w:t>are</w:t>
      </w:r>
      <w:r w:rsidR="00914953">
        <w:rPr>
          <w:rFonts w:cs="Arial"/>
        </w:rPr>
        <w:t xml:space="preserve"> </w:t>
      </w:r>
      <w:r w:rsidR="0084644C">
        <w:rPr>
          <w:rFonts w:cs="Arial"/>
        </w:rPr>
        <w:t xml:space="preserve">based on a blend of the </w:t>
      </w:r>
      <w:r w:rsidR="00E33BF6">
        <w:rPr>
          <w:rFonts w:cs="Arial"/>
        </w:rPr>
        <w:t xml:space="preserve">estimated SFY 2022 </w:t>
      </w:r>
      <w:r w:rsidR="0084644C">
        <w:rPr>
          <w:rFonts w:cs="Arial"/>
        </w:rPr>
        <w:t>HCBS</w:t>
      </w:r>
      <w:r w:rsidR="00E33BF6">
        <w:rPr>
          <w:rFonts w:cs="Arial"/>
        </w:rPr>
        <w:t xml:space="preserve"> and nursing home member costs</w:t>
      </w:r>
      <w:r w:rsidR="00902632">
        <w:rPr>
          <w:rFonts w:cs="Arial"/>
        </w:rPr>
        <w:t xml:space="preserve"> and </w:t>
      </w:r>
      <w:r w:rsidR="00892274">
        <w:rPr>
          <w:rFonts w:cs="Arial"/>
        </w:rPr>
        <w:t xml:space="preserve">are </w:t>
      </w:r>
      <w:r w:rsidR="00902632">
        <w:rPr>
          <w:rFonts w:cs="Arial"/>
        </w:rPr>
        <w:t xml:space="preserve">calculated gross of patient </w:t>
      </w:r>
      <w:r w:rsidR="00DA7E4B">
        <w:rPr>
          <w:rFonts w:cs="Arial"/>
        </w:rPr>
        <w:t>liability</w:t>
      </w:r>
      <w:r w:rsidR="00E33BF6">
        <w:rPr>
          <w:rFonts w:cs="Arial"/>
        </w:rPr>
        <w:t>.</w:t>
      </w:r>
      <w:r w:rsidR="00C858F9">
        <w:rPr>
          <w:rFonts w:cs="Arial"/>
        </w:rPr>
        <w:t xml:space="preserve"> EOHHS subtracts the patient liability </w:t>
      </w:r>
      <w:r w:rsidR="00A40617">
        <w:rPr>
          <w:rFonts w:cs="Arial"/>
        </w:rPr>
        <w:t xml:space="preserve">from </w:t>
      </w:r>
      <w:r w:rsidR="00DF1776">
        <w:rPr>
          <w:rFonts w:cs="Arial"/>
        </w:rPr>
        <w:t xml:space="preserve">the capitation payment made to the PACE organization </w:t>
      </w:r>
      <w:r w:rsidR="00C858F9">
        <w:rPr>
          <w:rFonts w:cs="Arial"/>
        </w:rPr>
        <w:t xml:space="preserve">based on each member’s </w:t>
      </w:r>
      <w:r w:rsidR="0052084C">
        <w:rPr>
          <w:rFonts w:cs="Arial"/>
        </w:rPr>
        <w:t>calculated patient liability.</w:t>
      </w:r>
    </w:p>
    <w:p w14:paraId="2DF38296" w14:textId="3D3CE3CB" w:rsidR="00033AE3" w:rsidRPr="00C50181" w:rsidRDefault="00033AE3" w:rsidP="00841E41">
      <w:pPr>
        <w:pStyle w:val="RRNumberedBullet1"/>
        <w:numPr>
          <w:ilvl w:val="0"/>
          <w:numId w:val="1"/>
        </w:numPr>
        <w:spacing w:before="60"/>
        <w:jc w:val="left"/>
      </w:pPr>
      <w:r w:rsidRPr="002352E4">
        <w:rPr>
          <w:rFonts w:cs="Arial"/>
          <w:b/>
          <w:i/>
        </w:rPr>
        <w:t>Capitation Rate</w:t>
      </w:r>
      <w:r w:rsidRPr="002352E4">
        <w:rPr>
          <w:rFonts w:cs="Arial"/>
        </w:rPr>
        <w:t xml:space="preserve"> – The SFY 2022 capitation rate</w:t>
      </w:r>
      <w:r w:rsidR="00524517">
        <w:rPr>
          <w:rFonts w:cs="Arial"/>
        </w:rPr>
        <w:t>s</w:t>
      </w:r>
      <w:r w:rsidRPr="002352E4">
        <w:rPr>
          <w:rFonts w:cs="Arial"/>
        </w:rPr>
        <w:t xml:space="preserve"> </w:t>
      </w:r>
      <w:r w:rsidR="00524517">
        <w:rPr>
          <w:rFonts w:cs="Arial"/>
        </w:rPr>
        <w:t>are</w:t>
      </w:r>
      <w:r w:rsidRPr="002352E4">
        <w:rPr>
          <w:rFonts w:cs="Arial"/>
        </w:rPr>
        <w:t xml:space="preserve"> developed by applying </w:t>
      </w:r>
      <w:r w:rsidR="001C13F5" w:rsidRPr="002352E4">
        <w:rPr>
          <w:rFonts w:cs="Arial"/>
        </w:rPr>
        <w:t xml:space="preserve">a </w:t>
      </w:r>
      <w:r w:rsidR="000925BB">
        <w:rPr>
          <w:rFonts w:cs="Arial"/>
        </w:rPr>
        <w:t>percentage</w:t>
      </w:r>
      <w:r w:rsidRPr="002352E4">
        <w:rPr>
          <w:rFonts w:cs="Arial"/>
        </w:rPr>
        <w:t xml:space="preserve"> </w:t>
      </w:r>
      <w:r w:rsidR="009D6A41">
        <w:rPr>
          <w:rFonts w:cs="Arial"/>
        </w:rPr>
        <w:t>discount</w:t>
      </w:r>
      <w:r w:rsidRPr="0022064D">
        <w:rPr>
          <w:rFonts w:cs="Arial"/>
        </w:rPr>
        <w:t xml:space="preserve"> </w:t>
      </w:r>
      <w:r w:rsidR="000925BB">
        <w:rPr>
          <w:rFonts w:cs="Arial"/>
        </w:rPr>
        <w:t xml:space="preserve">(2%) </w:t>
      </w:r>
      <w:r w:rsidRPr="0022064D">
        <w:rPr>
          <w:rFonts w:cs="Arial"/>
        </w:rPr>
        <w:t>to the AWOP amount</w:t>
      </w:r>
      <w:r w:rsidR="002113F9">
        <w:rPr>
          <w:rFonts w:cs="Arial"/>
        </w:rPr>
        <w:t>s</w:t>
      </w:r>
      <w:r w:rsidRPr="0022064D">
        <w:rPr>
          <w:rFonts w:cs="Arial"/>
        </w:rPr>
        <w:t>.</w:t>
      </w:r>
    </w:p>
    <w:p w14:paraId="5BF2BB24" w14:textId="77777777" w:rsidR="00453A52" w:rsidRDefault="008F339E" w:rsidP="0046181A">
      <w:pPr>
        <w:spacing w:after="120"/>
        <w:rPr>
          <w:rFonts w:cs="Arial"/>
        </w:rPr>
      </w:pPr>
      <w:r>
        <w:rPr>
          <w:rFonts w:cs="Arial"/>
        </w:rPr>
        <w:t>Figure</w:t>
      </w:r>
      <w:r w:rsidR="00033AE3" w:rsidRPr="00CB0BE3">
        <w:rPr>
          <w:rFonts w:cs="Arial"/>
        </w:rPr>
        <w:t xml:space="preserve"> </w:t>
      </w:r>
      <w:r>
        <w:rPr>
          <w:rFonts w:cs="Arial"/>
        </w:rPr>
        <w:t>1</w:t>
      </w:r>
      <w:r w:rsidR="00033AE3" w:rsidRPr="00CB0BE3">
        <w:rPr>
          <w:rFonts w:cs="Arial"/>
        </w:rPr>
        <w:t xml:space="preserve"> provides a comparison between the SFY </w:t>
      </w:r>
      <w:r w:rsidR="00F45BE4">
        <w:rPr>
          <w:rFonts w:cs="Arial"/>
        </w:rPr>
        <w:t>2021</w:t>
      </w:r>
      <w:r w:rsidR="00F45BE4" w:rsidRPr="00CB0BE3">
        <w:rPr>
          <w:rFonts w:cs="Arial"/>
        </w:rPr>
        <w:t xml:space="preserve"> </w:t>
      </w:r>
      <w:r w:rsidR="00033AE3" w:rsidRPr="00CB0BE3">
        <w:rPr>
          <w:rFonts w:cs="Arial"/>
        </w:rPr>
        <w:t>and the SFY 202</w:t>
      </w:r>
      <w:r w:rsidR="00033AE3">
        <w:rPr>
          <w:rFonts w:cs="Arial"/>
        </w:rPr>
        <w:t>2</w:t>
      </w:r>
      <w:r w:rsidR="00033AE3" w:rsidRPr="00CB0BE3">
        <w:rPr>
          <w:rFonts w:cs="Arial"/>
        </w:rPr>
        <w:t xml:space="preserve"> </w:t>
      </w:r>
      <w:r w:rsidR="004B766E">
        <w:rPr>
          <w:rFonts w:cs="Arial"/>
        </w:rPr>
        <w:t>PACE capitation rates</w:t>
      </w:r>
      <w:r w:rsidR="00033AE3" w:rsidRPr="00CB0BE3">
        <w:rPr>
          <w:rFonts w:cs="Arial"/>
        </w:rPr>
        <w:t xml:space="preserve"> for the </w:t>
      </w:r>
      <w:r w:rsidR="00033AE3" w:rsidRPr="00CB0BE3">
        <w:t>t</w:t>
      </w:r>
      <w:r w:rsidR="00033AE3">
        <w:t>hree</w:t>
      </w:r>
      <w:r w:rsidR="00033AE3" w:rsidRPr="00CB0BE3">
        <w:t xml:space="preserve"> </w:t>
      </w:r>
      <w:r w:rsidR="004B766E">
        <w:t>eligibility</w:t>
      </w:r>
      <w:r w:rsidR="00033AE3" w:rsidRPr="00CB0BE3">
        <w:t xml:space="preserve"> categories</w:t>
      </w:r>
      <w:r w:rsidR="00033AE3" w:rsidRPr="00CB0BE3">
        <w:rPr>
          <w:rFonts w:cs="Arial"/>
        </w:rPr>
        <w:t xml:space="preserve">. </w:t>
      </w:r>
      <w:r w:rsidR="007A67D5">
        <w:rPr>
          <w:rFonts w:cs="Arial"/>
        </w:rPr>
        <w:t xml:space="preserve">The SFY </w:t>
      </w:r>
      <w:r w:rsidR="00B93FA3">
        <w:rPr>
          <w:rFonts w:cs="Arial"/>
        </w:rPr>
        <w:t xml:space="preserve">2021 </w:t>
      </w:r>
      <w:r w:rsidR="0082454E">
        <w:rPr>
          <w:rFonts w:cs="Arial"/>
        </w:rPr>
        <w:t>AWOP</w:t>
      </w:r>
      <w:r w:rsidR="00BC2C7B">
        <w:rPr>
          <w:rFonts w:cs="Arial"/>
        </w:rPr>
        <w:t>s</w:t>
      </w:r>
      <w:r w:rsidR="0082454E">
        <w:rPr>
          <w:rFonts w:cs="Arial"/>
        </w:rPr>
        <w:t xml:space="preserve"> and </w:t>
      </w:r>
      <w:r w:rsidR="00FF1C93">
        <w:rPr>
          <w:rFonts w:cs="Arial"/>
        </w:rPr>
        <w:t>capitation rate</w:t>
      </w:r>
      <w:r w:rsidR="00BC2C7B">
        <w:rPr>
          <w:rFonts w:cs="Arial"/>
        </w:rPr>
        <w:t>s</w:t>
      </w:r>
      <w:r w:rsidR="00FF1C93">
        <w:rPr>
          <w:rFonts w:cs="Arial"/>
        </w:rPr>
        <w:t xml:space="preserve"> </w:t>
      </w:r>
      <w:r w:rsidR="00BC2C7B">
        <w:rPr>
          <w:rFonts w:cs="Arial"/>
        </w:rPr>
        <w:t xml:space="preserve">were </w:t>
      </w:r>
      <w:r w:rsidR="002F0401">
        <w:rPr>
          <w:rFonts w:cs="Arial"/>
        </w:rPr>
        <w:t xml:space="preserve">developed using </w:t>
      </w:r>
      <w:r w:rsidR="006F1782">
        <w:rPr>
          <w:rFonts w:cs="Arial"/>
        </w:rPr>
        <w:t xml:space="preserve">experience from </w:t>
      </w:r>
      <w:r w:rsidR="002F0401">
        <w:rPr>
          <w:rFonts w:cs="Arial"/>
        </w:rPr>
        <w:t>Rhody Health Options (RHO Phase I)</w:t>
      </w:r>
      <w:r w:rsidR="005E1688">
        <w:rPr>
          <w:rFonts w:cs="Arial"/>
        </w:rPr>
        <w:t xml:space="preserve"> and</w:t>
      </w:r>
      <w:r w:rsidR="00525987">
        <w:rPr>
          <w:rFonts w:cs="Arial"/>
        </w:rPr>
        <w:t xml:space="preserve"> the state’s </w:t>
      </w:r>
      <w:r w:rsidR="00231748">
        <w:rPr>
          <w:rFonts w:cs="Arial"/>
        </w:rPr>
        <w:t xml:space="preserve">Medicaid long term services and supports </w:t>
      </w:r>
      <w:r w:rsidR="003910A0">
        <w:rPr>
          <w:rFonts w:cs="Arial"/>
        </w:rPr>
        <w:t>managed care program</w:t>
      </w:r>
      <w:r w:rsidR="00091DFB">
        <w:rPr>
          <w:rFonts w:cs="Arial"/>
        </w:rPr>
        <w:t xml:space="preserve"> that terminated </w:t>
      </w:r>
      <w:r w:rsidR="006F1782">
        <w:rPr>
          <w:rFonts w:cs="Arial"/>
        </w:rPr>
        <w:t>September 30, 201</w:t>
      </w:r>
      <w:r w:rsidR="00952E61">
        <w:rPr>
          <w:rFonts w:cs="Arial"/>
        </w:rPr>
        <w:t>8.</w:t>
      </w:r>
    </w:p>
    <w:p w14:paraId="0A1FD7C4" w14:textId="0A0247B2" w:rsidR="005D4F64" w:rsidRPr="005D4F64" w:rsidRDefault="000B3B0C" w:rsidP="0046181A">
      <w:pPr>
        <w:spacing w:after="120"/>
        <w:rPr>
          <w:rFonts w:cs="Arial"/>
        </w:rPr>
      </w:pPr>
      <w:r>
        <w:rPr>
          <w:rFonts w:cs="Arial"/>
        </w:rPr>
        <w:lastRenderedPageBreak/>
        <w:t>D</w:t>
      </w:r>
      <w:r w:rsidR="00674F80">
        <w:rPr>
          <w:rFonts w:cs="Arial"/>
        </w:rPr>
        <w:t>ifferences in the base data</w:t>
      </w:r>
      <w:r w:rsidR="00957E96">
        <w:rPr>
          <w:rFonts w:cs="Arial"/>
        </w:rPr>
        <w:t>,</w:t>
      </w:r>
      <w:r w:rsidR="00674F80">
        <w:rPr>
          <w:rFonts w:cs="Arial"/>
        </w:rPr>
        <w:t xml:space="preserve"> </w:t>
      </w:r>
      <w:r w:rsidR="00F44043">
        <w:rPr>
          <w:rFonts w:cs="Arial"/>
        </w:rPr>
        <w:t>corresp</w:t>
      </w:r>
      <w:r w:rsidR="00160863">
        <w:rPr>
          <w:rFonts w:cs="Arial"/>
        </w:rPr>
        <w:t>onding changes to the AWOP development</w:t>
      </w:r>
      <w:r w:rsidR="00957E96">
        <w:rPr>
          <w:rFonts w:cs="Arial"/>
        </w:rPr>
        <w:t xml:space="preserve">, and SFY 2022 program changes (e.g., ARPA </w:t>
      </w:r>
      <w:r w:rsidR="00191F29">
        <w:rPr>
          <w:rFonts w:cs="Arial"/>
        </w:rPr>
        <w:t>provider reimbursement</w:t>
      </w:r>
      <w:r w:rsidR="00957E96">
        <w:rPr>
          <w:rFonts w:cs="Arial"/>
        </w:rPr>
        <w:t xml:space="preserve"> increases)</w:t>
      </w:r>
      <w:r w:rsidR="00160863">
        <w:rPr>
          <w:rFonts w:cs="Arial"/>
        </w:rPr>
        <w:t xml:space="preserve"> </w:t>
      </w:r>
      <w:r w:rsidR="00A819CC">
        <w:rPr>
          <w:rFonts w:cs="Arial"/>
        </w:rPr>
        <w:t>are the primary contributors to the change in the</w:t>
      </w:r>
      <w:r w:rsidR="00160863">
        <w:rPr>
          <w:rFonts w:cs="Arial"/>
        </w:rPr>
        <w:t xml:space="preserve"> </w:t>
      </w:r>
      <w:r w:rsidR="00F814AD">
        <w:rPr>
          <w:rFonts w:cs="Arial"/>
        </w:rPr>
        <w:t xml:space="preserve">capitation rates. </w:t>
      </w:r>
      <w:r w:rsidR="00033AE3" w:rsidRPr="00200131">
        <w:rPr>
          <w:rFonts w:cs="Arial"/>
        </w:rPr>
        <w:t xml:space="preserve">The methodology </w:t>
      </w:r>
      <w:r w:rsidR="004B766E">
        <w:rPr>
          <w:rFonts w:cs="Arial"/>
        </w:rPr>
        <w:t>used in</w:t>
      </w:r>
      <w:r w:rsidR="00033AE3" w:rsidRPr="00200131">
        <w:rPr>
          <w:rFonts w:cs="Arial"/>
        </w:rPr>
        <w:t xml:space="preserve"> the development of the </w:t>
      </w:r>
      <w:r w:rsidR="00B64543">
        <w:rPr>
          <w:rFonts w:cs="Arial"/>
        </w:rPr>
        <w:t>SFY 2022</w:t>
      </w:r>
      <w:r w:rsidR="00033AE3" w:rsidRPr="00200131">
        <w:rPr>
          <w:rFonts w:cs="Arial"/>
        </w:rPr>
        <w:t xml:space="preserve"> AWOPs </w:t>
      </w:r>
      <w:r w:rsidR="00891B62">
        <w:rPr>
          <w:rFonts w:cs="Arial"/>
        </w:rPr>
        <w:t>and capitation rate</w:t>
      </w:r>
      <w:r w:rsidR="001230A1">
        <w:rPr>
          <w:rFonts w:cs="Arial"/>
        </w:rPr>
        <w:t>s</w:t>
      </w:r>
      <w:r w:rsidR="00891B62">
        <w:rPr>
          <w:rFonts w:cs="Arial"/>
        </w:rPr>
        <w:t xml:space="preserve"> </w:t>
      </w:r>
      <w:r w:rsidR="00033AE3" w:rsidRPr="00200131">
        <w:rPr>
          <w:rFonts w:cs="Arial"/>
        </w:rPr>
        <w:t xml:space="preserve">is further </w:t>
      </w:r>
      <w:r w:rsidR="004B766E">
        <w:rPr>
          <w:rFonts w:cs="Arial"/>
        </w:rPr>
        <w:t>described</w:t>
      </w:r>
      <w:r w:rsidR="00033AE3" w:rsidRPr="00200131">
        <w:rPr>
          <w:rFonts w:cs="Arial"/>
        </w:rPr>
        <w:t xml:space="preserve"> in Section II of this report.</w:t>
      </w:r>
    </w:p>
    <w:tbl>
      <w:tblPr>
        <w:tblW w:w="8832" w:type="dxa"/>
        <w:tblLook w:val="04A0" w:firstRow="1" w:lastRow="0" w:firstColumn="1" w:lastColumn="0" w:noHBand="0" w:noVBand="1"/>
      </w:tblPr>
      <w:tblGrid>
        <w:gridCol w:w="1780"/>
        <w:gridCol w:w="1786"/>
        <w:gridCol w:w="1745"/>
        <w:gridCol w:w="1745"/>
        <w:gridCol w:w="1776"/>
      </w:tblGrid>
      <w:tr w:rsidR="00E96FCC" w:rsidRPr="00E96FCC" w14:paraId="2C6ACBF7" w14:textId="77777777" w:rsidTr="00E96FCC">
        <w:trPr>
          <w:trHeight w:val="255"/>
        </w:trPr>
        <w:tc>
          <w:tcPr>
            <w:tcW w:w="7056" w:type="dxa"/>
            <w:gridSpan w:val="4"/>
            <w:tcBorders>
              <w:top w:val="single" w:sz="8" w:space="0" w:color="E8E9E9"/>
              <w:left w:val="nil"/>
              <w:bottom w:val="single" w:sz="8" w:space="0" w:color="auto"/>
              <w:right w:val="nil"/>
            </w:tcBorders>
            <w:shd w:val="clear" w:color="auto" w:fill="auto"/>
            <w:noWrap/>
            <w:vAlign w:val="center"/>
            <w:hideMark/>
          </w:tcPr>
          <w:p w14:paraId="339F0413" w14:textId="256F6458" w:rsidR="00E96FCC" w:rsidRPr="00841E41" w:rsidRDefault="00E96FCC" w:rsidP="00E96FCC">
            <w:pPr>
              <w:spacing w:after="0" w:line="240" w:lineRule="auto"/>
              <w:rPr>
                <w:rFonts w:ascii="Arial" w:eastAsia="Times New Roman" w:hAnsi="Arial" w:cs="Arial"/>
                <w:b/>
                <w:bCs/>
                <w:color w:val="0081E3"/>
                <w:sz w:val="16"/>
                <w:szCs w:val="16"/>
              </w:rPr>
            </w:pPr>
            <w:bookmarkStart w:id="2" w:name="_Hlk83905663"/>
            <w:r w:rsidRPr="00841E41">
              <w:rPr>
                <w:rFonts w:ascii="Arial" w:eastAsia="Times New Roman" w:hAnsi="Arial" w:cs="Arial"/>
                <w:b/>
                <w:bCs/>
                <w:color w:val="0081E3"/>
                <w:sz w:val="16"/>
                <w:szCs w:val="16"/>
              </w:rPr>
              <w:t xml:space="preserve">FIGURE 1:  COMPARISON OF SFY </w:t>
            </w:r>
            <w:r w:rsidR="00841E41">
              <w:rPr>
                <w:rFonts w:ascii="Arial" w:eastAsia="Times New Roman" w:hAnsi="Arial" w:cs="Arial"/>
                <w:b/>
                <w:bCs/>
                <w:color w:val="0081E3"/>
                <w:sz w:val="16"/>
                <w:szCs w:val="16"/>
              </w:rPr>
              <w:t>2021</w:t>
            </w:r>
            <w:r w:rsidRPr="00841E41">
              <w:rPr>
                <w:rFonts w:ascii="Arial" w:eastAsia="Times New Roman" w:hAnsi="Arial" w:cs="Arial"/>
                <w:b/>
                <w:bCs/>
                <w:color w:val="0081E3"/>
                <w:sz w:val="16"/>
                <w:szCs w:val="16"/>
              </w:rPr>
              <w:t xml:space="preserve"> PACE RATE TO SFY 2022 PACE RATE</w:t>
            </w:r>
          </w:p>
        </w:tc>
        <w:tc>
          <w:tcPr>
            <w:tcW w:w="1776" w:type="dxa"/>
            <w:tcBorders>
              <w:top w:val="single" w:sz="8" w:space="0" w:color="E8E9E9"/>
              <w:left w:val="nil"/>
              <w:bottom w:val="nil"/>
              <w:right w:val="nil"/>
            </w:tcBorders>
            <w:shd w:val="clear" w:color="auto" w:fill="auto"/>
            <w:noWrap/>
            <w:vAlign w:val="center"/>
            <w:hideMark/>
          </w:tcPr>
          <w:p w14:paraId="766C1B93" w14:textId="77777777" w:rsidR="00E96FCC" w:rsidRPr="00841E41" w:rsidRDefault="00E96FCC" w:rsidP="00E96FCC">
            <w:pPr>
              <w:spacing w:after="0" w:line="240" w:lineRule="auto"/>
              <w:rPr>
                <w:rFonts w:ascii="Arial" w:eastAsia="Times New Roman" w:hAnsi="Arial" w:cs="Arial"/>
                <w:b/>
                <w:bCs/>
                <w:color w:val="0081E3"/>
                <w:sz w:val="16"/>
                <w:szCs w:val="16"/>
              </w:rPr>
            </w:pPr>
            <w:r w:rsidRPr="00841E41">
              <w:rPr>
                <w:rFonts w:ascii="Arial" w:eastAsia="Times New Roman" w:hAnsi="Arial" w:cs="Arial"/>
                <w:b/>
                <w:bCs/>
                <w:color w:val="0081E3"/>
                <w:sz w:val="16"/>
                <w:szCs w:val="16"/>
              </w:rPr>
              <w:t> </w:t>
            </w:r>
          </w:p>
        </w:tc>
      </w:tr>
      <w:tr w:rsidR="00E96FCC" w:rsidRPr="00E96FCC" w14:paraId="56105A19" w14:textId="77777777" w:rsidTr="00E96FCC">
        <w:trPr>
          <w:trHeight w:val="495"/>
        </w:trPr>
        <w:tc>
          <w:tcPr>
            <w:tcW w:w="1780" w:type="dxa"/>
            <w:tcBorders>
              <w:top w:val="nil"/>
              <w:left w:val="nil"/>
              <w:bottom w:val="single" w:sz="8" w:space="0" w:color="C6C9CA"/>
              <w:right w:val="nil"/>
            </w:tcBorders>
            <w:shd w:val="clear" w:color="auto" w:fill="auto"/>
            <w:vAlign w:val="center"/>
            <w:hideMark/>
          </w:tcPr>
          <w:p w14:paraId="181F9C6C" w14:textId="77777777" w:rsidR="00E96FCC" w:rsidRPr="00841E41" w:rsidRDefault="00E96FCC" w:rsidP="00E96FCC">
            <w:pPr>
              <w:spacing w:after="0" w:line="240" w:lineRule="auto"/>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Eligibility Category</w:t>
            </w:r>
          </w:p>
        </w:tc>
        <w:tc>
          <w:tcPr>
            <w:tcW w:w="1786" w:type="dxa"/>
            <w:tcBorders>
              <w:top w:val="nil"/>
              <w:left w:val="nil"/>
              <w:bottom w:val="single" w:sz="8" w:space="0" w:color="C6C9CA"/>
              <w:right w:val="nil"/>
            </w:tcBorders>
            <w:shd w:val="clear" w:color="auto" w:fill="auto"/>
            <w:vAlign w:val="center"/>
            <w:hideMark/>
          </w:tcPr>
          <w:p w14:paraId="0FC09EF9" w14:textId="77777777" w:rsidR="00E96FCC" w:rsidRPr="00841E41" w:rsidRDefault="00E96FCC" w:rsidP="00E96FCC">
            <w:pPr>
              <w:spacing w:after="0" w:line="240" w:lineRule="auto"/>
              <w:jc w:val="center"/>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Estimated Average Monthly Enrollment</w:t>
            </w:r>
          </w:p>
        </w:tc>
        <w:tc>
          <w:tcPr>
            <w:tcW w:w="1745" w:type="dxa"/>
            <w:tcBorders>
              <w:top w:val="nil"/>
              <w:left w:val="nil"/>
              <w:bottom w:val="single" w:sz="8" w:space="0" w:color="C6C9CA"/>
              <w:right w:val="nil"/>
            </w:tcBorders>
            <w:shd w:val="clear" w:color="auto" w:fill="auto"/>
            <w:vAlign w:val="center"/>
            <w:hideMark/>
          </w:tcPr>
          <w:p w14:paraId="6B9F71B9" w14:textId="2BFCE77D" w:rsidR="00E96FCC" w:rsidRPr="00841E41" w:rsidRDefault="00E96FCC" w:rsidP="00E96FCC">
            <w:pPr>
              <w:spacing w:after="0" w:line="240" w:lineRule="auto"/>
              <w:jc w:val="center"/>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SFY 20</w:t>
            </w:r>
            <w:r w:rsidR="00F45BE4">
              <w:rPr>
                <w:rFonts w:ascii="Arial" w:eastAsia="Times New Roman" w:hAnsi="Arial" w:cs="Arial"/>
                <w:b/>
                <w:bCs/>
                <w:color w:val="39414D"/>
                <w:sz w:val="16"/>
                <w:szCs w:val="16"/>
              </w:rPr>
              <w:t>21</w:t>
            </w:r>
            <w:r w:rsidRPr="00841E41">
              <w:rPr>
                <w:rFonts w:ascii="Arial" w:eastAsia="Times New Roman" w:hAnsi="Arial" w:cs="Arial"/>
                <w:b/>
                <w:bCs/>
                <w:color w:val="39414D"/>
                <w:sz w:val="16"/>
                <w:szCs w:val="16"/>
              </w:rPr>
              <w:t xml:space="preserve"> PACE Capitation Rate</w:t>
            </w:r>
          </w:p>
        </w:tc>
        <w:tc>
          <w:tcPr>
            <w:tcW w:w="1745" w:type="dxa"/>
            <w:tcBorders>
              <w:top w:val="nil"/>
              <w:left w:val="nil"/>
              <w:bottom w:val="single" w:sz="8" w:space="0" w:color="C6C9CA"/>
              <w:right w:val="nil"/>
            </w:tcBorders>
            <w:shd w:val="clear" w:color="auto" w:fill="auto"/>
            <w:vAlign w:val="center"/>
            <w:hideMark/>
          </w:tcPr>
          <w:p w14:paraId="5EDABA0B" w14:textId="77777777" w:rsidR="00E96FCC" w:rsidRPr="00841E41" w:rsidRDefault="00E96FCC" w:rsidP="00E96FCC">
            <w:pPr>
              <w:spacing w:after="0" w:line="240" w:lineRule="auto"/>
              <w:jc w:val="center"/>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SFY 2022 PACE Capitation Rate</w:t>
            </w:r>
          </w:p>
        </w:tc>
        <w:tc>
          <w:tcPr>
            <w:tcW w:w="1776" w:type="dxa"/>
            <w:tcBorders>
              <w:top w:val="single" w:sz="8" w:space="0" w:color="auto"/>
              <w:left w:val="nil"/>
              <w:bottom w:val="single" w:sz="8" w:space="0" w:color="C6C9CA"/>
              <w:right w:val="nil"/>
            </w:tcBorders>
            <w:shd w:val="clear" w:color="auto" w:fill="auto"/>
            <w:vAlign w:val="center"/>
            <w:hideMark/>
          </w:tcPr>
          <w:p w14:paraId="0820314F" w14:textId="77777777" w:rsidR="00E96FCC" w:rsidRPr="00841E41" w:rsidRDefault="00E96FCC" w:rsidP="00E96FCC">
            <w:pPr>
              <w:spacing w:after="0" w:line="240" w:lineRule="auto"/>
              <w:jc w:val="center"/>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Percentage Difference</w:t>
            </w:r>
          </w:p>
        </w:tc>
      </w:tr>
      <w:tr w:rsidR="0050726D" w:rsidRPr="00E96FCC" w14:paraId="40CA61AA" w14:textId="77777777" w:rsidTr="00841E41">
        <w:trPr>
          <w:trHeight w:val="240"/>
        </w:trPr>
        <w:tc>
          <w:tcPr>
            <w:tcW w:w="1780" w:type="dxa"/>
            <w:tcBorders>
              <w:top w:val="nil"/>
              <w:left w:val="nil"/>
              <w:bottom w:val="nil"/>
              <w:right w:val="nil"/>
            </w:tcBorders>
            <w:shd w:val="clear" w:color="auto" w:fill="auto"/>
            <w:vAlign w:val="center"/>
            <w:hideMark/>
          </w:tcPr>
          <w:p w14:paraId="4C5D45FA" w14:textId="77777777" w:rsidR="0050726D" w:rsidRPr="00841E41" w:rsidRDefault="0050726D" w:rsidP="0050726D">
            <w:pPr>
              <w:spacing w:after="0" w:line="240" w:lineRule="auto"/>
              <w:rPr>
                <w:rFonts w:ascii="Arial" w:eastAsia="Times New Roman" w:hAnsi="Arial" w:cs="Arial"/>
                <w:color w:val="39414D"/>
                <w:sz w:val="16"/>
                <w:szCs w:val="16"/>
              </w:rPr>
            </w:pPr>
            <w:r w:rsidRPr="00841E41">
              <w:rPr>
                <w:rFonts w:ascii="Arial" w:eastAsia="Times New Roman" w:hAnsi="Arial" w:cs="Arial"/>
                <w:color w:val="39414D"/>
                <w:sz w:val="16"/>
                <w:szCs w:val="16"/>
              </w:rPr>
              <w:t>Duals 55-64</w:t>
            </w:r>
          </w:p>
        </w:tc>
        <w:tc>
          <w:tcPr>
            <w:tcW w:w="1786" w:type="dxa"/>
            <w:tcBorders>
              <w:top w:val="nil"/>
              <w:left w:val="nil"/>
              <w:bottom w:val="nil"/>
              <w:right w:val="nil"/>
            </w:tcBorders>
            <w:shd w:val="clear" w:color="auto" w:fill="auto"/>
            <w:vAlign w:val="center"/>
            <w:hideMark/>
          </w:tcPr>
          <w:p w14:paraId="315259F1" w14:textId="61606732"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31</w:t>
            </w:r>
          </w:p>
        </w:tc>
        <w:tc>
          <w:tcPr>
            <w:tcW w:w="1745" w:type="dxa"/>
            <w:tcBorders>
              <w:top w:val="nil"/>
              <w:left w:val="nil"/>
              <w:bottom w:val="nil"/>
              <w:right w:val="nil"/>
            </w:tcBorders>
            <w:shd w:val="clear" w:color="auto" w:fill="auto"/>
            <w:vAlign w:val="center"/>
            <w:hideMark/>
          </w:tcPr>
          <w:p w14:paraId="3F514F63" w14:textId="4A63DC54"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$3,873.00 </w:t>
            </w:r>
          </w:p>
        </w:tc>
        <w:tc>
          <w:tcPr>
            <w:tcW w:w="1745" w:type="dxa"/>
            <w:tcBorders>
              <w:top w:val="nil"/>
              <w:left w:val="nil"/>
              <w:bottom w:val="nil"/>
              <w:right w:val="nil"/>
            </w:tcBorders>
            <w:shd w:val="clear" w:color="auto" w:fill="auto"/>
            <w:vAlign w:val="center"/>
            <w:hideMark/>
          </w:tcPr>
          <w:p w14:paraId="2D5F64D4" w14:textId="41B755DF" w:rsidR="0050726D" w:rsidRPr="0050726D" w:rsidRDefault="0050726D" w:rsidP="0050726D">
            <w:pPr>
              <w:spacing w:after="0" w:line="240" w:lineRule="auto"/>
              <w:jc w:val="right"/>
              <w:rPr>
                <w:rFonts w:ascii="Arial" w:eastAsia="Times New Roman" w:hAnsi="Arial" w:cs="Arial"/>
                <w:color w:val="39414D"/>
                <w:sz w:val="16"/>
                <w:szCs w:val="16"/>
              </w:rPr>
            </w:pPr>
            <w:r w:rsidRPr="000D279C">
              <w:rPr>
                <w:rFonts w:ascii="Arial" w:hAnsi="Arial" w:cs="Arial"/>
                <w:color w:val="39414D"/>
                <w:sz w:val="16"/>
                <w:szCs w:val="16"/>
              </w:rPr>
              <w:t xml:space="preserve">$4,516.00 </w:t>
            </w:r>
          </w:p>
        </w:tc>
        <w:tc>
          <w:tcPr>
            <w:tcW w:w="1776" w:type="dxa"/>
            <w:tcBorders>
              <w:top w:val="nil"/>
              <w:left w:val="nil"/>
              <w:bottom w:val="nil"/>
              <w:right w:val="nil"/>
            </w:tcBorders>
            <w:shd w:val="clear" w:color="auto" w:fill="auto"/>
            <w:vAlign w:val="center"/>
            <w:hideMark/>
          </w:tcPr>
          <w:p w14:paraId="3FABE704" w14:textId="316618F7" w:rsidR="0050726D" w:rsidRPr="0050726D" w:rsidRDefault="0050726D" w:rsidP="0050726D">
            <w:pPr>
              <w:spacing w:after="0" w:line="240" w:lineRule="auto"/>
              <w:jc w:val="right"/>
              <w:rPr>
                <w:rFonts w:ascii="Arial" w:eastAsia="Times New Roman" w:hAnsi="Arial" w:cs="Arial"/>
                <w:sz w:val="16"/>
                <w:szCs w:val="16"/>
              </w:rPr>
            </w:pPr>
            <w:r w:rsidRPr="000D279C">
              <w:rPr>
                <w:rFonts w:ascii="Arial" w:hAnsi="Arial" w:cs="Arial"/>
                <w:sz w:val="16"/>
                <w:szCs w:val="16"/>
              </w:rPr>
              <w:t xml:space="preserve">16.6% </w:t>
            </w:r>
          </w:p>
        </w:tc>
      </w:tr>
      <w:tr w:rsidR="0050726D" w:rsidRPr="00E96FCC" w14:paraId="4FCFF485" w14:textId="77777777" w:rsidTr="00841E41">
        <w:trPr>
          <w:trHeight w:val="240"/>
        </w:trPr>
        <w:tc>
          <w:tcPr>
            <w:tcW w:w="1780" w:type="dxa"/>
            <w:tcBorders>
              <w:top w:val="nil"/>
              <w:left w:val="nil"/>
              <w:bottom w:val="nil"/>
              <w:right w:val="nil"/>
            </w:tcBorders>
            <w:shd w:val="clear" w:color="000000" w:fill="E8E9E9"/>
            <w:vAlign w:val="center"/>
            <w:hideMark/>
          </w:tcPr>
          <w:p w14:paraId="2F118F1A" w14:textId="77777777" w:rsidR="0050726D" w:rsidRPr="00841E41" w:rsidRDefault="0050726D" w:rsidP="0050726D">
            <w:pPr>
              <w:spacing w:after="0" w:line="240" w:lineRule="auto"/>
              <w:rPr>
                <w:rFonts w:ascii="Arial" w:eastAsia="Times New Roman" w:hAnsi="Arial" w:cs="Arial"/>
                <w:color w:val="39414D"/>
                <w:sz w:val="16"/>
                <w:szCs w:val="16"/>
              </w:rPr>
            </w:pPr>
            <w:r w:rsidRPr="00841E41">
              <w:rPr>
                <w:rFonts w:ascii="Arial" w:eastAsia="Times New Roman" w:hAnsi="Arial" w:cs="Arial"/>
                <w:color w:val="39414D"/>
                <w:sz w:val="16"/>
                <w:szCs w:val="16"/>
              </w:rPr>
              <w:t>Duals 65+</w:t>
            </w:r>
          </w:p>
        </w:tc>
        <w:tc>
          <w:tcPr>
            <w:tcW w:w="1786" w:type="dxa"/>
            <w:tcBorders>
              <w:top w:val="nil"/>
              <w:left w:val="nil"/>
              <w:bottom w:val="nil"/>
              <w:right w:val="nil"/>
            </w:tcBorders>
            <w:shd w:val="clear" w:color="000000" w:fill="E8E9E9"/>
            <w:vAlign w:val="center"/>
            <w:hideMark/>
          </w:tcPr>
          <w:p w14:paraId="4FAB91D7" w14:textId="5B0DB73A"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282</w:t>
            </w:r>
          </w:p>
        </w:tc>
        <w:tc>
          <w:tcPr>
            <w:tcW w:w="1745" w:type="dxa"/>
            <w:tcBorders>
              <w:top w:val="nil"/>
              <w:left w:val="nil"/>
              <w:bottom w:val="nil"/>
              <w:right w:val="nil"/>
            </w:tcBorders>
            <w:shd w:val="clear" w:color="000000" w:fill="E8E9E9"/>
            <w:vAlign w:val="center"/>
            <w:hideMark/>
          </w:tcPr>
          <w:p w14:paraId="0406C432" w14:textId="383B241B"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$3,737.00 </w:t>
            </w:r>
          </w:p>
        </w:tc>
        <w:tc>
          <w:tcPr>
            <w:tcW w:w="1745" w:type="dxa"/>
            <w:tcBorders>
              <w:top w:val="nil"/>
              <w:left w:val="nil"/>
              <w:bottom w:val="nil"/>
              <w:right w:val="nil"/>
            </w:tcBorders>
            <w:shd w:val="clear" w:color="000000" w:fill="E8E9E9"/>
            <w:vAlign w:val="center"/>
            <w:hideMark/>
          </w:tcPr>
          <w:p w14:paraId="12A15289" w14:textId="34D8841D" w:rsidR="0050726D" w:rsidRPr="0050726D" w:rsidRDefault="0050726D" w:rsidP="0050726D">
            <w:pPr>
              <w:spacing w:after="0" w:line="240" w:lineRule="auto"/>
              <w:jc w:val="right"/>
              <w:rPr>
                <w:rFonts w:ascii="Arial" w:eastAsia="Times New Roman" w:hAnsi="Arial" w:cs="Arial"/>
                <w:color w:val="39414D"/>
                <w:sz w:val="16"/>
                <w:szCs w:val="16"/>
              </w:rPr>
            </w:pPr>
            <w:r w:rsidRPr="000D279C">
              <w:rPr>
                <w:rFonts w:ascii="Arial" w:hAnsi="Arial" w:cs="Arial"/>
                <w:color w:val="39414D"/>
                <w:sz w:val="16"/>
                <w:szCs w:val="16"/>
              </w:rPr>
              <w:t xml:space="preserve">$4,798.00 </w:t>
            </w:r>
          </w:p>
        </w:tc>
        <w:tc>
          <w:tcPr>
            <w:tcW w:w="1776" w:type="dxa"/>
            <w:tcBorders>
              <w:top w:val="nil"/>
              <w:left w:val="nil"/>
              <w:bottom w:val="nil"/>
              <w:right w:val="nil"/>
            </w:tcBorders>
            <w:shd w:val="clear" w:color="000000" w:fill="E8E9E9"/>
            <w:vAlign w:val="center"/>
            <w:hideMark/>
          </w:tcPr>
          <w:p w14:paraId="51E8173A" w14:textId="715111D7" w:rsidR="0050726D" w:rsidRPr="0050726D" w:rsidRDefault="0050726D" w:rsidP="0050726D">
            <w:pPr>
              <w:spacing w:after="0" w:line="240" w:lineRule="auto"/>
              <w:jc w:val="right"/>
              <w:rPr>
                <w:rFonts w:ascii="Arial" w:eastAsia="Times New Roman" w:hAnsi="Arial" w:cs="Arial"/>
                <w:sz w:val="16"/>
                <w:szCs w:val="16"/>
              </w:rPr>
            </w:pPr>
            <w:r w:rsidRPr="000D279C">
              <w:rPr>
                <w:rFonts w:ascii="Arial" w:hAnsi="Arial" w:cs="Arial"/>
                <w:sz w:val="16"/>
                <w:szCs w:val="16"/>
              </w:rPr>
              <w:t xml:space="preserve">28.4% </w:t>
            </w:r>
          </w:p>
        </w:tc>
      </w:tr>
      <w:tr w:rsidR="0050726D" w:rsidRPr="00E96FCC" w14:paraId="40C92A1E" w14:textId="77777777" w:rsidTr="00841E41">
        <w:trPr>
          <w:trHeight w:val="240"/>
        </w:trPr>
        <w:tc>
          <w:tcPr>
            <w:tcW w:w="1780" w:type="dxa"/>
            <w:tcBorders>
              <w:top w:val="nil"/>
              <w:left w:val="nil"/>
              <w:bottom w:val="nil"/>
              <w:right w:val="nil"/>
            </w:tcBorders>
            <w:shd w:val="clear" w:color="auto" w:fill="auto"/>
            <w:vAlign w:val="center"/>
            <w:hideMark/>
          </w:tcPr>
          <w:p w14:paraId="77E47418" w14:textId="77777777" w:rsidR="0050726D" w:rsidRPr="00841E41" w:rsidRDefault="0050726D" w:rsidP="0050726D">
            <w:pPr>
              <w:spacing w:after="0" w:line="240" w:lineRule="auto"/>
              <w:rPr>
                <w:rFonts w:ascii="Arial" w:eastAsia="Times New Roman" w:hAnsi="Arial" w:cs="Arial"/>
                <w:color w:val="39414D"/>
                <w:sz w:val="16"/>
                <w:szCs w:val="16"/>
              </w:rPr>
            </w:pPr>
            <w:r w:rsidRPr="00841E41">
              <w:rPr>
                <w:rFonts w:ascii="Arial" w:eastAsia="Times New Roman" w:hAnsi="Arial" w:cs="Arial"/>
                <w:color w:val="39414D"/>
                <w:sz w:val="16"/>
                <w:szCs w:val="16"/>
              </w:rPr>
              <w:t>Non-Duals</w:t>
            </w:r>
          </w:p>
        </w:tc>
        <w:tc>
          <w:tcPr>
            <w:tcW w:w="1786" w:type="dxa"/>
            <w:tcBorders>
              <w:top w:val="nil"/>
              <w:left w:val="nil"/>
              <w:bottom w:val="nil"/>
              <w:right w:val="nil"/>
            </w:tcBorders>
            <w:shd w:val="clear" w:color="auto" w:fill="auto"/>
            <w:vAlign w:val="center"/>
            <w:hideMark/>
          </w:tcPr>
          <w:p w14:paraId="1246BE7F" w14:textId="7034EC22"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32</w:t>
            </w:r>
          </w:p>
        </w:tc>
        <w:tc>
          <w:tcPr>
            <w:tcW w:w="1745" w:type="dxa"/>
            <w:tcBorders>
              <w:top w:val="nil"/>
              <w:left w:val="nil"/>
              <w:bottom w:val="nil"/>
              <w:right w:val="nil"/>
            </w:tcBorders>
            <w:shd w:val="clear" w:color="auto" w:fill="auto"/>
            <w:vAlign w:val="center"/>
            <w:hideMark/>
          </w:tcPr>
          <w:p w14:paraId="3F06D8B1" w14:textId="3953D9A6" w:rsidR="0050726D" w:rsidRPr="00B54EA5" w:rsidRDefault="0050726D" w:rsidP="0050726D">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$6,907.00 </w:t>
            </w:r>
          </w:p>
        </w:tc>
        <w:tc>
          <w:tcPr>
            <w:tcW w:w="1745" w:type="dxa"/>
            <w:tcBorders>
              <w:top w:val="nil"/>
              <w:left w:val="nil"/>
              <w:bottom w:val="nil"/>
              <w:right w:val="nil"/>
            </w:tcBorders>
            <w:shd w:val="clear" w:color="auto" w:fill="auto"/>
            <w:vAlign w:val="center"/>
            <w:hideMark/>
          </w:tcPr>
          <w:p w14:paraId="04B3CDE1" w14:textId="4E2665FB" w:rsidR="0050726D" w:rsidRPr="0050726D" w:rsidRDefault="0050726D" w:rsidP="0050726D">
            <w:pPr>
              <w:spacing w:after="0" w:line="240" w:lineRule="auto"/>
              <w:jc w:val="right"/>
              <w:rPr>
                <w:rFonts w:ascii="Arial" w:eastAsia="Times New Roman" w:hAnsi="Arial" w:cs="Arial"/>
                <w:color w:val="39414D"/>
                <w:sz w:val="16"/>
                <w:szCs w:val="16"/>
              </w:rPr>
            </w:pPr>
            <w:r w:rsidRPr="000D279C">
              <w:rPr>
                <w:rFonts w:ascii="Arial" w:hAnsi="Arial" w:cs="Arial"/>
                <w:color w:val="39414D"/>
                <w:sz w:val="16"/>
                <w:szCs w:val="16"/>
              </w:rPr>
              <w:t xml:space="preserve">$5,783.00 </w:t>
            </w:r>
          </w:p>
        </w:tc>
        <w:tc>
          <w:tcPr>
            <w:tcW w:w="1776" w:type="dxa"/>
            <w:tcBorders>
              <w:top w:val="nil"/>
              <w:left w:val="nil"/>
              <w:bottom w:val="nil"/>
              <w:right w:val="nil"/>
            </w:tcBorders>
            <w:shd w:val="clear" w:color="auto" w:fill="auto"/>
            <w:vAlign w:val="center"/>
            <w:hideMark/>
          </w:tcPr>
          <w:p w14:paraId="00EDE079" w14:textId="32233835" w:rsidR="0050726D" w:rsidRPr="0050726D" w:rsidRDefault="0050726D" w:rsidP="0050726D">
            <w:pPr>
              <w:spacing w:after="0" w:line="240" w:lineRule="auto"/>
              <w:jc w:val="right"/>
              <w:rPr>
                <w:rFonts w:ascii="Arial" w:eastAsia="Times New Roman" w:hAnsi="Arial" w:cs="Arial"/>
                <w:sz w:val="16"/>
                <w:szCs w:val="16"/>
              </w:rPr>
            </w:pPr>
            <w:r w:rsidRPr="000D279C">
              <w:rPr>
                <w:rFonts w:ascii="Arial" w:hAnsi="Arial" w:cs="Arial"/>
                <w:sz w:val="16"/>
                <w:szCs w:val="16"/>
              </w:rPr>
              <w:t>(16.3%)</w:t>
            </w:r>
          </w:p>
        </w:tc>
      </w:tr>
      <w:tr w:rsidR="0050726D" w:rsidRPr="00E96FCC" w14:paraId="43413B3A" w14:textId="77777777" w:rsidTr="00841E41">
        <w:trPr>
          <w:trHeight w:val="240"/>
        </w:trPr>
        <w:tc>
          <w:tcPr>
            <w:tcW w:w="1780" w:type="dxa"/>
            <w:tcBorders>
              <w:top w:val="nil"/>
              <w:left w:val="nil"/>
              <w:bottom w:val="nil"/>
              <w:right w:val="nil"/>
            </w:tcBorders>
            <w:shd w:val="clear" w:color="000000" w:fill="E8E9E9"/>
            <w:vAlign w:val="center"/>
            <w:hideMark/>
          </w:tcPr>
          <w:p w14:paraId="0061A888" w14:textId="77777777" w:rsidR="0050726D" w:rsidRPr="00841E41" w:rsidRDefault="0050726D" w:rsidP="0050726D">
            <w:pPr>
              <w:spacing w:after="0" w:line="240" w:lineRule="auto"/>
              <w:rPr>
                <w:rFonts w:ascii="Arial" w:eastAsia="Times New Roman" w:hAnsi="Arial" w:cs="Arial"/>
                <w:b/>
                <w:bCs/>
                <w:color w:val="39414D"/>
                <w:sz w:val="16"/>
                <w:szCs w:val="16"/>
              </w:rPr>
            </w:pPr>
            <w:r w:rsidRPr="00841E41">
              <w:rPr>
                <w:rFonts w:ascii="Arial" w:eastAsia="Times New Roman" w:hAnsi="Arial" w:cs="Arial"/>
                <w:b/>
                <w:bCs/>
                <w:color w:val="39414D"/>
                <w:sz w:val="16"/>
                <w:szCs w:val="16"/>
              </w:rPr>
              <w:t>Composite</w:t>
            </w:r>
          </w:p>
        </w:tc>
        <w:tc>
          <w:tcPr>
            <w:tcW w:w="1786" w:type="dxa"/>
            <w:tcBorders>
              <w:top w:val="nil"/>
              <w:left w:val="nil"/>
              <w:bottom w:val="nil"/>
              <w:right w:val="nil"/>
            </w:tcBorders>
            <w:shd w:val="clear" w:color="000000" w:fill="E8E9E9"/>
            <w:vAlign w:val="center"/>
            <w:hideMark/>
          </w:tcPr>
          <w:p w14:paraId="3D8B0A00" w14:textId="1A750A0E" w:rsidR="0050726D" w:rsidRPr="00B54EA5" w:rsidRDefault="0050726D" w:rsidP="0050726D">
            <w:pPr>
              <w:spacing w:after="0" w:line="240" w:lineRule="auto"/>
              <w:jc w:val="right"/>
              <w:rPr>
                <w:rFonts w:ascii="Arial" w:eastAsia="Times New Roman" w:hAnsi="Arial" w:cs="Arial"/>
                <w:b/>
                <w:bCs/>
                <w:color w:val="39414D"/>
                <w:sz w:val="16"/>
                <w:szCs w:val="16"/>
              </w:rPr>
            </w:pPr>
            <w:r w:rsidRPr="003B7A88">
              <w:rPr>
                <w:rFonts w:ascii="Arial" w:hAnsi="Arial" w:cs="Arial"/>
                <w:b/>
                <w:bCs/>
                <w:color w:val="39414D"/>
                <w:sz w:val="16"/>
                <w:szCs w:val="16"/>
              </w:rPr>
              <w:t>345</w:t>
            </w:r>
          </w:p>
        </w:tc>
        <w:tc>
          <w:tcPr>
            <w:tcW w:w="1745" w:type="dxa"/>
            <w:tcBorders>
              <w:top w:val="nil"/>
              <w:left w:val="nil"/>
              <w:bottom w:val="nil"/>
              <w:right w:val="nil"/>
            </w:tcBorders>
            <w:shd w:val="clear" w:color="000000" w:fill="E8E9E9"/>
            <w:vAlign w:val="center"/>
            <w:hideMark/>
          </w:tcPr>
          <w:p w14:paraId="1A0B7C5E" w14:textId="170F7DED" w:rsidR="0050726D" w:rsidRPr="00B54EA5" w:rsidRDefault="0050726D" w:rsidP="0050726D">
            <w:pPr>
              <w:spacing w:after="0" w:line="240" w:lineRule="auto"/>
              <w:jc w:val="right"/>
              <w:rPr>
                <w:rFonts w:ascii="Arial" w:eastAsia="Times New Roman" w:hAnsi="Arial" w:cs="Arial"/>
                <w:b/>
                <w:bCs/>
                <w:color w:val="39414D"/>
                <w:sz w:val="16"/>
                <w:szCs w:val="16"/>
              </w:rPr>
            </w:pPr>
            <w:r w:rsidRPr="003B7A88">
              <w:rPr>
                <w:rFonts w:ascii="Arial" w:hAnsi="Arial" w:cs="Arial"/>
                <w:b/>
                <w:bCs/>
                <w:color w:val="39414D"/>
                <w:sz w:val="16"/>
                <w:szCs w:val="16"/>
              </w:rPr>
              <w:t xml:space="preserve">$4,043.25 </w:t>
            </w:r>
          </w:p>
        </w:tc>
        <w:tc>
          <w:tcPr>
            <w:tcW w:w="1745" w:type="dxa"/>
            <w:tcBorders>
              <w:top w:val="nil"/>
              <w:left w:val="nil"/>
              <w:bottom w:val="nil"/>
              <w:right w:val="nil"/>
            </w:tcBorders>
            <w:shd w:val="clear" w:color="000000" w:fill="E8E9E9"/>
            <w:vAlign w:val="center"/>
            <w:hideMark/>
          </w:tcPr>
          <w:p w14:paraId="45AEE642" w14:textId="0C3023EC" w:rsidR="0050726D" w:rsidRPr="0050726D" w:rsidRDefault="0050726D" w:rsidP="0050726D">
            <w:pPr>
              <w:spacing w:after="0" w:line="240" w:lineRule="auto"/>
              <w:jc w:val="right"/>
              <w:rPr>
                <w:rFonts w:ascii="Arial" w:eastAsia="Times New Roman" w:hAnsi="Arial" w:cs="Arial"/>
                <w:b/>
                <w:bCs/>
                <w:color w:val="39414D"/>
                <w:sz w:val="16"/>
                <w:szCs w:val="16"/>
              </w:rPr>
            </w:pPr>
            <w:r w:rsidRPr="000D279C">
              <w:rPr>
                <w:rFonts w:ascii="Arial" w:hAnsi="Arial" w:cs="Arial"/>
                <w:b/>
                <w:bCs/>
                <w:color w:val="39414D"/>
                <w:sz w:val="16"/>
                <w:szCs w:val="16"/>
              </w:rPr>
              <w:t xml:space="preserve">$4,864.02 </w:t>
            </w:r>
          </w:p>
        </w:tc>
        <w:tc>
          <w:tcPr>
            <w:tcW w:w="1776" w:type="dxa"/>
            <w:tcBorders>
              <w:top w:val="nil"/>
              <w:left w:val="nil"/>
              <w:bottom w:val="nil"/>
              <w:right w:val="nil"/>
            </w:tcBorders>
            <w:shd w:val="clear" w:color="000000" w:fill="E8E9E9"/>
            <w:vAlign w:val="center"/>
            <w:hideMark/>
          </w:tcPr>
          <w:p w14:paraId="61C45016" w14:textId="2DDEBFF8" w:rsidR="0050726D" w:rsidRPr="0050726D" w:rsidRDefault="0050726D" w:rsidP="0050726D">
            <w:pPr>
              <w:spacing w:after="0" w:line="240" w:lineRule="auto"/>
              <w:jc w:val="right"/>
              <w:rPr>
                <w:rFonts w:ascii="Arial" w:eastAsia="Times New Roman" w:hAnsi="Arial" w:cs="Arial"/>
                <w:b/>
                <w:bCs/>
                <w:sz w:val="16"/>
                <w:szCs w:val="16"/>
              </w:rPr>
            </w:pPr>
            <w:r w:rsidRPr="000D279C">
              <w:rPr>
                <w:rFonts w:ascii="Arial" w:hAnsi="Arial" w:cs="Arial"/>
                <w:b/>
                <w:bCs/>
                <w:sz w:val="16"/>
                <w:szCs w:val="16"/>
              </w:rPr>
              <w:t xml:space="preserve">20.3% </w:t>
            </w:r>
          </w:p>
        </w:tc>
      </w:tr>
    </w:tbl>
    <w:bookmarkEnd w:id="2"/>
    <w:p w14:paraId="5A945518" w14:textId="7872C06F" w:rsidR="00D65D2B" w:rsidRPr="008569E5" w:rsidRDefault="00D65D2B" w:rsidP="00D65D2B">
      <w:pPr>
        <w:pStyle w:val="RRBullet1"/>
        <w:spacing w:after="0"/>
        <w:jc w:val="left"/>
        <w:rPr>
          <w:rFonts w:ascii="Arial" w:eastAsia="Times New Roman" w:hAnsi="Arial" w:cs="Arial"/>
          <w:color w:val="727A7D"/>
          <w:sz w:val="16"/>
          <w:szCs w:val="16"/>
        </w:rPr>
      </w:pPr>
      <w:r w:rsidRPr="008569E5">
        <w:rPr>
          <w:rFonts w:ascii="Arial" w:eastAsia="Times New Roman" w:hAnsi="Arial" w:cs="Arial"/>
          <w:color w:val="727A7D"/>
          <w:sz w:val="16"/>
          <w:szCs w:val="16"/>
        </w:rPr>
        <w:t xml:space="preserve">Note: </w:t>
      </w:r>
    </w:p>
    <w:p w14:paraId="323B24B3" w14:textId="1DB96D39" w:rsidR="00D65D2B" w:rsidRPr="00841E41" w:rsidRDefault="00D65D2B" w:rsidP="008405A2">
      <w:pPr>
        <w:pStyle w:val="RRBullet1"/>
        <w:numPr>
          <w:ilvl w:val="0"/>
          <w:numId w:val="16"/>
        </w:numPr>
        <w:spacing w:after="0"/>
        <w:jc w:val="left"/>
        <w:rPr>
          <w:rFonts w:ascii="Arial" w:eastAsia="Times New Roman" w:hAnsi="Arial" w:cs="Arial"/>
          <w:color w:val="727A7D"/>
          <w:sz w:val="16"/>
          <w:szCs w:val="16"/>
        </w:rPr>
      </w:pPr>
      <w:r w:rsidRPr="00841E41">
        <w:rPr>
          <w:rFonts w:ascii="Arial" w:eastAsia="Times New Roman" w:hAnsi="Arial" w:cs="Arial"/>
          <w:color w:val="727A7D"/>
          <w:sz w:val="16"/>
          <w:szCs w:val="16"/>
        </w:rPr>
        <w:t xml:space="preserve">PACE </w:t>
      </w:r>
      <w:r w:rsidR="00230771">
        <w:rPr>
          <w:rFonts w:ascii="Arial" w:eastAsia="Times New Roman" w:hAnsi="Arial" w:cs="Arial"/>
          <w:color w:val="727A7D"/>
          <w:sz w:val="16"/>
          <w:szCs w:val="16"/>
        </w:rPr>
        <w:t xml:space="preserve">capitation </w:t>
      </w:r>
      <w:r w:rsidRPr="00841E41">
        <w:rPr>
          <w:rFonts w:ascii="Arial" w:eastAsia="Times New Roman" w:hAnsi="Arial" w:cs="Arial"/>
          <w:color w:val="727A7D"/>
          <w:sz w:val="16"/>
          <w:szCs w:val="16"/>
        </w:rPr>
        <w:t>rate</w:t>
      </w:r>
      <w:r w:rsidR="00230771">
        <w:rPr>
          <w:rFonts w:ascii="Arial" w:eastAsia="Times New Roman" w:hAnsi="Arial" w:cs="Arial"/>
          <w:color w:val="727A7D"/>
          <w:sz w:val="16"/>
          <w:szCs w:val="16"/>
        </w:rPr>
        <w:t>s</w:t>
      </w:r>
      <w:r w:rsidRPr="00841E41">
        <w:rPr>
          <w:rFonts w:ascii="Arial" w:eastAsia="Times New Roman" w:hAnsi="Arial" w:cs="Arial"/>
          <w:color w:val="727A7D"/>
          <w:sz w:val="16"/>
          <w:szCs w:val="16"/>
        </w:rPr>
        <w:t xml:space="preserve"> </w:t>
      </w:r>
      <w:r w:rsidR="00230771">
        <w:rPr>
          <w:rFonts w:ascii="Arial" w:eastAsia="Times New Roman" w:hAnsi="Arial" w:cs="Arial"/>
          <w:color w:val="727A7D"/>
          <w:sz w:val="16"/>
          <w:szCs w:val="16"/>
        </w:rPr>
        <w:t xml:space="preserve">are </w:t>
      </w:r>
      <w:r w:rsidRPr="00841E41">
        <w:rPr>
          <w:rFonts w:ascii="Arial" w:eastAsia="Times New Roman" w:hAnsi="Arial" w:cs="Arial"/>
          <w:color w:val="727A7D"/>
          <w:sz w:val="16"/>
          <w:szCs w:val="16"/>
        </w:rPr>
        <w:t xml:space="preserve">gross of patient liability because </w:t>
      </w:r>
      <w:r w:rsidR="00FD21C0">
        <w:rPr>
          <w:rFonts w:ascii="Arial" w:eastAsia="Times New Roman" w:hAnsi="Arial" w:cs="Arial"/>
          <w:color w:val="727A7D"/>
          <w:sz w:val="16"/>
          <w:szCs w:val="16"/>
        </w:rPr>
        <w:t xml:space="preserve">patient </w:t>
      </w:r>
      <w:r w:rsidRPr="00841E41">
        <w:rPr>
          <w:rFonts w:ascii="Arial" w:eastAsia="Times New Roman" w:hAnsi="Arial" w:cs="Arial"/>
          <w:color w:val="727A7D"/>
          <w:sz w:val="16"/>
          <w:szCs w:val="16"/>
        </w:rPr>
        <w:t>liability amounts will be determined and administered on an enrollee-specific basis.</w:t>
      </w:r>
    </w:p>
    <w:p w14:paraId="396865F1" w14:textId="77777777" w:rsidR="00D65D2B" w:rsidRPr="00CB0BE3" w:rsidRDefault="00D65D2B" w:rsidP="00033AE3">
      <w:pPr>
        <w:spacing w:after="0" w:line="240" w:lineRule="auto"/>
        <w:jc w:val="both"/>
        <w:rPr>
          <w:rFonts w:cs="Arial"/>
        </w:rPr>
      </w:pPr>
    </w:p>
    <w:p w14:paraId="2FB3A903" w14:textId="29C7B63F" w:rsidR="00A03FDB" w:rsidRPr="00A03FDB" w:rsidRDefault="00977DF1" w:rsidP="00A03FDB">
      <w:pPr>
        <w:rPr>
          <w:rFonts w:cs="Arial"/>
        </w:rPr>
      </w:pPr>
      <w:r w:rsidRPr="00CB0BE3">
        <w:rPr>
          <w:rFonts w:cs="Arial"/>
        </w:rPr>
        <w:t>The SFY 202</w:t>
      </w:r>
      <w:r>
        <w:rPr>
          <w:rFonts w:cs="Arial"/>
        </w:rPr>
        <w:t>2</w:t>
      </w:r>
      <w:r w:rsidRPr="00CB0BE3">
        <w:rPr>
          <w:rFonts w:cs="Arial"/>
        </w:rPr>
        <w:t xml:space="preserve"> AWOPs </w:t>
      </w:r>
      <w:r>
        <w:rPr>
          <w:rFonts w:cs="Arial"/>
        </w:rPr>
        <w:t xml:space="preserve">and </w:t>
      </w:r>
      <w:r w:rsidRPr="00CB0BE3">
        <w:rPr>
          <w:rFonts w:cs="Arial"/>
        </w:rPr>
        <w:t>SFY 202</w:t>
      </w:r>
      <w:r>
        <w:rPr>
          <w:rFonts w:cs="Arial"/>
        </w:rPr>
        <w:t>2</w:t>
      </w:r>
      <w:r w:rsidRPr="00CB0BE3">
        <w:rPr>
          <w:rFonts w:cs="Arial"/>
        </w:rPr>
        <w:t xml:space="preserve"> PACE rates </w:t>
      </w:r>
      <w:r>
        <w:rPr>
          <w:rFonts w:cs="Arial"/>
        </w:rPr>
        <w:t xml:space="preserve">are based on the methodology as specified in </w:t>
      </w:r>
      <w:r w:rsidRPr="00CB0BE3">
        <w:t xml:space="preserve">set forth in 42 CFR §460.182 and </w:t>
      </w:r>
      <w:r w:rsidR="00367849">
        <w:t xml:space="preserve">as </w:t>
      </w:r>
      <w:r w:rsidRPr="00CB0BE3">
        <w:t xml:space="preserve">further described in the PACE Guide </w:t>
      </w:r>
      <w:r>
        <w:t xml:space="preserve">released </w:t>
      </w:r>
      <w:r w:rsidRPr="00CB0BE3">
        <w:t xml:space="preserve">by </w:t>
      </w:r>
      <w:r>
        <w:t>CMS.</w:t>
      </w:r>
      <w:r w:rsidRPr="00CB0BE3">
        <w:rPr>
          <w:rFonts w:cs="Arial"/>
        </w:rPr>
        <w:t xml:space="preserve"> It should be emphasized that capitation rates are a projection of future costs based on a set of assumptions</w:t>
      </w:r>
      <w:r>
        <w:rPr>
          <w:rFonts w:cs="Arial"/>
        </w:rPr>
        <w:t xml:space="preserve"> under the methodology described herein</w:t>
      </w:r>
      <w:r w:rsidRPr="00CB0BE3">
        <w:rPr>
          <w:rFonts w:cs="Arial"/>
        </w:rPr>
        <w:t>. It is certain that actual costs will vary from projected costs to the extent that actual experience varies from the data and assumptions underlying the PACE rate development</w:t>
      </w:r>
      <w:r>
        <w:rPr>
          <w:rFonts w:cs="Arial"/>
        </w:rPr>
        <w:t>.</w:t>
      </w:r>
    </w:p>
    <w:p w14:paraId="03FE36B7" w14:textId="44CAD8E8" w:rsidR="00DD51B5" w:rsidRDefault="0012732C" w:rsidP="00047012">
      <w:pPr>
        <w:rPr>
          <w:rFonts w:cs="Arial"/>
        </w:rPr>
      </w:pPr>
      <w:r w:rsidRPr="0012732C">
        <w:rPr>
          <w:rFonts w:cs="Arial"/>
        </w:rPr>
        <w:t>We acknowledge there is uncertainty regarding the impact of the COVID-19 pandemic on future projections. It is possible that the COVID-19 pandemic could have a material impact on the projected enrollment and capitation rates presented in this report. However, due to the nature of long-term services and supports in this population and the availability of COVID-19 vaccinations, we have not assumed a material impact of COVID-19 to the prospective trends</w:t>
      </w:r>
      <w:r w:rsidR="00DD51B5">
        <w:rPr>
          <w:rFonts w:cs="Arial"/>
        </w:rPr>
        <w:t>.</w:t>
      </w:r>
    </w:p>
    <w:p w14:paraId="3FD5D235" w14:textId="77777777" w:rsidR="00033AE3" w:rsidRDefault="00033AE3" w:rsidP="00802253">
      <w:pPr>
        <w:pStyle w:val="Subhead1"/>
        <w:spacing w:before="180" w:after="180"/>
      </w:pPr>
      <w:r>
        <w:t>FISCAL IMPACT</w:t>
      </w:r>
    </w:p>
    <w:p w14:paraId="2F199D7F" w14:textId="25840721" w:rsidR="00033AE3" w:rsidRDefault="006A004F" w:rsidP="0046181A">
      <w:pPr>
        <w:spacing w:after="0"/>
        <w:rPr>
          <w:rFonts w:cs="Arial"/>
        </w:rPr>
      </w:pPr>
      <w:r w:rsidRPr="006A004F">
        <w:rPr>
          <w:rFonts w:cs="Arial"/>
        </w:rPr>
        <w:t xml:space="preserve">Figure </w:t>
      </w:r>
      <w:r>
        <w:rPr>
          <w:rFonts w:cs="Arial"/>
        </w:rPr>
        <w:t>2</w:t>
      </w:r>
      <w:r w:rsidRPr="006A004F">
        <w:rPr>
          <w:rFonts w:cs="Arial"/>
        </w:rPr>
        <w:t xml:space="preserve"> </w:t>
      </w:r>
      <w:r w:rsidR="0050233D">
        <w:rPr>
          <w:rFonts w:cs="Arial"/>
        </w:rPr>
        <w:t xml:space="preserve">compares </w:t>
      </w:r>
      <w:r w:rsidRPr="006A004F">
        <w:rPr>
          <w:rFonts w:cs="Arial"/>
        </w:rPr>
        <w:t xml:space="preserve">the </w:t>
      </w:r>
      <w:r w:rsidR="0050233D">
        <w:rPr>
          <w:rFonts w:cs="Arial"/>
        </w:rPr>
        <w:t>SFY 20</w:t>
      </w:r>
      <w:r w:rsidR="005B2BAA">
        <w:rPr>
          <w:rFonts w:cs="Arial"/>
        </w:rPr>
        <w:t>21</w:t>
      </w:r>
      <w:r w:rsidR="0050233D">
        <w:rPr>
          <w:rFonts w:cs="Arial"/>
        </w:rPr>
        <w:t xml:space="preserve"> </w:t>
      </w:r>
      <w:r w:rsidRPr="006A004F">
        <w:rPr>
          <w:rFonts w:cs="Arial"/>
        </w:rPr>
        <w:t>PACE capitation rate</w:t>
      </w:r>
      <w:r w:rsidR="00817BFD">
        <w:rPr>
          <w:rFonts w:cs="Arial"/>
        </w:rPr>
        <w:t>s</w:t>
      </w:r>
      <w:r w:rsidRPr="006A004F">
        <w:rPr>
          <w:rFonts w:cs="Arial"/>
        </w:rPr>
        <w:t xml:space="preserve"> to the </w:t>
      </w:r>
      <w:r w:rsidR="0050233D">
        <w:rPr>
          <w:rFonts w:cs="Arial"/>
        </w:rPr>
        <w:t xml:space="preserve">SFY 2022 </w:t>
      </w:r>
      <w:r w:rsidR="00EC0533">
        <w:rPr>
          <w:rFonts w:cs="Arial"/>
        </w:rPr>
        <w:t xml:space="preserve">PACE </w:t>
      </w:r>
      <w:r w:rsidRPr="006A004F">
        <w:rPr>
          <w:rFonts w:cs="Arial"/>
        </w:rPr>
        <w:t>capitation rate</w:t>
      </w:r>
      <w:r w:rsidR="00817BFD">
        <w:rPr>
          <w:rFonts w:cs="Arial"/>
        </w:rPr>
        <w:t>s</w:t>
      </w:r>
      <w:r w:rsidRPr="006A004F">
        <w:rPr>
          <w:rFonts w:cs="Arial"/>
        </w:rPr>
        <w:t xml:space="preserve"> by eligibility category</w:t>
      </w:r>
      <w:r w:rsidR="00033AE3" w:rsidRPr="00CB0BE3">
        <w:rPr>
          <w:rFonts w:cs="Arial"/>
        </w:rPr>
        <w:t xml:space="preserve">. </w:t>
      </w:r>
      <w:r w:rsidR="00033AE3">
        <w:rPr>
          <w:rFonts w:cs="Arial"/>
        </w:rPr>
        <w:t>T</w:t>
      </w:r>
      <w:r w:rsidR="00033AE3" w:rsidRPr="00CB0BE3">
        <w:rPr>
          <w:rFonts w:cs="Arial"/>
        </w:rPr>
        <w:t xml:space="preserve">he fiscal impact </w:t>
      </w:r>
      <w:r w:rsidR="00EF2761">
        <w:rPr>
          <w:rFonts w:cs="Arial"/>
        </w:rPr>
        <w:t xml:space="preserve">is developed </w:t>
      </w:r>
      <w:r w:rsidR="00953F19">
        <w:rPr>
          <w:rFonts w:cs="Arial"/>
        </w:rPr>
        <w:t xml:space="preserve">using the </w:t>
      </w:r>
      <w:r w:rsidR="00932A82">
        <w:rPr>
          <w:rFonts w:cs="Arial"/>
        </w:rPr>
        <w:t xml:space="preserve">projected </w:t>
      </w:r>
      <w:r w:rsidR="00033AE3">
        <w:rPr>
          <w:rFonts w:cs="Arial"/>
        </w:rPr>
        <w:t>SFY</w:t>
      </w:r>
      <w:r w:rsidR="00033AE3" w:rsidRPr="00CB0BE3">
        <w:rPr>
          <w:rFonts w:cs="Arial"/>
        </w:rPr>
        <w:t xml:space="preserve"> 20</w:t>
      </w:r>
      <w:r w:rsidR="00033AE3">
        <w:rPr>
          <w:rFonts w:cs="Arial"/>
        </w:rPr>
        <w:t>22</w:t>
      </w:r>
      <w:r w:rsidR="00033AE3" w:rsidRPr="00CB0BE3">
        <w:rPr>
          <w:rFonts w:cs="Arial"/>
        </w:rPr>
        <w:t xml:space="preserve"> PACE enrollment.</w:t>
      </w:r>
    </w:p>
    <w:p w14:paraId="04BBEC07" w14:textId="77777777" w:rsidR="00033AE3" w:rsidRDefault="00033AE3" w:rsidP="00033AE3">
      <w:pPr>
        <w:spacing w:after="0" w:line="240" w:lineRule="auto"/>
        <w:jc w:val="both"/>
        <w:rPr>
          <w:rFonts w:cs="Arial"/>
        </w:rPr>
      </w:pPr>
    </w:p>
    <w:tbl>
      <w:tblPr>
        <w:tblW w:w="7072" w:type="dxa"/>
        <w:tblLook w:val="04A0" w:firstRow="1" w:lastRow="0" w:firstColumn="1" w:lastColumn="0" w:noHBand="0" w:noVBand="1"/>
      </w:tblPr>
      <w:tblGrid>
        <w:gridCol w:w="1758"/>
        <w:gridCol w:w="1769"/>
        <w:gridCol w:w="1769"/>
        <w:gridCol w:w="1776"/>
      </w:tblGrid>
      <w:tr w:rsidR="009968A6" w:rsidRPr="00A23792" w14:paraId="612451E3" w14:textId="77777777" w:rsidTr="009968A6">
        <w:trPr>
          <w:trHeight w:val="223"/>
        </w:trPr>
        <w:tc>
          <w:tcPr>
            <w:tcW w:w="7072" w:type="dxa"/>
            <w:gridSpan w:val="4"/>
            <w:tcBorders>
              <w:top w:val="single" w:sz="8" w:space="0" w:color="E8E9E9"/>
              <w:left w:val="nil"/>
              <w:bottom w:val="single" w:sz="8" w:space="0" w:color="auto"/>
              <w:right w:val="nil"/>
            </w:tcBorders>
            <w:shd w:val="clear" w:color="auto" w:fill="auto"/>
            <w:noWrap/>
            <w:vAlign w:val="center"/>
            <w:hideMark/>
          </w:tcPr>
          <w:p w14:paraId="0C48D51C" w14:textId="30AFA43A" w:rsidR="009968A6" w:rsidRPr="00A23792" w:rsidRDefault="009968A6" w:rsidP="00A23792">
            <w:pPr>
              <w:spacing w:after="0" w:line="240" w:lineRule="auto"/>
              <w:rPr>
                <w:rFonts w:ascii="Arial" w:eastAsia="Times New Roman" w:hAnsi="Arial" w:cs="Arial"/>
                <w:b/>
                <w:bCs/>
                <w:color w:val="0081E3"/>
                <w:sz w:val="16"/>
                <w:szCs w:val="16"/>
              </w:rPr>
            </w:pPr>
            <w:r w:rsidRPr="00A23792">
              <w:rPr>
                <w:rFonts w:ascii="Arial" w:eastAsia="Times New Roman" w:hAnsi="Arial" w:cs="Arial"/>
                <w:b/>
                <w:bCs/>
                <w:color w:val="0081E3"/>
                <w:sz w:val="16"/>
                <w:szCs w:val="16"/>
              </w:rPr>
              <w:t xml:space="preserve">FIGURE 2: </w:t>
            </w:r>
            <w:r>
              <w:rPr>
                <w:rFonts w:ascii="Arial" w:eastAsia="Times New Roman" w:hAnsi="Arial" w:cs="Arial"/>
                <w:b/>
                <w:bCs/>
                <w:color w:val="0081E3"/>
                <w:sz w:val="16"/>
                <w:szCs w:val="16"/>
              </w:rPr>
              <w:t xml:space="preserve">PACE CAPITATION RATE </w:t>
            </w:r>
            <w:r w:rsidRPr="00A23792">
              <w:rPr>
                <w:rFonts w:ascii="Arial" w:eastAsia="Times New Roman" w:hAnsi="Arial" w:cs="Arial"/>
                <w:b/>
                <w:bCs/>
                <w:color w:val="0081E3"/>
                <w:sz w:val="16"/>
                <w:szCs w:val="16"/>
              </w:rPr>
              <w:t>EXPENDITURE COMPARISON ($ MILLIONS)</w:t>
            </w:r>
          </w:p>
        </w:tc>
      </w:tr>
      <w:tr w:rsidR="00A23792" w:rsidRPr="00A23792" w14:paraId="06983865" w14:textId="77777777" w:rsidTr="00A23792">
        <w:trPr>
          <w:trHeight w:val="394"/>
        </w:trPr>
        <w:tc>
          <w:tcPr>
            <w:tcW w:w="1758" w:type="dxa"/>
            <w:tcBorders>
              <w:top w:val="nil"/>
              <w:left w:val="nil"/>
              <w:bottom w:val="single" w:sz="8" w:space="0" w:color="C6C9CA"/>
              <w:right w:val="nil"/>
            </w:tcBorders>
            <w:shd w:val="clear" w:color="auto" w:fill="auto"/>
            <w:vAlign w:val="center"/>
            <w:hideMark/>
          </w:tcPr>
          <w:p w14:paraId="49664C94" w14:textId="77777777" w:rsidR="00A23792" w:rsidRPr="00A23792" w:rsidRDefault="00A23792" w:rsidP="00A23792">
            <w:pPr>
              <w:spacing w:after="0" w:line="240" w:lineRule="auto"/>
              <w:rPr>
                <w:rFonts w:ascii="Arial" w:eastAsia="Times New Roman" w:hAnsi="Arial" w:cs="Arial"/>
                <w:b/>
                <w:bCs/>
                <w:color w:val="39414D"/>
                <w:sz w:val="16"/>
                <w:szCs w:val="16"/>
              </w:rPr>
            </w:pPr>
            <w:r w:rsidRPr="00A23792">
              <w:rPr>
                <w:rFonts w:ascii="Arial" w:eastAsia="Times New Roman" w:hAnsi="Arial" w:cs="Arial"/>
                <w:b/>
                <w:bCs/>
                <w:color w:val="39414D"/>
                <w:sz w:val="16"/>
                <w:szCs w:val="16"/>
              </w:rPr>
              <w:t>Eligibility Category</w:t>
            </w:r>
          </w:p>
        </w:tc>
        <w:tc>
          <w:tcPr>
            <w:tcW w:w="1769" w:type="dxa"/>
            <w:tcBorders>
              <w:top w:val="nil"/>
              <w:left w:val="nil"/>
              <w:bottom w:val="single" w:sz="8" w:space="0" w:color="C6C9CA"/>
              <w:right w:val="nil"/>
            </w:tcBorders>
            <w:shd w:val="clear" w:color="auto" w:fill="auto"/>
            <w:vAlign w:val="center"/>
            <w:hideMark/>
          </w:tcPr>
          <w:p w14:paraId="74949ECE" w14:textId="17BDCC6B" w:rsidR="00A23792" w:rsidRPr="00A23792" w:rsidRDefault="00A23792" w:rsidP="00A23792">
            <w:pPr>
              <w:spacing w:after="0" w:line="240" w:lineRule="auto"/>
              <w:jc w:val="center"/>
              <w:rPr>
                <w:rFonts w:ascii="Arial" w:eastAsia="Times New Roman" w:hAnsi="Arial" w:cs="Arial"/>
                <w:b/>
                <w:bCs/>
                <w:color w:val="39414D"/>
                <w:sz w:val="16"/>
                <w:szCs w:val="16"/>
              </w:rPr>
            </w:pPr>
            <w:r w:rsidRPr="00A23792">
              <w:rPr>
                <w:rFonts w:ascii="Arial" w:eastAsia="Times New Roman" w:hAnsi="Arial" w:cs="Arial"/>
                <w:b/>
                <w:bCs/>
                <w:color w:val="39414D"/>
                <w:sz w:val="16"/>
                <w:szCs w:val="16"/>
              </w:rPr>
              <w:t xml:space="preserve">SFY </w:t>
            </w:r>
            <w:r w:rsidR="00EF2761">
              <w:rPr>
                <w:rFonts w:ascii="Arial" w:eastAsia="Times New Roman" w:hAnsi="Arial" w:cs="Arial"/>
                <w:b/>
                <w:bCs/>
                <w:color w:val="39414D"/>
                <w:sz w:val="16"/>
                <w:szCs w:val="16"/>
              </w:rPr>
              <w:t>20</w:t>
            </w:r>
            <w:r w:rsidR="00F45BE4">
              <w:rPr>
                <w:rFonts w:ascii="Arial" w:eastAsia="Times New Roman" w:hAnsi="Arial" w:cs="Arial"/>
                <w:b/>
                <w:bCs/>
                <w:color w:val="39414D"/>
                <w:sz w:val="16"/>
                <w:szCs w:val="16"/>
              </w:rPr>
              <w:t>21</w:t>
            </w:r>
            <w:r w:rsidR="00EF2761" w:rsidRPr="00A23792">
              <w:rPr>
                <w:rFonts w:ascii="Arial" w:eastAsia="Times New Roman" w:hAnsi="Arial" w:cs="Arial"/>
                <w:b/>
                <w:bCs/>
                <w:color w:val="39414D"/>
                <w:sz w:val="16"/>
                <w:szCs w:val="16"/>
              </w:rPr>
              <w:t xml:space="preserve"> </w:t>
            </w:r>
            <w:r w:rsidRPr="00A23792">
              <w:rPr>
                <w:rFonts w:ascii="Arial" w:eastAsia="Times New Roman" w:hAnsi="Arial" w:cs="Arial"/>
                <w:b/>
                <w:bCs/>
                <w:color w:val="39414D"/>
                <w:sz w:val="16"/>
                <w:szCs w:val="16"/>
              </w:rPr>
              <w:t>Aggregate Expenditures</w:t>
            </w:r>
          </w:p>
        </w:tc>
        <w:tc>
          <w:tcPr>
            <w:tcW w:w="1769" w:type="dxa"/>
            <w:tcBorders>
              <w:top w:val="nil"/>
              <w:left w:val="nil"/>
              <w:bottom w:val="single" w:sz="8" w:space="0" w:color="C6C9CA"/>
              <w:right w:val="nil"/>
            </w:tcBorders>
            <w:shd w:val="clear" w:color="auto" w:fill="auto"/>
            <w:vAlign w:val="center"/>
            <w:hideMark/>
          </w:tcPr>
          <w:p w14:paraId="049D4B43" w14:textId="77777777" w:rsidR="00A23792" w:rsidRPr="00A23792" w:rsidRDefault="00A23792" w:rsidP="00A23792">
            <w:pPr>
              <w:spacing w:after="0" w:line="240" w:lineRule="auto"/>
              <w:jc w:val="center"/>
              <w:rPr>
                <w:rFonts w:ascii="Arial" w:eastAsia="Times New Roman" w:hAnsi="Arial" w:cs="Arial"/>
                <w:b/>
                <w:bCs/>
                <w:color w:val="39414D"/>
                <w:sz w:val="16"/>
                <w:szCs w:val="16"/>
              </w:rPr>
            </w:pPr>
            <w:r w:rsidRPr="00A23792">
              <w:rPr>
                <w:rFonts w:ascii="Arial" w:eastAsia="Times New Roman" w:hAnsi="Arial" w:cs="Arial"/>
                <w:b/>
                <w:bCs/>
                <w:color w:val="39414D"/>
                <w:sz w:val="16"/>
                <w:szCs w:val="16"/>
              </w:rPr>
              <w:t>SFY 2022 Aggregate Expenditures</w:t>
            </w:r>
          </w:p>
        </w:tc>
        <w:tc>
          <w:tcPr>
            <w:tcW w:w="1776" w:type="dxa"/>
            <w:tcBorders>
              <w:top w:val="nil"/>
              <w:left w:val="nil"/>
              <w:bottom w:val="single" w:sz="8" w:space="0" w:color="C6C9CA"/>
              <w:right w:val="nil"/>
            </w:tcBorders>
            <w:shd w:val="clear" w:color="auto" w:fill="auto"/>
            <w:vAlign w:val="center"/>
            <w:hideMark/>
          </w:tcPr>
          <w:p w14:paraId="215CF7B9" w14:textId="77777777" w:rsidR="00A23792" w:rsidRPr="00A23792" w:rsidRDefault="00A23792" w:rsidP="00A23792">
            <w:pPr>
              <w:spacing w:after="0" w:line="240" w:lineRule="auto"/>
              <w:jc w:val="center"/>
              <w:rPr>
                <w:rFonts w:ascii="Arial" w:eastAsia="Times New Roman" w:hAnsi="Arial" w:cs="Arial"/>
                <w:b/>
                <w:bCs/>
                <w:color w:val="39414D"/>
                <w:sz w:val="16"/>
                <w:szCs w:val="16"/>
              </w:rPr>
            </w:pPr>
            <w:r w:rsidRPr="00A23792">
              <w:rPr>
                <w:rFonts w:ascii="Arial" w:eastAsia="Times New Roman" w:hAnsi="Arial" w:cs="Arial"/>
                <w:b/>
                <w:bCs/>
                <w:color w:val="39414D"/>
                <w:sz w:val="16"/>
                <w:szCs w:val="16"/>
              </w:rPr>
              <w:t>Expenditure Change</w:t>
            </w:r>
          </w:p>
        </w:tc>
      </w:tr>
      <w:tr w:rsidR="00C948C4" w:rsidRPr="00A23792" w14:paraId="2E665E06" w14:textId="77777777" w:rsidTr="00841E41">
        <w:trPr>
          <w:trHeight w:val="240"/>
        </w:trPr>
        <w:tc>
          <w:tcPr>
            <w:tcW w:w="1758" w:type="dxa"/>
            <w:tcBorders>
              <w:top w:val="nil"/>
              <w:left w:val="nil"/>
              <w:bottom w:val="nil"/>
              <w:right w:val="nil"/>
            </w:tcBorders>
            <w:shd w:val="clear" w:color="auto" w:fill="auto"/>
            <w:noWrap/>
            <w:vAlign w:val="center"/>
            <w:hideMark/>
          </w:tcPr>
          <w:p w14:paraId="18B83969" w14:textId="77777777" w:rsidR="00C948C4" w:rsidRPr="00A23792" w:rsidRDefault="00C948C4" w:rsidP="00C948C4">
            <w:pPr>
              <w:spacing w:after="0" w:line="240" w:lineRule="auto"/>
              <w:rPr>
                <w:rFonts w:ascii="Arial" w:eastAsia="Times New Roman" w:hAnsi="Arial" w:cs="Arial"/>
                <w:color w:val="000000"/>
                <w:sz w:val="16"/>
                <w:szCs w:val="16"/>
              </w:rPr>
            </w:pPr>
            <w:r w:rsidRPr="00A23792">
              <w:rPr>
                <w:rFonts w:ascii="Arial" w:eastAsia="Times New Roman" w:hAnsi="Arial" w:cs="Arial"/>
                <w:color w:val="000000"/>
                <w:sz w:val="16"/>
                <w:szCs w:val="16"/>
              </w:rPr>
              <w:t>Duals 55-64</w:t>
            </w:r>
          </w:p>
        </w:tc>
        <w:tc>
          <w:tcPr>
            <w:tcW w:w="1769" w:type="dxa"/>
            <w:tcBorders>
              <w:top w:val="nil"/>
              <w:left w:val="nil"/>
              <w:bottom w:val="nil"/>
              <w:right w:val="nil"/>
            </w:tcBorders>
            <w:shd w:val="clear" w:color="auto" w:fill="auto"/>
            <w:noWrap/>
            <w:vAlign w:val="center"/>
            <w:hideMark/>
          </w:tcPr>
          <w:p w14:paraId="6E7F25E4" w14:textId="5CA71DFA" w:rsidR="00C948C4" w:rsidRPr="00B54EA5" w:rsidRDefault="00C948C4" w:rsidP="00C948C4">
            <w:pPr>
              <w:spacing w:after="0" w:line="240" w:lineRule="auto"/>
              <w:jc w:val="right"/>
              <w:rPr>
                <w:rFonts w:ascii="Arial" w:eastAsia="Times New Roman" w:hAnsi="Arial" w:cs="Arial"/>
                <w:color w:val="000000"/>
                <w:sz w:val="16"/>
                <w:szCs w:val="16"/>
              </w:rPr>
            </w:pPr>
            <w:r w:rsidRPr="003B7A88">
              <w:rPr>
                <w:rFonts w:ascii="Arial" w:hAnsi="Arial" w:cs="Arial"/>
                <w:color w:val="000000"/>
                <w:sz w:val="16"/>
                <w:szCs w:val="16"/>
              </w:rPr>
              <w:t xml:space="preserve">$ 1.4 </w:t>
            </w:r>
          </w:p>
        </w:tc>
        <w:tc>
          <w:tcPr>
            <w:tcW w:w="1769" w:type="dxa"/>
            <w:tcBorders>
              <w:top w:val="nil"/>
              <w:left w:val="nil"/>
              <w:bottom w:val="nil"/>
              <w:right w:val="nil"/>
            </w:tcBorders>
            <w:shd w:val="clear" w:color="auto" w:fill="auto"/>
            <w:noWrap/>
            <w:vAlign w:val="center"/>
            <w:hideMark/>
          </w:tcPr>
          <w:p w14:paraId="1EDD973D" w14:textId="08E37D2B"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xml:space="preserve">$ 1.7 </w:t>
            </w:r>
          </w:p>
        </w:tc>
        <w:tc>
          <w:tcPr>
            <w:tcW w:w="1776" w:type="dxa"/>
            <w:tcBorders>
              <w:top w:val="nil"/>
              <w:left w:val="nil"/>
              <w:bottom w:val="nil"/>
              <w:right w:val="nil"/>
            </w:tcBorders>
            <w:shd w:val="clear" w:color="auto" w:fill="auto"/>
            <w:noWrap/>
            <w:vAlign w:val="center"/>
            <w:hideMark/>
          </w:tcPr>
          <w:p w14:paraId="35FFB8EE" w14:textId="1A45A241"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xml:space="preserve">$ 0.2 </w:t>
            </w:r>
          </w:p>
        </w:tc>
      </w:tr>
      <w:tr w:rsidR="00C948C4" w:rsidRPr="00A23792" w14:paraId="486DF723" w14:textId="77777777" w:rsidTr="00841E41">
        <w:trPr>
          <w:trHeight w:val="240"/>
        </w:trPr>
        <w:tc>
          <w:tcPr>
            <w:tcW w:w="1758" w:type="dxa"/>
            <w:tcBorders>
              <w:top w:val="nil"/>
              <w:left w:val="nil"/>
              <w:bottom w:val="nil"/>
              <w:right w:val="nil"/>
            </w:tcBorders>
            <w:shd w:val="clear" w:color="000000" w:fill="E8E9E9"/>
            <w:noWrap/>
            <w:vAlign w:val="center"/>
            <w:hideMark/>
          </w:tcPr>
          <w:p w14:paraId="2831E4AC" w14:textId="77777777" w:rsidR="00C948C4" w:rsidRPr="00A23792" w:rsidRDefault="00C948C4" w:rsidP="00C948C4">
            <w:pPr>
              <w:spacing w:after="0" w:line="240" w:lineRule="auto"/>
              <w:rPr>
                <w:rFonts w:ascii="Arial" w:eastAsia="Times New Roman" w:hAnsi="Arial" w:cs="Arial"/>
                <w:color w:val="000000"/>
                <w:sz w:val="16"/>
                <w:szCs w:val="16"/>
              </w:rPr>
            </w:pPr>
            <w:r w:rsidRPr="00A23792">
              <w:rPr>
                <w:rFonts w:ascii="Arial" w:eastAsia="Times New Roman" w:hAnsi="Arial" w:cs="Arial"/>
                <w:color w:val="000000"/>
                <w:sz w:val="16"/>
                <w:szCs w:val="16"/>
              </w:rPr>
              <w:t>Duals 65+</w:t>
            </w:r>
          </w:p>
        </w:tc>
        <w:tc>
          <w:tcPr>
            <w:tcW w:w="1769" w:type="dxa"/>
            <w:tcBorders>
              <w:top w:val="nil"/>
              <w:left w:val="nil"/>
              <w:bottom w:val="nil"/>
              <w:right w:val="nil"/>
            </w:tcBorders>
            <w:shd w:val="clear" w:color="000000" w:fill="E8E9E9"/>
            <w:noWrap/>
            <w:vAlign w:val="center"/>
            <w:hideMark/>
          </w:tcPr>
          <w:p w14:paraId="1D1E61D2" w14:textId="24DE1DDD" w:rsidR="00C948C4" w:rsidRPr="00B54EA5" w:rsidRDefault="00C948C4" w:rsidP="00C948C4">
            <w:pPr>
              <w:spacing w:after="0" w:line="240" w:lineRule="auto"/>
              <w:jc w:val="right"/>
              <w:rPr>
                <w:rFonts w:ascii="Arial" w:eastAsia="Times New Roman" w:hAnsi="Arial" w:cs="Arial"/>
                <w:color w:val="000000"/>
                <w:sz w:val="16"/>
                <w:szCs w:val="16"/>
              </w:rPr>
            </w:pPr>
            <w:r w:rsidRPr="003B7A88">
              <w:rPr>
                <w:rFonts w:ascii="Arial" w:hAnsi="Arial" w:cs="Arial"/>
                <w:color w:val="000000"/>
                <w:sz w:val="16"/>
                <w:szCs w:val="16"/>
              </w:rPr>
              <w:t xml:space="preserve">12.6 </w:t>
            </w:r>
          </w:p>
        </w:tc>
        <w:tc>
          <w:tcPr>
            <w:tcW w:w="1769" w:type="dxa"/>
            <w:tcBorders>
              <w:top w:val="nil"/>
              <w:left w:val="nil"/>
              <w:bottom w:val="nil"/>
              <w:right w:val="nil"/>
            </w:tcBorders>
            <w:shd w:val="clear" w:color="000000" w:fill="E8E9E9"/>
            <w:noWrap/>
            <w:vAlign w:val="center"/>
            <w:hideMark/>
          </w:tcPr>
          <w:p w14:paraId="319B65C5" w14:textId="7C6E63F6"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xml:space="preserve">16.2 </w:t>
            </w:r>
          </w:p>
        </w:tc>
        <w:tc>
          <w:tcPr>
            <w:tcW w:w="1776" w:type="dxa"/>
            <w:tcBorders>
              <w:top w:val="nil"/>
              <w:left w:val="nil"/>
              <w:bottom w:val="nil"/>
              <w:right w:val="nil"/>
            </w:tcBorders>
            <w:shd w:val="clear" w:color="000000" w:fill="E8E9E9"/>
            <w:noWrap/>
            <w:vAlign w:val="center"/>
            <w:hideMark/>
          </w:tcPr>
          <w:p w14:paraId="319BFE0D" w14:textId="31FDD818"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xml:space="preserve">3.6 </w:t>
            </w:r>
          </w:p>
        </w:tc>
      </w:tr>
      <w:tr w:rsidR="00C948C4" w:rsidRPr="00A23792" w14:paraId="6C96FC4C" w14:textId="77777777" w:rsidTr="00841E41">
        <w:trPr>
          <w:trHeight w:val="240"/>
        </w:trPr>
        <w:tc>
          <w:tcPr>
            <w:tcW w:w="1758" w:type="dxa"/>
            <w:tcBorders>
              <w:top w:val="nil"/>
              <w:left w:val="nil"/>
              <w:bottom w:val="nil"/>
              <w:right w:val="nil"/>
            </w:tcBorders>
            <w:shd w:val="clear" w:color="auto" w:fill="auto"/>
            <w:noWrap/>
            <w:vAlign w:val="center"/>
            <w:hideMark/>
          </w:tcPr>
          <w:p w14:paraId="3DAEDF51" w14:textId="77777777" w:rsidR="00C948C4" w:rsidRPr="00A23792" w:rsidRDefault="00C948C4" w:rsidP="00C948C4">
            <w:pPr>
              <w:spacing w:after="0" w:line="240" w:lineRule="auto"/>
              <w:rPr>
                <w:rFonts w:ascii="Arial" w:eastAsia="Times New Roman" w:hAnsi="Arial" w:cs="Arial"/>
                <w:color w:val="000000"/>
                <w:sz w:val="16"/>
                <w:szCs w:val="16"/>
              </w:rPr>
            </w:pPr>
            <w:r w:rsidRPr="00A23792">
              <w:rPr>
                <w:rFonts w:ascii="Arial" w:eastAsia="Times New Roman" w:hAnsi="Arial" w:cs="Arial"/>
                <w:color w:val="000000"/>
                <w:sz w:val="16"/>
                <w:szCs w:val="16"/>
              </w:rPr>
              <w:t>Non-Duals</w:t>
            </w:r>
          </w:p>
        </w:tc>
        <w:tc>
          <w:tcPr>
            <w:tcW w:w="1769" w:type="dxa"/>
            <w:tcBorders>
              <w:top w:val="nil"/>
              <w:left w:val="nil"/>
              <w:bottom w:val="nil"/>
              <w:right w:val="nil"/>
            </w:tcBorders>
            <w:shd w:val="clear" w:color="auto" w:fill="auto"/>
            <w:noWrap/>
            <w:vAlign w:val="center"/>
            <w:hideMark/>
          </w:tcPr>
          <w:p w14:paraId="78BA0BF3" w14:textId="55E5D16E" w:rsidR="00C948C4" w:rsidRPr="00B54EA5" w:rsidRDefault="00C948C4" w:rsidP="00C948C4">
            <w:pPr>
              <w:spacing w:after="0" w:line="240" w:lineRule="auto"/>
              <w:jc w:val="right"/>
              <w:rPr>
                <w:rFonts w:ascii="Arial" w:eastAsia="Times New Roman" w:hAnsi="Arial" w:cs="Arial"/>
                <w:color w:val="000000"/>
                <w:sz w:val="16"/>
                <w:szCs w:val="16"/>
              </w:rPr>
            </w:pPr>
            <w:r w:rsidRPr="003B7A88">
              <w:rPr>
                <w:rFonts w:ascii="Arial" w:hAnsi="Arial" w:cs="Arial"/>
                <w:color w:val="000000"/>
                <w:sz w:val="16"/>
                <w:szCs w:val="16"/>
              </w:rPr>
              <w:t xml:space="preserve">2.7 </w:t>
            </w:r>
          </w:p>
        </w:tc>
        <w:tc>
          <w:tcPr>
            <w:tcW w:w="1769" w:type="dxa"/>
            <w:tcBorders>
              <w:top w:val="nil"/>
              <w:left w:val="nil"/>
              <w:bottom w:val="nil"/>
              <w:right w:val="nil"/>
            </w:tcBorders>
            <w:shd w:val="clear" w:color="auto" w:fill="auto"/>
            <w:noWrap/>
            <w:vAlign w:val="center"/>
            <w:hideMark/>
          </w:tcPr>
          <w:p w14:paraId="14696E34" w14:textId="7257D0C8"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xml:space="preserve">2.2 </w:t>
            </w:r>
          </w:p>
        </w:tc>
        <w:tc>
          <w:tcPr>
            <w:tcW w:w="1776" w:type="dxa"/>
            <w:tcBorders>
              <w:top w:val="nil"/>
              <w:left w:val="nil"/>
              <w:bottom w:val="nil"/>
              <w:right w:val="nil"/>
            </w:tcBorders>
            <w:shd w:val="clear" w:color="auto" w:fill="auto"/>
            <w:noWrap/>
            <w:vAlign w:val="center"/>
            <w:hideMark/>
          </w:tcPr>
          <w:p w14:paraId="2BB57D5C" w14:textId="2DF16E1C"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(0.4)</w:t>
            </w:r>
          </w:p>
        </w:tc>
      </w:tr>
      <w:tr w:rsidR="00C948C4" w:rsidRPr="00A23792" w14:paraId="5F3A920D" w14:textId="77777777" w:rsidTr="00841E41">
        <w:trPr>
          <w:trHeight w:val="240"/>
        </w:trPr>
        <w:tc>
          <w:tcPr>
            <w:tcW w:w="1758" w:type="dxa"/>
            <w:tcBorders>
              <w:top w:val="nil"/>
              <w:left w:val="nil"/>
              <w:bottom w:val="nil"/>
              <w:right w:val="nil"/>
            </w:tcBorders>
            <w:shd w:val="clear" w:color="000000" w:fill="E8E9E9"/>
            <w:noWrap/>
            <w:vAlign w:val="center"/>
            <w:hideMark/>
          </w:tcPr>
          <w:p w14:paraId="7759F38E" w14:textId="77777777" w:rsidR="00C948C4" w:rsidRPr="00A23792" w:rsidRDefault="00C948C4" w:rsidP="00C948C4">
            <w:pPr>
              <w:spacing w:after="0" w:line="240" w:lineRule="auto"/>
              <w:rPr>
                <w:rFonts w:ascii="Arial" w:eastAsia="Times New Roman" w:hAnsi="Arial" w:cs="Arial"/>
                <w:color w:val="000000"/>
                <w:sz w:val="16"/>
                <w:szCs w:val="16"/>
              </w:rPr>
            </w:pPr>
            <w:r w:rsidRPr="00A23792">
              <w:rPr>
                <w:rFonts w:ascii="Arial" w:eastAsia="Times New Roman" w:hAnsi="Arial" w:cs="Arial"/>
                <w:color w:val="000000"/>
                <w:sz w:val="16"/>
                <w:szCs w:val="16"/>
              </w:rPr>
              <w:t> </w:t>
            </w:r>
          </w:p>
        </w:tc>
        <w:tc>
          <w:tcPr>
            <w:tcW w:w="1769" w:type="dxa"/>
            <w:tcBorders>
              <w:top w:val="nil"/>
              <w:left w:val="nil"/>
              <w:bottom w:val="nil"/>
              <w:right w:val="nil"/>
            </w:tcBorders>
            <w:shd w:val="clear" w:color="000000" w:fill="E8E9E9"/>
            <w:noWrap/>
            <w:vAlign w:val="center"/>
            <w:hideMark/>
          </w:tcPr>
          <w:p w14:paraId="50E189D8" w14:textId="3F4BC77B" w:rsidR="00C948C4" w:rsidRPr="00B54EA5" w:rsidRDefault="00C948C4" w:rsidP="00C948C4">
            <w:pPr>
              <w:spacing w:after="0" w:line="240" w:lineRule="auto"/>
              <w:jc w:val="right"/>
              <w:rPr>
                <w:rFonts w:ascii="Arial" w:eastAsia="Times New Roman" w:hAnsi="Arial" w:cs="Arial"/>
                <w:color w:val="000000"/>
                <w:sz w:val="16"/>
                <w:szCs w:val="16"/>
              </w:rPr>
            </w:pPr>
            <w:r w:rsidRPr="003B7A88">
              <w:rPr>
                <w:rFonts w:ascii="Arial" w:hAnsi="Arial" w:cs="Arial"/>
                <w:color w:val="000000"/>
                <w:sz w:val="16"/>
                <w:szCs w:val="16"/>
              </w:rPr>
              <w:t> </w:t>
            </w:r>
          </w:p>
        </w:tc>
        <w:tc>
          <w:tcPr>
            <w:tcW w:w="1769" w:type="dxa"/>
            <w:tcBorders>
              <w:top w:val="nil"/>
              <w:left w:val="nil"/>
              <w:bottom w:val="nil"/>
              <w:right w:val="nil"/>
            </w:tcBorders>
            <w:shd w:val="clear" w:color="000000" w:fill="E8E9E9"/>
            <w:noWrap/>
            <w:vAlign w:val="center"/>
            <w:hideMark/>
          </w:tcPr>
          <w:p w14:paraId="7771F5A9" w14:textId="2219FFEA"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w:t>
            </w:r>
          </w:p>
        </w:tc>
        <w:tc>
          <w:tcPr>
            <w:tcW w:w="1776" w:type="dxa"/>
            <w:tcBorders>
              <w:top w:val="nil"/>
              <w:left w:val="nil"/>
              <w:bottom w:val="nil"/>
              <w:right w:val="nil"/>
            </w:tcBorders>
            <w:shd w:val="clear" w:color="000000" w:fill="E8E9E9"/>
            <w:noWrap/>
            <w:vAlign w:val="center"/>
            <w:hideMark/>
          </w:tcPr>
          <w:p w14:paraId="69EA5E8F" w14:textId="5A7B8262" w:rsidR="00C948C4" w:rsidRPr="00C948C4" w:rsidRDefault="00C948C4" w:rsidP="00C948C4">
            <w:pPr>
              <w:spacing w:after="0" w:line="240" w:lineRule="auto"/>
              <w:jc w:val="right"/>
              <w:rPr>
                <w:rFonts w:ascii="Arial" w:eastAsia="Times New Roman" w:hAnsi="Arial" w:cs="Arial"/>
                <w:color w:val="000000"/>
                <w:sz w:val="16"/>
                <w:szCs w:val="16"/>
              </w:rPr>
            </w:pPr>
            <w:r w:rsidRPr="00097A11">
              <w:rPr>
                <w:rFonts w:ascii="Arial" w:hAnsi="Arial" w:cs="Arial"/>
                <w:color w:val="000000"/>
                <w:sz w:val="16"/>
                <w:szCs w:val="16"/>
              </w:rPr>
              <w:t> </w:t>
            </w:r>
          </w:p>
        </w:tc>
      </w:tr>
      <w:tr w:rsidR="00C948C4" w:rsidRPr="00A23792" w14:paraId="39B66FBB" w14:textId="77777777" w:rsidTr="00841E41">
        <w:trPr>
          <w:trHeight w:val="240"/>
        </w:trPr>
        <w:tc>
          <w:tcPr>
            <w:tcW w:w="1758" w:type="dxa"/>
            <w:tcBorders>
              <w:top w:val="nil"/>
              <w:left w:val="nil"/>
              <w:bottom w:val="nil"/>
              <w:right w:val="nil"/>
            </w:tcBorders>
            <w:shd w:val="clear" w:color="auto" w:fill="auto"/>
            <w:noWrap/>
            <w:vAlign w:val="center"/>
            <w:hideMark/>
          </w:tcPr>
          <w:p w14:paraId="6501F176" w14:textId="77777777" w:rsidR="00C948C4" w:rsidRPr="00A23792" w:rsidRDefault="00C948C4" w:rsidP="00C948C4">
            <w:pPr>
              <w:spacing w:after="0" w:line="240" w:lineRule="auto"/>
              <w:rPr>
                <w:rFonts w:ascii="Arial" w:eastAsia="Times New Roman" w:hAnsi="Arial" w:cs="Arial"/>
                <w:b/>
                <w:bCs/>
                <w:color w:val="000000"/>
                <w:sz w:val="16"/>
                <w:szCs w:val="16"/>
              </w:rPr>
            </w:pPr>
            <w:r w:rsidRPr="00A23792">
              <w:rPr>
                <w:rFonts w:ascii="Arial" w:eastAsia="Times New Roman" w:hAnsi="Arial" w:cs="Arial"/>
                <w:b/>
                <w:bCs/>
                <w:color w:val="000000"/>
                <w:sz w:val="16"/>
                <w:szCs w:val="16"/>
              </w:rPr>
              <w:t>Total</w:t>
            </w:r>
          </w:p>
        </w:tc>
        <w:tc>
          <w:tcPr>
            <w:tcW w:w="1769" w:type="dxa"/>
            <w:tcBorders>
              <w:top w:val="nil"/>
              <w:left w:val="nil"/>
              <w:bottom w:val="nil"/>
              <w:right w:val="nil"/>
            </w:tcBorders>
            <w:shd w:val="clear" w:color="auto" w:fill="auto"/>
            <w:noWrap/>
            <w:vAlign w:val="center"/>
            <w:hideMark/>
          </w:tcPr>
          <w:p w14:paraId="1699158F" w14:textId="107A9AC1" w:rsidR="00C948C4" w:rsidRPr="00B54EA5" w:rsidRDefault="00C948C4" w:rsidP="00C948C4">
            <w:pPr>
              <w:spacing w:after="0" w:line="240" w:lineRule="auto"/>
              <w:jc w:val="right"/>
              <w:rPr>
                <w:rFonts w:ascii="Arial" w:eastAsia="Times New Roman" w:hAnsi="Arial" w:cs="Arial"/>
                <w:b/>
                <w:color w:val="000000"/>
                <w:sz w:val="16"/>
                <w:szCs w:val="16"/>
              </w:rPr>
            </w:pPr>
            <w:r w:rsidRPr="003B7A88">
              <w:rPr>
                <w:rFonts w:ascii="Arial" w:hAnsi="Arial" w:cs="Arial"/>
                <w:b/>
                <w:bCs/>
                <w:color w:val="000000"/>
                <w:sz w:val="16"/>
                <w:szCs w:val="16"/>
              </w:rPr>
              <w:t xml:space="preserve">$ 16.7 </w:t>
            </w:r>
          </w:p>
        </w:tc>
        <w:tc>
          <w:tcPr>
            <w:tcW w:w="1769" w:type="dxa"/>
            <w:tcBorders>
              <w:top w:val="nil"/>
              <w:left w:val="nil"/>
              <w:bottom w:val="nil"/>
              <w:right w:val="nil"/>
            </w:tcBorders>
            <w:shd w:val="clear" w:color="auto" w:fill="auto"/>
            <w:noWrap/>
            <w:vAlign w:val="center"/>
            <w:hideMark/>
          </w:tcPr>
          <w:p w14:paraId="09DCD2B0" w14:textId="5F981D4C"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$ 20.</w:t>
            </w:r>
            <w:r w:rsidR="0050726D">
              <w:rPr>
                <w:rFonts w:ascii="Arial" w:hAnsi="Arial" w:cs="Arial"/>
                <w:b/>
                <w:bCs/>
                <w:color w:val="000000"/>
                <w:sz w:val="16"/>
                <w:szCs w:val="16"/>
              </w:rPr>
              <w:t>1</w:t>
            </w:r>
            <w:r w:rsidR="0050726D" w:rsidRPr="00097A11">
              <w:rPr>
                <w:rFonts w:ascii="Arial" w:hAnsi="Arial" w:cs="Arial"/>
                <w:b/>
                <w:bCs/>
                <w:color w:val="000000"/>
                <w:sz w:val="16"/>
                <w:szCs w:val="16"/>
              </w:rPr>
              <w:t xml:space="preserve"> </w:t>
            </w:r>
          </w:p>
        </w:tc>
        <w:tc>
          <w:tcPr>
            <w:tcW w:w="1776" w:type="dxa"/>
            <w:tcBorders>
              <w:top w:val="nil"/>
              <w:left w:val="nil"/>
              <w:bottom w:val="nil"/>
              <w:right w:val="nil"/>
            </w:tcBorders>
            <w:shd w:val="clear" w:color="auto" w:fill="auto"/>
            <w:noWrap/>
            <w:vAlign w:val="center"/>
            <w:hideMark/>
          </w:tcPr>
          <w:p w14:paraId="778B6534" w14:textId="4261D7FB"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xml:space="preserve">$ 3.4 </w:t>
            </w:r>
          </w:p>
        </w:tc>
      </w:tr>
      <w:tr w:rsidR="00C948C4" w:rsidRPr="00A23792" w14:paraId="22170667" w14:textId="77777777" w:rsidTr="00841E41">
        <w:trPr>
          <w:trHeight w:val="240"/>
        </w:trPr>
        <w:tc>
          <w:tcPr>
            <w:tcW w:w="1758" w:type="dxa"/>
            <w:tcBorders>
              <w:top w:val="nil"/>
              <w:left w:val="nil"/>
              <w:bottom w:val="nil"/>
              <w:right w:val="nil"/>
            </w:tcBorders>
            <w:shd w:val="clear" w:color="000000" w:fill="E8E9E9"/>
            <w:noWrap/>
            <w:vAlign w:val="center"/>
            <w:hideMark/>
          </w:tcPr>
          <w:p w14:paraId="26E92BE2" w14:textId="77777777" w:rsidR="00C948C4" w:rsidRPr="00A23792" w:rsidRDefault="00C948C4" w:rsidP="00C948C4">
            <w:pPr>
              <w:spacing w:after="0" w:line="240" w:lineRule="auto"/>
              <w:rPr>
                <w:rFonts w:ascii="Arial" w:eastAsia="Times New Roman" w:hAnsi="Arial" w:cs="Arial"/>
                <w:b/>
                <w:bCs/>
                <w:color w:val="000000"/>
                <w:sz w:val="16"/>
                <w:szCs w:val="16"/>
              </w:rPr>
            </w:pPr>
            <w:r w:rsidRPr="00A23792">
              <w:rPr>
                <w:rFonts w:ascii="Arial" w:eastAsia="Times New Roman" w:hAnsi="Arial" w:cs="Arial"/>
                <w:b/>
                <w:bCs/>
                <w:color w:val="000000"/>
                <w:sz w:val="16"/>
                <w:szCs w:val="16"/>
              </w:rPr>
              <w:t>Total Federal</w:t>
            </w:r>
          </w:p>
        </w:tc>
        <w:tc>
          <w:tcPr>
            <w:tcW w:w="1769" w:type="dxa"/>
            <w:tcBorders>
              <w:top w:val="nil"/>
              <w:left w:val="nil"/>
              <w:bottom w:val="nil"/>
              <w:right w:val="nil"/>
            </w:tcBorders>
            <w:shd w:val="clear" w:color="000000" w:fill="E8E9E9"/>
            <w:noWrap/>
            <w:vAlign w:val="center"/>
            <w:hideMark/>
          </w:tcPr>
          <w:p w14:paraId="5A453380" w14:textId="0CD044C2" w:rsidR="00C948C4" w:rsidRPr="00B54EA5" w:rsidRDefault="00C948C4" w:rsidP="00C948C4">
            <w:pPr>
              <w:spacing w:after="0" w:line="240" w:lineRule="auto"/>
              <w:jc w:val="right"/>
              <w:rPr>
                <w:rFonts w:ascii="Arial" w:eastAsia="Times New Roman" w:hAnsi="Arial" w:cs="Arial"/>
                <w:b/>
                <w:color w:val="000000"/>
                <w:sz w:val="16"/>
                <w:szCs w:val="16"/>
              </w:rPr>
            </w:pPr>
            <w:r w:rsidRPr="003B7A88">
              <w:rPr>
                <w:rFonts w:ascii="Arial" w:hAnsi="Arial" w:cs="Arial"/>
                <w:b/>
                <w:bCs/>
                <w:color w:val="000000"/>
                <w:sz w:val="16"/>
                <w:szCs w:val="16"/>
              </w:rPr>
              <w:t xml:space="preserve">$ 9.2 </w:t>
            </w:r>
          </w:p>
        </w:tc>
        <w:tc>
          <w:tcPr>
            <w:tcW w:w="1769" w:type="dxa"/>
            <w:tcBorders>
              <w:top w:val="nil"/>
              <w:left w:val="nil"/>
              <w:bottom w:val="nil"/>
              <w:right w:val="nil"/>
            </w:tcBorders>
            <w:shd w:val="clear" w:color="000000" w:fill="E8E9E9"/>
            <w:noWrap/>
            <w:vAlign w:val="center"/>
            <w:hideMark/>
          </w:tcPr>
          <w:p w14:paraId="2BD58A65" w14:textId="3EA799D1"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xml:space="preserve">$ 11.0 </w:t>
            </w:r>
          </w:p>
        </w:tc>
        <w:tc>
          <w:tcPr>
            <w:tcW w:w="1776" w:type="dxa"/>
            <w:tcBorders>
              <w:top w:val="nil"/>
              <w:left w:val="nil"/>
              <w:bottom w:val="nil"/>
              <w:right w:val="nil"/>
            </w:tcBorders>
            <w:shd w:val="clear" w:color="000000" w:fill="E8E9E9"/>
            <w:noWrap/>
            <w:vAlign w:val="center"/>
            <w:hideMark/>
          </w:tcPr>
          <w:p w14:paraId="3A2B16D0" w14:textId="3EC4B467"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xml:space="preserve">$ 1.9 </w:t>
            </w:r>
          </w:p>
        </w:tc>
      </w:tr>
      <w:tr w:rsidR="00C948C4" w:rsidRPr="00A23792" w14:paraId="1A26339F" w14:textId="77777777" w:rsidTr="00841E41">
        <w:trPr>
          <w:trHeight w:val="240"/>
        </w:trPr>
        <w:tc>
          <w:tcPr>
            <w:tcW w:w="1758" w:type="dxa"/>
            <w:tcBorders>
              <w:top w:val="nil"/>
              <w:left w:val="nil"/>
              <w:bottom w:val="nil"/>
              <w:right w:val="nil"/>
            </w:tcBorders>
            <w:shd w:val="clear" w:color="auto" w:fill="auto"/>
            <w:noWrap/>
            <w:vAlign w:val="center"/>
            <w:hideMark/>
          </w:tcPr>
          <w:p w14:paraId="685D52EA" w14:textId="77777777" w:rsidR="00C948C4" w:rsidRPr="00A23792" w:rsidRDefault="00C948C4" w:rsidP="00C948C4">
            <w:pPr>
              <w:spacing w:after="0" w:line="240" w:lineRule="auto"/>
              <w:rPr>
                <w:rFonts w:ascii="Arial" w:eastAsia="Times New Roman" w:hAnsi="Arial" w:cs="Arial"/>
                <w:b/>
                <w:bCs/>
                <w:color w:val="000000"/>
                <w:sz w:val="16"/>
                <w:szCs w:val="16"/>
              </w:rPr>
            </w:pPr>
            <w:r w:rsidRPr="00A23792">
              <w:rPr>
                <w:rFonts w:ascii="Arial" w:eastAsia="Times New Roman" w:hAnsi="Arial" w:cs="Arial"/>
                <w:b/>
                <w:bCs/>
                <w:color w:val="000000"/>
                <w:sz w:val="16"/>
                <w:szCs w:val="16"/>
              </w:rPr>
              <w:t>Total State</w:t>
            </w:r>
          </w:p>
        </w:tc>
        <w:tc>
          <w:tcPr>
            <w:tcW w:w="1769" w:type="dxa"/>
            <w:tcBorders>
              <w:top w:val="nil"/>
              <w:left w:val="nil"/>
              <w:bottom w:val="nil"/>
              <w:right w:val="nil"/>
            </w:tcBorders>
            <w:shd w:val="clear" w:color="auto" w:fill="auto"/>
            <w:noWrap/>
            <w:vAlign w:val="center"/>
            <w:hideMark/>
          </w:tcPr>
          <w:p w14:paraId="5F42CF5F" w14:textId="204A66F9" w:rsidR="00C948C4" w:rsidRPr="00B54EA5" w:rsidRDefault="00C948C4" w:rsidP="00C948C4">
            <w:pPr>
              <w:spacing w:after="0" w:line="240" w:lineRule="auto"/>
              <w:jc w:val="right"/>
              <w:rPr>
                <w:rFonts w:ascii="Arial" w:eastAsia="Times New Roman" w:hAnsi="Arial" w:cs="Arial"/>
                <w:b/>
                <w:color w:val="000000"/>
                <w:sz w:val="16"/>
                <w:szCs w:val="16"/>
              </w:rPr>
            </w:pPr>
            <w:r w:rsidRPr="003B7A88">
              <w:rPr>
                <w:rFonts w:ascii="Arial" w:hAnsi="Arial" w:cs="Arial"/>
                <w:b/>
                <w:bCs/>
                <w:color w:val="000000"/>
                <w:sz w:val="16"/>
                <w:szCs w:val="16"/>
              </w:rPr>
              <w:t xml:space="preserve">$ 7.6 </w:t>
            </w:r>
          </w:p>
        </w:tc>
        <w:tc>
          <w:tcPr>
            <w:tcW w:w="1769" w:type="dxa"/>
            <w:tcBorders>
              <w:top w:val="nil"/>
              <w:left w:val="nil"/>
              <w:bottom w:val="nil"/>
              <w:right w:val="nil"/>
            </w:tcBorders>
            <w:shd w:val="clear" w:color="auto" w:fill="auto"/>
            <w:noWrap/>
            <w:vAlign w:val="center"/>
            <w:hideMark/>
          </w:tcPr>
          <w:p w14:paraId="211A4CBA" w14:textId="1B49A637"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xml:space="preserve">$ 9.1 </w:t>
            </w:r>
          </w:p>
        </w:tc>
        <w:tc>
          <w:tcPr>
            <w:tcW w:w="1776" w:type="dxa"/>
            <w:tcBorders>
              <w:top w:val="nil"/>
              <w:left w:val="nil"/>
              <w:bottom w:val="nil"/>
              <w:right w:val="nil"/>
            </w:tcBorders>
            <w:shd w:val="clear" w:color="auto" w:fill="auto"/>
            <w:noWrap/>
            <w:vAlign w:val="center"/>
            <w:hideMark/>
          </w:tcPr>
          <w:p w14:paraId="08FE2D8D" w14:textId="737A5ACD" w:rsidR="00C948C4" w:rsidRPr="00C948C4" w:rsidRDefault="00C948C4" w:rsidP="00C948C4">
            <w:pPr>
              <w:spacing w:after="0" w:line="240" w:lineRule="auto"/>
              <w:jc w:val="right"/>
              <w:rPr>
                <w:rFonts w:ascii="Arial" w:eastAsia="Times New Roman" w:hAnsi="Arial" w:cs="Arial"/>
                <w:b/>
                <w:color w:val="000000"/>
                <w:sz w:val="16"/>
                <w:szCs w:val="16"/>
              </w:rPr>
            </w:pPr>
            <w:r w:rsidRPr="00097A11">
              <w:rPr>
                <w:rFonts w:ascii="Arial" w:hAnsi="Arial" w:cs="Arial"/>
                <w:b/>
                <w:bCs/>
                <w:color w:val="000000"/>
                <w:sz w:val="16"/>
                <w:szCs w:val="16"/>
              </w:rPr>
              <w:t xml:space="preserve">$ 1.5 </w:t>
            </w:r>
          </w:p>
        </w:tc>
      </w:tr>
    </w:tbl>
    <w:p w14:paraId="7B16B2CF" w14:textId="77777777" w:rsidR="00CC1EAD" w:rsidRPr="008569E5" w:rsidRDefault="00CC1EAD" w:rsidP="008569E5">
      <w:pPr>
        <w:pStyle w:val="RRBullet1"/>
        <w:spacing w:after="0"/>
        <w:jc w:val="left"/>
        <w:rPr>
          <w:rFonts w:ascii="Arial" w:eastAsia="Times New Roman" w:hAnsi="Arial" w:cs="Arial"/>
          <w:color w:val="727A7D"/>
          <w:sz w:val="16"/>
          <w:szCs w:val="16"/>
        </w:rPr>
      </w:pPr>
      <w:r w:rsidRPr="008569E5">
        <w:rPr>
          <w:rFonts w:ascii="Arial" w:eastAsia="Times New Roman" w:hAnsi="Arial" w:cs="Arial"/>
          <w:color w:val="727A7D"/>
          <w:sz w:val="16"/>
          <w:szCs w:val="16"/>
        </w:rPr>
        <w:t xml:space="preserve">Notes: </w:t>
      </w:r>
    </w:p>
    <w:p w14:paraId="1147A1F3" w14:textId="6EABBEC4" w:rsidR="00D32709" w:rsidRDefault="00CC1EAD" w:rsidP="008405A2">
      <w:pPr>
        <w:pStyle w:val="RRBullet1"/>
        <w:numPr>
          <w:ilvl w:val="0"/>
          <w:numId w:val="18"/>
        </w:numPr>
        <w:spacing w:after="0"/>
        <w:jc w:val="left"/>
        <w:rPr>
          <w:rFonts w:ascii="Arial" w:eastAsia="Times New Roman" w:hAnsi="Arial" w:cs="Arial"/>
          <w:color w:val="727A7D"/>
          <w:sz w:val="16"/>
          <w:szCs w:val="16"/>
        </w:rPr>
      </w:pPr>
      <w:r w:rsidRPr="008569E5">
        <w:rPr>
          <w:rFonts w:ascii="Arial" w:eastAsia="Times New Roman" w:hAnsi="Arial" w:cs="Arial"/>
          <w:color w:val="727A7D"/>
          <w:sz w:val="16"/>
          <w:szCs w:val="16"/>
        </w:rPr>
        <w:t>Values have been rounded.</w:t>
      </w:r>
    </w:p>
    <w:p w14:paraId="353C6960" w14:textId="36588F1B" w:rsidR="00CC1EAD" w:rsidRPr="00D32709" w:rsidRDefault="00CC1EAD" w:rsidP="008405A2">
      <w:pPr>
        <w:pStyle w:val="RRBullet1"/>
        <w:numPr>
          <w:ilvl w:val="0"/>
          <w:numId w:val="18"/>
        </w:numPr>
        <w:spacing w:after="0"/>
        <w:jc w:val="left"/>
        <w:rPr>
          <w:rFonts w:ascii="Arial" w:eastAsia="Times New Roman" w:hAnsi="Arial" w:cs="Arial"/>
          <w:color w:val="727A7D"/>
          <w:sz w:val="16"/>
          <w:szCs w:val="16"/>
        </w:rPr>
      </w:pPr>
      <w:r w:rsidRPr="00D32709">
        <w:rPr>
          <w:rFonts w:ascii="Arial" w:eastAsia="Times New Roman" w:hAnsi="Arial" w:cs="Arial"/>
          <w:color w:val="727A7D"/>
          <w:sz w:val="16"/>
          <w:szCs w:val="16"/>
        </w:rPr>
        <w:t>SFY 2021 and SFY 2022 aggregate expenditures were developed based on projected SFY 2022 enrollment.</w:t>
      </w:r>
    </w:p>
    <w:p w14:paraId="203B8662" w14:textId="484ECCD8" w:rsidR="00405299" w:rsidRPr="008569E5" w:rsidRDefault="00CC1EAD" w:rsidP="008405A2">
      <w:pPr>
        <w:pStyle w:val="RRBullet1"/>
        <w:numPr>
          <w:ilvl w:val="0"/>
          <w:numId w:val="18"/>
        </w:numPr>
        <w:spacing w:after="0"/>
        <w:jc w:val="left"/>
        <w:rPr>
          <w:rFonts w:ascii="Arial" w:eastAsia="Times New Roman" w:hAnsi="Arial" w:cs="Arial"/>
          <w:color w:val="727A7D"/>
          <w:sz w:val="16"/>
          <w:szCs w:val="16"/>
        </w:rPr>
      </w:pPr>
      <w:r w:rsidRPr="008569E5">
        <w:rPr>
          <w:rFonts w:ascii="Arial" w:eastAsia="Times New Roman" w:hAnsi="Arial" w:cs="Arial"/>
          <w:color w:val="727A7D"/>
          <w:sz w:val="16"/>
          <w:szCs w:val="16"/>
        </w:rPr>
        <w:t>State expenditures for all columns are based on Federal Fiscal Year (FFY) 2021 Federal Medical Assistance Percentage (FMAP) of 54.09% for three months and FFY 2022 FMAP of 54.88% for nine months. No adjustment was made for any applicable enhanced FMAP rates.</w:t>
      </w:r>
    </w:p>
    <w:p w14:paraId="0206F09D" w14:textId="77777777" w:rsidR="00A460A8" w:rsidRDefault="00A460A8" w:rsidP="00A460A8">
      <w:pPr>
        <w:spacing w:after="0" w:line="240" w:lineRule="auto"/>
        <w:jc w:val="both"/>
        <w:rPr>
          <w:rFonts w:cs="Arial"/>
          <w:sz w:val="20"/>
          <w:szCs w:val="20"/>
        </w:rPr>
      </w:pPr>
    </w:p>
    <w:p w14:paraId="164D55C4" w14:textId="77777777" w:rsidR="00920444" w:rsidRDefault="00920444" w:rsidP="008C085B">
      <w:pPr>
        <w:rPr>
          <w:rFonts w:cs="Arial"/>
          <w:sz w:val="20"/>
          <w:szCs w:val="20"/>
        </w:rPr>
      </w:pPr>
    </w:p>
    <w:p w14:paraId="45CFEBB6" w14:textId="507792F3" w:rsidR="00593603" w:rsidRPr="008C085B" w:rsidRDefault="00A460A8" w:rsidP="008C085B">
      <w:pPr>
        <w:rPr>
          <w:rFonts w:cs="Arial"/>
          <w:sz w:val="20"/>
          <w:szCs w:val="20"/>
        </w:rPr>
      </w:pPr>
      <w:r>
        <w:rPr>
          <w:rFonts w:cs="Arial"/>
          <w:sz w:val="20"/>
          <w:szCs w:val="20"/>
        </w:rPr>
        <w:br w:type="page"/>
      </w:r>
    </w:p>
    <w:p w14:paraId="671E4570" w14:textId="14B4AB6B" w:rsidR="008C085B" w:rsidRPr="00282D91" w:rsidRDefault="008C085B" w:rsidP="000B2662">
      <w:pPr>
        <w:pStyle w:val="Heading1"/>
      </w:pPr>
      <w:bookmarkStart w:id="3" w:name="_Toc423520188"/>
      <w:bookmarkStart w:id="4" w:name="_Toc91081148"/>
      <w:bookmarkStart w:id="5" w:name="_Toc524271289"/>
      <w:bookmarkStart w:id="6" w:name="_Toc69226415"/>
      <w:r>
        <w:lastRenderedPageBreak/>
        <w:t xml:space="preserve">II. </w:t>
      </w:r>
      <w:r w:rsidRPr="000B2662">
        <w:t>PACE</w:t>
      </w:r>
      <w:r w:rsidRPr="00282D91">
        <w:t xml:space="preserve"> </w:t>
      </w:r>
      <w:r w:rsidRPr="00C758E2">
        <w:t>AWOP</w:t>
      </w:r>
      <w:r w:rsidRPr="00282D91">
        <w:t xml:space="preserve"> Methodology</w:t>
      </w:r>
      <w:bookmarkEnd w:id="3"/>
      <w:bookmarkEnd w:id="4"/>
      <w:r w:rsidRPr="00282D91">
        <w:t xml:space="preserve"> </w:t>
      </w:r>
      <w:bookmarkEnd w:id="5"/>
      <w:bookmarkEnd w:id="6"/>
    </w:p>
    <w:p w14:paraId="29970653" w14:textId="475B9860" w:rsidR="008C085B" w:rsidRPr="00CB0BE3" w:rsidRDefault="008C085B" w:rsidP="0046181A">
      <w:pPr>
        <w:spacing w:after="120"/>
        <w:rPr>
          <w:rFonts w:cs="Arial"/>
        </w:rPr>
      </w:pPr>
      <w:r w:rsidRPr="00CB0BE3">
        <w:rPr>
          <w:rFonts w:cs="Arial"/>
        </w:rPr>
        <w:t xml:space="preserve">The methodology </w:t>
      </w:r>
      <w:r w:rsidR="00CA5928">
        <w:rPr>
          <w:rFonts w:cs="Arial"/>
        </w:rPr>
        <w:t>to develop the amount</w:t>
      </w:r>
      <w:r w:rsidR="00C4204C">
        <w:rPr>
          <w:rFonts w:cs="Arial"/>
        </w:rPr>
        <w:t>s</w:t>
      </w:r>
      <w:r w:rsidR="00CA5928">
        <w:rPr>
          <w:rFonts w:cs="Arial"/>
        </w:rPr>
        <w:t xml:space="preserve"> that would have otherwise been paid (AWOP</w:t>
      </w:r>
      <w:r w:rsidR="00C4204C">
        <w:rPr>
          <w:rFonts w:cs="Arial"/>
        </w:rPr>
        <w:t>s</w:t>
      </w:r>
      <w:r w:rsidR="00CA5928">
        <w:rPr>
          <w:rFonts w:cs="Arial"/>
        </w:rPr>
        <w:t>) and the required documentation are included in this section of the report. T</w:t>
      </w:r>
      <w:r w:rsidRPr="00CB0BE3">
        <w:rPr>
          <w:rFonts w:cs="Arial"/>
        </w:rPr>
        <w:t xml:space="preserve">he </w:t>
      </w:r>
      <w:r w:rsidR="00323785">
        <w:rPr>
          <w:rFonts w:cs="Arial"/>
        </w:rPr>
        <w:t xml:space="preserve">methodology to develop the </w:t>
      </w:r>
      <w:r w:rsidRPr="00CB0BE3">
        <w:rPr>
          <w:rFonts w:cs="Arial"/>
        </w:rPr>
        <w:t>SFY 202</w:t>
      </w:r>
      <w:r>
        <w:rPr>
          <w:rFonts w:cs="Arial"/>
        </w:rPr>
        <w:t>2</w:t>
      </w:r>
      <w:r w:rsidRPr="00CB0BE3">
        <w:rPr>
          <w:rFonts w:cs="Arial"/>
        </w:rPr>
        <w:t xml:space="preserve"> </w:t>
      </w:r>
      <w:r w:rsidR="00A80231">
        <w:rPr>
          <w:rFonts w:cs="Arial"/>
        </w:rPr>
        <w:t>AWOP</w:t>
      </w:r>
      <w:r w:rsidR="00C4204C">
        <w:rPr>
          <w:rFonts w:cs="Arial"/>
        </w:rPr>
        <w:t>s</w:t>
      </w:r>
      <w:r w:rsidRPr="00CB0BE3">
        <w:rPr>
          <w:rFonts w:cs="Arial"/>
        </w:rPr>
        <w:t xml:space="preserve"> </w:t>
      </w:r>
      <w:r w:rsidR="00C31C08">
        <w:rPr>
          <w:rFonts w:cs="Arial"/>
        </w:rPr>
        <w:t xml:space="preserve">is </w:t>
      </w:r>
      <w:r w:rsidR="00323785">
        <w:rPr>
          <w:rFonts w:cs="Arial"/>
        </w:rPr>
        <w:t xml:space="preserve">outlined </w:t>
      </w:r>
      <w:r w:rsidRPr="00CB0BE3">
        <w:rPr>
          <w:rFonts w:cs="Arial"/>
        </w:rPr>
        <w:t>in the following steps:</w:t>
      </w:r>
    </w:p>
    <w:p w14:paraId="2E4C6B27" w14:textId="38699D56" w:rsidR="009B43D6" w:rsidRPr="002352E4" w:rsidRDefault="002D04B7" w:rsidP="008405A2">
      <w:pPr>
        <w:numPr>
          <w:ilvl w:val="0"/>
          <w:numId w:val="13"/>
        </w:numPr>
        <w:spacing w:after="120"/>
        <w:rPr>
          <w:rFonts w:cs="Arial"/>
        </w:rPr>
      </w:pPr>
      <w:bookmarkStart w:id="7" w:name="_Hlk83315589"/>
      <w:r w:rsidRPr="002D04B7">
        <w:rPr>
          <w:rFonts w:cs="Arial"/>
        </w:rPr>
        <w:t xml:space="preserve">Define </w:t>
      </w:r>
      <w:r w:rsidR="007A681A">
        <w:rPr>
          <w:rFonts w:cs="Arial"/>
        </w:rPr>
        <w:t>p</w:t>
      </w:r>
      <w:r w:rsidRPr="002D04B7">
        <w:rPr>
          <w:rFonts w:cs="Arial"/>
        </w:rPr>
        <w:t xml:space="preserve">roxy </w:t>
      </w:r>
      <w:r w:rsidR="007A681A">
        <w:rPr>
          <w:rFonts w:cs="Arial"/>
        </w:rPr>
        <w:t>PACE p</w:t>
      </w:r>
      <w:r w:rsidRPr="002D04B7">
        <w:rPr>
          <w:rFonts w:cs="Arial"/>
        </w:rPr>
        <w:t>opulation</w:t>
      </w:r>
      <w:r w:rsidRPr="002D04B7" w:rsidDel="002D04B7">
        <w:rPr>
          <w:rFonts w:cs="Arial"/>
        </w:rPr>
        <w:t xml:space="preserve"> </w:t>
      </w:r>
    </w:p>
    <w:p w14:paraId="511B2C68" w14:textId="1008046F" w:rsidR="008C085B" w:rsidRPr="002352E4" w:rsidRDefault="009B43D6" w:rsidP="008405A2">
      <w:pPr>
        <w:numPr>
          <w:ilvl w:val="0"/>
          <w:numId w:val="13"/>
        </w:numPr>
        <w:spacing w:after="120"/>
        <w:rPr>
          <w:rFonts w:cs="Arial"/>
        </w:rPr>
      </w:pPr>
      <w:r w:rsidRPr="00CB0BE3">
        <w:rPr>
          <w:rFonts w:cs="Arial"/>
        </w:rPr>
        <w:t>Summarize FFS</w:t>
      </w:r>
      <w:r w:rsidR="00D60667">
        <w:rPr>
          <w:rFonts w:cs="Arial"/>
        </w:rPr>
        <w:t xml:space="preserve"> claims</w:t>
      </w:r>
      <w:r w:rsidR="000C5661">
        <w:rPr>
          <w:rFonts w:cs="Arial"/>
        </w:rPr>
        <w:t xml:space="preserve">, </w:t>
      </w:r>
      <w:r w:rsidR="00FF0C50">
        <w:rPr>
          <w:rFonts w:cs="Arial"/>
        </w:rPr>
        <w:t>non-emergency medical transportation (NEMT)</w:t>
      </w:r>
      <w:r w:rsidR="000C5661">
        <w:rPr>
          <w:rFonts w:cs="Arial"/>
        </w:rPr>
        <w:t>, a</w:t>
      </w:r>
      <w:r w:rsidR="00D5475C">
        <w:rPr>
          <w:rFonts w:cs="Arial"/>
        </w:rPr>
        <w:t>nd patient liability</w:t>
      </w:r>
      <w:r w:rsidRPr="00CB0BE3">
        <w:rPr>
          <w:rFonts w:cs="Arial"/>
        </w:rPr>
        <w:t xml:space="preserve"> </w:t>
      </w:r>
      <w:r w:rsidR="00654C6C" w:rsidRPr="00CB0BE3">
        <w:rPr>
          <w:rFonts w:cs="Arial"/>
        </w:rPr>
        <w:t>experience</w:t>
      </w:r>
      <w:r w:rsidR="00654C6C">
        <w:rPr>
          <w:rFonts w:cs="Arial"/>
        </w:rPr>
        <w:t xml:space="preserve"> </w:t>
      </w:r>
      <w:r w:rsidRPr="00CB0BE3">
        <w:rPr>
          <w:rFonts w:cs="Arial"/>
        </w:rPr>
        <w:t xml:space="preserve">for </w:t>
      </w:r>
      <w:r w:rsidR="00E23B37">
        <w:rPr>
          <w:rFonts w:cs="Arial"/>
        </w:rPr>
        <w:t>proxy PACE population</w:t>
      </w:r>
      <w:bookmarkEnd w:id="7"/>
    </w:p>
    <w:p w14:paraId="09E69DDA" w14:textId="75B79BAB" w:rsidR="001A7259" w:rsidRPr="002352E4" w:rsidRDefault="008C085B" w:rsidP="008405A2">
      <w:pPr>
        <w:numPr>
          <w:ilvl w:val="0"/>
          <w:numId w:val="13"/>
        </w:numPr>
        <w:spacing w:after="120"/>
        <w:rPr>
          <w:rFonts w:cs="Arial"/>
        </w:rPr>
      </w:pPr>
      <w:r w:rsidRPr="00CB0BE3">
        <w:rPr>
          <w:rFonts w:cs="Arial"/>
        </w:rPr>
        <w:t xml:space="preserve">Apply </w:t>
      </w:r>
      <w:r w:rsidR="001A7259">
        <w:rPr>
          <w:rFonts w:cs="Arial"/>
        </w:rPr>
        <w:t xml:space="preserve">retrospective </w:t>
      </w:r>
      <w:r w:rsidR="00B21EB0">
        <w:rPr>
          <w:rFonts w:cs="Arial"/>
        </w:rPr>
        <w:t xml:space="preserve">completion and </w:t>
      </w:r>
      <w:r w:rsidR="00DB2659">
        <w:rPr>
          <w:rFonts w:cs="Arial"/>
        </w:rPr>
        <w:t xml:space="preserve">trend </w:t>
      </w:r>
      <w:r w:rsidRPr="00CB0BE3">
        <w:rPr>
          <w:rFonts w:cs="Arial"/>
        </w:rPr>
        <w:t xml:space="preserve">adjustments </w:t>
      </w:r>
    </w:p>
    <w:p w14:paraId="358B6B3B" w14:textId="062075D1" w:rsidR="00825752" w:rsidRDefault="001A7259" w:rsidP="008405A2">
      <w:pPr>
        <w:numPr>
          <w:ilvl w:val="0"/>
          <w:numId w:val="13"/>
        </w:numPr>
        <w:spacing w:after="120"/>
        <w:rPr>
          <w:rFonts w:cs="Arial"/>
        </w:rPr>
      </w:pPr>
      <w:r>
        <w:rPr>
          <w:rFonts w:cs="Arial"/>
        </w:rPr>
        <w:t xml:space="preserve">Apply adjustments </w:t>
      </w:r>
      <w:r w:rsidR="00521D14">
        <w:rPr>
          <w:rFonts w:cs="Arial"/>
        </w:rPr>
        <w:t>to reflect the PACE population acuity</w:t>
      </w:r>
    </w:p>
    <w:p w14:paraId="26547E76" w14:textId="01A5B525" w:rsidR="007E7E96" w:rsidRPr="002352E4" w:rsidRDefault="007E7E96" w:rsidP="008405A2">
      <w:pPr>
        <w:numPr>
          <w:ilvl w:val="0"/>
          <w:numId w:val="13"/>
        </w:numPr>
        <w:spacing w:after="120"/>
        <w:rPr>
          <w:rFonts w:cs="Arial"/>
        </w:rPr>
      </w:pPr>
      <w:r>
        <w:rPr>
          <w:rFonts w:cs="Arial"/>
        </w:rPr>
        <w:t>Apply prospective program adjustments</w:t>
      </w:r>
    </w:p>
    <w:p w14:paraId="41230925" w14:textId="685E1540" w:rsidR="008C085B" w:rsidRPr="002352E4" w:rsidRDefault="005D79B9" w:rsidP="008405A2">
      <w:pPr>
        <w:numPr>
          <w:ilvl w:val="0"/>
          <w:numId w:val="13"/>
        </w:numPr>
        <w:spacing w:after="120"/>
        <w:rPr>
          <w:rFonts w:cs="Arial"/>
        </w:rPr>
      </w:pPr>
      <w:r>
        <w:rPr>
          <w:rFonts w:cs="Arial"/>
        </w:rPr>
        <w:t>T</w:t>
      </w:r>
      <w:r w:rsidR="009872C3">
        <w:rPr>
          <w:rFonts w:cs="Arial"/>
        </w:rPr>
        <w:t xml:space="preserve">rend </w:t>
      </w:r>
      <w:r w:rsidR="007A681A">
        <w:rPr>
          <w:rFonts w:cs="Arial"/>
        </w:rPr>
        <w:t xml:space="preserve">base experience </w:t>
      </w:r>
      <w:r w:rsidR="005F1B6E">
        <w:rPr>
          <w:rFonts w:cs="Arial"/>
        </w:rPr>
        <w:t xml:space="preserve">to </w:t>
      </w:r>
      <w:r w:rsidR="008C085B" w:rsidRPr="00825752">
        <w:rPr>
          <w:rFonts w:cs="Arial"/>
        </w:rPr>
        <w:t xml:space="preserve">the SFY 2022 AWOP period </w:t>
      </w:r>
    </w:p>
    <w:p w14:paraId="66C5A87D" w14:textId="0D74CAEC" w:rsidR="008C085B" w:rsidRPr="002352E4" w:rsidRDefault="001972C2" w:rsidP="008405A2">
      <w:pPr>
        <w:numPr>
          <w:ilvl w:val="0"/>
          <w:numId w:val="13"/>
        </w:numPr>
        <w:spacing w:after="120"/>
        <w:rPr>
          <w:rFonts w:cs="Arial"/>
        </w:rPr>
      </w:pPr>
      <w:r>
        <w:rPr>
          <w:rFonts w:cs="Arial"/>
        </w:rPr>
        <w:t xml:space="preserve">Combine </w:t>
      </w:r>
      <w:r w:rsidR="00A80231">
        <w:rPr>
          <w:rFonts w:cs="Arial"/>
        </w:rPr>
        <w:t xml:space="preserve">the Non-Dual HCBS </w:t>
      </w:r>
      <w:r w:rsidR="009D2452">
        <w:rPr>
          <w:rFonts w:cs="Arial"/>
        </w:rPr>
        <w:t>FFS</w:t>
      </w:r>
      <w:r>
        <w:rPr>
          <w:rFonts w:cs="Arial"/>
        </w:rPr>
        <w:t xml:space="preserve"> </w:t>
      </w:r>
      <w:r w:rsidR="00580533">
        <w:rPr>
          <w:rFonts w:cs="Arial"/>
        </w:rPr>
        <w:t xml:space="preserve">and </w:t>
      </w:r>
      <w:r w:rsidR="00A20EDD">
        <w:rPr>
          <w:rFonts w:cs="Arial"/>
        </w:rPr>
        <w:t xml:space="preserve">managed care </w:t>
      </w:r>
      <w:r w:rsidR="00A80231">
        <w:rPr>
          <w:rFonts w:cs="Arial"/>
        </w:rPr>
        <w:t>experience</w:t>
      </w:r>
    </w:p>
    <w:p w14:paraId="47DDA770" w14:textId="254F5B9E" w:rsidR="008C085B" w:rsidRPr="0040378B" w:rsidRDefault="008C085B" w:rsidP="008405A2">
      <w:pPr>
        <w:pStyle w:val="ListParagraph"/>
        <w:numPr>
          <w:ilvl w:val="0"/>
          <w:numId w:val="13"/>
        </w:numPr>
        <w:spacing w:after="120"/>
        <w:rPr>
          <w:rFonts w:cs="Arial"/>
        </w:rPr>
      </w:pPr>
      <w:r w:rsidRPr="0040378B">
        <w:rPr>
          <w:rFonts w:cs="Arial"/>
        </w:rPr>
        <w:t xml:space="preserve">Include </w:t>
      </w:r>
      <w:r w:rsidR="00A80231">
        <w:rPr>
          <w:rFonts w:cs="Arial"/>
        </w:rPr>
        <w:t>administrative</w:t>
      </w:r>
      <w:r w:rsidRPr="0040378B">
        <w:rPr>
          <w:rFonts w:cs="Arial"/>
        </w:rPr>
        <w:t xml:space="preserve"> cost</w:t>
      </w:r>
      <w:r w:rsidR="00F9330D">
        <w:rPr>
          <w:rFonts w:cs="Arial"/>
        </w:rPr>
        <w:t xml:space="preserve"> load</w:t>
      </w:r>
    </w:p>
    <w:p w14:paraId="28994B3D" w14:textId="49017C60" w:rsidR="00F1796A" w:rsidRDefault="00E428DA" w:rsidP="008405A2">
      <w:pPr>
        <w:numPr>
          <w:ilvl w:val="0"/>
          <w:numId w:val="13"/>
        </w:numPr>
        <w:spacing w:after="120"/>
        <w:rPr>
          <w:rFonts w:cs="Arial"/>
        </w:rPr>
      </w:pPr>
      <w:r>
        <w:rPr>
          <w:rFonts w:cs="Arial"/>
        </w:rPr>
        <w:t xml:space="preserve">Composite </w:t>
      </w:r>
      <w:r w:rsidR="00F1796A">
        <w:rPr>
          <w:rFonts w:cs="Arial"/>
        </w:rPr>
        <w:t xml:space="preserve">the HCBS and Nursing Home </w:t>
      </w:r>
      <w:r>
        <w:rPr>
          <w:rFonts w:cs="Arial"/>
        </w:rPr>
        <w:t xml:space="preserve">populations to form a blended </w:t>
      </w:r>
      <w:r w:rsidR="00D37FEC">
        <w:rPr>
          <w:rFonts w:cs="Arial"/>
        </w:rPr>
        <w:t>AWOP</w:t>
      </w:r>
    </w:p>
    <w:p w14:paraId="3CA5E96D" w14:textId="18D27356" w:rsidR="008C085B" w:rsidRPr="00CB0BE3" w:rsidRDefault="008C085B" w:rsidP="0046181A">
      <w:pPr>
        <w:spacing w:after="0"/>
        <w:rPr>
          <w:rFonts w:cs="Arial"/>
        </w:rPr>
      </w:pPr>
      <w:r w:rsidRPr="00CB0BE3">
        <w:rPr>
          <w:rFonts w:cs="Arial"/>
        </w:rPr>
        <w:t>Appendi</w:t>
      </w:r>
      <w:r w:rsidR="002174D9">
        <w:rPr>
          <w:rFonts w:cs="Arial"/>
        </w:rPr>
        <w:t>x</w:t>
      </w:r>
      <w:r w:rsidRPr="00CB0BE3">
        <w:rPr>
          <w:rFonts w:cs="Arial"/>
        </w:rPr>
        <w:t xml:space="preserve"> </w:t>
      </w:r>
      <w:r w:rsidR="009D2452">
        <w:rPr>
          <w:rFonts w:cs="Arial"/>
        </w:rPr>
        <w:t>1</w:t>
      </w:r>
      <w:r w:rsidR="002174D9">
        <w:rPr>
          <w:rFonts w:cs="Arial"/>
        </w:rPr>
        <w:t xml:space="preserve"> through Appendix 4</w:t>
      </w:r>
      <w:r w:rsidRPr="00CB0BE3">
        <w:rPr>
          <w:rFonts w:cs="Arial"/>
        </w:rPr>
        <w:t xml:space="preserve"> illustrates the results of steps 1 through </w:t>
      </w:r>
      <w:r w:rsidR="00BF6055">
        <w:rPr>
          <w:rFonts w:cs="Arial"/>
        </w:rPr>
        <w:t>8</w:t>
      </w:r>
      <w:r w:rsidR="00A80231" w:rsidRPr="00CB0BE3">
        <w:rPr>
          <w:rFonts w:cs="Arial"/>
        </w:rPr>
        <w:t xml:space="preserve"> </w:t>
      </w:r>
      <w:r w:rsidRPr="00CB0BE3">
        <w:rPr>
          <w:rFonts w:cs="Arial"/>
        </w:rPr>
        <w:t xml:space="preserve">above. Each step is discussed in further detail in the following sections. </w:t>
      </w:r>
    </w:p>
    <w:p w14:paraId="43F8DA22" w14:textId="77777777" w:rsidR="008C085B" w:rsidRPr="005910DD" w:rsidRDefault="008C085B" w:rsidP="00246993">
      <w:pPr>
        <w:spacing w:after="0" w:line="240" w:lineRule="auto"/>
        <w:rPr>
          <w:rFonts w:cs="Arial"/>
          <w:color w:val="FF0000"/>
          <w:sz w:val="20"/>
          <w:szCs w:val="20"/>
        </w:rPr>
      </w:pPr>
    </w:p>
    <w:p w14:paraId="3CD51488" w14:textId="0B852BA0" w:rsidR="008C085B" w:rsidRPr="0022663A" w:rsidRDefault="0022663A" w:rsidP="00FC4603">
      <w:pPr>
        <w:pStyle w:val="Heading3"/>
      </w:pPr>
      <w:bookmarkStart w:id="8" w:name="_Toc91081149"/>
      <w:r w:rsidRPr="0022663A">
        <w:t>Step 1:  Define Proxy Pace Population</w:t>
      </w:r>
      <w:bookmarkEnd w:id="8"/>
    </w:p>
    <w:p w14:paraId="55817880" w14:textId="77777777" w:rsidR="008C085B" w:rsidRPr="00C319F9" w:rsidRDefault="008C085B" w:rsidP="008C085B">
      <w:pPr>
        <w:spacing w:after="0" w:line="240" w:lineRule="auto"/>
        <w:jc w:val="both"/>
        <w:rPr>
          <w:rFonts w:cs="Arial"/>
          <w:sz w:val="20"/>
          <w:szCs w:val="20"/>
        </w:rPr>
      </w:pPr>
    </w:p>
    <w:p w14:paraId="62F8B132" w14:textId="1918EC4A" w:rsidR="008C085B" w:rsidRDefault="008C085B" w:rsidP="0046181A">
      <w:pPr>
        <w:tabs>
          <w:tab w:val="left" w:pos="360"/>
          <w:tab w:val="left" w:pos="720"/>
          <w:tab w:val="left" w:pos="1080"/>
          <w:tab w:val="left" w:pos="1440"/>
          <w:tab w:val="left" w:pos="1800"/>
        </w:tabs>
        <w:spacing w:after="120"/>
        <w:rPr>
          <w:rFonts w:cs="Arial"/>
        </w:rPr>
      </w:pPr>
      <w:r w:rsidRPr="00CB0BE3">
        <w:rPr>
          <w:rFonts w:cs="Arial"/>
        </w:rPr>
        <w:t xml:space="preserve">Historical </w:t>
      </w:r>
      <w:r w:rsidR="00C758E2">
        <w:rPr>
          <w:rFonts w:cs="Arial"/>
        </w:rPr>
        <w:t xml:space="preserve">eligibility </w:t>
      </w:r>
      <w:r w:rsidR="00426D8F">
        <w:rPr>
          <w:rFonts w:cs="Arial"/>
        </w:rPr>
        <w:t xml:space="preserve">was </w:t>
      </w:r>
      <w:r w:rsidRPr="00CB0BE3">
        <w:rPr>
          <w:rFonts w:cs="Arial"/>
        </w:rPr>
        <w:t>summarized</w:t>
      </w:r>
      <w:r w:rsidR="002D04B7" w:rsidRPr="002D04B7">
        <w:rPr>
          <w:rFonts w:cs="Arial"/>
        </w:rPr>
        <w:t xml:space="preserve"> for individuals </w:t>
      </w:r>
      <w:proofErr w:type="gramStart"/>
      <w:r w:rsidR="002D04B7" w:rsidRPr="002D04B7">
        <w:rPr>
          <w:rFonts w:cs="Arial"/>
        </w:rPr>
        <w:t>age</w:t>
      </w:r>
      <w:proofErr w:type="gramEnd"/>
      <w:r w:rsidR="002D04B7" w:rsidRPr="002D04B7">
        <w:rPr>
          <w:rFonts w:cs="Arial"/>
        </w:rPr>
        <w:t xml:space="preserve"> 55 and over who meet the PACE eligibility criteria but are not enrolled in PACE</w:t>
      </w:r>
      <w:r w:rsidRPr="00CB0BE3">
        <w:rPr>
          <w:rFonts w:cs="Arial"/>
        </w:rPr>
        <w:t>.</w:t>
      </w:r>
      <w:r w:rsidR="002A4D1F">
        <w:rPr>
          <w:rFonts w:cs="Arial"/>
        </w:rPr>
        <w:t xml:space="preserve"> Th</w:t>
      </w:r>
      <w:r w:rsidR="00827757">
        <w:rPr>
          <w:rFonts w:cs="Arial"/>
        </w:rPr>
        <w:t xml:space="preserve">e claims and membership for this </w:t>
      </w:r>
      <w:r w:rsidR="002A4D1F">
        <w:rPr>
          <w:rFonts w:cs="Arial"/>
        </w:rPr>
        <w:t>proxy PACE population</w:t>
      </w:r>
      <w:r w:rsidR="009F661B">
        <w:rPr>
          <w:rFonts w:cs="Arial"/>
        </w:rPr>
        <w:t xml:space="preserve"> </w:t>
      </w:r>
      <w:r w:rsidR="009E5AE1">
        <w:rPr>
          <w:rFonts w:cs="Arial"/>
        </w:rPr>
        <w:t xml:space="preserve">was utilized </w:t>
      </w:r>
      <w:r w:rsidR="00FC7062">
        <w:rPr>
          <w:rFonts w:cs="Arial"/>
        </w:rPr>
        <w:t xml:space="preserve">as </w:t>
      </w:r>
      <w:r w:rsidR="009E5AE1">
        <w:rPr>
          <w:rFonts w:cs="Arial"/>
        </w:rPr>
        <w:t>the base experience</w:t>
      </w:r>
      <w:r w:rsidRPr="00CB0BE3">
        <w:rPr>
          <w:rFonts w:cs="Arial"/>
        </w:rPr>
        <w:t xml:space="preserve"> </w:t>
      </w:r>
      <w:r w:rsidR="00FC7062">
        <w:rPr>
          <w:rFonts w:cs="Arial"/>
        </w:rPr>
        <w:t xml:space="preserve">for the SFY 2022 AWOP and capitation rate development. </w:t>
      </w:r>
      <w:r w:rsidR="00C758E2">
        <w:rPr>
          <w:rFonts w:cs="Arial"/>
        </w:rPr>
        <w:t xml:space="preserve">We applied the following eligibility criteria to determine the </w:t>
      </w:r>
      <w:r w:rsidR="00AA6229">
        <w:rPr>
          <w:rFonts w:cs="Arial"/>
        </w:rPr>
        <w:t>proxy PACE population</w:t>
      </w:r>
      <w:r w:rsidR="00C758E2">
        <w:rPr>
          <w:rFonts w:cs="Arial"/>
        </w:rPr>
        <w:t>:</w:t>
      </w:r>
    </w:p>
    <w:p w14:paraId="2A398645" w14:textId="77777777" w:rsidR="00EA24FC" w:rsidRPr="002352E4" w:rsidRDefault="00EA24FC" w:rsidP="00C87D6C">
      <w:pPr>
        <w:pStyle w:val="RRNumberedBullet1"/>
        <w:numPr>
          <w:ilvl w:val="0"/>
          <w:numId w:val="1"/>
        </w:numPr>
        <w:spacing w:before="60" w:after="120"/>
        <w:jc w:val="left"/>
      </w:pPr>
      <w:r w:rsidRPr="005E4EE8">
        <w:rPr>
          <w:szCs w:val="18"/>
        </w:rPr>
        <w:t>Age 55 and over</w:t>
      </w:r>
    </w:p>
    <w:p w14:paraId="4DC705C6" w14:textId="29CA661F" w:rsidR="002352E4" w:rsidRDefault="00C758E2"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sidRPr="002352E4">
        <w:rPr>
          <w:rFonts w:cs="Arial"/>
        </w:rPr>
        <w:t xml:space="preserve">Living in either a nursing home (NH) or </w:t>
      </w:r>
      <w:r w:rsidR="00A13B01">
        <w:rPr>
          <w:rFonts w:cs="Arial"/>
        </w:rPr>
        <w:t xml:space="preserve">receiving </w:t>
      </w:r>
      <w:r w:rsidR="00941BEC" w:rsidRPr="002352E4">
        <w:rPr>
          <w:rFonts w:cs="Arial"/>
        </w:rPr>
        <w:t>home-based</w:t>
      </w:r>
      <w:r w:rsidRPr="002352E4">
        <w:rPr>
          <w:rFonts w:cs="Arial"/>
        </w:rPr>
        <w:t xml:space="preserve"> community services (HCBS) </w:t>
      </w:r>
      <w:r w:rsidR="003E10EC">
        <w:rPr>
          <w:rFonts w:cs="Arial"/>
        </w:rPr>
        <w:t xml:space="preserve">in </w:t>
      </w:r>
      <w:r w:rsidR="00EE4ACB">
        <w:rPr>
          <w:rFonts w:cs="Arial"/>
        </w:rPr>
        <w:t>a waiver program eligible for PACE</w:t>
      </w:r>
      <w:r w:rsidR="002215B7">
        <w:rPr>
          <w:rFonts w:cs="Arial"/>
        </w:rPr>
        <w:t xml:space="preserve"> (see Figure 3)</w:t>
      </w:r>
    </w:p>
    <w:p w14:paraId="27BA3AA2" w14:textId="54BC7AAB" w:rsidR="002352E4" w:rsidRDefault="00941BEC"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sidRPr="002352E4">
        <w:rPr>
          <w:rFonts w:cs="Arial"/>
        </w:rPr>
        <w:t>Not enrolled in the PACE program</w:t>
      </w:r>
    </w:p>
    <w:p w14:paraId="459783E6" w14:textId="77777777" w:rsidR="002352E4" w:rsidRDefault="00C758E2"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sidRPr="002352E4">
        <w:rPr>
          <w:rFonts w:cs="Arial"/>
        </w:rPr>
        <w:t>Not enrolled in RIteShare (Rhode Island’s premium assistance program)</w:t>
      </w:r>
    </w:p>
    <w:p w14:paraId="668857D2" w14:textId="25313B3B" w:rsidR="002352E4" w:rsidRDefault="00AF7248"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Pr>
          <w:rFonts w:cs="Arial"/>
        </w:rPr>
        <w:t xml:space="preserve">Eligible for </w:t>
      </w:r>
      <w:r w:rsidR="00E479F1">
        <w:rPr>
          <w:rFonts w:cs="Arial"/>
        </w:rPr>
        <w:t>full Medicaid benefits</w:t>
      </w:r>
      <w:r w:rsidR="00C758E2" w:rsidRPr="002352E4">
        <w:rPr>
          <w:rFonts w:cs="Arial"/>
        </w:rPr>
        <w:t xml:space="preserve"> </w:t>
      </w:r>
      <w:r w:rsidR="00D56825">
        <w:rPr>
          <w:rFonts w:cs="Arial"/>
        </w:rPr>
        <w:t xml:space="preserve">(defined </w:t>
      </w:r>
      <w:r w:rsidR="00C758E2" w:rsidRPr="002352E4">
        <w:rPr>
          <w:rFonts w:cs="Arial"/>
        </w:rPr>
        <w:t>by aid category code</w:t>
      </w:r>
      <w:r w:rsidR="00D56825">
        <w:rPr>
          <w:rFonts w:cs="Arial"/>
        </w:rPr>
        <w:t>)</w:t>
      </w:r>
    </w:p>
    <w:p w14:paraId="482C20F6" w14:textId="4DBC4D9A" w:rsidR="002352E4" w:rsidRDefault="00C758E2"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sidRPr="002352E4">
        <w:rPr>
          <w:rFonts w:cs="Arial"/>
        </w:rPr>
        <w:t xml:space="preserve">Not enrolled in </w:t>
      </w:r>
      <w:r w:rsidR="00680A2D">
        <w:rPr>
          <w:rFonts w:cs="Arial"/>
        </w:rPr>
        <w:t xml:space="preserve">a </w:t>
      </w:r>
      <w:r w:rsidRPr="002352E4">
        <w:rPr>
          <w:rFonts w:cs="Arial"/>
        </w:rPr>
        <w:t>managed care</w:t>
      </w:r>
      <w:r w:rsidR="00680A2D">
        <w:rPr>
          <w:rFonts w:cs="Arial"/>
        </w:rPr>
        <w:t xml:space="preserve"> program</w:t>
      </w:r>
      <w:r w:rsidRPr="002352E4">
        <w:rPr>
          <w:rFonts w:cs="Arial"/>
        </w:rPr>
        <w:t xml:space="preserve">, </w:t>
      </w:r>
      <w:r w:rsidR="00941BEC" w:rsidRPr="002352E4">
        <w:rPr>
          <w:rFonts w:cs="Arial"/>
        </w:rPr>
        <w:t>except for</w:t>
      </w:r>
      <w:r w:rsidRPr="002352E4">
        <w:rPr>
          <w:rFonts w:cs="Arial"/>
        </w:rPr>
        <w:t xml:space="preserve"> the </w:t>
      </w:r>
      <w:r w:rsidR="00B37D9E">
        <w:rPr>
          <w:rFonts w:cs="Arial"/>
        </w:rPr>
        <w:t>RHP</w:t>
      </w:r>
      <w:r w:rsidRPr="002352E4">
        <w:rPr>
          <w:rFonts w:cs="Arial"/>
        </w:rPr>
        <w:t xml:space="preserve"> </w:t>
      </w:r>
      <w:r w:rsidR="00CE751D">
        <w:rPr>
          <w:rFonts w:cs="Arial"/>
        </w:rPr>
        <w:t xml:space="preserve">non-dual HCBS </w:t>
      </w:r>
      <w:r w:rsidRPr="002352E4">
        <w:rPr>
          <w:rFonts w:cs="Arial"/>
        </w:rPr>
        <w:t xml:space="preserve">population </w:t>
      </w:r>
    </w:p>
    <w:p w14:paraId="5BAFB619" w14:textId="5D1C2496" w:rsidR="002352E4" w:rsidRDefault="00FE34BF"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Pr>
          <w:rFonts w:cs="Arial"/>
        </w:rPr>
        <w:t>HCB</w:t>
      </w:r>
      <w:r w:rsidR="008248D7">
        <w:rPr>
          <w:rFonts w:cs="Arial"/>
        </w:rPr>
        <w:t xml:space="preserve">S </w:t>
      </w:r>
      <w:r w:rsidR="00F43282">
        <w:rPr>
          <w:rFonts w:cs="Arial"/>
        </w:rPr>
        <w:t>enrollment</w:t>
      </w:r>
      <w:r w:rsidR="008248D7">
        <w:rPr>
          <w:rFonts w:cs="Arial"/>
        </w:rPr>
        <w:t xml:space="preserve"> </w:t>
      </w:r>
      <w:r w:rsidR="006E278A">
        <w:rPr>
          <w:rFonts w:cs="Arial"/>
        </w:rPr>
        <w:t xml:space="preserve">was required to have </w:t>
      </w:r>
      <w:r w:rsidR="008248D7">
        <w:rPr>
          <w:rFonts w:cs="Arial"/>
        </w:rPr>
        <w:t>corresponding HCBS service</w:t>
      </w:r>
      <w:r w:rsidR="00F43282">
        <w:rPr>
          <w:rFonts w:cs="Arial"/>
        </w:rPr>
        <w:t xml:space="preserve"> utilization</w:t>
      </w:r>
      <w:r w:rsidR="008248D7">
        <w:rPr>
          <w:rFonts w:cs="Arial"/>
        </w:rPr>
        <w:t xml:space="preserve"> </w:t>
      </w:r>
    </w:p>
    <w:p w14:paraId="79A8B7B1" w14:textId="3A5E2D6C" w:rsidR="00C758E2" w:rsidRPr="002352E4" w:rsidRDefault="008248D7" w:rsidP="0046181A">
      <w:pPr>
        <w:pStyle w:val="RRNumberedBullet1"/>
        <w:numPr>
          <w:ilvl w:val="0"/>
          <w:numId w:val="1"/>
        </w:numPr>
        <w:tabs>
          <w:tab w:val="left" w:pos="360"/>
          <w:tab w:val="left" w:pos="720"/>
          <w:tab w:val="left" w:pos="1080"/>
          <w:tab w:val="left" w:pos="1440"/>
          <w:tab w:val="left" w:pos="1800"/>
        </w:tabs>
        <w:spacing w:before="60" w:after="120"/>
        <w:jc w:val="left"/>
        <w:rPr>
          <w:rFonts w:cs="Arial"/>
        </w:rPr>
      </w:pPr>
      <w:r>
        <w:rPr>
          <w:rFonts w:cs="Arial"/>
        </w:rPr>
        <w:t>T</w:t>
      </w:r>
      <w:r w:rsidR="00C758E2" w:rsidRPr="002352E4">
        <w:rPr>
          <w:rFonts w:cs="Arial"/>
        </w:rPr>
        <w:t xml:space="preserve">he first 3 months </w:t>
      </w:r>
      <w:r>
        <w:rPr>
          <w:rFonts w:cs="Arial"/>
        </w:rPr>
        <w:t xml:space="preserve">a member was enrolled in Medicaid were excluded  </w:t>
      </w:r>
    </w:p>
    <w:p w14:paraId="5137B269" w14:textId="7EB1DE06" w:rsidR="00C2116D" w:rsidRDefault="001C6836" w:rsidP="00C87D6C">
      <w:pPr>
        <w:tabs>
          <w:tab w:val="left" w:pos="360"/>
          <w:tab w:val="left" w:pos="720"/>
          <w:tab w:val="left" w:pos="1080"/>
          <w:tab w:val="left" w:pos="1440"/>
          <w:tab w:val="left" w:pos="1800"/>
        </w:tabs>
        <w:spacing w:after="120"/>
        <w:rPr>
          <w:rFonts w:cs="Arial"/>
        </w:rPr>
      </w:pPr>
      <w:r>
        <w:rPr>
          <w:rFonts w:cs="Arial"/>
        </w:rPr>
        <w:t xml:space="preserve">The above eligibility criteria </w:t>
      </w:r>
      <w:r w:rsidR="00D728EE">
        <w:rPr>
          <w:rFonts w:cs="Arial"/>
        </w:rPr>
        <w:t xml:space="preserve">represent </w:t>
      </w:r>
      <w:r w:rsidR="0090071F">
        <w:rPr>
          <w:rFonts w:cs="Arial"/>
        </w:rPr>
        <w:t xml:space="preserve">program eligibility requirements and </w:t>
      </w:r>
      <w:r w:rsidR="008C3911">
        <w:rPr>
          <w:rFonts w:cs="Arial"/>
        </w:rPr>
        <w:t xml:space="preserve">parameters </w:t>
      </w:r>
      <w:r w:rsidR="00B97E16">
        <w:rPr>
          <w:rFonts w:cs="Arial"/>
        </w:rPr>
        <w:t xml:space="preserve">that best approximate the </w:t>
      </w:r>
      <w:r w:rsidR="00C46565" w:rsidRPr="00C46565">
        <w:rPr>
          <w:rFonts w:cs="Arial"/>
        </w:rPr>
        <w:t>population consistent with frailty and age of PACE participants</w:t>
      </w:r>
      <w:r w:rsidR="00DE7948">
        <w:rPr>
          <w:rFonts w:cs="Arial"/>
        </w:rPr>
        <w:t>.</w:t>
      </w:r>
      <w:r w:rsidR="004A0C32">
        <w:rPr>
          <w:rFonts w:cs="Arial"/>
        </w:rPr>
        <w:t xml:space="preserve"> </w:t>
      </w:r>
    </w:p>
    <w:p w14:paraId="58BDD22A" w14:textId="3CEBD722" w:rsidR="00941BEC" w:rsidRDefault="00D6645B" w:rsidP="0046181A">
      <w:pPr>
        <w:tabs>
          <w:tab w:val="left" w:pos="360"/>
          <w:tab w:val="left" w:pos="720"/>
          <w:tab w:val="left" w:pos="1080"/>
          <w:tab w:val="left" w:pos="1440"/>
          <w:tab w:val="left" w:pos="1800"/>
        </w:tabs>
        <w:spacing w:after="120"/>
        <w:rPr>
          <w:rFonts w:cs="Arial"/>
        </w:rPr>
      </w:pPr>
      <w:r>
        <w:rPr>
          <w:rFonts w:cs="Arial"/>
        </w:rPr>
        <w:t>In addition, m</w:t>
      </w:r>
      <w:r w:rsidR="00941BEC">
        <w:rPr>
          <w:rFonts w:cs="Arial"/>
        </w:rPr>
        <w:t xml:space="preserve">embers were </w:t>
      </w:r>
      <w:r w:rsidR="0041195C">
        <w:rPr>
          <w:rFonts w:cs="Arial"/>
        </w:rPr>
        <w:t xml:space="preserve">assigned to a nursing home </w:t>
      </w:r>
      <w:r w:rsidR="00773475">
        <w:rPr>
          <w:rFonts w:cs="Arial"/>
        </w:rPr>
        <w:t>rate cell</w:t>
      </w:r>
      <w:r w:rsidR="00941BEC">
        <w:rPr>
          <w:rFonts w:cs="Arial"/>
        </w:rPr>
        <w:t xml:space="preserve"> based on the </w:t>
      </w:r>
      <w:r w:rsidR="0041195C">
        <w:rPr>
          <w:rFonts w:cs="Arial"/>
        </w:rPr>
        <w:t xml:space="preserve">member </w:t>
      </w:r>
      <w:r w:rsidR="00941BEC">
        <w:rPr>
          <w:rFonts w:cs="Arial"/>
        </w:rPr>
        <w:t xml:space="preserve">placement level </w:t>
      </w:r>
      <w:r w:rsidR="0041195C">
        <w:rPr>
          <w:rFonts w:cs="Arial"/>
        </w:rPr>
        <w:t>(</w:t>
      </w:r>
      <w:r w:rsidR="007F1512">
        <w:rPr>
          <w:rFonts w:cs="Arial"/>
        </w:rPr>
        <w:t xml:space="preserve">code </w:t>
      </w:r>
      <w:r w:rsidR="00941BEC">
        <w:rPr>
          <w:rFonts w:cs="Arial"/>
        </w:rPr>
        <w:t>“002”</w:t>
      </w:r>
      <w:r w:rsidR="00EE66FB">
        <w:rPr>
          <w:rFonts w:cs="Arial"/>
        </w:rPr>
        <w:t>)</w:t>
      </w:r>
      <w:r w:rsidR="00CB6589">
        <w:rPr>
          <w:rFonts w:cs="Arial"/>
        </w:rPr>
        <w:t>, excluding members in a</w:t>
      </w:r>
      <w:r w:rsidR="006222ED">
        <w:rPr>
          <w:rFonts w:cs="Arial"/>
        </w:rPr>
        <w:t>n</w:t>
      </w:r>
      <w:r w:rsidR="00CB6589">
        <w:rPr>
          <w:rFonts w:cs="Arial"/>
        </w:rPr>
        <w:t xml:space="preserve"> </w:t>
      </w:r>
      <w:r w:rsidR="009225A0">
        <w:rPr>
          <w:rFonts w:cs="Arial"/>
        </w:rPr>
        <w:t>I</w:t>
      </w:r>
      <w:r w:rsidR="00CB6589">
        <w:rPr>
          <w:rFonts w:cs="Arial"/>
        </w:rPr>
        <w:t xml:space="preserve">ntellectual </w:t>
      </w:r>
      <w:r w:rsidR="009225A0">
        <w:rPr>
          <w:rFonts w:cs="Arial"/>
        </w:rPr>
        <w:t>D</w:t>
      </w:r>
      <w:r w:rsidR="00CB6589">
        <w:rPr>
          <w:rFonts w:cs="Arial"/>
        </w:rPr>
        <w:t xml:space="preserve">isability </w:t>
      </w:r>
      <w:r w:rsidR="009225A0">
        <w:rPr>
          <w:rFonts w:cs="Arial"/>
        </w:rPr>
        <w:t>W</w:t>
      </w:r>
      <w:r w:rsidR="006222ED">
        <w:rPr>
          <w:rFonts w:cs="Arial"/>
        </w:rPr>
        <w:t>aiver</w:t>
      </w:r>
      <w:r w:rsidR="00CB6589">
        <w:rPr>
          <w:rFonts w:cs="Arial"/>
        </w:rPr>
        <w:t xml:space="preserve"> </w:t>
      </w:r>
      <w:r w:rsidR="00E952A0">
        <w:rPr>
          <w:rFonts w:cs="Arial"/>
        </w:rPr>
        <w:t>residing</w:t>
      </w:r>
      <w:r w:rsidR="00CB6589">
        <w:rPr>
          <w:rFonts w:cs="Arial"/>
        </w:rPr>
        <w:t xml:space="preserve"> in a </w:t>
      </w:r>
      <w:r w:rsidR="006222ED">
        <w:rPr>
          <w:rFonts w:cs="Arial"/>
        </w:rPr>
        <w:t>group home</w:t>
      </w:r>
      <w:r w:rsidR="00941BEC">
        <w:rPr>
          <w:rFonts w:cs="Arial"/>
        </w:rPr>
        <w:t xml:space="preserve">. </w:t>
      </w:r>
      <w:r w:rsidR="002802EB">
        <w:rPr>
          <w:rFonts w:cs="Arial"/>
        </w:rPr>
        <w:t xml:space="preserve">Members with nursing home stays less than three months were </w:t>
      </w:r>
      <w:r w:rsidR="00E17ECD">
        <w:rPr>
          <w:rFonts w:cs="Arial"/>
        </w:rPr>
        <w:t xml:space="preserve">not assigned to </w:t>
      </w:r>
      <w:r w:rsidR="00773475">
        <w:rPr>
          <w:rFonts w:cs="Arial"/>
        </w:rPr>
        <w:t xml:space="preserve">a </w:t>
      </w:r>
      <w:r w:rsidR="00E17ECD">
        <w:rPr>
          <w:rFonts w:cs="Arial"/>
        </w:rPr>
        <w:t>nursing home</w:t>
      </w:r>
      <w:r w:rsidR="00BC69B1">
        <w:rPr>
          <w:rFonts w:cs="Arial"/>
        </w:rPr>
        <w:t xml:space="preserve"> </w:t>
      </w:r>
      <w:r w:rsidR="00773475">
        <w:rPr>
          <w:rFonts w:cs="Arial"/>
        </w:rPr>
        <w:t>rate cell</w:t>
      </w:r>
      <w:r w:rsidR="00BC69B1">
        <w:rPr>
          <w:rFonts w:cs="Arial"/>
        </w:rPr>
        <w:t xml:space="preserve"> and remained in </w:t>
      </w:r>
      <w:r w:rsidR="005472F7">
        <w:rPr>
          <w:rFonts w:cs="Arial"/>
        </w:rPr>
        <w:t xml:space="preserve">a </w:t>
      </w:r>
      <w:r w:rsidR="00BC69B1">
        <w:rPr>
          <w:rFonts w:cs="Arial"/>
        </w:rPr>
        <w:t xml:space="preserve">HCBS </w:t>
      </w:r>
      <w:r w:rsidR="005472F7">
        <w:rPr>
          <w:rFonts w:cs="Arial"/>
        </w:rPr>
        <w:t>rate cell</w:t>
      </w:r>
      <w:r w:rsidR="00BC69B1">
        <w:rPr>
          <w:rFonts w:cs="Arial"/>
        </w:rPr>
        <w:t xml:space="preserve">, if applicable, to account for short term nursing home stays. </w:t>
      </w:r>
    </w:p>
    <w:p w14:paraId="740EC75E" w14:textId="398D1D14" w:rsidR="00941BEC" w:rsidRDefault="00941BEC" w:rsidP="0046181A">
      <w:pPr>
        <w:tabs>
          <w:tab w:val="left" w:pos="360"/>
          <w:tab w:val="left" w:pos="720"/>
          <w:tab w:val="left" w:pos="1080"/>
          <w:tab w:val="left" w:pos="1440"/>
          <w:tab w:val="left" w:pos="1800"/>
        </w:tabs>
        <w:spacing w:after="0"/>
        <w:rPr>
          <w:rFonts w:cs="Arial"/>
        </w:rPr>
      </w:pPr>
      <w:r>
        <w:rPr>
          <w:rFonts w:cs="Arial"/>
        </w:rPr>
        <w:t xml:space="preserve">Members </w:t>
      </w:r>
      <w:r w:rsidR="00B05B9B">
        <w:rPr>
          <w:rFonts w:cs="Arial"/>
        </w:rPr>
        <w:t xml:space="preserve">were </w:t>
      </w:r>
      <w:r w:rsidR="00694C42">
        <w:rPr>
          <w:rFonts w:cs="Arial"/>
        </w:rPr>
        <w:t xml:space="preserve">assigned to </w:t>
      </w:r>
      <w:r w:rsidR="005472F7">
        <w:rPr>
          <w:rFonts w:cs="Arial"/>
        </w:rPr>
        <w:t xml:space="preserve">a </w:t>
      </w:r>
      <w:r>
        <w:rPr>
          <w:rFonts w:cs="Arial"/>
        </w:rPr>
        <w:t xml:space="preserve">HCBS </w:t>
      </w:r>
      <w:r w:rsidR="005472F7">
        <w:rPr>
          <w:rFonts w:cs="Arial"/>
        </w:rPr>
        <w:t xml:space="preserve">rate cell </w:t>
      </w:r>
      <w:r>
        <w:rPr>
          <w:rFonts w:cs="Arial"/>
        </w:rPr>
        <w:t xml:space="preserve">if </w:t>
      </w:r>
      <w:r w:rsidR="00694C42">
        <w:rPr>
          <w:rFonts w:cs="Arial"/>
        </w:rPr>
        <w:t xml:space="preserve">they </w:t>
      </w:r>
      <w:r w:rsidR="00B05B9B">
        <w:rPr>
          <w:rFonts w:cs="Arial"/>
        </w:rPr>
        <w:t>were</w:t>
      </w:r>
      <w:r w:rsidR="00694C42">
        <w:rPr>
          <w:rFonts w:cs="Arial"/>
        </w:rPr>
        <w:t xml:space="preserve"> enrolled in one of the </w:t>
      </w:r>
      <w:r w:rsidR="00B358AB">
        <w:rPr>
          <w:rFonts w:cs="Arial"/>
        </w:rPr>
        <w:t>waiver</w:t>
      </w:r>
      <w:r w:rsidR="00694C42">
        <w:rPr>
          <w:rFonts w:cs="Arial"/>
        </w:rPr>
        <w:t>s</w:t>
      </w:r>
      <w:r w:rsidR="00B358AB">
        <w:rPr>
          <w:rFonts w:cs="Arial"/>
        </w:rPr>
        <w:t xml:space="preserve"> illustrated in </w:t>
      </w:r>
      <w:r w:rsidR="008F339E">
        <w:rPr>
          <w:rFonts w:cs="Arial"/>
        </w:rPr>
        <w:t>Figure</w:t>
      </w:r>
      <w:r w:rsidR="00B358AB">
        <w:rPr>
          <w:rFonts w:cs="Arial"/>
        </w:rPr>
        <w:t xml:space="preserve"> </w:t>
      </w:r>
      <w:r w:rsidR="00694C42">
        <w:rPr>
          <w:rFonts w:cs="Arial"/>
        </w:rPr>
        <w:t>3</w:t>
      </w:r>
      <w:r w:rsidR="00B358AB">
        <w:rPr>
          <w:rFonts w:cs="Arial"/>
        </w:rPr>
        <w:t>.</w:t>
      </w:r>
    </w:p>
    <w:p w14:paraId="0A94BB0B" w14:textId="77777777" w:rsidR="00A03FDB" w:rsidRPr="00A03FDB" w:rsidRDefault="00941BEC" w:rsidP="00A03FDB">
      <w:pPr>
        <w:tabs>
          <w:tab w:val="left" w:pos="360"/>
          <w:tab w:val="left" w:pos="720"/>
          <w:tab w:val="left" w:pos="1080"/>
          <w:tab w:val="left" w:pos="1440"/>
          <w:tab w:val="left" w:pos="1800"/>
        </w:tabs>
        <w:spacing w:after="0" w:line="240" w:lineRule="auto"/>
        <w:jc w:val="both"/>
        <w:rPr>
          <w:rFonts w:cs="Arial"/>
        </w:rPr>
      </w:pPr>
      <w:r>
        <w:rPr>
          <w:rFonts w:cs="Arial"/>
        </w:rPr>
        <w:t xml:space="preserve"> </w:t>
      </w:r>
    </w:p>
    <w:p w14:paraId="796011BB" w14:textId="77777777" w:rsidR="003E547A" w:rsidRDefault="003E547A" w:rsidP="00941BEC">
      <w:pPr>
        <w:tabs>
          <w:tab w:val="left" w:pos="360"/>
          <w:tab w:val="left" w:pos="720"/>
          <w:tab w:val="left" w:pos="1080"/>
          <w:tab w:val="left" w:pos="1440"/>
          <w:tab w:val="left" w:pos="1800"/>
        </w:tabs>
        <w:spacing w:after="0" w:line="240" w:lineRule="auto"/>
        <w:jc w:val="both"/>
        <w:rPr>
          <w:rFonts w:cs="Arial"/>
        </w:rPr>
      </w:pPr>
    </w:p>
    <w:p w14:paraId="58F25356" w14:textId="77777777" w:rsidR="00EE42E6" w:rsidRDefault="00EE42E6" w:rsidP="00941BEC">
      <w:pPr>
        <w:tabs>
          <w:tab w:val="left" w:pos="360"/>
          <w:tab w:val="left" w:pos="720"/>
          <w:tab w:val="left" w:pos="1080"/>
          <w:tab w:val="left" w:pos="1440"/>
          <w:tab w:val="left" w:pos="1800"/>
        </w:tabs>
        <w:spacing w:after="0" w:line="240" w:lineRule="auto"/>
        <w:jc w:val="both"/>
        <w:rPr>
          <w:rFonts w:cs="Arial"/>
        </w:rPr>
      </w:pPr>
    </w:p>
    <w:p w14:paraId="08ABBA0E" w14:textId="77777777" w:rsidR="00EE42E6" w:rsidRDefault="00EE42E6" w:rsidP="00941BEC">
      <w:pPr>
        <w:tabs>
          <w:tab w:val="left" w:pos="360"/>
          <w:tab w:val="left" w:pos="720"/>
          <w:tab w:val="left" w:pos="1080"/>
          <w:tab w:val="left" w:pos="1440"/>
          <w:tab w:val="left" w:pos="1800"/>
        </w:tabs>
        <w:spacing w:after="0" w:line="240" w:lineRule="auto"/>
        <w:jc w:val="both"/>
        <w:rPr>
          <w:rFonts w:cs="Arial"/>
        </w:rPr>
      </w:pPr>
    </w:p>
    <w:p w14:paraId="65073F42" w14:textId="77777777" w:rsidR="00EE42E6" w:rsidRDefault="00EE42E6" w:rsidP="00941BEC">
      <w:pPr>
        <w:tabs>
          <w:tab w:val="left" w:pos="360"/>
          <w:tab w:val="left" w:pos="720"/>
          <w:tab w:val="left" w:pos="1080"/>
          <w:tab w:val="left" w:pos="1440"/>
          <w:tab w:val="left" w:pos="1800"/>
        </w:tabs>
        <w:spacing w:after="0" w:line="240" w:lineRule="auto"/>
        <w:jc w:val="both"/>
        <w:rPr>
          <w:rFonts w:cs="Arial"/>
        </w:rPr>
      </w:pPr>
    </w:p>
    <w:tbl>
      <w:tblPr>
        <w:tblW w:w="5220" w:type="dxa"/>
        <w:tblLook w:val="04A0" w:firstRow="1" w:lastRow="0" w:firstColumn="1" w:lastColumn="0" w:noHBand="0" w:noVBand="1"/>
      </w:tblPr>
      <w:tblGrid>
        <w:gridCol w:w="3420"/>
        <w:gridCol w:w="1800"/>
      </w:tblGrid>
      <w:tr w:rsidR="00941BEC" w:rsidRPr="00941BEC" w14:paraId="30A0AFCE" w14:textId="77777777" w:rsidTr="00FC4603">
        <w:trPr>
          <w:trHeight w:val="300"/>
        </w:trPr>
        <w:tc>
          <w:tcPr>
            <w:tcW w:w="5220" w:type="dxa"/>
            <w:gridSpan w:val="2"/>
            <w:tcBorders>
              <w:top w:val="single" w:sz="4" w:space="0" w:color="E8E9E9"/>
              <w:left w:val="nil"/>
              <w:bottom w:val="nil"/>
              <w:right w:val="nil"/>
            </w:tcBorders>
            <w:shd w:val="clear" w:color="auto" w:fill="auto"/>
            <w:noWrap/>
            <w:vAlign w:val="center"/>
            <w:hideMark/>
          </w:tcPr>
          <w:p w14:paraId="06D83CC9" w14:textId="4373542E" w:rsidR="00941BEC" w:rsidRPr="00FC4603" w:rsidRDefault="008F339E">
            <w:pPr>
              <w:spacing w:after="0" w:line="240" w:lineRule="auto"/>
              <w:rPr>
                <w:rFonts w:cs="Arial"/>
                <w:b/>
                <w:bCs/>
                <w:color w:val="0081E3"/>
                <w:sz w:val="16"/>
                <w:szCs w:val="16"/>
              </w:rPr>
            </w:pPr>
            <w:r>
              <w:rPr>
                <w:rFonts w:cs="Arial"/>
                <w:b/>
                <w:bCs/>
                <w:color w:val="0081E3"/>
                <w:sz w:val="16"/>
                <w:szCs w:val="16"/>
              </w:rPr>
              <w:lastRenderedPageBreak/>
              <w:t>FIGURE</w:t>
            </w:r>
            <w:r w:rsidR="00941BEC" w:rsidRPr="00FC4603">
              <w:rPr>
                <w:rFonts w:cs="Arial"/>
                <w:b/>
                <w:bCs/>
                <w:color w:val="0081E3"/>
                <w:sz w:val="16"/>
                <w:szCs w:val="16"/>
              </w:rPr>
              <w:t xml:space="preserve"> </w:t>
            </w:r>
            <w:r w:rsidR="003D034D">
              <w:rPr>
                <w:rFonts w:cs="Arial"/>
                <w:b/>
                <w:bCs/>
                <w:color w:val="0081E3"/>
                <w:sz w:val="16"/>
                <w:szCs w:val="16"/>
              </w:rPr>
              <w:t>3</w:t>
            </w:r>
            <w:r w:rsidR="00941BEC" w:rsidRPr="00FC4603">
              <w:rPr>
                <w:rFonts w:cs="Arial"/>
                <w:b/>
                <w:bCs/>
                <w:color w:val="0081E3"/>
                <w:sz w:val="16"/>
                <w:szCs w:val="16"/>
              </w:rPr>
              <w:t xml:space="preserve">: </w:t>
            </w:r>
            <w:r w:rsidR="00795E6E">
              <w:rPr>
                <w:rFonts w:cs="Arial"/>
                <w:b/>
                <w:bCs/>
                <w:color w:val="0081E3"/>
                <w:sz w:val="16"/>
                <w:szCs w:val="16"/>
              </w:rPr>
              <w:t>PROXY PACE</w:t>
            </w:r>
            <w:r w:rsidR="00941BEC" w:rsidRPr="00FC4603">
              <w:rPr>
                <w:rFonts w:cs="Arial"/>
                <w:b/>
                <w:bCs/>
                <w:color w:val="0081E3"/>
                <w:sz w:val="16"/>
                <w:szCs w:val="16"/>
              </w:rPr>
              <w:t xml:space="preserve"> </w:t>
            </w:r>
            <w:r w:rsidR="00941BEC">
              <w:rPr>
                <w:rFonts w:cs="Arial"/>
                <w:b/>
                <w:bCs/>
                <w:color w:val="0081E3"/>
                <w:sz w:val="16"/>
                <w:szCs w:val="16"/>
              </w:rPr>
              <w:t xml:space="preserve">HCBS </w:t>
            </w:r>
            <w:r w:rsidR="00164CE0">
              <w:rPr>
                <w:rFonts w:cs="Arial"/>
                <w:b/>
                <w:bCs/>
                <w:color w:val="0081E3"/>
                <w:sz w:val="16"/>
                <w:szCs w:val="16"/>
              </w:rPr>
              <w:t xml:space="preserve">ELIGIBILITY </w:t>
            </w:r>
          </w:p>
        </w:tc>
      </w:tr>
      <w:tr w:rsidR="00941BEC" w:rsidRPr="00941BEC" w14:paraId="55ACEAEB" w14:textId="77777777" w:rsidTr="00FC4603">
        <w:trPr>
          <w:trHeight w:val="288"/>
        </w:trPr>
        <w:tc>
          <w:tcPr>
            <w:tcW w:w="3420" w:type="dxa"/>
            <w:tcBorders>
              <w:top w:val="nil"/>
              <w:left w:val="nil"/>
              <w:bottom w:val="single" w:sz="4" w:space="0" w:color="C6C9CA"/>
              <w:right w:val="nil"/>
            </w:tcBorders>
            <w:shd w:val="clear" w:color="auto" w:fill="auto"/>
            <w:vAlign w:val="center"/>
            <w:hideMark/>
          </w:tcPr>
          <w:p w14:paraId="1F8541F0" w14:textId="29A58147" w:rsidR="00941BEC" w:rsidRPr="00FC4603" w:rsidRDefault="00C34FE9">
            <w:pPr>
              <w:spacing w:after="0" w:line="240" w:lineRule="auto"/>
              <w:rPr>
                <w:rFonts w:cs="Arial"/>
                <w:b/>
                <w:bCs/>
                <w:color w:val="39414D"/>
                <w:sz w:val="16"/>
                <w:szCs w:val="16"/>
              </w:rPr>
            </w:pPr>
            <w:r>
              <w:rPr>
                <w:rFonts w:cs="Arial"/>
                <w:b/>
                <w:bCs/>
                <w:color w:val="39414D"/>
                <w:sz w:val="16"/>
                <w:szCs w:val="16"/>
              </w:rPr>
              <w:t>Waiver Eligibility</w:t>
            </w:r>
          </w:p>
        </w:tc>
        <w:tc>
          <w:tcPr>
            <w:tcW w:w="1800" w:type="dxa"/>
            <w:tcBorders>
              <w:top w:val="nil"/>
              <w:left w:val="nil"/>
              <w:bottom w:val="single" w:sz="4" w:space="0" w:color="C6C9CA"/>
              <w:right w:val="nil"/>
            </w:tcBorders>
            <w:shd w:val="clear" w:color="auto" w:fill="auto"/>
            <w:vAlign w:val="center"/>
            <w:hideMark/>
          </w:tcPr>
          <w:p w14:paraId="563F4E55" w14:textId="0A6F99AF" w:rsidR="00941BEC" w:rsidRPr="00FC4603" w:rsidRDefault="00C34FE9" w:rsidP="00FC4603">
            <w:pPr>
              <w:spacing w:after="0" w:line="240" w:lineRule="auto"/>
              <w:rPr>
                <w:rFonts w:cs="Arial"/>
                <w:b/>
                <w:bCs/>
                <w:color w:val="39414D"/>
                <w:sz w:val="16"/>
                <w:szCs w:val="16"/>
              </w:rPr>
            </w:pPr>
            <w:r>
              <w:rPr>
                <w:rFonts w:cs="Arial"/>
                <w:b/>
                <w:bCs/>
                <w:color w:val="39414D"/>
                <w:sz w:val="16"/>
                <w:szCs w:val="16"/>
              </w:rPr>
              <w:t>Waiver Code</w:t>
            </w:r>
          </w:p>
        </w:tc>
      </w:tr>
      <w:tr w:rsidR="00941BEC" w:rsidRPr="00941BEC" w14:paraId="07FE1655" w14:textId="77777777" w:rsidTr="00FC4603">
        <w:trPr>
          <w:trHeight w:val="288"/>
        </w:trPr>
        <w:tc>
          <w:tcPr>
            <w:tcW w:w="3420" w:type="dxa"/>
            <w:tcBorders>
              <w:top w:val="nil"/>
              <w:left w:val="nil"/>
              <w:bottom w:val="nil"/>
              <w:right w:val="nil"/>
            </w:tcBorders>
            <w:shd w:val="clear" w:color="auto" w:fill="auto"/>
            <w:vAlign w:val="center"/>
            <w:hideMark/>
          </w:tcPr>
          <w:p w14:paraId="65BD239E" w14:textId="3F26DE1B" w:rsidR="00941BEC" w:rsidRPr="00FC4603" w:rsidRDefault="00941BEC" w:rsidP="00FC4603">
            <w:pPr>
              <w:spacing w:after="0" w:line="240" w:lineRule="auto"/>
              <w:rPr>
                <w:rFonts w:cs="Arial"/>
                <w:color w:val="39414D"/>
                <w:sz w:val="16"/>
                <w:szCs w:val="16"/>
              </w:rPr>
            </w:pPr>
            <w:r w:rsidRPr="00941BEC">
              <w:rPr>
                <w:rFonts w:cs="Arial"/>
                <w:color w:val="39414D"/>
                <w:sz w:val="16"/>
                <w:szCs w:val="16"/>
              </w:rPr>
              <w:t>Core Community Services</w:t>
            </w:r>
          </w:p>
        </w:tc>
        <w:tc>
          <w:tcPr>
            <w:tcW w:w="1800" w:type="dxa"/>
            <w:tcBorders>
              <w:top w:val="nil"/>
              <w:left w:val="nil"/>
              <w:bottom w:val="nil"/>
              <w:right w:val="nil"/>
            </w:tcBorders>
            <w:shd w:val="clear" w:color="auto" w:fill="auto"/>
            <w:vAlign w:val="center"/>
            <w:hideMark/>
          </w:tcPr>
          <w:p w14:paraId="240C53F8" w14:textId="4865F37E" w:rsidR="00941BEC" w:rsidRPr="00FC4603" w:rsidRDefault="00941BEC" w:rsidP="00FC4603">
            <w:pPr>
              <w:spacing w:after="0" w:line="240" w:lineRule="auto"/>
              <w:rPr>
                <w:rFonts w:cs="Arial"/>
                <w:color w:val="39414D"/>
                <w:sz w:val="16"/>
                <w:szCs w:val="16"/>
              </w:rPr>
            </w:pPr>
            <w:r>
              <w:rPr>
                <w:rFonts w:cs="Arial"/>
                <w:color w:val="39414D"/>
                <w:sz w:val="16"/>
                <w:szCs w:val="16"/>
              </w:rPr>
              <w:t>01 or 09</w:t>
            </w:r>
          </w:p>
        </w:tc>
      </w:tr>
      <w:tr w:rsidR="00941BEC" w:rsidRPr="00941BEC" w14:paraId="1BB1A283" w14:textId="77777777" w:rsidTr="00FC4603">
        <w:trPr>
          <w:trHeight w:val="288"/>
        </w:trPr>
        <w:tc>
          <w:tcPr>
            <w:tcW w:w="3420" w:type="dxa"/>
            <w:tcBorders>
              <w:top w:val="nil"/>
              <w:left w:val="nil"/>
              <w:bottom w:val="nil"/>
              <w:right w:val="nil"/>
            </w:tcBorders>
            <w:shd w:val="clear" w:color="000000" w:fill="E8E9E9"/>
            <w:vAlign w:val="center"/>
            <w:hideMark/>
          </w:tcPr>
          <w:p w14:paraId="39AB6810" w14:textId="4990794F" w:rsidR="00941BEC" w:rsidRPr="00FC4603" w:rsidRDefault="00941BEC" w:rsidP="00FC4603">
            <w:pPr>
              <w:spacing w:after="0" w:line="240" w:lineRule="auto"/>
              <w:rPr>
                <w:rFonts w:cs="Arial"/>
                <w:color w:val="39414D"/>
                <w:sz w:val="16"/>
                <w:szCs w:val="16"/>
              </w:rPr>
            </w:pPr>
            <w:r w:rsidRPr="00941BEC">
              <w:rPr>
                <w:rFonts w:cs="Arial"/>
                <w:color w:val="39414D"/>
                <w:sz w:val="16"/>
                <w:szCs w:val="16"/>
              </w:rPr>
              <w:t>DEA Community Services</w:t>
            </w:r>
          </w:p>
        </w:tc>
        <w:tc>
          <w:tcPr>
            <w:tcW w:w="1800" w:type="dxa"/>
            <w:tcBorders>
              <w:top w:val="nil"/>
              <w:left w:val="nil"/>
              <w:bottom w:val="nil"/>
              <w:right w:val="nil"/>
            </w:tcBorders>
            <w:shd w:val="clear" w:color="000000" w:fill="E8E9E9"/>
            <w:vAlign w:val="center"/>
            <w:hideMark/>
          </w:tcPr>
          <w:p w14:paraId="7FC3F597" w14:textId="5EA254B8" w:rsidR="00941BEC" w:rsidRPr="00FC4603" w:rsidRDefault="00B358AB" w:rsidP="00FC4603">
            <w:pPr>
              <w:spacing w:after="0" w:line="240" w:lineRule="auto"/>
              <w:rPr>
                <w:rFonts w:cs="Arial"/>
                <w:color w:val="39414D"/>
                <w:sz w:val="16"/>
                <w:szCs w:val="16"/>
              </w:rPr>
            </w:pPr>
            <w:r>
              <w:rPr>
                <w:rFonts w:cs="Arial"/>
                <w:color w:val="39414D"/>
                <w:sz w:val="16"/>
                <w:szCs w:val="16"/>
              </w:rPr>
              <w:t>02</w:t>
            </w:r>
          </w:p>
        </w:tc>
      </w:tr>
      <w:tr w:rsidR="00941BEC" w:rsidRPr="00941BEC" w14:paraId="6FAE68FF" w14:textId="77777777" w:rsidTr="00FC4603">
        <w:trPr>
          <w:trHeight w:val="288"/>
        </w:trPr>
        <w:tc>
          <w:tcPr>
            <w:tcW w:w="3420" w:type="dxa"/>
            <w:tcBorders>
              <w:top w:val="nil"/>
              <w:left w:val="nil"/>
              <w:bottom w:val="nil"/>
              <w:right w:val="nil"/>
            </w:tcBorders>
            <w:shd w:val="clear" w:color="auto" w:fill="auto"/>
            <w:vAlign w:val="center"/>
            <w:hideMark/>
          </w:tcPr>
          <w:p w14:paraId="08B42A6C" w14:textId="3172CAFD" w:rsidR="00941BEC" w:rsidRPr="00FC4603" w:rsidRDefault="00941BEC" w:rsidP="00FC4603">
            <w:pPr>
              <w:spacing w:after="0" w:line="240" w:lineRule="auto"/>
              <w:rPr>
                <w:rFonts w:cs="Arial"/>
                <w:color w:val="39414D"/>
                <w:sz w:val="16"/>
                <w:szCs w:val="16"/>
              </w:rPr>
            </w:pPr>
            <w:r w:rsidRPr="00941BEC">
              <w:rPr>
                <w:rFonts w:cs="Arial"/>
                <w:color w:val="39414D"/>
                <w:sz w:val="16"/>
                <w:szCs w:val="16"/>
              </w:rPr>
              <w:t>RI Housing Assisted Living</w:t>
            </w:r>
          </w:p>
        </w:tc>
        <w:tc>
          <w:tcPr>
            <w:tcW w:w="1800" w:type="dxa"/>
            <w:tcBorders>
              <w:top w:val="nil"/>
              <w:left w:val="nil"/>
              <w:bottom w:val="nil"/>
              <w:right w:val="nil"/>
            </w:tcBorders>
            <w:shd w:val="clear" w:color="auto" w:fill="auto"/>
            <w:vAlign w:val="center"/>
            <w:hideMark/>
          </w:tcPr>
          <w:p w14:paraId="02CC38DF" w14:textId="782480FD" w:rsidR="00941BEC" w:rsidRPr="00FC4603" w:rsidRDefault="00B358AB" w:rsidP="00FC4603">
            <w:pPr>
              <w:spacing w:after="0" w:line="240" w:lineRule="auto"/>
              <w:rPr>
                <w:rFonts w:cs="Arial"/>
                <w:color w:val="39414D"/>
                <w:sz w:val="16"/>
                <w:szCs w:val="16"/>
              </w:rPr>
            </w:pPr>
            <w:r>
              <w:rPr>
                <w:rFonts w:cs="Arial"/>
                <w:color w:val="39414D"/>
                <w:sz w:val="16"/>
                <w:szCs w:val="16"/>
              </w:rPr>
              <w:t>07</w:t>
            </w:r>
          </w:p>
        </w:tc>
      </w:tr>
      <w:tr w:rsidR="00941BEC" w:rsidRPr="00941BEC" w14:paraId="07FB27B7" w14:textId="77777777" w:rsidTr="00FC4603">
        <w:trPr>
          <w:trHeight w:val="288"/>
        </w:trPr>
        <w:tc>
          <w:tcPr>
            <w:tcW w:w="3420" w:type="dxa"/>
            <w:tcBorders>
              <w:top w:val="nil"/>
              <w:left w:val="nil"/>
              <w:bottom w:val="nil"/>
              <w:right w:val="nil"/>
            </w:tcBorders>
            <w:shd w:val="clear" w:color="000000" w:fill="E8E9E9"/>
            <w:vAlign w:val="center"/>
            <w:hideMark/>
          </w:tcPr>
          <w:p w14:paraId="10FF025E" w14:textId="4A47DDB6" w:rsidR="00941BEC" w:rsidRPr="00FC4603" w:rsidRDefault="00941BEC" w:rsidP="00FC4603">
            <w:pPr>
              <w:spacing w:after="0" w:line="240" w:lineRule="auto"/>
              <w:rPr>
                <w:rFonts w:cs="Arial"/>
                <w:color w:val="39414D"/>
                <w:sz w:val="16"/>
                <w:szCs w:val="16"/>
              </w:rPr>
            </w:pPr>
            <w:r w:rsidRPr="00941BEC">
              <w:rPr>
                <w:rFonts w:cs="Arial"/>
                <w:color w:val="39414D"/>
                <w:sz w:val="16"/>
                <w:szCs w:val="16"/>
              </w:rPr>
              <w:t>DEA Assisted Living</w:t>
            </w:r>
          </w:p>
        </w:tc>
        <w:tc>
          <w:tcPr>
            <w:tcW w:w="1800" w:type="dxa"/>
            <w:tcBorders>
              <w:top w:val="nil"/>
              <w:left w:val="nil"/>
              <w:bottom w:val="nil"/>
              <w:right w:val="nil"/>
            </w:tcBorders>
            <w:shd w:val="clear" w:color="000000" w:fill="E8E9E9"/>
            <w:vAlign w:val="center"/>
            <w:hideMark/>
          </w:tcPr>
          <w:p w14:paraId="220A80C7" w14:textId="7708D90C" w:rsidR="00941BEC" w:rsidRPr="00FC4603" w:rsidRDefault="00B358AB" w:rsidP="00FC4603">
            <w:pPr>
              <w:spacing w:after="0" w:line="240" w:lineRule="auto"/>
              <w:rPr>
                <w:rFonts w:cs="Arial"/>
                <w:color w:val="39414D"/>
                <w:sz w:val="16"/>
                <w:szCs w:val="16"/>
              </w:rPr>
            </w:pPr>
            <w:r>
              <w:rPr>
                <w:rFonts w:cs="Arial"/>
                <w:color w:val="39414D"/>
                <w:sz w:val="16"/>
                <w:szCs w:val="16"/>
              </w:rPr>
              <w:t>13</w:t>
            </w:r>
          </w:p>
        </w:tc>
      </w:tr>
      <w:tr w:rsidR="00941BEC" w:rsidRPr="00941BEC" w14:paraId="6DFF2C4C" w14:textId="77777777" w:rsidTr="00FC4603">
        <w:trPr>
          <w:trHeight w:val="288"/>
        </w:trPr>
        <w:tc>
          <w:tcPr>
            <w:tcW w:w="3420" w:type="dxa"/>
            <w:tcBorders>
              <w:top w:val="nil"/>
              <w:left w:val="nil"/>
              <w:bottom w:val="nil"/>
              <w:right w:val="nil"/>
            </w:tcBorders>
            <w:shd w:val="clear" w:color="auto" w:fill="auto"/>
            <w:vAlign w:val="center"/>
            <w:hideMark/>
          </w:tcPr>
          <w:p w14:paraId="492F4DA7" w14:textId="5E25740E" w:rsidR="00941BEC" w:rsidRPr="00FC4603" w:rsidRDefault="00941BEC" w:rsidP="00FC4603">
            <w:pPr>
              <w:spacing w:after="0" w:line="240" w:lineRule="auto"/>
              <w:rPr>
                <w:rFonts w:cs="Arial"/>
                <w:color w:val="39414D"/>
                <w:sz w:val="16"/>
                <w:szCs w:val="16"/>
              </w:rPr>
            </w:pPr>
            <w:r w:rsidRPr="00941BEC">
              <w:rPr>
                <w:rFonts w:cs="Arial"/>
                <w:color w:val="39414D"/>
                <w:sz w:val="16"/>
                <w:szCs w:val="16"/>
              </w:rPr>
              <w:t>Shared Living</w:t>
            </w:r>
          </w:p>
        </w:tc>
        <w:tc>
          <w:tcPr>
            <w:tcW w:w="1800" w:type="dxa"/>
            <w:tcBorders>
              <w:top w:val="nil"/>
              <w:left w:val="nil"/>
              <w:bottom w:val="nil"/>
              <w:right w:val="nil"/>
            </w:tcBorders>
            <w:shd w:val="clear" w:color="auto" w:fill="auto"/>
            <w:vAlign w:val="center"/>
            <w:hideMark/>
          </w:tcPr>
          <w:p w14:paraId="36C2E605" w14:textId="2E540797" w:rsidR="00941BEC" w:rsidRPr="00FC4603" w:rsidRDefault="00B358AB" w:rsidP="00FC4603">
            <w:pPr>
              <w:spacing w:after="0" w:line="240" w:lineRule="auto"/>
              <w:rPr>
                <w:rFonts w:cs="Arial"/>
                <w:color w:val="39414D"/>
                <w:sz w:val="16"/>
                <w:szCs w:val="16"/>
              </w:rPr>
            </w:pPr>
            <w:r>
              <w:rPr>
                <w:rFonts w:cs="Arial"/>
                <w:color w:val="39414D"/>
                <w:sz w:val="16"/>
                <w:szCs w:val="16"/>
              </w:rPr>
              <w:t>08</w:t>
            </w:r>
          </w:p>
        </w:tc>
      </w:tr>
    </w:tbl>
    <w:p w14:paraId="7E734B0D" w14:textId="1381822A" w:rsidR="00941BEC" w:rsidRDefault="002343F2" w:rsidP="0046181A">
      <w:pPr>
        <w:tabs>
          <w:tab w:val="left" w:pos="360"/>
          <w:tab w:val="left" w:pos="720"/>
          <w:tab w:val="left" w:pos="1080"/>
          <w:tab w:val="left" w:pos="1440"/>
          <w:tab w:val="left" w:pos="1800"/>
        </w:tabs>
        <w:spacing w:before="120" w:after="120"/>
        <w:jc w:val="both"/>
        <w:rPr>
          <w:rFonts w:cs="Arial"/>
        </w:rPr>
      </w:pPr>
      <w:r>
        <w:rPr>
          <w:rFonts w:cs="Arial"/>
        </w:rPr>
        <w:t xml:space="preserve">The proxy PACE population is limited to members who were either </w:t>
      </w:r>
      <w:r w:rsidR="00726C53">
        <w:rPr>
          <w:rFonts w:cs="Arial"/>
        </w:rPr>
        <w:t>residing in a</w:t>
      </w:r>
      <w:r>
        <w:rPr>
          <w:rFonts w:cs="Arial"/>
        </w:rPr>
        <w:t xml:space="preserve"> </w:t>
      </w:r>
      <w:r w:rsidR="00B82BF7">
        <w:rPr>
          <w:rFonts w:cs="Arial"/>
        </w:rPr>
        <w:t xml:space="preserve">nursing home or </w:t>
      </w:r>
      <w:r w:rsidR="00726C53">
        <w:rPr>
          <w:rFonts w:cs="Arial"/>
        </w:rPr>
        <w:t xml:space="preserve">enrolled in an eligible </w:t>
      </w:r>
      <w:r w:rsidR="00B82BF7">
        <w:rPr>
          <w:rFonts w:cs="Arial"/>
        </w:rPr>
        <w:t>waiver.</w:t>
      </w:r>
      <w:r w:rsidDel="00C802C7">
        <w:rPr>
          <w:rFonts w:cs="Arial"/>
        </w:rPr>
        <w:t xml:space="preserve"> </w:t>
      </w:r>
      <w:r w:rsidR="00C802C7">
        <w:rPr>
          <w:rFonts w:cs="Arial"/>
        </w:rPr>
        <w:t xml:space="preserve">Members meeting both the nursing home and HCBS criteria described above were assigned to the nursing home </w:t>
      </w:r>
      <w:r w:rsidR="00726C53">
        <w:rPr>
          <w:rFonts w:cs="Arial"/>
        </w:rPr>
        <w:t>rate cell</w:t>
      </w:r>
      <w:r w:rsidR="00C802C7">
        <w:rPr>
          <w:rFonts w:cs="Arial"/>
        </w:rPr>
        <w:t>.</w:t>
      </w:r>
      <w:r w:rsidRPr="002343F2">
        <w:rPr>
          <w:rFonts w:cs="Arial"/>
        </w:rPr>
        <w:t xml:space="preserve"> </w:t>
      </w:r>
    </w:p>
    <w:p w14:paraId="472022B2" w14:textId="124FE967" w:rsidR="0039130E" w:rsidRDefault="00B358AB" w:rsidP="00C87D6C">
      <w:pPr>
        <w:tabs>
          <w:tab w:val="left" w:pos="360"/>
          <w:tab w:val="left" w:pos="720"/>
          <w:tab w:val="left" w:pos="1080"/>
          <w:tab w:val="left" w:pos="1440"/>
          <w:tab w:val="left" w:pos="1800"/>
        </w:tabs>
        <w:spacing w:after="120"/>
        <w:rPr>
          <w:rFonts w:cs="Arial"/>
        </w:rPr>
      </w:pPr>
      <w:r>
        <w:rPr>
          <w:rFonts w:cs="Arial"/>
        </w:rPr>
        <w:t xml:space="preserve">Members were </w:t>
      </w:r>
      <w:r w:rsidR="00EA4EC4">
        <w:rPr>
          <w:rFonts w:cs="Arial"/>
        </w:rPr>
        <w:t>stratified</w:t>
      </w:r>
      <w:r w:rsidR="00941BEC">
        <w:rPr>
          <w:rFonts w:cs="Arial"/>
        </w:rPr>
        <w:t xml:space="preserve"> between </w:t>
      </w:r>
      <w:r w:rsidR="000B3473">
        <w:rPr>
          <w:rFonts w:cs="Arial"/>
        </w:rPr>
        <w:t>dual/</w:t>
      </w:r>
      <w:r w:rsidR="00941BEC">
        <w:rPr>
          <w:rFonts w:cs="Arial"/>
        </w:rPr>
        <w:t xml:space="preserve">non-dual </w:t>
      </w:r>
      <w:r w:rsidR="00DB64C1">
        <w:rPr>
          <w:rFonts w:cs="Arial"/>
        </w:rPr>
        <w:t xml:space="preserve">eligibility and </w:t>
      </w:r>
      <w:r w:rsidR="00B235AF">
        <w:rPr>
          <w:rFonts w:cs="Arial"/>
        </w:rPr>
        <w:t xml:space="preserve">furthermore by age for dual eligibles </w:t>
      </w:r>
      <w:r w:rsidR="00EA4EC4">
        <w:rPr>
          <w:rFonts w:cs="Arial"/>
        </w:rPr>
        <w:t>based on</w:t>
      </w:r>
      <w:r w:rsidR="00936C5A">
        <w:rPr>
          <w:rFonts w:cs="Arial"/>
        </w:rPr>
        <w:t xml:space="preserve"> EOHHS</w:t>
      </w:r>
      <w:r>
        <w:rPr>
          <w:rFonts w:cs="Arial"/>
        </w:rPr>
        <w:t xml:space="preserve"> eligibility data. </w:t>
      </w:r>
      <w:r w:rsidR="00625169">
        <w:rPr>
          <w:rFonts w:cs="Arial"/>
        </w:rPr>
        <w:t>Eligibility categories are stratified by members</w:t>
      </w:r>
      <w:r w:rsidR="007B5D16">
        <w:rPr>
          <w:rFonts w:cs="Arial"/>
        </w:rPr>
        <w:t xml:space="preserve"> </w:t>
      </w:r>
      <w:r w:rsidR="00575465">
        <w:rPr>
          <w:rFonts w:cs="Arial"/>
        </w:rPr>
        <w:t xml:space="preserve">eligible for Medicare </w:t>
      </w:r>
      <w:r w:rsidR="00B54AEA">
        <w:rPr>
          <w:rFonts w:cs="Arial"/>
        </w:rPr>
        <w:t xml:space="preserve">primarily </w:t>
      </w:r>
      <w:r w:rsidR="00575465">
        <w:rPr>
          <w:rFonts w:cs="Arial"/>
        </w:rPr>
        <w:t>because of disability (</w:t>
      </w:r>
      <w:r w:rsidR="00B54AEA">
        <w:rPr>
          <w:rFonts w:cs="Arial"/>
        </w:rPr>
        <w:t>Duals 55-64), eligible for Medicare primarily because of age (Duals 65+)</w:t>
      </w:r>
      <w:r w:rsidR="00D809D2">
        <w:rPr>
          <w:rFonts w:cs="Arial"/>
        </w:rPr>
        <w:t>,</w:t>
      </w:r>
      <w:r w:rsidR="00B54AEA">
        <w:rPr>
          <w:rFonts w:cs="Arial"/>
        </w:rPr>
        <w:t xml:space="preserve"> and </w:t>
      </w:r>
      <w:r w:rsidR="00D809D2">
        <w:rPr>
          <w:rFonts w:cs="Arial"/>
        </w:rPr>
        <w:t xml:space="preserve">members </w:t>
      </w:r>
      <w:r w:rsidR="00B54AEA">
        <w:rPr>
          <w:rFonts w:cs="Arial"/>
        </w:rPr>
        <w:t>not eligible for Medicare (Non-Duals)</w:t>
      </w:r>
      <w:r w:rsidR="005E63FF">
        <w:rPr>
          <w:rFonts w:cs="Arial"/>
        </w:rPr>
        <w:t>. This stratification allows</w:t>
      </w:r>
      <w:r w:rsidR="00DC4964">
        <w:rPr>
          <w:rFonts w:cs="Arial"/>
        </w:rPr>
        <w:t xml:space="preserve"> </w:t>
      </w:r>
      <w:r w:rsidR="00324F68">
        <w:rPr>
          <w:rFonts w:cs="Arial"/>
        </w:rPr>
        <w:t xml:space="preserve">for </w:t>
      </w:r>
      <w:r w:rsidR="00D2221A">
        <w:rPr>
          <w:rFonts w:cs="Arial"/>
        </w:rPr>
        <w:t xml:space="preserve">more </w:t>
      </w:r>
      <w:r w:rsidR="005E63FF">
        <w:rPr>
          <w:rFonts w:cs="Arial"/>
        </w:rPr>
        <w:t xml:space="preserve">precise AWOP and capitation rate development and </w:t>
      </w:r>
      <w:r w:rsidR="008403E8">
        <w:rPr>
          <w:rFonts w:cs="Arial"/>
        </w:rPr>
        <w:t>as a risk stratification mechanism</w:t>
      </w:r>
      <w:r w:rsidR="00597990">
        <w:rPr>
          <w:rFonts w:cs="Arial"/>
        </w:rPr>
        <w:t xml:space="preserve"> within the </w:t>
      </w:r>
      <w:r w:rsidR="00324F68">
        <w:rPr>
          <w:rFonts w:cs="Arial"/>
        </w:rPr>
        <w:t>PACE program.</w:t>
      </w:r>
    </w:p>
    <w:p w14:paraId="78AF8C5F" w14:textId="2C795E37" w:rsidR="0082078C" w:rsidRPr="008645E0" w:rsidRDefault="009054D4" w:rsidP="00C87D6C">
      <w:pPr>
        <w:tabs>
          <w:tab w:val="left" w:pos="360"/>
          <w:tab w:val="left" w:pos="720"/>
          <w:tab w:val="left" w:pos="1080"/>
          <w:tab w:val="left" w:pos="1440"/>
          <w:tab w:val="left" w:pos="1800"/>
        </w:tabs>
        <w:spacing w:after="120"/>
        <w:rPr>
          <w:rFonts w:cs="Arial"/>
        </w:rPr>
      </w:pPr>
      <w:r>
        <w:rPr>
          <w:rFonts w:cs="Arial"/>
        </w:rPr>
        <w:t>The base data period is from January 1, 2019 through December 31, 2019</w:t>
      </w:r>
      <w:r w:rsidR="00B34C72">
        <w:rPr>
          <w:rFonts w:cs="Arial"/>
        </w:rPr>
        <w:t xml:space="preserve"> (CY 2019)</w:t>
      </w:r>
      <w:r>
        <w:rPr>
          <w:rFonts w:cs="Arial"/>
        </w:rPr>
        <w:t xml:space="preserve">. </w:t>
      </w:r>
      <w:r w:rsidR="0078505D">
        <w:rPr>
          <w:rFonts w:cs="Arial"/>
        </w:rPr>
        <w:t>Member month values for t</w:t>
      </w:r>
      <w:r w:rsidR="00B358AB">
        <w:rPr>
          <w:rFonts w:cs="Arial"/>
        </w:rPr>
        <w:t xml:space="preserve">he base </w:t>
      </w:r>
      <w:r w:rsidR="00A5721A">
        <w:rPr>
          <w:rFonts w:cs="Arial"/>
        </w:rPr>
        <w:t xml:space="preserve">experience </w:t>
      </w:r>
      <w:r w:rsidR="00B358AB">
        <w:rPr>
          <w:rFonts w:cs="Arial"/>
        </w:rPr>
        <w:t xml:space="preserve">is illustrated in </w:t>
      </w:r>
      <w:r w:rsidR="008F339E">
        <w:rPr>
          <w:rFonts w:cs="Arial"/>
        </w:rPr>
        <w:t>Figure</w:t>
      </w:r>
      <w:r w:rsidR="00B358AB">
        <w:rPr>
          <w:rFonts w:cs="Arial"/>
        </w:rPr>
        <w:t xml:space="preserve"> </w:t>
      </w:r>
      <w:r w:rsidR="0022064D">
        <w:rPr>
          <w:rFonts w:cs="Arial"/>
        </w:rPr>
        <w:t>4</w:t>
      </w:r>
      <w:r w:rsidR="00B358AB">
        <w:rPr>
          <w:rFonts w:cs="Arial"/>
        </w:rPr>
        <w:t>.</w:t>
      </w:r>
    </w:p>
    <w:tbl>
      <w:tblPr>
        <w:tblW w:w="4506" w:type="dxa"/>
        <w:tblLook w:val="04A0" w:firstRow="1" w:lastRow="0" w:firstColumn="1" w:lastColumn="0" w:noHBand="0" w:noVBand="1"/>
      </w:tblPr>
      <w:tblGrid>
        <w:gridCol w:w="2520"/>
        <w:gridCol w:w="1980"/>
        <w:gridCol w:w="6"/>
      </w:tblGrid>
      <w:tr w:rsidR="00B358AB" w:rsidRPr="00BC3858" w14:paraId="5512BBD7" w14:textId="77777777" w:rsidTr="0051018B">
        <w:trPr>
          <w:trHeight w:val="300"/>
        </w:trPr>
        <w:tc>
          <w:tcPr>
            <w:tcW w:w="4506" w:type="dxa"/>
            <w:gridSpan w:val="3"/>
            <w:tcBorders>
              <w:top w:val="single" w:sz="4" w:space="0" w:color="E8E9E9"/>
              <w:left w:val="nil"/>
              <w:bottom w:val="nil"/>
              <w:right w:val="nil"/>
            </w:tcBorders>
            <w:shd w:val="clear" w:color="auto" w:fill="auto"/>
            <w:noWrap/>
            <w:vAlign w:val="center"/>
            <w:hideMark/>
          </w:tcPr>
          <w:p w14:paraId="1FCEA167" w14:textId="05F0DDE8" w:rsidR="00B358AB" w:rsidRPr="00BC3858" w:rsidRDefault="008F339E" w:rsidP="002174D9">
            <w:pPr>
              <w:spacing w:after="0" w:line="240" w:lineRule="auto"/>
              <w:rPr>
                <w:rFonts w:cs="Arial"/>
                <w:b/>
                <w:bCs/>
                <w:color w:val="0081E3"/>
                <w:sz w:val="16"/>
                <w:szCs w:val="16"/>
              </w:rPr>
            </w:pPr>
            <w:r>
              <w:rPr>
                <w:rFonts w:cs="Arial"/>
                <w:b/>
                <w:bCs/>
                <w:color w:val="0081E3"/>
                <w:sz w:val="16"/>
                <w:szCs w:val="16"/>
              </w:rPr>
              <w:t>FIGURE</w:t>
            </w:r>
            <w:r w:rsidR="00B358AB" w:rsidRPr="00BC3858">
              <w:rPr>
                <w:rFonts w:cs="Arial"/>
                <w:b/>
                <w:bCs/>
                <w:color w:val="0081E3"/>
                <w:sz w:val="16"/>
                <w:szCs w:val="16"/>
              </w:rPr>
              <w:t xml:space="preserve"> </w:t>
            </w:r>
            <w:r w:rsidR="00161DC5">
              <w:rPr>
                <w:rFonts w:cs="Arial"/>
                <w:b/>
                <w:bCs/>
                <w:color w:val="0081E3"/>
                <w:sz w:val="16"/>
                <w:szCs w:val="16"/>
              </w:rPr>
              <w:t>4</w:t>
            </w:r>
            <w:r w:rsidR="00B358AB" w:rsidRPr="00BC3858">
              <w:rPr>
                <w:rFonts w:cs="Arial"/>
                <w:b/>
                <w:bCs/>
                <w:color w:val="0081E3"/>
                <w:sz w:val="16"/>
                <w:szCs w:val="16"/>
              </w:rPr>
              <w:t xml:space="preserve">:  </w:t>
            </w:r>
            <w:r w:rsidR="00AA7396">
              <w:rPr>
                <w:rFonts w:cs="Arial"/>
                <w:b/>
                <w:bCs/>
                <w:color w:val="0081E3"/>
                <w:sz w:val="16"/>
                <w:szCs w:val="16"/>
              </w:rPr>
              <w:t xml:space="preserve">CY 2019 </w:t>
            </w:r>
            <w:r w:rsidR="00A5721A">
              <w:rPr>
                <w:rFonts w:cs="Arial"/>
                <w:b/>
                <w:bCs/>
                <w:color w:val="0081E3"/>
                <w:sz w:val="16"/>
                <w:szCs w:val="16"/>
              </w:rPr>
              <w:t xml:space="preserve">PROXY </w:t>
            </w:r>
            <w:r w:rsidR="00AA7396">
              <w:rPr>
                <w:rFonts w:cs="Arial"/>
                <w:b/>
                <w:bCs/>
                <w:color w:val="0081E3"/>
                <w:sz w:val="16"/>
                <w:szCs w:val="16"/>
              </w:rPr>
              <w:t>PACE ELIGIBILITY</w:t>
            </w:r>
          </w:p>
        </w:tc>
      </w:tr>
      <w:tr w:rsidR="0051018B" w:rsidRPr="00BC3858" w14:paraId="60651EB4" w14:textId="77777777" w:rsidTr="00FC4603">
        <w:trPr>
          <w:gridAfter w:val="1"/>
          <w:wAfter w:w="6" w:type="dxa"/>
          <w:trHeight w:val="288"/>
        </w:trPr>
        <w:tc>
          <w:tcPr>
            <w:tcW w:w="2520" w:type="dxa"/>
            <w:tcBorders>
              <w:top w:val="nil"/>
              <w:left w:val="nil"/>
              <w:bottom w:val="single" w:sz="4" w:space="0" w:color="C6C9CA"/>
              <w:right w:val="nil"/>
            </w:tcBorders>
            <w:shd w:val="clear" w:color="auto" w:fill="auto"/>
            <w:vAlign w:val="center"/>
            <w:hideMark/>
          </w:tcPr>
          <w:p w14:paraId="4ABD15A0" w14:textId="004547B0" w:rsidR="0051018B" w:rsidRPr="0051018B" w:rsidRDefault="0051018B" w:rsidP="0051018B">
            <w:pPr>
              <w:spacing w:after="0" w:line="240" w:lineRule="auto"/>
              <w:rPr>
                <w:rFonts w:cs="Arial"/>
                <w:b/>
                <w:bCs/>
                <w:color w:val="39414D"/>
                <w:sz w:val="16"/>
                <w:szCs w:val="18"/>
              </w:rPr>
            </w:pPr>
            <w:r w:rsidRPr="0051018B">
              <w:rPr>
                <w:rFonts w:ascii="Arial" w:hAnsi="Arial" w:cs="Arial"/>
                <w:b/>
                <w:bCs/>
                <w:color w:val="39414D"/>
                <w:sz w:val="16"/>
                <w:szCs w:val="18"/>
              </w:rPr>
              <w:t>PACE Rate Cell</w:t>
            </w:r>
          </w:p>
        </w:tc>
        <w:tc>
          <w:tcPr>
            <w:tcW w:w="1980" w:type="dxa"/>
            <w:tcBorders>
              <w:top w:val="nil"/>
              <w:left w:val="nil"/>
              <w:bottom w:val="single" w:sz="4" w:space="0" w:color="C6C9CA"/>
              <w:right w:val="nil"/>
            </w:tcBorders>
            <w:shd w:val="clear" w:color="auto" w:fill="auto"/>
            <w:vAlign w:val="center"/>
            <w:hideMark/>
          </w:tcPr>
          <w:p w14:paraId="52F371E4" w14:textId="1B7188DB" w:rsidR="0051018B" w:rsidRPr="0051018B" w:rsidRDefault="0051018B" w:rsidP="00FC4603">
            <w:pPr>
              <w:spacing w:after="0" w:line="240" w:lineRule="auto"/>
              <w:jc w:val="right"/>
              <w:rPr>
                <w:rFonts w:cs="Arial"/>
                <w:b/>
                <w:bCs/>
                <w:color w:val="39414D"/>
                <w:sz w:val="16"/>
                <w:szCs w:val="18"/>
              </w:rPr>
            </w:pPr>
            <w:r w:rsidRPr="0051018B">
              <w:rPr>
                <w:rFonts w:ascii="Arial" w:hAnsi="Arial" w:cs="Arial"/>
                <w:b/>
                <w:bCs/>
                <w:color w:val="39414D"/>
                <w:sz w:val="16"/>
                <w:szCs w:val="18"/>
              </w:rPr>
              <w:t>Member Months</w:t>
            </w:r>
          </w:p>
        </w:tc>
      </w:tr>
      <w:tr w:rsidR="00AA7396" w:rsidRPr="00BC3858" w14:paraId="7FC3AF38" w14:textId="77777777" w:rsidTr="00FC4603">
        <w:trPr>
          <w:gridAfter w:val="1"/>
          <w:wAfter w:w="6" w:type="dxa"/>
          <w:trHeight w:val="288"/>
        </w:trPr>
        <w:tc>
          <w:tcPr>
            <w:tcW w:w="2520" w:type="dxa"/>
            <w:tcBorders>
              <w:top w:val="nil"/>
              <w:left w:val="nil"/>
              <w:bottom w:val="nil"/>
              <w:right w:val="nil"/>
            </w:tcBorders>
            <w:shd w:val="clear" w:color="auto" w:fill="auto"/>
            <w:vAlign w:val="center"/>
            <w:hideMark/>
          </w:tcPr>
          <w:p w14:paraId="2257C84B" w14:textId="0A8084F8" w:rsidR="00AA7396" w:rsidRPr="008645E0" w:rsidRDefault="00AA7396">
            <w:pPr>
              <w:spacing w:after="0" w:line="240" w:lineRule="auto"/>
              <w:rPr>
                <w:rFonts w:cs="Arial"/>
                <w:color w:val="39414D"/>
                <w:sz w:val="16"/>
                <w:szCs w:val="20"/>
              </w:rPr>
            </w:pPr>
            <w:r w:rsidRPr="00FC4603">
              <w:rPr>
                <w:sz w:val="16"/>
                <w:szCs w:val="20"/>
              </w:rPr>
              <w:t>Duals 55-64 HCBS</w:t>
            </w:r>
          </w:p>
        </w:tc>
        <w:tc>
          <w:tcPr>
            <w:tcW w:w="1980" w:type="dxa"/>
            <w:tcBorders>
              <w:top w:val="nil"/>
              <w:left w:val="nil"/>
              <w:bottom w:val="nil"/>
              <w:right w:val="nil"/>
            </w:tcBorders>
            <w:shd w:val="clear" w:color="auto" w:fill="auto"/>
            <w:vAlign w:val="center"/>
            <w:hideMark/>
          </w:tcPr>
          <w:p w14:paraId="1CABA41D" w14:textId="49BC28E1" w:rsidR="00AA7396" w:rsidRPr="008645E0" w:rsidRDefault="00AA7396" w:rsidP="00FC4603">
            <w:pPr>
              <w:spacing w:after="0" w:line="240" w:lineRule="auto"/>
              <w:jc w:val="right"/>
              <w:rPr>
                <w:rFonts w:cs="Arial"/>
                <w:color w:val="39414D"/>
                <w:sz w:val="16"/>
                <w:szCs w:val="20"/>
              </w:rPr>
            </w:pPr>
            <w:r w:rsidRPr="00FC4603">
              <w:rPr>
                <w:sz w:val="16"/>
                <w:szCs w:val="20"/>
              </w:rPr>
              <w:t>2,022</w:t>
            </w:r>
          </w:p>
        </w:tc>
      </w:tr>
      <w:tr w:rsidR="00AA7396" w:rsidRPr="00BC3858" w14:paraId="4E012CB1" w14:textId="77777777" w:rsidTr="00FC4603">
        <w:trPr>
          <w:gridAfter w:val="1"/>
          <w:wAfter w:w="6" w:type="dxa"/>
          <w:trHeight w:val="288"/>
        </w:trPr>
        <w:tc>
          <w:tcPr>
            <w:tcW w:w="2520" w:type="dxa"/>
            <w:tcBorders>
              <w:top w:val="nil"/>
              <w:left w:val="nil"/>
              <w:bottom w:val="nil"/>
              <w:right w:val="nil"/>
            </w:tcBorders>
            <w:shd w:val="clear" w:color="000000" w:fill="E8E9E9"/>
            <w:vAlign w:val="center"/>
            <w:hideMark/>
          </w:tcPr>
          <w:p w14:paraId="1125EA83" w14:textId="469AD5FF" w:rsidR="00AA7396" w:rsidRPr="008645E0" w:rsidRDefault="00AA7396">
            <w:pPr>
              <w:spacing w:after="0" w:line="240" w:lineRule="auto"/>
              <w:rPr>
                <w:rFonts w:cs="Arial"/>
                <w:color w:val="39414D"/>
                <w:sz w:val="16"/>
                <w:szCs w:val="20"/>
              </w:rPr>
            </w:pPr>
            <w:bookmarkStart w:id="9" w:name="_Hlk83318844"/>
            <w:r w:rsidRPr="00FC4603">
              <w:rPr>
                <w:sz w:val="16"/>
                <w:szCs w:val="20"/>
              </w:rPr>
              <w:t>Duals 55-64 NH</w:t>
            </w:r>
          </w:p>
        </w:tc>
        <w:tc>
          <w:tcPr>
            <w:tcW w:w="1980" w:type="dxa"/>
            <w:tcBorders>
              <w:top w:val="nil"/>
              <w:left w:val="nil"/>
              <w:bottom w:val="nil"/>
              <w:right w:val="nil"/>
            </w:tcBorders>
            <w:shd w:val="clear" w:color="000000" w:fill="E8E9E9"/>
            <w:vAlign w:val="center"/>
            <w:hideMark/>
          </w:tcPr>
          <w:p w14:paraId="76A25E1B" w14:textId="0A10BD5D" w:rsidR="00AA7396" w:rsidRPr="008645E0" w:rsidRDefault="00AA7396" w:rsidP="00FC4603">
            <w:pPr>
              <w:spacing w:after="0" w:line="240" w:lineRule="auto"/>
              <w:jc w:val="right"/>
              <w:rPr>
                <w:rFonts w:cs="Arial"/>
                <w:color w:val="39414D"/>
                <w:sz w:val="16"/>
                <w:szCs w:val="20"/>
              </w:rPr>
            </w:pPr>
            <w:r w:rsidRPr="00FC4603">
              <w:rPr>
                <w:sz w:val="16"/>
                <w:szCs w:val="20"/>
              </w:rPr>
              <w:t>2,718</w:t>
            </w:r>
          </w:p>
        </w:tc>
      </w:tr>
      <w:tr w:rsidR="00AA7396" w:rsidRPr="00BC3858" w14:paraId="3D944F43" w14:textId="77777777" w:rsidTr="00FC4603">
        <w:trPr>
          <w:gridAfter w:val="1"/>
          <w:wAfter w:w="6" w:type="dxa"/>
          <w:trHeight w:val="288"/>
        </w:trPr>
        <w:tc>
          <w:tcPr>
            <w:tcW w:w="2520" w:type="dxa"/>
            <w:tcBorders>
              <w:top w:val="nil"/>
              <w:left w:val="nil"/>
              <w:bottom w:val="nil"/>
              <w:right w:val="nil"/>
            </w:tcBorders>
            <w:shd w:val="clear" w:color="auto" w:fill="auto"/>
            <w:vAlign w:val="center"/>
            <w:hideMark/>
          </w:tcPr>
          <w:p w14:paraId="1E1C57F2" w14:textId="76152029" w:rsidR="00AA7396" w:rsidRPr="008645E0" w:rsidRDefault="00AA7396">
            <w:pPr>
              <w:spacing w:after="0" w:line="240" w:lineRule="auto"/>
              <w:rPr>
                <w:rFonts w:cs="Arial"/>
                <w:color w:val="39414D"/>
                <w:sz w:val="16"/>
                <w:szCs w:val="20"/>
              </w:rPr>
            </w:pPr>
            <w:r w:rsidRPr="00FC4603">
              <w:rPr>
                <w:sz w:val="16"/>
                <w:szCs w:val="20"/>
              </w:rPr>
              <w:t>Duals 65+ HCBS</w:t>
            </w:r>
          </w:p>
        </w:tc>
        <w:tc>
          <w:tcPr>
            <w:tcW w:w="1980" w:type="dxa"/>
            <w:tcBorders>
              <w:top w:val="nil"/>
              <w:left w:val="nil"/>
              <w:bottom w:val="nil"/>
              <w:right w:val="nil"/>
            </w:tcBorders>
            <w:shd w:val="clear" w:color="auto" w:fill="auto"/>
            <w:vAlign w:val="center"/>
            <w:hideMark/>
          </w:tcPr>
          <w:p w14:paraId="4066A9FE" w14:textId="2FF0BD80" w:rsidR="00AA7396" w:rsidRPr="008645E0" w:rsidRDefault="00AA7396" w:rsidP="00FC4603">
            <w:pPr>
              <w:spacing w:after="0" w:line="240" w:lineRule="auto"/>
              <w:jc w:val="right"/>
              <w:rPr>
                <w:rFonts w:cs="Arial"/>
                <w:color w:val="39414D"/>
                <w:sz w:val="16"/>
                <w:szCs w:val="20"/>
              </w:rPr>
            </w:pPr>
            <w:r w:rsidRPr="00FC4603">
              <w:rPr>
                <w:sz w:val="16"/>
                <w:szCs w:val="20"/>
              </w:rPr>
              <w:t>14,670</w:t>
            </w:r>
          </w:p>
        </w:tc>
      </w:tr>
      <w:tr w:rsidR="00AA7396" w:rsidRPr="00BC3858" w14:paraId="7F610FA5" w14:textId="77777777" w:rsidTr="00FC4603">
        <w:trPr>
          <w:gridAfter w:val="1"/>
          <w:wAfter w:w="6" w:type="dxa"/>
          <w:trHeight w:val="288"/>
        </w:trPr>
        <w:tc>
          <w:tcPr>
            <w:tcW w:w="2520" w:type="dxa"/>
            <w:tcBorders>
              <w:top w:val="nil"/>
              <w:left w:val="nil"/>
              <w:bottom w:val="nil"/>
              <w:right w:val="nil"/>
            </w:tcBorders>
            <w:shd w:val="clear" w:color="000000" w:fill="E8E9E9"/>
            <w:vAlign w:val="center"/>
            <w:hideMark/>
          </w:tcPr>
          <w:p w14:paraId="7DB19CF2" w14:textId="36DBC482" w:rsidR="00AA7396" w:rsidRPr="008645E0" w:rsidRDefault="00AA7396">
            <w:pPr>
              <w:spacing w:after="0" w:line="240" w:lineRule="auto"/>
              <w:rPr>
                <w:rFonts w:cs="Arial"/>
                <w:color w:val="39414D"/>
                <w:sz w:val="16"/>
                <w:szCs w:val="20"/>
              </w:rPr>
            </w:pPr>
            <w:r w:rsidRPr="00FC4603">
              <w:rPr>
                <w:sz w:val="16"/>
                <w:szCs w:val="20"/>
              </w:rPr>
              <w:t>Duals 65+ NH</w:t>
            </w:r>
          </w:p>
        </w:tc>
        <w:tc>
          <w:tcPr>
            <w:tcW w:w="1980" w:type="dxa"/>
            <w:tcBorders>
              <w:top w:val="nil"/>
              <w:left w:val="nil"/>
              <w:bottom w:val="nil"/>
              <w:right w:val="nil"/>
            </w:tcBorders>
            <w:shd w:val="clear" w:color="000000" w:fill="E8E9E9"/>
            <w:vAlign w:val="center"/>
            <w:hideMark/>
          </w:tcPr>
          <w:p w14:paraId="21DEE76D" w14:textId="19494A7B" w:rsidR="00AA7396" w:rsidRPr="008645E0" w:rsidRDefault="00AA7396" w:rsidP="00FC4603">
            <w:pPr>
              <w:spacing w:after="0" w:line="240" w:lineRule="auto"/>
              <w:jc w:val="right"/>
              <w:rPr>
                <w:rFonts w:cs="Arial"/>
                <w:color w:val="39414D"/>
                <w:sz w:val="16"/>
                <w:szCs w:val="20"/>
              </w:rPr>
            </w:pPr>
            <w:r w:rsidRPr="00FC4603">
              <w:rPr>
                <w:sz w:val="16"/>
                <w:szCs w:val="20"/>
              </w:rPr>
              <w:t>43,596</w:t>
            </w:r>
          </w:p>
        </w:tc>
      </w:tr>
      <w:bookmarkEnd w:id="9"/>
      <w:tr w:rsidR="00AA7396" w:rsidRPr="00BC3858" w14:paraId="5F22E254" w14:textId="77777777" w:rsidTr="00FC4603">
        <w:trPr>
          <w:gridAfter w:val="1"/>
          <w:wAfter w:w="6" w:type="dxa"/>
          <w:trHeight w:val="288"/>
        </w:trPr>
        <w:tc>
          <w:tcPr>
            <w:tcW w:w="2520" w:type="dxa"/>
            <w:tcBorders>
              <w:top w:val="nil"/>
              <w:left w:val="nil"/>
              <w:bottom w:val="nil"/>
              <w:right w:val="nil"/>
            </w:tcBorders>
            <w:shd w:val="clear" w:color="auto" w:fill="auto"/>
            <w:vAlign w:val="center"/>
            <w:hideMark/>
          </w:tcPr>
          <w:p w14:paraId="49A21EFB" w14:textId="39C2E471" w:rsidR="00AA7396" w:rsidRPr="008645E0" w:rsidRDefault="00AA7396">
            <w:pPr>
              <w:spacing w:after="0" w:line="240" w:lineRule="auto"/>
              <w:rPr>
                <w:rFonts w:cs="Arial"/>
                <w:color w:val="39414D"/>
                <w:sz w:val="16"/>
                <w:szCs w:val="20"/>
              </w:rPr>
            </w:pPr>
            <w:r w:rsidRPr="00FC4603">
              <w:rPr>
                <w:sz w:val="16"/>
                <w:szCs w:val="20"/>
              </w:rPr>
              <w:t>Non-Duals HCBS</w:t>
            </w:r>
          </w:p>
        </w:tc>
        <w:tc>
          <w:tcPr>
            <w:tcW w:w="1980" w:type="dxa"/>
            <w:tcBorders>
              <w:top w:val="nil"/>
              <w:left w:val="nil"/>
              <w:bottom w:val="nil"/>
              <w:right w:val="nil"/>
            </w:tcBorders>
            <w:shd w:val="clear" w:color="auto" w:fill="auto"/>
            <w:vAlign w:val="center"/>
            <w:hideMark/>
          </w:tcPr>
          <w:p w14:paraId="6B8B6EB4" w14:textId="0E9F471F" w:rsidR="00AA7396" w:rsidRPr="008645E0" w:rsidRDefault="00AA7396" w:rsidP="00FC4603">
            <w:pPr>
              <w:spacing w:after="0" w:line="240" w:lineRule="auto"/>
              <w:jc w:val="right"/>
              <w:rPr>
                <w:rFonts w:cs="Arial"/>
                <w:color w:val="39414D"/>
                <w:sz w:val="16"/>
                <w:szCs w:val="20"/>
              </w:rPr>
            </w:pPr>
            <w:r w:rsidRPr="00FC4603">
              <w:rPr>
                <w:sz w:val="16"/>
                <w:szCs w:val="20"/>
              </w:rPr>
              <w:t>462</w:t>
            </w:r>
          </w:p>
        </w:tc>
      </w:tr>
      <w:tr w:rsidR="00AA7396" w:rsidRPr="00BC3858" w14:paraId="0884D106" w14:textId="77777777" w:rsidTr="00FC4603">
        <w:trPr>
          <w:gridAfter w:val="1"/>
          <w:wAfter w:w="6" w:type="dxa"/>
          <w:trHeight w:val="288"/>
        </w:trPr>
        <w:tc>
          <w:tcPr>
            <w:tcW w:w="2520" w:type="dxa"/>
            <w:tcBorders>
              <w:top w:val="nil"/>
              <w:left w:val="nil"/>
              <w:bottom w:val="nil"/>
              <w:right w:val="nil"/>
            </w:tcBorders>
            <w:shd w:val="clear" w:color="auto" w:fill="E8E9E9"/>
            <w:vAlign w:val="center"/>
          </w:tcPr>
          <w:p w14:paraId="2C1C0976" w14:textId="2ED45071" w:rsidR="00AA7396" w:rsidRPr="008645E0" w:rsidRDefault="00AA7396">
            <w:pPr>
              <w:spacing w:after="0" w:line="240" w:lineRule="auto"/>
              <w:rPr>
                <w:rFonts w:cs="Arial"/>
                <w:color w:val="39414D"/>
                <w:sz w:val="16"/>
                <w:szCs w:val="20"/>
              </w:rPr>
            </w:pPr>
            <w:r w:rsidRPr="00FC4603">
              <w:rPr>
                <w:sz w:val="16"/>
                <w:szCs w:val="20"/>
              </w:rPr>
              <w:t>Non-Duals NH</w:t>
            </w:r>
          </w:p>
        </w:tc>
        <w:tc>
          <w:tcPr>
            <w:tcW w:w="1980" w:type="dxa"/>
            <w:tcBorders>
              <w:top w:val="nil"/>
              <w:left w:val="nil"/>
              <w:bottom w:val="nil"/>
              <w:right w:val="nil"/>
            </w:tcBorders>
            <w:shd w:val="clear" w:color="auto" w:fill="E8E9E9"/>
            <w:vAlign w:val="center"/>
          </w:tcPr>
          <w:p w14:paraId="4AA3C9E2" w14:textId="0D117194" w:rsidR="00AA7396" w:rsidRPr="008645E0" w:rsidRDefault="00AA7396" w:rsidP="00FC4603">
            <w:pPr>
              <w:spacing w:after="0" w:line="240" w:lineRule="auto"/>
              <w:jc w:val="right"/>
              <w:rPr>
                <w:rFonts w:cs="Arial"/>
                <w:color w:val="39414D"/>
                <w:sz w:val="16"/>
                <w:szCs w:val="20"/>
              </w:rPr>
            </w:pPr>
            <w:r w:rsidRPr="00FC4603">
              <w:rPr>
                <w:sz w:val="16"/>
                <w:szCs w:val="20"/>
              </w:rPr>
              <w:t>5,006</w:t>
            </w:r>
          </w:p>
        </w:tc>
      </w:tr>
      <w:tr w:rsidR="00AA7396" w:rsidRPr="00BC3858" w14:paraId="22DBE70C" w14:textId="77777777" w:rsidTr="00FC4603">
        <w:trPr>
          <w:gridAfter w:val="1"/>
          <w:wAfter w:w="6" w:type="dxa"/>
          <w:trHeight w:val="288"/>
        </w:trPr>
        <w:tc>
          <w:tcPr>
            <w:tcW w:w="2520" w:type="dxa"/>
            <w:tcBorders>
              <w:top w:val="nil"/>
              <w:left w:val="nil"/>
              <w:bottom w:val="nil"/>
              <w:right w:val="nil"/>
            </w:tcBorders>
            <w:shd w:val="clear" w:color="auto" w:fill="auto"/>
            <w:vAlign w:val="center"/>
          </w:tcPr>
          <w:p w14:paraId="2EE82AA6" w14:textId="0E50D0B8" w:rsidR="00AA7396" w:rsidRPr="008645E0" w:rsidRDefault="00AA7396">
            <w:pPr>
              <w:spacing w:after="0" w:line="240" w:lineRule="auto"/>
              <w:rPr>
                <w:rFonts w:cs="Arial"/>
                <w:color w:val="39414D"/>
                <w:sz w:val="16"/>
                <w:szCs w:val="20"/>
              </w:rPr>
            </w:pPr>
            <w:r w:rsidRPr="00FC4603">
              <w:rPr>
                <w:sz w:val="16"/>
                <w:szCs w:val="20"/>
              </w:rPr>
              <w:t>RHP Non-Duals HCBS</w:t>
            </w:r>
          </w:p>
        </w:tc>
        <w:tc>
          <w:tcPr>
            <w:tcW w:w="1980" w:type="dxa"/>
            <w:tcBorders>
              <w:top w:val="nil"/>
              <w:left w:val="nil"/>
              <w:bottom w:val="nil"/>
              <w:right w:val="nil"/>
            </w:tcBorders>
            <w:shd w:val="clear" w:color="auto" w:fill="auto"/>
            <w:vAlign w:val="center"/>
          </w:tcPr>
          <w:p w14:paraId="1BB8FD58" w14:textId="18F2B36B" w:rsidR="00AA7396" w:rsidRPr="008645E0" w:rsidRDefault="00AA7396" w:rsidP="00FC4603">
            <w:pPr>
              <w:spacing w:after="0" w:line="240" w:lineRule="auto"/>
              <w:jc w:val="right"/>
              <w:rPr>
                <w:rFonts w:cs="Arial"/>
                <w:color w:val="39414D"/>
                <w:sz w:val="16"/>
                <w:szCs w:val="20"/>
              </w:rPr>
            </w:pPr>
            <w:r w:rsidRPr="00FC4603">
              <w:rPr>
                <w:sz w:val="16"/>
                <w:szCs w:val="20"/>
              </w:rPr>
              <w:t>1,406</w:t>
            </w:r>
          </w:p>
        </w:tc>
      </w:tr>
      <w:tr w:rsidR="00AA7396" w:rsidRPr="00BC3858" w14:paraId="5BD277BA" w14:textId="77777777" w:rsidTr="00FC4603">
        <w:trPr>
          <w:gridAfter w:val="1"/>
          <w:wAfter w:w="6" w:type="dxa"/>
          <w:trHeight w:val="288"/>
        </w:trPr>
        <w:tc>
          <w:tcPr>
            <w:tcW w:w="2520" w:type="dxa"/>
            <w:tcBorders>
              <w:top w:val="nil"/>
              <w:left w:val="nil"/>
              <w:bottom w:val="nil"/>
              <w:right w:val="nil"/>
            </w:tcBorders>
            <w:shd w:val="clear" w:color="auto" w:fill="E8E9E9"/>
            <w:vAlign w:val="center"/>
          </w:tcPr>
          <w:p w14:paraId="318B0070" w14:textId="3F854907" w:rsidR="00AA7396" w:rsidRPr="00FC4603" w:rsidRDefault="00AA7396">
            <w:pPr>
              <w:spacing w:after="0" w:line="240" w:lineRule="auto"/>
              <w:rPr>
                <w:rFonts w:cs="Arial"/>
                <w:b/>
                <w:bCs/>
                <w:color w:val="39414D"/>
                <w:sz w:val="16"/>
                <w:szCs w:val="20"/>
              </w:rPr>
            </w:pPr>
            <w:r w:rsidRPr="00FC4603">
              <w:rPr>
                <w:b/>
                <w:bCs/>
                <w:sz w:val="16"/>
                <w:szCs w:val="20"/>
              </w:rPr>
              <w:t>Composite</w:t>
            </w:r>
          </w:p>
        </w:tc>
        <w:tc>
          <w:tcPr>
            <w:tcW w:w="1980" w:type="dxa"/>
            <w:tcBorders>
              <w:top w:val="nil"/>
              <w:left w:val="nil"/>
              <w:bottom w:val="nil"/>
              <w:right w:val="nil"/>
            </w:tcBorders>
            <w:shd w:val="clear" w:color="auto" w:fill="E8E9E9"/>
            <w:vAlign w:val="center"/>
          </w:tcPr>
          <w:p w14:paraId="3C9C8621" w14:textId="0C94E313" w:rsidR="00AA7396" w:rsidRPr="00FC4603" w:rsidRDefault="00AA7396" w:rsidP="00FC4603">
            <w:pPr>
              <w:spacing w:after="0" w:line="240" w:lineRule="auto"/>
              <w:jc w:val="right"/>
              <w:rPr>
                <w:rFonts w:cs="Arial"/>
                <w:b/>
                <w:bCs/>
                <w:color w:val="39414D"/>
                <w:sz w:val="16"/>
                <w:szCs w:val="20"/>
              </w:rPr>
            </w:pPr>
            <w:r w:rsidRPr="00FC4603">
              <w:rPr>
                <w:b/>
                <w:bCs/>
                <w:sz w:val="16"/>
                <w:szCs w:val="20"/>
              </w:rPr>
              <w:t>69,880</w:t>
            </w:r>
          </w:p>
        </w:tc>
      </w:tr>
    </w:tbl>
    <w:p w14:paraId="79B2BE2D" w14:textId="77777777" w:rsidR="008C085B" w:rsidRDefault="008C085B" w:rsidP="008C085B">
      <w:pPr>
        <w:tabs>
          <w:tab w:val="left" w:pos="360"/>
          <w:tab w:val="left" w:pos="720"/>
          <w:tab w:val="left" w:pos="1080"/>
          <w:tab w:val="left" w:pos="1440"/>
          <w:tab w:val="left" w:pos="1800"/>
        </w:tabs>
        <w:spacing w:after="0" w:line="240" w:lineRule="auto"/>
        <w:jc w:val="both"/>
        <w:rPr>
          <w:rFonts w:cs="Arial"/>
        </w:rPr>
      </w:pPr>
    </w:p>
    <w:p w14:paraId="12FC137C" w14:textId="466F1089" w:rsidR="009040BB" w:rsidRPr="00CB0BE3" w:rsidRDefault="00F1716F" w:rsidP="00D13EAF">
      <w:pPr>
        <w:tabs>
          <w:tab w:val="left" w:pos="360"/>
          <w:tab w:val="left" w:pos="720"/>
          <w:tab w:val="left" w:pos="1080"/>
          <w:tab w:val="left" w:pos="1440"/>
          <w:tab w:val="left" w:pos="1800"/>
        </w:tabs>
        <w:spacing w:after="0"/>
        <w:rPr>
          <w:rFonts w:cs="Arial"/>
        </w:rPr>
      </w:pPr>
      <w:r>
        <w:rPr>
          <w:rFonts w:cs="Arial"/>
        </w:rPr>
        <w:t>M</w:t>
      </w:r>
      <w:r w:rsidR="000360CA">
        <w:rPr>
          <w:rFonts w:cs="Arial"/>
        </w:rPr>
        <w:t xml:space="preserve">embers in the </w:t>
      </w:r>
      <w:r w:rsidR="00B61FD7">
        <w:rPr>
          <w:rFonts w:cs="Arial"/>
        </w:rPr>
        <w:t xml:space="preserve">RHP </w:t>
      </w:r>
      <w:r w:rsidR="00722598">
        <w:rPr>
          <w:rFonts w:cs="Arial"/>
        </w:rPr>
        <w:t xml:space="preserve">HCBS </w:t>
      </w:r>
      <w:r w:rsidR="00B61FD7">
        <w:rPr>
          <w:rFonts w:cs="Arial"/>
        </w:rPr>
        <w:t>population</w:t>
      </w:r>
      <w:r w:rsidR="000360CA">
        <w:rPr>
          <w:rFonts w:cs="Arial"/>
        </w:rPr>
        <w:t xml:space="preserve"> </w:t>
      </w:r>
      <w:r w:rsidR="0066435A">
        <w:rPr>
          <w:rFonts w:cs="Arial"/>
        </w:rPr>
        <w:t xml:space="preserve">are attributable to members previously enrolled in the RHO Phase 1 </w:t>
      </w:r>
      <w:r w:rsidR="00234467">
        <w:rPr>
          <w:rFonts w:cs="Arial"/>
        </w:rPr>
        <w:t>managed long</w:t>
      </w:r>
      <w:r w:rsidR="003F66D4">
        <w:rPr>
          <w:rFonts w:cs="Arial"/>
        </w:rPr>
        <w:t>-</w:t>
      </w:r>
      <w:r w:rsidR="00234467">
        <w:rPr>
          <w:rFonts w:cs="Arial"/>
        </w:rPr>
        <w:t>term services and supports program that were transitioned to RHP</w:t>
      </w:r>
      <w:r w:rsidR="00E04D5A">
        <w:rPr>
          <w:rFonts w:cs="Arial"/>
        </w:rPr>
        <w:t xml:space="preserve"> following the termination of the RHO</w:t>
      </w:r>
      <w:r w:rsidR="00352FCF">
        <w:rPr>
          <w:rFonts w:cs="Arial"/>
        </w:rPr>
        <w:t xml:space="preserve"> Phase 1 program. The b</w:t>
      </w:r>
      <w:r w:rsidR="00491ED0">
        <w:rPr>
          <w:rFonts w:cs="Arial"/>
        </w:rPr>
        <w:t>lending of the non-dual HCBS FFS and RHP populations</w:t>
      </w:r>
      <w:r w:rsidR="00F72E5D">
        <w:rPr>
          <w:rFonts w:cs="Arial"/>
        </w:rPr>
        <w:t xml:space="preserve"> is described in Step 6</w:t>
      </w:r>
      <w:r w:rsidR="00AF54A3">
        <w:rPr>
          <w:rFonts w:cs="Arial"/>
        </w:rPr>
        <w:t xml:space="preserve"> of this section</w:t>
      </w:r>
      <w:r w:rsidR="00F72E5D">
        <w:rPr>
          <w:rFonts w:cs="Arial"/>
        </w:rPr>
        <w:t>.</w:t>
      </w:r>
    </w:p>
    <w:p w14:paraId="64ED9F69" w14:textId="5262DA96" w:rsidR="00AA7396" w:rsidRDefault="00AA7396" w:rsidP="00AA7396">
      <w:pPr>
        <w:spacing w:after="0" w:line="240" w:lineRule="auto"/>
        <w:jc w:val="both"/>
        <w:rPr>
          <w:rFonts w:cs="Arial"/>
        </w:rPr>
      </w:pPr>
    </w:p>
    <w:p w14:paraId="5212AFEF" w14:textId="41A9DA15" w:rsidR="00941CA1" w:rsidRPr="008C085B" w:rsidRDefault="00941CA1" w:rsidP="0022663A">
      <w:pPr>
        <w:pStyle w:val="Heading3"/>
      </w:pPr>
      <w:bookmarkStart w:id="10" w:name="_Toc91081150"/>
      <w:r w:rsidRPr="008C085B">
        <w:t>S</w:t>
      </w:r>
      <w:r w:rsidR="0022663A">
        <w:t>tep</w:t>
      </w:r>
      <w:r w:rsidRPr="008C085B">
        <w:t xml:space="preserve"> </w:t>
      </w:r>
      <w:r w:rsidR="00741B22">
        <w:t>2</w:t>
      </w:r>
      <w:r w:rsidRPr="008C085B">
        <w:t xml:space="preserve">:  </w:t>
      </w:r>
      <w:r w:rsidR="00022769">
        <w:t xml:space="preserve">Summarize </w:t>
      </w:r>
      <w:r w:rsidR="004D7FEE">
        <w:t xml:space="preserve">FFS, NEMT, and </w:t>
      </w:r>
      <w:r w:rsidR="008573DD">
        <w:t>P</w:t>
      </w:r>
      <w:r w:rsidR="004D7FEE">
        <w:t xml:space="preserve">atient </w:t>
      </w:r>
      <w:r w:rsidR="008573DD">
        <w:t xml:space="preserve">Liability </w:t>
      </w:r>
      <w:r>
        <w:t>for Proxy PACE population</w:t>
      </w:r>
      <w:bookmarkEnd w:id="10"/>
    </w:p>
    <w:p w14:paraId="26F5D17D" w14:textId="77777777" w:rsidR="00941CA1" w:rsidRDefault="00941CA1">
      <w:pPr>
        <w:spacing w:after="0" w:line="240" w:lineRule="auto"/>
        <w:jc w:val="both"/>
        <w:rPr>
          <w:rFonts w:cs="Arial"/>
        </w:rPr>
      </w:pPr>
    </w:p>
    <w:p w14:paraId="2CD65E7D" w14:textId="7B52F9C7" w:rsidR="00495748" w:rsidRDefault="0082078C" w:rsidP="0046181A">
      <w:pPr>
        <w:spacing w:after="120"/>
        <w:rPr>
          <w:rFonts w:cs="Arial"/>
        </w:rPr>
      </w:pPr>
      <w:r w:rsidRPr="00CB0BE3">
        <w:rPr>
          <w:rFonts w:cs="Arial"/>
        </w:rPr>
        <w:t xml:space="preserve">The FFS base </w:t>
      </w:r>
      <w:r w:rsidR="00A222C1">
        <w:rPr>
          <w:rFonts w:cs="Arial"/>
        </w:rPr>
        <w:t xml:space="preserve">experience includes </w:t>
      </w:r>
      <w:r w:rsidR="00177FE0">
        <w:rPr>
          <w:rFonts w:cs="Arial"/>
        </w:rPr>
        <w:t xml:space="preserve">claims with CY 2019 service dates </w:t>
      </w:r>
      <w:r w:rsidRPr="00CB0BE3">
        <w:rPr>
          <w:rFonts w:cs="Arial"/>
        </w:rPr>
        <w:t xml:space="preserve">paid through </w:t>
      </w:r>
      <w:r w:rsidR="00352FB8">
        <w:rPr>
          <w:rFonts w:cs="Arial"/>
        </w:rPr>
        <w:t>May</w:t>
      </w:r>
      <w:r w:rsidR="00352FB8" w:rsidRPr="00CB0BE3">
        <w:rPr>
          <w:rFonts w:cs="Arial"/>
        </w:rPr>
        <w:t xml:space="preserve"> </w:t>
      </w:r>
      <w:r>
        <w:rPr>
          <w:rFonts w:cs="Arial"/>
        </w:rPr>
        <w:t xml:space="preserve">31, </w:t>
      </w:r>
      <w:r w:rsidRPr="00CB0BE3">
        <w:rPr>
          <w:rFonts w:cs="Arial"/>
        </w:rPr>
        <w:t>20</w:t>
      </w:r>
      <w:r>
        <w:rPr>
          <w:rFonts w:cs="Arial"/>
        </w:rPr>
        <w:t>21</w:t>
      </w:r>
      <w:r w:rsidRPr="00CB0BE3">
        <w:rPr>
          <w:rFonts w:cs="Arial"/>
        </w:rPr>
        <w:t>.</w:t>
      </w:r>
      <w:r>
        <w:rPr>
          <w:rFonts w:cs="Arial"/>
        </w:rPr>
        <w:t xml:space="preserve"> </w:t>
      </w:r>
      <w:r w:rsidR="00DB32B4">
        <w:rPr>
          <w:rFonts w:cs="Arial"/>
        </w:rPr>
        <w:t xml:space="preserve">CY 2019 FFS experience was </w:t>
      </w:r>
      <w:r w:rsidR="00C0011B">
        <w:rPr>
          <w:rFonts w:cs="Arial"/>
        </w:rPr>
        <w:t xml:space="preserve">assigned to the member’s </w:t>
      </w:r>
      <w:r w:rsidR="002B217C">
        <w:rPr>
          <w:rFonts w:cs="Arial"/>
        </w:rPr>
        <w:t>rate cell</w:t>
      </w:r>
      <w:r w:rsidR="00C0011B">
        <w:rPr>
          <w:rFonts w:cs="Arial"/>
        </w:rPr>
        <w:t xml:space="preserve"> </w:t>
      </w:r>
      <w:r w:rsidR="00A87CAB">
        <w:rPr>
          <w:rFonts w:cs="Arial"/>
        </w:rPr>
        <w:t>and stratified by category of service.</w:t>
      </w:r>
      <w:r w:rsidR="00C0011B">
        <w:rPr>
          <w:rFonts w:cs="Arial"/>
        </w:rPr>
        <w:t xml:space="preserve"> </w:t>
      </w:r>
      <w:r w:rsidR="004045E5">
        <w:rPr>
          <w:rFonts w:cs="Arial"/>
        </w:rPr>
        <w:t xml:space="preserve">All </w:t>
      </w:r>
      <w:r w:rsidR="00495748">
        <w:rPr>
          <w:rFonts w:cs="Arial"/>
        </w:rPr>
        <w:t xml:space="preserve">Medicaid </w:t>
      </w:r>
      <w:r w:rsidR="004045E5">
        <w:rPr>
          <w:rFonts w:cs="Arial"/>
        </w:rPr>
        <w:t>covered benefit</w:t>
      </w:r>
      <w:r w:rsidR="00495748">
        <w:rPr>
          <w:rFonts w:cs="Arial"/>
        </w:rPr>
        <w:t xml:space="preserve">s </w:t>
      </w:r>
      <w:r w:rsidR="00B5730A">
        <w:rPr>
          <w:rFonts w:cs="Arial"/>
        </w:rPr>
        <w:t xml:space="preserve">paid for by the FFS delivery system </w:t>
      </w:r>
      <w:r w:rsidR="00495748">
        <w:rPr>
          <w:rFonts w:cs="Arial"/>
        </w:rPr>
        <w:t>are included in the base FFS exper</w:t>
      </w:r>
      <w:r w:rsidR="00B5730A">
        <w:rPr>
          <w:rFonts w:cs="Arial"/>
        </w:rPr>
        <w:t>ience.</w:t>
      </w:r>
    </w:p>
    <w:p w14:paraId="6AD81829" w14:textId="1BB48050" w:rsidR="00766D98" w:rsidRDefault="00B5730A" w:rsidP="0046181A">
      <w:pPr>
        <w:spacing w:after="120"/>
        <w:rPr>
          <w:rFonts w:cs="Arial"/>
        </w:rPr>
      </w:pPr>
      <w:r>
        <w:rPr>
          <w:rFonts w:cs="Arial"/>
        </w:rPr>
        <w:t>In addition</w:t>
      </w:r>
      <w:r w:rsidR="001305F0">
        <w:rPr>
          <w:rFonts w:cs="Arial"/>
        </w:rPr>
        <w:t>, t</w:t>
      </w:r>
      <w:r w:rsidR="00AA7396">
        <w:rPr>
          <w:rFonts w:cs="Arial"/>
        </w:rPr>
        <w:t xml:space="preserve">he base experience </w:t>
      </w:r>
      <w:r w:rsidR="001305F0">
        <w:rPr>
          <w:rFonts w:cs="Arial"/>
        </w:rPr>
        <w:t>includes per member per month (</w:t>
      </w:r>
      <w:r w:rsidR="001305F0" w:rsidRPr="00CB0BE3">
        <w:rPr>
          <w:rFonts w:cs="Arial"/>
        </w:rPr>
        <w:t>PMPM</w:t>
      </w:r>
      <w:r w:rsidR="001305F0">
        <w:rPr>
          <w:rFonts w:cs="Arial"/>
        </w:rPr>
        <w:t>)</w:t>
      </w:r>
      <w:r w:rsidR="001305F0" w:rsidRPr="00CB0BE3">
        <w:rPr>
          <w:rFonts w:cs="Arial"/>
        </w:rPr>
        <w:t xml:space="preserve"> estimates</w:t>
      </w:r>
      <w:r w:rsidR="001305F0">
        <w:rPr>
          <w:rFonts w:cs="Arial"/>
        </w:rPr>
        <w:t xml:space="preserve"> for the non-emergency medical transportation (NEMT) and patient liability. The NEMT </w:t>
      </w:r>
      <w:r>
        <w:rPr>
          <w:rFonts w:cs="Arial"/>
        </w:rPr>
        <w:t xml:space="preserve">benefit is </w:t>
      </w:r>
      <w:r w:rsidR="000F2519">
        <w:rPr>
          <w:rFonts w:cs="Arial"/>
        </w:rPr>
        <w:t xml:space="preserve">provided through a capitated delivery system. The NEMT load illustrated in Appendix 1 </w:t>
      </w:r>
      <w:r w:rsidR="001305F0">
        <w:rPr>
          <w:rFonts w:cs="Arial"/>
        </w:rPr>
        <w:t xml:space="preserve">was </w:t>
      </w:r>
      <w:r w:rsidR="000F2519">
        <w:rPr>
          <w:rFonts w:cs="Arial"/>
        </w:rPr>
        <w:t xml:space="preserve">estimated using </w:t>
      </w:r>
      <w:r w:rsidR="00BA0F8F">
        <w:rPr>
          <w:rFonts w:cs="Arial"/>
        </w:rPr>
        <w:t xml:space="preserve">SFY 2022 </w:t>
      </w:r>
      <w:r w:rsidR="000F2519">
        <w:rPr>
          <w:rFonts w:cs="Arial"/>
        </w:rPr>
        <w:t>NEM</w:t>
      </w:r>
      <w:r w:rsidR="00B938F0">
        <w:rPr>
          <w:rFonts w:cs="Arial"/>
        </w:rPr>
        <w:t>T</w:t>
      </w:r>
      <w:r w:rsidR="000F2519">
        <w:rPr>
          <w:rFonts w:cs="Arial"/>
        </w:rPr>
        <w:t xml:space="preserve"> capitation </w:t>
      </w:r>
      <w:r w:rsidR="00BA0F8F">
        <w:rPr>
          <w:rFonts w:cs="Arial"/>
        </w:rPr>
        <w:t>rates</w:t>
      </w:r>
      <w:r w:rsidR="001305F0">
        <w:rPr>
          <w:rFonts w:cs="Arial"/>
        </w:rPr>
        <w:t xml:space="preserve"> adjusted </w:t>
      </w:r>
      <w:r w:rsidR="008C0414">
        <w:rPr>
          <w:rFonts w:cs="Arial"/>
        </w:rPr>
        <w:t>for</w:t>
      </w:r>
      <w:r w:rsidR="00766D98">
        <w:rPr>
          <w:rFonts w:cs="Arial"/>
        </w:rPr>
        <w:t xml:space="preserve"> </w:t>
      </w:r>
      <w:r w:rsidR="008A3FED">
        <w:rPr>
          <w:rFonts w:cs="Arial"/>
        </w:rPr>
        <w:t xml:space="preserve">the </w:t>
      </w:r>
      <w:r w:rsidR="00766D98">
        <w:rPr>
          <w:rFonts w:cs="Arial"/>
        </w:rPr>
        <w:t xml:space="preserve">estimated acuity </w:t>
      </w:r>
      <w:r w:rsidR="00F15FA3">
        <w:rPr>
          <w:rFonts w:cs="Arial"/>
        </w:rPr>
        <w:t xml:space="preserve">of the </w:t>
      </w:r>
      <w:r w:rsidR="00AA6229">
        <w:rPr>
          <w:rFonts w:cs="Arial"/>
        </w:rPr>
        <w:t>proxy PACE population</w:t>
      </w:r>
      <w:r w:rsidR="001305F0">
        <w:rPr>
          <w:rFonts w:cs="Arial"/>
        </w:rPr>
        <w:t xml:space="preserve">. </w:t>
      </w:r>
      <w:r w:rsidR="00766D98">
        <w:rPr>
          <w:rFonts w:cs="Arial"/>
        </w:rPr>
        <w:t xml:space="preserve">NEMT acuity adjustments were estimated </w:t>
      </w:r>
      <w:r w:rsidR="009C7CBD">
        <w:rPr>
          <w:rFonts w:cs="Arial"/>
        </w:rPr>
        <w:t xml:space="preserve">based on </w:t>
      </w:r>
      <w:r w:rsidR="001E5418">
        <w:rPr>
          <w:rFonts w:cs="Arial"/>
        </w:rPr>
        <w:t xml:space="preserve">utilization differences between the </w:t>
      </w:r>
      <w:r w:rsidR="00773A19">
        <w:rPr>
          <w:rFonts w:cs="Arial"/>
        </w:rPr>
        <w:t xml:space="preserve">proxy PACE population and the remainder of the population enrolled in the NEMT benefit. </w:t>
      </w:r>
      <w:r w:rsidR="00684125">
        <w:rPr>
          <w:rFonts w:cs="Arial"/>
        </w:rPr>
        <w:t>U</w:t>
      </w:r>
      <w:r w:rsidR="00773A19">
        <w:rPr>
          <w:rFonts w:cs="Arial"/>
        </w:rPr>
        <w:t xml:space="preserve">tilization values were estimated </w:t>
      </w:r>
      <w:r w:rsidR="00766D98">
        <w:rPr>
          <w:rFonts w:cs="Arial"/>
        </w:rPr>
        <w:t>using NEMT encounter data.</w:t>
      </w:r>
    </w:p>
    <w:p w14:paraId="1F0D7E6F" w14:textId="7CB9A7C4" w:rsidR="008C085B" w:rsidRDefault="00B938F0" w:rsidP="0046181A">
      <w:pPr>
        <w:spacing w:after="120"/>
        <w:rPr>
          <w:rFonts w:cs="Arial"/>
        </w:rPr>
      </w:pPr>
      <w:r>
        <w:rPr>
          <w:rFonts w:cs="Arial"/>
        </w:rPr>
        <w:t>P</w:t>
      </w:r>
      <w:r w:rsidR="001305F0">
        <w:rPr>
          <w:rFonts w:cs="Arial"/>
        </w:rPr>
        <w:t xml:space="preserve">atient liability </w:t>
      </w:r>
      <w:r>
        <w:rPr>
          <w:rFonts w:cs="Arial"/>
        </w:rPr>
        <w:t xml:space="preserve">amounts </w:t>
      </w:r>
      <w:r w:rsidR="006D1229">
        <w:rPr>
          <w:rFonts w:cs="Arial"/>
        </w:rPr>
        <w:t>are</w:t>
      </w:r>
      <w:r w:rsidR="001305F0">
        <w:rPr>
          <w:rFonts w:cs="Arial"/>
        </w:rPr>
        <w:t xml:space="preserve"> based on </w:t>
      </w:r>
      <w:r w:rsidR="008C085B" w:rsidRPr="00CB0BE3">
        <w:rPr>
          <w:rFonts w:cs="Arial"/>
        </w:rPr>
        <w:t xml:space="preserve">enrollee-specific patient liability effective during the base data period </w:t>
      </w:r>
      <w:r w:rsidR="009E72E2">
        <w:rPr>
          <w:rFonts w:cs="Arial"/>
        </w:rPr>
        <w:t xml:space="preserve">and </w:t>
      </w:r>
      <w:r w:rsidR="008C085B" w:rsidRPr="00CB0BE3">
        <w:rPr>
          <w:rFonts w:cs="Arial"/>
        </w:rPr>
        <w:t>correspond</w:t>
      </w:r>
      <w:r w:rsidR="001F76D1">
        <w:rPr>
          <w:rFonts w:cs="Arial"/>
        </w:rPr>
        <w:t>ing</w:t>
      </w:r>
      <w:r w:rsidR="008C085B" w:rsidRPr="00CB0BE3">
        <w:rPr>
          <w:rFonts w:cs="Arial"/>
        </w:rPr>
        <w:t xml:space="preserve"> </w:t>
      </w:r>
      <w:r w:rsidR="009E72E2">
        <w:rPr>
          <w:rFonts w:cs="Arial"/>
        </w:rPr>
        <w:t xml:space="preserve">to </w:t>
      </w:r>
      <w:r w:rsidR="008C085B" w:rsidRPr="00CB0BE3">
        <w:rPr>
          <w:rFonts w:cs="Arial"/>
        </w:rPr>
        <w:t xml:space="preserve">the </w:t>
      </w:r>
      <w:r w:rsidR="00CE0410">
        <w:rPr>
          <w:rFonts w:cs="Arial"/>
        </w:rPr>
        <w:t>proxy</w:t>
      </w:r>
      <w:r w:rsidR="001305F0">
        <w:rPr>
          <w:rFonts w:cs="Arial"/>
        </w:rPr>
        <w:t xml:space="preserve"> PACE </w:t>
      </w:r>
      <w:r w:rsidR="00CE0410">
        <w:rPr>
          <w:rFonts w:cs="Arial"/>
        </w:rPr>
        <w:t>population</w:t>
      </w:r>
      <w:r w:rsidR="008C085B" w:rsidRPr="00CB0BE3">
        <w:rPr>
          <w:rFonts w:cs="Arial"/>
        </w:rPr>
        <w:t>.</w:t>
      </w:r>
      <w:r w:rsidR="00782548">
        <w:rPr>
          <w:rFonts w:cs="Arial"/>
        </w:rPr>
        <w:t xml:space="preserve"> </w:t>
      </w:r>
      <w:r w:rsidR="00686A52">
        <w:rPr>
          <w:rFonts w:cs="Arial"/>
        </w:rPr>
        <w:t>The patient liability amounts</w:t>
      </w:r>
      <w:r w:rsidR="0031275A">
        <w:rPr>
          <w:rFonts w:cs="Arial"/>
        </w:rPr>
        <w:t xml:space="preserve"> </w:t>
      </w:r>
      <w:r w:rsidR="00F43E0A">
        <w:rPr>
          <w:rFonts w:cs="Arial"/>
        </w:rPr>
        <w:t xml:space="preserve">for members in a nursing home rate cell </w:t>
      </w:r>
      <w:r w:rsidR="00F244D2">
        <w:rPr>
          <w:rFonts w:cs="Arial"/>
        </w:rPr>
        <w:t xml:space="preserve">are adjusted using the same rating factors as the nursing home </w:t>
      </w:r>
      <w:r w:rsidR="00B079A6">
        <w:rPr>
          <w:rFonts w:cs="Arial"/>
        </w:rPr>
        <w:t>category of service</w:t>
      </w:r>
      <w:r w:rsidR="00B6064E">
        <w:rPr>
          <w:rFonts w:cs="Arial"/>
        </w:rPr>
        <w:t>, and</w:t>
      </w:r>
      <w:r w:rsidR="00E36E79">
        <w:rPr>
          <w:rFonts w:cs="Arial"/>
        </w:rPr>
        <w:t xml:space="preserve"> patient liability amounts </w:t>
      </w:r>
      <w:r w:rsidR="00F43E0A">
        <w:rPr>
          <w:rFonts w:cs="Arial"/>
        </w:rPr>
        <w:t xml:space="preserve">for members in an HCBS rate cell </w:t>
      </w:r>
      <w:r w:rsidR="00E36E79">
        <w:rPr>
          <w:rFonts w:cs="Arial"/>
        </w:rPr>
        <w:t xml:space="preserve">are adjusted </w:t>
      </w:r>
      <w:r w:rsidR="00F43E0A">
        <w:rPr>
          <w:rFonts w:cs="Arial"/>
        </w:rPr>
        <w:t>using the same factors as the HCBS category of service</w:t>
      </w:r>
      <w:r w:rsidR="00782548">
        <w:rPr>
          <w:rFonts w:cs="Arial"/>
        </w:rPr>
        <w:t>.</w:t>
      </w:r>
      <w:r w:rsidR="007E7E96">
        <w:rPr>
          <w:rFonts w:cs="Arial"/>
        </w:rPr>
        <w:t xml:space="preserve"> </w:t>
      </w:r>
      <w:r w:rsidR="00684125">
        <w:rPr>
          <w:rFonts w:cs="Arial"/>
        </w:rPr>
        <w:t>P</w:t>
      </w:r>
      <w:r w:rsidR="007E7E96">
        <w:rPr>
          <w:rFonts w:cs="Arial"/>
        </w:rPr>
        <w:t xml:space="preserve">atient liability amounts for HCBS rate cells </w:t>
      </w:r>
      <w:r w:rsidR="00684125">
        <w:rPr>
          <w:rFonts w:cs="Arial"/>
        </w:rPr>
        <w:t xml:space="preserve">reflect the estimated </w:t>
      </w:r>
      <w:r w:rsidR="007E7E96">
        <w:rPr>
          <w:rFonts w:cs="Arial"/>
        </w:rPr>
        <w:t xml:space="preserve">patient share </w:t>
      </w:r>
      <w:r w:rsidR="00684125">
        <w:rPr>
          <w:rFonts w:cs="Arial"/>
        </w:rPr>
        <w:t>amount</w:t>
      </w:r>
      <w:r w:rsidR="00C11809">
        <w:rPr>
          <w:rFonts w:cs="Arial"/>
        </w:rPr>
        <w:t>s</w:t>
      </w:r>
      <w:r w:rsidR="00684125">
        <w:rPr>
          <w:rFonts w:cs="Arial"/>
        </w:rPr>
        <w:t xml:space="preserve"> </w:t>
      </w:r>
      <w:r w:rsidR="007E7E96">
        <w:rPr>
          <w:rFonts w:cs="Arial"/>
        </w:rPr>
        <w:t>collected</w:t>
      </w:r>
      <w:r w:rsidR="00684125">
        <w:rPr>
          <w:rFonts w:cs="Arial"/>
        </w:rPr>
        <w:t xml:space="preserve">, since the fee-for-service HCBS </w:t>
      </w:r>
      <w:proofErr w:type="gramStart"/>
      <w:r w:rsidR="00684125">
        <w:rPr>
          <w:rFonts w:cs="Arial"/>
        </w:rPr>
        <w:t>claim</w:t>
      </w:r>
      <w:proofErr w:type="gramEnd"/>
      <w:r w:rsidR="00684125">
        <w:rPr>
          <w:rFonts w:cs="Arial"/>
        </w:rPr>
        <w:t xml:space="preserve"> payments are </w:t>
      </w:r>
      <w:r w:rsidR="003B7A88">
        <w:rPr>
          <w:rFonts w:cs="Arial"/>
        </w:rPr>
        <w:t xml:space="preserve">reduced </w:t>
      </w:r>
      <w:r w:rsidR="00684125">
        <w:rPr>
          <w:rFonts w:cs="Arial"/>
        </w:rPr>
        <w:t>based on patient share collections</w:t>
      </w:r>
      <w:r w:rsidR="007E7E96">
        <w:rPr>
          <w:rFonts w:cs="Arial"/>
        </w:rPr>
        <w:t xml:space="preserve">. </w:t>
      </w:r>
    </w:p>
    <w:p w14:paraId="496CBEB1" w14:textId="43F3FFFF" w:rsidR="00A03FDB" w:rsidRPr="00A03FDB" w:rsidRDefault="00692049" w:rsidP="00E15992">
      <w:pPr>
        <w:spacing w:after="120"/>
        <w:rPr>
          <w:rFonts w:cs="Arial"/>
        </w:rPr>
      </w:pPr>
      <w:r w:rsidRPr="00692049">
        <w:rPr>
          <w:rFonts w:cs="Arial"/>
        </w:rPr>
        <w:lastRenderedPageBreak/>
        <w:t>Effective January 1, 2020, Medicare covers Opioid Treatment Programs (OTP) for dual eligible individuals. Prior to January 1, 2020, this was only a covered benefit under Medicaid. Experience for procedure code H0020 was removed from the CY 2019 base experience</w:t>
      </w:r>
      <w:r w:rsidR="00AD2CB6">
        <w:rPr>
          <w:rFonts w:cs="Arial"/>
        </w:rPr>
        <w:t xml:space="preserve"> for Medicare/Medicaid dual eligible members</w:t>
      </w:r>
      <w:r w:rsidRPr="00692049">
        <w:rPr>
          <w:rFonts w:cs="Arial"/>
        </w:rPr>
        <w:t xml:space="preserve">. Figure </w:t>
      </w:r>
      <w:r w:rsidR="00AD2CB6">
        <w:rPr>
          <w:rFonts w:cs="Arial"/>
        </w:rPr>
        <w:t>5</w:t>
      </w:r>
      <w:r w:rsidRPr="00692049">
        <w:rPr>
          <w:rFonts w:cs="Arial"/>
        </w:rPr>
        <w:t xml:space="preserve"> illustrates the OTP </w:t>
      </w:r>
      <w:r w:rsidR="00C10D7C">
        <w:rPr>
          <w:rFonts w:cs="Arial"/>
        </w:rPr>
        <w:t xml:space="preserve">expenditures removed </w:t>
      </w:r>
      <w:r w:rsidRPr="00692049">
        <w:rPr>
          <w:rFonts w:cs="Arial"/>
        </w:rPr>
        <w:t>from the CY 2019 base experience.</w:t>
      </w:r>
    </w:p>
    <w:tbl>
      <w:tblPr>
        <w:tblW w:w="5310" w:type="dxa"/>
        <w:tblLook w:val="04A0" w:firstRow="1" w:lastRow="0" w:firstColumn="1" w:lastColumn="0" w:noHBand="0" w:noVBand="1"/>
      </w:tblPr>
      <w:tblGrid>
        <w:gridCol w:w="3780"/>
        <w:gridCol w:w="1530"/>
      </w:tblGrid>
      <w:tr w:rsidR="003154CE" w:rsidRPr="003154CE" w14:paraId="5CF896C3" w14:textId="77777777" w:rsidTr="00FC4603">
        <w:trPr>
          <w:trHeight w:val="255"/>
        </w:trPr>
        <w:tc>
          <w:tcPr>
            <w:tcW w:w="5310" w:type="dxa"/>
            <w:gridSpan w:val="2"/>
            <w:tcBorders>
              <w:top w:val="single" w:sz="8" w:space="0" w:color="E8E9E9"/>
              <w:left w:val="nil"/>
              <w:bottom w:val="single" w:sz="8" w:space="0" w:color="auto"/>
              <w:right w:val="nil"/>
            </w:tcBorders>
            <w:shd w:val="clear" w:color="auto" w:fill="auto"/>
            <w:noWrap/>
            <w:vAlign w:val="center"/>
            <w:hideMark/>
          </w:tcPr>
          <w:p w14:paraId="34813C71" w14:textId="6B9321D0" w:rsidR="003154CE" w:rsidRPr="00FC4603" w:rsidRDefault="003154CE" w:rsidP="003154CE">
            <w:pPr>
              <w:spacing w:after="0" w:line="240" w:lineRule="auto"/>
              <w:rPr>
                <w:rFonts w:ascii="Arial" w:eastAsia="Times New Roman" w:hAnsi="Arial" w:cs="Arial"/>
                <w:b/>
                <w:bCs/>
                <w:color w:val="0081E3"/>
                <w:sz w:val="16"/>
                <w:szCs w:val="16"/>
              </w:rPr>
            </w:pPr>
            <w:r w:rsidRPr="00FC4603">
              <w:rPr>
                <w:rFonts w:ascii="Arial" w:eastAsia="Times New Roman" w:hAnsi="Arial" w:cs="Arial"/>
                <w:b/>
                <w:bCs/>
                <w:color w:val="0081E3"/>
                <w:sz w:val="16"/>
                <w:szCs w:val="16"/>
              </w:rPr>
              <w:t xml:space="preserve">FIGURE </w:t>
            </w:r>
            <w:r w:rsidR="007B495C">
              <w:rPr>
                <w:rFonts w:ascii="Arial" w:eastAsia="Times New Roman" w:hAnsi="Arial" w:cs="Arial"/>
                <w:b/>
                <w:bCs/>
                <w:color w:val="0081E3"/>
                <w:sz w:val="16"/>
                <w:szCs w:val="16"/>
              </w:rPr>
              <w:t>5</w:t>
            </w:r>
            <w:r w:rsidRPr="00FC4603">
              <w:rPr>
                <w:rFonts w:ascii="Arial" w:eastAsia="Times New Roman" w:hAnsi="Arial" w:cs="Arial"/>
                <w:b/>
                <w:bCs/>
                <w:color w:val="0081E3"/>
                <w:sz w:val="16"/>
                <w:szCs w:val="16"/>
              </w:rPr>
              <w:t>: OPIOID TREATMENT PROGRAM (OTP) EXPERIENCE</w:t>
            </w:r>
          </w:p>
        </w:tc>
      </w:tr>
      <w:tr w:rsidR="00861CFA" w:rsidRPr="003154CE" w14:paraId="15BA1920" w14:textId="77777777" w:rsidTr="00FC4603">
        <w:trPr>
          <w:trHeight w:val="495"/>
        </w:trPr>
        <w:tc>
          <w:tcPr>
            <w:tcW w:w="3780" w:type="dxa"/>
            <w:tcBorders>
              <w:top w:val="nil"/>
              <w:left w:val="nil"/>
              <w:bottom w:val="single" w:sz="8" w:space="0" w:color="C6C9CA"/>
              <w:right w:val="nil"/>
            </w:tcBorders>
            <w:shd w:val="clear" w:color="auto" w:fill="auto"/>
            <w:vAlign w:val="center"/>
            <w:hideMark/>
          </w:tcPr>
          <w:p w14:paraId="47BC9D44" w14:textId="45695422" w:rsidR="00861CFA" w:rsidRPr="00FC4603" w:rsidRDefault="00747894" w:rsidP="00861CFA">
            <w:pPr>
              <w:spacing w:after="0" w:line="240" w:lineRule="auto"/>
              <w:rPr>
                <w:rFonts w:ascii="Arial" w:eastAsia="Times New Roman" w:hAnsi="Arial" w:cs="Arial"/>
                <w:b/>
                <w:bCs/>
                <w:color w:val="39414D"/>
                <w:sz w:val="16"/>
                <w:szCs w:val="16"/>
              </w:rPr>
            </w:pPr>
            <w:r w:rsidRPr="00747894">
              <w:rPr>
                <w:rFonts w:ascii="Arial" w:eastAsia="Times New Roman" w:hAnsi="Arial" w:cs="Arial"/>
                <w:b/>
                <w:color w:val="39414D"/>
                <w:sz w:val="16"/>
                <w:szCs w:val="16"/>
              </w:rPr>
              <w:t>PACE Rate Cell</w:t>
            </w:r>
          </w:p>
        </w:tc>
        <w:tc>
          <w:tcPr>
            <w:tcW w:w="1530" w:type="dxa"/>
            <w:tcBorders>
              <w:top w:val="nil"/>
              <w:left w:val="nil"/>
              <w:bottom w:val="single" w:sz="8" w:space="0" w:color="C6C9CA"/>
              <w:right w:val="nil"/>
            </w:tcBorders>
            <w:shd w:val="clear" w:color="auto" w:fill="auto"/>
            <w:vAlign w:val="center"/>
            <w:hideMark/>
          </w:tcPr>
          <w:p w14:paraId="29EA1F28" w14:textId="5BE57225" w:rsidR="00861CFA" w:rsidRPr="00FC4603" w:rsidRDefault="00861CFA" w:rsidP="00861CFA">
            <w:pPr>
              <w:spacing w:after="0" w:line="240" w:lineRule="auto"/>
              <w:jc w:val="center"/>
              <w:rPr>
                <w:rFonts w:ascii="Arial" w:eastAsia="Times New Roman" w:hAnsi="Arial" w:cs="Arial"/>
                <w:b/>
                <w:bCs/>
                <w:color w:val="39414D"/>
                <w:sz w:val="16"/>
                <w:szCs w:val="16"/>
              </w:rPr>
            </w:pPr>
            <w:r w:rsidRPr="00FC4603">
              <w:rPr>
                <w:rFonts w:ascii="Arial" w:eastAsia="Times New Roman" w:hAnsi="Arial" w:cs="Arial"/>
                <w:b/>
                <w:color w:val="39414D"/>
                <w:sz w:val="16"/>
                <w:szCs w:val="16"/>
              </w:rPr>
              <w:t xml:space="preserve">CY </w:t>
            </w:r>
            <w:r w:rsidRPr="00FC4603">
              <w:rPr>
                <w:rFonts w:ascii="Arial" w:hAnsi="Arial" w:cs="Arial"/>
                <w:b/>
                <w:bCs/>
                <w:color w:val="39414D"/>
                <w:sz w:val="16"/>
                <w:szCs w:val="16"/>
              </w:rPr>
              <w:t>2019</w:t>
            </w:r>
            <w:r w:rsidRPr="00FC4603">
              <w:rPr>
                <w:rFonts w:ascii="Arial" w:eastAsia="Times New Roman" w:hAnsi="Arial" w:cs="Arial"/>
                <w:b/>
                <w:color w:val="39414D"/>
                <w:sz w:val="16"/>
                <w:szCs w:val="16"/>
              </w:rPr>
              <w:t xml:space="preserve"> OTP </w:t>
            </w:r>
            <w:r w:rsidRPr="00FC4603">
              <w:rPr>
                <w:rFonts w:ascii="Arial" w:hAnsi="Arial" w:cs="Arial"/>
                <w:b/>
                <w:bCs/>
                <w:color w:val="39414D"/>
                <w:sz w:val="16"/>
                <w:szCs w:val="16"/>
              </w:rPr>
              <w:t>PMPM</w:t>
            </w:r>
          </w:p>
        </w:tc>
      </w:tr>
      <w:tr w:rsidR="00861CFA" w:rsidRPr="003154CE" w14:paraId="488D965F" w14:textId="77777777" w:rsidTr="005973CD">
        <w:trPr>
          <w:trHeight w:val="240"/>
        </w:trPr>
        <w:tc>
          <w:tcPr>
            <w:tcW w:w="3780" w:type="dxa"/>
            <w:tcBorders>
              <w:top w:val="nil"/>
              <w:left w:val="nil"/>
              <w:bottom w:val="nil"/>
              <w:right w:val="nil"/>
            </w:tcBorders>
            <w:shd w:val="clear" w:color="auto" w:fill="auto"/>
            <w:vAlign w:val="center"/>
            <w:hideMark/>
          </w:tcPr>
          <w:p w14:paraId="1F62A111" w14:textId="74CD7C7B" w:rsidR="00861CFA" w:rsidRPr="005973CD" w:rsidRDefault="002070FF">
            <w:pPr>
              <w:spacing w:after="0" w:line="240" w:lineRule="auto"/>
              <w:rPr>
                <w:rFonts w:ascii="Arial" w:eastAsia="Times New Roman" w:hAnsi="Arial" w:cs="Arial"/>
                <w:color w:val="39414D"/>
                <w:sz w:val="16"/>
                <w:szCs w:val="16"/>
              </w:rPr>
            </w:pPr>
            <w:r w:rsidRPr="005973CD">
              <w:rPr>
                <w:rFonts w:ascii="Arial" w:hAnsi="Arial" w:cs="Arial"/>
                <w:color w:val="39414D"/>
                <w:sz w:val="16"/>
                <w:szCs w:val="16"/>
              </w:rPr>
              <w:t>Duals 55-64 HCBS</w:t>
            </w:r>
          </w:p>
        </w:tc>
        <w:tc>
          <w:tcPr>
            <w:tcW w:w="1530" w:type="dxa"/>
            <w:tcBorders>
              <w:top w:val="nil"/>
              <w:left w:val="nil"/>
              <w:bottom w:val="nil"/>
              <w:right w:val="nil"/>
            </w:tcBorders>
            <w:shd w:val="clear" w:color="auto" w:fill="auto"/>
            <w:vAlign w:val="center"/>
            <w:hideMark/>
          </w:tcPr>
          <w:p w14:paraId="25C9C4BF" w14:textId="0A2D7C9D" w:rsidR="00861CFA" w:rsidRPr="005973CD" w:rsidRDefault="00E07C03">
            <w:pPr>
              <w:spacing w:after="0" w:line="240" w:lineRule="auto"/>
              <w:jc w:val="right"/>
              <w:rPr>
                <w:rFonts w:ascii="Arial" w:eastAsia="Times New Roman" w:hAnsi="Arial" w:cs="Arial"/>
                <w:color w:val="39414D"/>
                <w:sz w:val="16"/>
                <w:szCs w:val="16"/>
              </w:rPr>
            </w:pPr>
            <w:r w:rsidRPr="005973CD">
              <w:rPr>
                <w:rFonts w:ascii="Arial" w:hAnsi="Arial" w:cs="Arial"/>
                <w:color w:val="39414D"/>
                <w:sz w:val="16"/>
                <w:szCs w:val="16"/>
              </w:rPr>
              <w:t xml:space="preserve">$ </w:t>
            </w:r>
            <w:r w:rsidR="002070FF" w:rsidRPr="005973CD">
              <w:rPr>
                <w:rFonts w:ascii="Arial" w:hAnsi="Arial" w:cs="Arial"/>
                <w:color w:val="39414D"/>
                <w:sz w:val="16"/>
                <w:szCs w:val="16"/>
              </w:rPr>
              <w:t>0.21</w:t>
            </w:r>
            <w:r w:rsidRPr="005973CD">
              <w:rPr>
                <w:rFonts w:ascii="Arial" w:hAnsi="Arial" w:cs="Arial"/>
                <w:color w:val="39414D"/>
                <w:sz w:val="16"/>
                <w:szCs w:val="16"/>
              </w:rPr>
              <w:t xml:space="preserve"> </w:t>
            </w:r>
          </w:p>
        </w:tc>
      </w:tr>
      <w:tr w:rsidR="007E7CD9" w:rsidRPr="003154CE" w14:paraId="01295FE5" w14:textId="77777777" w:rsidTr="005973CD">
        <w:trPr>
          <w:trHeight w:val="240"/>
        </w:trPr>
        <w:tc>
          <w:tcPr>
            <w:tcW w:w="3780" w:type="dxa"/>
            <w:tcBorders>
              <w:top w:val="nil"/>
              <w:left w:val="nil"/>
              <w:bottom w:val="nil"/>
              <w:right w:val="nil"/>
            </w:tcBorders>
            <w:shd w:val="clear" w:color="000000" w:fill="E8E9E9"/>
            <w:vAlign w:val="center"/>
            <w:hideMark/>
          </w:tcPr>
          <w:p w14:paraId="7ACEA32F" w14:textId="0E124551" w:rsidR="00861CFA" w:rsidRPr="005973CD" w:rsidRDefault="002070FF">
            <w:pPr>
              <w:spacing w:after="0" w:line="240" w:lineRule="auto"/>
              <w:rPr>
                <w:rFonts w:ascii="Arial" w:eastAsia="Times New Roman" w:hAnsi="Arial" w:cs="Arial"/>
                <w:color w:val="39414D"/>
                <w:sz w:val="16"/>
                <w:szCs w:val="16"/>
              </w:rPr>
            </w:pPr>
            <w:r w:rsidRPr="005973CD">
              <w:rPr>
                <w:rFonts w:ascii="Arial" w:hAnsi="Arial" w:cs="Arial"/>
                <w:color w:val="39414D"/>
                <w:sz w:val="16"/>
                <w:szCs w:val="16"/>
              </w:rPr>
              <w:t>Duals 55-64 NH</w:t>
            </w:r>
          </w:p>
        </w:tc>
        <w:tc>
          <w:tcPr>
            <w:tcW w:w="1530" w:type="dxa"/>
            <w:tcBorders>
              <w:top w:val="nil"/>
              <w:left w:val="nil"/>
              <w:bottom w:val="nil"/>
              <w:right w:val="nil"/>
            </w:tcBorders>
            <w:shd w:val="clear" w:color="000000" w:fill="E8E9E9"/>
            <w:vAlign w:val="center"/>
            <w:hideMark/>
          </w:tcPr>
          <w:p w14:paraId="645738C2" w14:textId="6DF9E354" w:rsidR="00861CFA" w:rsidRPr="005973CD" w:rsidRDefault="002070FF">
            <w:pPr>
              <w:spacing w:after="0" w:line="240" w:lineRule="auto"/>
              <w:jc w:val="right"/>
              <w:rPr>
                <w:rFonts w:ascii="Arial" w:eastAsia="Times New Roman" w:hAnsi="Arial" w:cs="Arial"/>
                <w:color w:val="39414D"/>
                <w:sz w:val="16"/>
                <w:szCs w:val="16"/>
              </w:rPr>
            </w:pPr>
            <w:r w:rsidRPr="005973CD">
              <w:rPr>
                <w:rFonts w:ascii="Arial" w:hAnsi="Arial" w:cs="Arial"/>
                <w:color w:val="39414D"/>
                <w:sz w:val="16"/>
                <w:szCs w:val="16"/>
              </w:rPr>
              <w:t>4.08</w:t>
            </w:r>
            <w:r w:rsidR="00E07C03" w:rsidRPr="005973CD">
              <w:rPr>
                <w:rFonts w:ascii="Arial" w:hAnsi="Arial" w:cs="Arial"/>
                <w:color w:val="39414D"/>
                <w:sz w:val="16"/>
                <w:szCs w:val="16"/>
              </w:rPr>
              <w:t xml:space="preserve"> </w:t>
            </w:r>
          </w:p>
        </w:tc>
      </w:tr>
      <w:tr w:rsidR="00861CFA" w:rsidRPr="003154CE" w14:paraId="71D12F4D" w14:textId="77777777" w:rsidTr="005973CD">
        <w:trPr>
          <w:trHeight w:val="240"/>
        </w:trPr>
        <w:tc>
          <w:tcPr>
            <w:tcW w:w="3780" w:type="dxa"/>
            <w:tcBorders>
              <w:top w:val="nil"/>
              <w:left w:val="nil"/>
              <w:bottom w:val="nil"/>
              <w:right w:val="nil"/>
            </w:tcBorders>
            <w:shd w:val="clear" w:color="auto" w:fill="auto"/>
            <w:vAlign w:val="center"/>
            <w:hideMark/>
          </w:tcPr>
          <w:p w14:paraId="2B507982" w14:textId="2693027B" w:rsidR="00861CFA" w:rsidRPr="005973CD" w:rsidRDefault="002070FF">
            <w:pPr>
              <w:spacing w:after="0" w:line="240" w:lineRule="auto"/>
              <w:rPr>
                <w:rFonts w:ascii="Arial" w:eastAsia="Times New Roman" w:hAnsi="Arial" w:cs="Arial"/>
                <w:color w:val="39414D"/>
                <w:sz w:val="16"/>
                <w:szCs w:val="16"/>
              </w:rPr>
            </w:pPr>
            <w:r w:rsidRPr="005973CD">
              <w:rPr>
                <w:rFonts w:ascii="Arial" w:hAnsi="Arial" w:cs="Arial"/>
                <w:color w:val="39414D"/>
                <w:sz w:val="16"/>
                <w:szCs w:val="16"/>
              </w:rPr>
              <w:t>Duals 65+ HCBS</w:t>
            </w:r>
          </w:p>
        </w:tc>
        <w:tc>
          <w:tcPr>
            <w:tcW w:w="1530" w:type="dxa"/>
            <w:tcBorders>
              <w:top w:val="nil"/>
              <w:left w:val="nil"/>
              <w:bottom w:val="nil"/>
              <w:right w:val="nil"/>
            </w:tcBorders>
            <w:shd w:val="clear" w:color="auto" w:fill="auto"/>
            <w:vAlign w:val="center"/>
            <w:hideMark/>
          </w:tcPr>
          <w:p w14:paraId="4952353D" w14:textId="70D2F0FD" w:rsidR="00861CFA" w:rsidRPr="005973CD" w:rsidRDefault="002070FF">
            <w:pPr>
              <w:spacing w:after="0" w:line="240" w:lineRule="auto"/>
              <w:jc w:val="right"/>
              <w:rPr>
                <w:rFonts w:ascii="Arial" w:eastAsia="Times New Roman" w:hAnsi="Arial" w:cs="Arial"/>
                <w:color w:val="39414D"/>
                <w:sz w:val="16"/>
                <w:szCs w:val="16"/>
              </w:rPr>
            </w:pPr>
            <w:r w:rsidRPr="005973CD">
              <w:rPr>
                <w:rFonts w:ascii="Arial" w:hAnsi="Arial" w:cs="Arial"/>
                <w:color w:val="39414D"/>
                <w:sz w:val="16"/>
                <w:szCs w:val="16"/>
              </w:rPr>
              <w:t>1.17</w:t>
            </w:r>
            <w:r w:rsidR="00E07C03" w:rsidRPr="005973CD">
              <w:rPr>
                <w:rFonts w:ascii="Arial" w:hAnsi="Arial" w:cs="Arial"/>
                <w:color w:val="39414D"/>
                <w:sz w:val="16"/>
                <w:szCs w:val="16"/>
              </w:rPr>
              <w:t xml:space="preserve"> </w:t>
            </w:r>
          </w:p>
        </w:tc>
      </w:tr>
      <w:tr w:rsidR="00861CFA" w:rsidRPr="003154CE" w14:paraId="347425BE" w14:textId="77777777" w:rsidTr="005973CD">
        <w:trPr>
          <w:trHeight w:val="240"/>
        </w:trPr>
        <w:tc>
          <w:tcPr>
            <w:tcW w:w="3780" w:type="dxa"/>
            <w:tcBorders>
              <w:top w:val="nil"/>
              <w:left w:val="nil"/>
              <w:bottom w:val="nil"/>
              <w:right w:val="nil"/>
            </w:tcBorders>
            <w:shd w:val="clear" w:color="auto" w:fill="E8E9E9"/>
            <w:vAlign w:val="center"/>
          </w:tcPr>
          <w:p w14:paraId="52F6AE7C" w14:textId="6773FE9D" w:rsidR="00861CFA" w:rsidRPr="005973CD" w:rsidRDefault="002070FF">
            <w:pPr>
              <w:spacing w:after="0" w:line="240" w:lineRule="auto"/>
              <w:rPr>
                <w:rFonts w:ascii="Arial" w:eastAsia="Times New Roman" w:hAnsi="Arial" w:cs="Arial"/>
                <w:color w:val="39414D"/>
                <w:sz w:val="16"/>
                <w:szCs w:val="16"/>
              </w:rPr>
            </w:pPr>
            <w:r w:rsidRPr="005973CD">
              <w:rPr>
                <w:rFonts w:ascii="Arial" w:hAnsi="Arial" w:cs="Arial"/>
                <w:color w:val="39414D"/>
                <w:sz w:val="16"/>
                <w:szCs w:val="16"/>
              </w:rPr>
              <w:t>Duals 65+ NH</w:t>
            </w:r>
          </w:p>
        </w:tc>
        <w:tc>
          <w:tcPr>
            <w:tcW w:w="1530" w:type="dxa"/>
            <w:tcBorders>
              <w:top w:val="nil"/>
              <w:left w:val="nil"/>
              <w:bottom w:val="nil"/>
              <w:right w:val="nil"/>
            </w:tcBorders>
            <w:shd w:val="clear" w:color="auto" w:fill="E8E9E9"/>
            <w:vAlign w:val="center"/>
          </w:tcPr>
          <w:p w14:paraId="5C90A76F" w14:textId="67FBABAB" w:rsidR="00861CFA" w:rsidRPr="005973CD" w:rsidRDefault="00E07C03">
            <w:pPr>
              <w:spacing w:after="0" w:line="240" w:lineRule="auto"/>
              <w:jc w:val="right"/>
              <w:rPr>
                <w:rFonts w:ascii="Arial" w:eastAsia="Times New Roman" w:hAnsi="Arial" w:cs="Arial"/>
                <w:color w:val="39414D"/>
                <w:sz w:val="16"/>
                <w:szCs w:val="16"/>
              </w:rPr>
            </w:pPr>
            <w:r w:rsidRPr="005973CD">
              <w:rPr>
                <w:rFonts w:ascii="Arial" w:hAnsi="Arial" w:cs="Arial"/>
                <w:color w:val="39414D"/>
                <w:sz w:val="16"/>
                <w:szCs w:val="16"/>
              </w:rPr>
              <w:t>0.</w:t>
            </w:r>
            <w:r w:rsidR="002070FF" w:rsidRPr="005973CD">
              <w:rPr>
                <w:rFonts w:ascii="Arial" w:hAnsi="Arial" w:cs="Arial"/>
                <w:color w:val="39414D"/>
                <w:sz w:val="16"/>
                <w:szCs w:val="16"/>
              </w:rPr>
              <w:t>32</w:t>
            </w:r>
            <w:r w:rsidRPr="005973CD">
              <w:rPr>
                <w:rFonts w:ascii="Arial" w:hAnsi="Arial" w:cs="Arial"/>
                <w:color w:val="39414D"/>
                <w:sz w:val="16"/>
                <w:szCs w:val="16"/>
              </w:rPr>
              <w:t xml:space="preserve"> </w:t>
            </w:r>
          </w:p>
        </w:tc>
      </w:tr>
    </w:tbl>
    <w:p w14:paraId="1266FEAE" w14:textId="4FE49725" w:rsidR="00567192" w:rsidRPr="00CB0BE3" w:rsidRDefault="004045E5" w:rsidP="00E15992">
      <w:pPr>
        <w:spacing w:before="180" w:after="0"/>
        <w:rPr>
          <w:rFonts w:cs="Arial"/>
          <w:color w:val="FF0000"/>
        </w:rPr>
      </w:pPr>
      <w:r>
        <w:rPr>
          <w:rFonts w:cs="Arial"/>
        </w:rPr>
        <w:t>Appendix 1 illustrates</w:t>
      </w:r>
      <w:r w:rsidR="00C10D7C">
        <w:rPr>
          <w:rFonts w:cs="Arial"/>
        </w:rPr>
        <w:t xml:space="preserve"> the base experience </w:t>
      </w:r>
      <w:r w:rsidR="00FC0B7C">
        <w:rPr>
          <w:rFonts w:cs="Arial"/>
        </w:rPr>
        <w:t xml:space="preserve">for each </w:t>
      </w:r>
      <w:r w:rsidR="00834FC8">
        <w:rPr>
          <w:rFonts w:cs="Arial"/>
        </w:rPr>
        <w:t>rate cell</w:t>
      </w:r>
      <w:r w:rsidR="00C10D7C">
        <w:rPr>
          <w:rFonts w:cs="Arial"/>
        </w:rPr>
        <w:t xml:space="preserve"> </w:t>
      </w:r>
      <w:r w:rsidR="00FC0B7C">
        <w:rPr>
          <w:rFonts w:cs="Arial"/>
        </w:rPr>
        <w:t xml:space="preserve">by </w:t>
      </w:r>
      <w:r w:rsidR="00C10D7C">
        <w:rPr>
          <w:rFonts w:cs="Arial"/>
        </w:rPr>
        <w:t>category of service</w:t>
      </w:r>
      <w:r w:rsidR="00FC0B7C">
        <w:rPr>
          <w:rFonts w:cs="Arial"/>
        </w:rPr>
        <w:t>.</w:t>
      </w:r>
    </w:p>
    <w:p w14:paraId="6E5CA760" w14:textId="77777777" w:rsidR="008C085B" w:rsidRDefault="008C085B" w:rsidP="008C085B">
      <w:pPr>
        <w:tabs>
          <w:tab w:val="left" w:pos="360"/>
          <w:tab w:val="left" w:pos="720"/>
          <w:tab w:val="left" w:pos="1080"/>
          <w:tab w:val="left" w:pos="1440"/>
          <w:tab w:val="left" w:pos="1800"/>
        </w:tabs>
        <w:spacing w:after="0" w:line="240" w:lineRule="auto"/>
        <w:jc w:val="both"/>
        <w:rPr>
          <w:rFonts w:cs="Arial"/>
          <w:b/>
          <w:color w:val="000000" w:themeColor="text1"/>
          <w:sz w:val="20"/>
          <w:szCs w:val="20"/>
        </w:rPr>
      </w:pPr>
    </w:p>
    <w:p w14:paraId="738DFB45" w14:textId="3CF5A8C5" w:rsidR="008C085B" w:rsidRPr="00282D91" w:rsidRDefault="008C085B" w:rsidP="00FC4603">
      <w:pPr>
        <w:pStyle w:val="Heading3"/>
      </w:pPr>
      <w:bookmarkStart w:id="11" w:name="_Toc91081151"/>
      <w:r w:rsidRPr="00282D91">
        <w:t>S</w:t>
      </w:r>
      <w:r w:rsidR="0022663A">
        <w:t>tep</w:t>
      </w:r>
      <w:r w:rsidRPr="00282D91">
        <w:t xml:space="preserve"> </w:t>
      </w:r>
      <w:r w:rsidR="00BE1760">
        <w:t>3</w:t>
      </w:r>
      <w:r w:rsidRPr="00282D91">
        <w:t>:</w:t>
      </w:r>
      <w:r w:rsidRPr="00282D91" w:rsidDel="00EB23CA">
        <w:t xml:space="preserve"> </w:t>
      </w:r>
      <w:r w:rsidRPr="00282D91">
        <w:t xml:space="preserve"> A</w:t>
      </w:r>
      <w:r w:rsidR="0075417F">
        <w:t>pply</w:t>
      </w:r>
      <w:r w:rsidRPr="00282D91">
        <w:t xml:space="preserve"> </w:t>
      </w:r>
      <w:r w:rsidR="0075417F">
        <w:t xml:space="preserve">Retrospective </w:t>
      </w:r>
      <w:r w:rsidR="00DB2659">
        <w:t xml:space="preserve">Completion and Trend </w:t>
      </w:r>
      <w:r w:rsidR="00C33EE1">
        <w:t>Adjustments</w:t>
      </w:r>
      <w:bookmarkEnd w:id="11"/>
      <w:r w:rsidR="00C33EE1">
        <w:t xml:space="preserve"> </w:t>
      </w:r>
    </w:p>
    <w:p w14:paraId="28ED7E7A" w14:textId="77777777" w:rsidR="008C085B" w:rsidRPr="009B6CC8" w:rsidRDefault="008C085B" w:rsidP="008C085B">
      <w:pPr>
        <w:spacing w:after="0" w:line="240" w:lineRule="auto"/>
        <w:jc w:val="both"/>
        <w:rPr>
          <w:rFonts w:cs="Arial"/>
          <w:sz w:val="20"/>
          <w:szCs w:val="20"/>
        </w:rPr>
      </w:pPr>
    </w:p>
    <w:p w14:paraId="3A19E444" w14:textId="0F874FF2" w:rsidR="008C085B" w:rsidRDefault="00B76656" w:rsidP="00D96AA6">
      <w:pPr>
        <w:tabs>
          <w:tab w:val="left" w:pos="360"/>
          <w:tab w:val="left" w:pos="720"/>
          <w:tab w:val="left" w:pos="1080"/>
          <w:tab w:val="left" w:pos="1440"/>
          <w:tab w:val="left" w:pos="1800"/>
        </w:tabs>
        <w:spacing w:after="120"/>
        <w:rPr>
          <w:rFonts w:cs="Arial"/>
        </w:rPr>
      </w:pPr>
      <w:r w:rsidRPr="00B76656">
        <w:rPr>
          <w:rFonts w:cs="Arial"/>
        </w:rPr>
        <w:t xml:space="preserve">The CY 2019 base experience was adjusted for </w:t>
      </w:r>
      <w:r w:rsidR="001B581C">
        <w:rPr>
          <w:rFonts w:cs="Arial"/>
        </w:rPr>
        <w:t>n</w:t>
      </w:r>
      <w:r w:rsidRPr="00B76656">
        <w:rPr>
          <w:rFonts w:cs="Arial"/>
        </w:rPr>
        <w:t xml:space="preserve">ursing </w:t>
      </w:r>
      <w:r w:rsidR="001B581C">
        <w:rPr>
          <w:rFonts w:cs="Arial"/>
        </w:rPr>
        <w:t>h</w:t>
      </w:r>
      <w:r w:rsidRPr="00B76656">
        <w:rPr>
          <w:rFonts w:cs="Arial"/>
        </w:rPr>
        <w:t xml:space="preserve">ome </w:t>
      </w:r>
      <w:r w:rsidR="005C274F">
        <w:rPr>
          <w:rFonts w:cs="Arial"/>
        </w:rPr>
        <w:t>incurred but not paid (</w:t>
      </w:r>
      <w:r w:rsidRPr="00B76656">
        <w:rPr>
          <w:rFonts w:cs="Arial"/>
        </w:rPr>
        <w:t>IBNP</w:t>
      </w:r>
      <w:r w:rsidR="005C274F">
        <w:rPr>
          <w:rFonts w:cs="Arial"/>
        </w:rPr>
        <w:t>)</w:t>
      </w:r>
      <w:r w:rsidRPr="00B76656">
        <w:rPr>
          <w:rFonts w:cs="Arial"/>
        </w:rPr>
        <w:t xml:space="preserve"> claims and legislatively mandated reimbursement increases. Retrospective adjustments to the CY 2019 base experience are illustrated in Appendix </w:t>
      </w:r>
      <w:r w:rsidR="002352E4">
        <w:rPr>
          <w:rFonts w:cs="Arial"/>
        </w:rPr>
        <w:t>1</w:t>
      </w:r>
      <w:r w:rsidRPr="00B76656">
        <w:rPr>
          <w:rFonts w:cs="Arial"/>
        </w:rPr>
        <w:t xml:space="preserve">. Figure </w:t>
      </w:r>
      <w:r w:rsidR="00FC4E5D">
        <w:rPr>
          <w:rFonts w:cs="Arial"/>
        </w:rPr>
        <w:t>6</w:t>
      </w:r>
      <w:r w:rsidRPr="00B76656">
        <w:rPr>
          <w:rFonts w:cs="Arial"/>
        </w:rPr>
        <w:t xml:space="preserve"> summarizes the estimated fiscal impact of these retrospective adjustments by </w:t>
      </w:r>
      <w:r w:rsidR="00834FC8">
        <w:rPr>
          <w:rFonts w:cs="Arial"/>
        </w:rPr>
        <w:t>rate cell</w:t>
      </w:r>
      <w:r w:rsidR="00C96AF7">
        <w:rPr>
          <w:rFonts w:cs="Arial"/>
        </w:rPr>
        <w:t>.</w:t>
      </w:r>
    </w:p>
    <w:tbl>
      <w:tblPr>
        <w:tblW w:w="6472" w:type="dxa"/>
        <w:tblLayout w:type="fixed"/>
        <w:tblLook w:val="04A0" w:firstRow="1" w:lastRow="0" w:firstColumn="1" w:lastColumn="0" w:noHBand="0" w:noVBand="1"/>
      </w:tblPr>
      <w:tblGrid>
        <w:gridCol w:w="2250"/>
        <w:gridCol w:w="2111"/>
        <w:gridCol w:w="2111"/>
      </w:tblGrid>
      <w:tr w:rsidR="00944F6A" w:rsidRPr="00944F6A" w14:paraId="15ABDC22" w14:textId="77777777" w:rsidTr="0046181A">
        <w:trPr>
          <w:trHeight w:val="240"/>
        </w:trPr>
        <w:tc>
          <w:tcPr>
            <w:tcW w:w="6472" w:type="dxa"/>
            <w:gridSpan w:val="3"/>
            <w:tcBorders>
              <w:top w:val="nil"/>
              <w:left w:val="nil"/>
              <w:bottom w:val="nil"/>
              <w:right w:val="nil"/>
            </w:tcBorders>
            <w:shd w:val="clear" w:color="auto" w:fill="auto"/>
            <w:noWrap/>
            <w:vAlign w:val="center"/>
            <w:hideMark/>
          </w:tcPr>
          <w:p w14:paraId="380E3FA1" w14:textId="0EDCD3B3" w:rsidR="00944F6A" w:rsidRPr="0046181A" w:rsidRDefault="00944F6A" w:rsidP="00944F6A">
            <w:pPr>
              <w:spacing w:after="0" w:line="240" w:lineRule="auto"/>
              <w:rPr>
                <w:rFonts w:ascii="Arial" w:eastAsia="Times New Roman" w:hAnsi="Arial" w:cs="Arial"/>
                <w:b/>
                <w:bCs/>
                <w:color w:val="0081E3"/>
                <w:sz w:val="16"/>
                <w:szCs w:val="16"/>
              </w:rPr>
            </w:pPr>
            <w:r w:rsidRPr="0046181A">
              <w:rPr>
                <w:rFonts w:ascii="Arial" w:eastAsia="Times New Roman" w:hAnsi="Arial" w:cs="Arial"/>
                <w:b/>
                <w:bCs/>
                <w:color w:val="0081E3"/>
                <w:sz w:val="16"/>
                <w:szCs w:val="16"/>
              </w:rPr>
              <w:t>FIGURE 6: RETROSPECTIVE ADJUSTMENTS</w:t>
            </w:r>
          </w:p>
        </w:tc>
      </w:tr>
      <w:tr w:rsidR="00944F6A" w:rsidRPr="00944F6A" w14:paraId="2EE92B13" w14:textId="77777777" w:rsidTr="0046181A">
        <w:trPr>
          <w:trHeight w:val="288"/>
        </w:trPr>
        <w:tc>
          <w:tcPr>
            <w:tcW w:w="2250" w:type="dxa"/>
            <w:tcBorders>
              <w:top w:val="nil"/>
              <w:left w:val="nil"/>
              <w:bottom w:val="nil"/>
              <w:right w:val="nil"/>
            </w:tcBorders>
            <w:shd w:val="clear" w:color="auto" w:fill="auto"/>
            <w:noWrap/>
            <w:vAlign w:val="center"/>
            <w:hideMark/>
          </w:tcPr>
          <w:p w14:paraId="7D28B341" w14:textId="77777777" w:rsidR="00944F6A" w:rsidRPr="0046181A" w:rsidRDefault="00944F6A" w:rsidP="00944F6A">
            <w:pPr>
              <w:spacing w:after="0" w:line="240" w:lineRule="auto"/>
              <w:rPr>
                <w:rFonts w:ascii="Times New Roman" w:eastAsia="Times New Roman" w:hAnsi="Times New Roman" w:cs="Times New Roman"/>
                <w:sz w:val="16"/>
                <w:szCs w:val="16"/>
              </w:rPr>
            </w:pPr>
          </w:p>
        </w:tc>
        <w:tc>
          <w:tcPr>
            <w:tcW w:w="4222" w:type="dxa"/>
            <w:gridSpan w:val="2"/>
            <w:tcBorders>
              <w:top w:val="nil"/>
              <w:left w:val="nil"/>
              <w:bottom w:val="nil"/>
              <w:right w:val="nil"/>
            </w:tcBorders>
            <w:shd w:val="clear" w:color="auto" w:fill="auto"/>
            <w:vAlign w:val="center"/>
            <w:hideMark/>
          </w:tcPr>
          <w:p w14:paraId="1D71B994"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Completion Percentage Impact</w:t>
            </w:r>
          </w:p>
        </w:tc>
      </w:tr>
      <w:tr w:rsidR="00944F6A" w:rsidRPr="00944F6A" w14:paraId="1DFC49E6" w14:textId="77777777" w:rsidTr="0046181A">
        <w:trPr>
          <w:trHeight w:val="288"/>
        </w:trPr>
        <w:tc>
          <w:tcPr>
            <w:tcW w:w="2250" w:type="dxa"/>
            <w:tcBorders>
              <w:top w:val="nil"/>
              <w:left w:val="nil"/>
              <w:bottom w:val="single" w:sz="8" w:space="0" w:color="C6C9CA"/>
              <w:right w:val="nil"/>
            </w:tcBorders>
            <w:shd w:val="clear" w:color="auto" w:fill="auto"/>
            <w:noWrap/>
            <w:vAlign w:val="center"/>
            <w:hideMark/>
          </w:tcPr>
          <w:p w14:paraId="4226363E" w14:textId="77777777" w:rsidR="00944F6A" w:rsidRPr="0046181A" w:rsidRDefault="00944F6A" w:rsidP="00944F6A">
            <w:pPr>
              <w:spacing w:after="0" w:line="240" w:lineRule="auto"/>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PACE Rate Cell</w:t>
            </w:r>
          </w:p>
        </w:tc>
        <w:tc>
          <w:tcPr>
            <w:tcW w:w="2111" w:type="dxa"/>
            <w:tcBorders>
              <w:top w:val="nil"/>
              <w:left w:val="nil"/>
              <w:bottom w:val="single" w:sz="8" w:space="0" w:color="C6C9CA"/>
              <w:right w:val="nil"/>
            </w:tcBorders>
            <w:shd w:val="clear" w:color="auto" w:fill="auto"/>
            <w:vAlign w:val="center"/>
            <w:hideMark/>
          </w:tcPr>
          <w:p w14:paraId="4EFBC728"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HCBS Rate Cell</w:t>
            </w:r>
          </w:p>
        </w:tc>
        <w:tc>
          <w:tcPr>
            <w:tcW w:w="2111" w:type="dxa"/>
            <w:tcBorders>
              <w:top w:val="nil"/>
              <w:left w:val="nil"/>
              <w:bottom w:val="single" w:sz="8" w:space="0" w:color="C6C9CA"/>
              <w:right w:val="nil"/>
            </w:tcBorders>
            <w:shd w:val="clear" w:color="auto" w:fill="auto"/>
            <w:vAlign w:val="center"/>
            <w:hideMark/>
          </w:tcPr>
          <w:p w14:paraId="2C14332F"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Rate Cell</w:t>
            </w:r>
          </w:p>
        </w:tc>
      </w:tr>
      <w:tr w:rsidR="00944F6A" w:rsidRPr="00944F6A" w14:paraId="4BD87D15" w14:textId="77777777" w:rsidTr="0046181A">
        <w:trPr>
          <w:trHeight w:val="240"/>
        </w:trPr>
        <w:tc>
          <w:tcPr>
            <w:tcW w:w="2250" w:type="dxa"/>
            <w:tcBorders>
              <w:top w:val="nil"/>
              <w:left w:val="nil"/>
              <w:bottom w:val="nil"/>
              <w:right w:val="nil"/>
            </w:tcBorders>
            <w:shd w:val="clear" w:color="auto" w:fill="auto"/>
            <w:noWrap/>
            <w:vAlign w:val="center"/>
            <w:hideMark/>
          </w:tcPr>
          <w:p w14:paraId="72ABBC64" w14:textId="77777777" w:rsidR="00944F6A" w:rsidRPr="0046181A" w:rsidRDefault="00944F6A" w:rsidP="00944F6A">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55-64</w:t>
            </w:r>
          </w:p>
        </w:tc>
        <w:tc>
          <w:tcPr>
            <w:tcW w:w="2111" w:type="dxa"/>
            <w:tcBorders>
              <w:top w:val="nil"/>
              <w:left w:val="nil"/>
              <w:bottom w:val="nil"/>
              <w:right w:val="nil"/>
            </w:tcBorders>
            <w:shd w:val="clear" w:color="auto" w:fill="auto"/>
            <w:noWrap/>
            <w:vAlign w:val="center"/>
            <w:hideMark/>
          </w:tcPr>
          <w:p w14:paraId="41673F3D" w14:textId="76D989E3" w:rsidR="00944F6A" w:rsidRPr="0046181A" w:rsidRDefault="003435E8" w:rsidP="00944F6A">
            <w:pPr>
              <w:spacing w:after="0" w:line="240" w:lineRule="auto"/>
              <w:jc w:val="right"/>
              <w:rPr>
                <w:rFonts w:ascii="Arial" w:eastAsia="Times New Roman" w:hAnsi="Arial" w:cs="Arial"/>
                <w:color w:val="39414D"/>
                <w:sz w:val="16"/>
                <w:szCs w:val="16"/>
              </w:rPr>
            </w:pPr>
            <w:r>
              <w:rPr>
                <w:rFonts w:ascii="Arial" w:eastAsia="Times New Roman" w:hAnsi="Arial" w:cs="Arial"/>
                <w:color w:val="39414D"/>
                <w:sz w:val="16"/>
                <w:szCs w:val="16"/>
              </w:rPr>
              <w:t>0</w:t>
            </w:r>
            <w:r w:rsidR="00662FD6">
              <w:rPr>
                <w:rFonts w:ascii="Arial" w:eastAsia="Times New Roman" w:hAnsi="Arial" w:cs="Arial"/>
                <w:color w:val="39414D"/>
                <w:sz w:val="16"/>
                <w:szCs w:val="16"/>
              </w:rPr>
              <w:t>.</w:t>
            </w:r>
            <w:r>
              <w:rPr>
                <w:rFonts w:ascii="Arial" w:eastAsia="Times New Roman" w:hAnsi="Arial" w:cs="Arial"/>
                <w:color w:val="39414D"/>
                <w:sz w:val="16"/>
                <w:szCs w:val="16"/>
              </w:rPr>
              <w:t>0</w:t>
            </w:r>
            <w:r w:rsidR="00662FD6">
              <w:rPr>
                <w:rFonts w:ascii="Arial" w:eastAsia="Times New Roman" w:hAnsi="Arial" w:cs="Arial"/>
                <w:color w:val="39414D"/>
                <w:sz w:val="16"/>
                <w:szCs w:val="16"/>
              </w:rPr>
              <w:t>%</w:t>
            </w:r>
          </w:p>
        </w:tc>
        <w:tc>
          <w:tcPr>
            <w:tcW w:w="2111" w:type="dxa"/>
            <w:tcBorders>
              <w:top w:val="nil"/>
              <w:left w:val="nil"/>
              <w:bottom w:val="nil"/>
              <w:right w:val="nil"/>
            </w:tcBorders>
            <w:shd w:val="clear" w:color="auto" w:fill="auto"/>
            <w:noWrap/>
            <w:vAlign w:val="center"/>
            <w:hideMark/>
          </w:tcPr>
          <w:p w14:paraId="30F1EB31" w14:textId="77777777" w:rsidR="00944F6A" w:rsidRPr="0046181A" w:rsidRDefault="00944F6A" w:rsidP="00944F6A">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0.6% </w:t>
            </w:r>
          </w:p>
        </w:tc>
      </w:tr>
      <w:tr w:rsidR="00944F6A" w:rsidRPr="00944F6A" w14:paraId="32D8CD5B" w14:textId="77777777" w:rsidTr="0046181A">
        <w:trPr>
          <w:trHeight w:val="240"/>
        </w:trPr>
        <w:tc>
          <w:tcPr>
            <w:tcW w:w="2250" w:type="dxa"/>
            <w:tcBorders>
              <w:top w:val="nil"/>
              <w:left w:val="nil"/>
              <w:bottom w:val="nil"/>
              <w:right w:val="nil"/>
            </w:tcBorders>
            <w:shd w:val="clear" w:color="000000" w:fill="E8E9E9"/>
            <w:noWrap/>
            <w:vAlign w:val="center"/>
            <w:hideMark/>
          </w:tcPr>
          <w:p w14:paraId="4B437701" w14:textId="77777777" w:rsidR="00944F6A" w:rsidRPr="0046181A" w:rsidRDefault="00944F6A" w:rsidP="00944F6A">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65+</w:t>
            </w:r>
          </w:p>
        </w:tc>
        <w:tc>
          <w:tcPr>
            <w:tcW w:w="2111" w:type="dxa"/>
            <w:tcBorders>
              <w:top w:val="nil"/>
              <w:left w:val="nil"/>
              <w:bottom w:val="nil"/>
              <w:right w:val="nil"/>
            </w:tcBorders>
            <w:shd w:val="clear" w:color="000000" w:fill="E8E9E9"/>
            <w:noWrap/>
            <w:vAlign w:val="center"/>
            <w:hideMark/>
          </w:tcPr>
          <w:p w14:paraId="76393C2C" w14:textId="128BB2AB" w:rsidR="00944F6A" w:rsidRPr="0046181A" w:rsidRDefault="003435E8" w:rsidP="00944F6A">
            <w:pPr>
              <w:spacing w:after="0" w:line="240" w:lineRule="auto"/>
              <w:jc w:val="right"/>
              <w:rPr>
                <w:rFonts w:ascii="Arial" w:eastAsia="Times New Roman" w:hAnsi="Arial" w:cs="Arial"/>
                <w:color w:val="39414D"/>
                <w:sz w:val="16"/>
                <w:szCs w:val="16"/>
              </w:rPr>
            </w:pPr>
            <w:r>
              <w:rPr>
                <w:rFonts w:ascii="Arial" w:eastAsia="Times New Roman" w:hAnsi="Arial" w:cs="Arial"/>
                <w:color w:val="39414D"/>
                <w:sz w:val="16"/>
                <w:szCs w:val="16"/>
              </w:rPr>
              <w:t>0.0</w:t>
            </w:r>
            <w:r w:rsidR="00662FD6">
              <w:rPr>
                <w:rFonts w:ascii="Arial" w:eastAsia="Times New Roman" w:hAnsi="Arial" w:cs="Arial"/>
                <w:color w:val="39414D"/>
                <w:sz w:val="16"/>
                <w:szCs w:val="16"/>
              </w:rPr>
              <w:t>%</w:t>
            </w:r>
          </w:p>
        </w:tc>
        <w:tc>
          <w:tcPr>
            <w:tcW w:w="2111" w:type="dxa"/>
            <w:tcBorders>
              <w:top w:val="nil"/>
              <w:left w:val="nil"/>
              <w:bottom w:val="nil"/>
              <w:right w:val="nil"/>
            </w:tcBorders>
            <w:shd w:val="clear" w:color="000000" w:fill="E8E9E9"/>
            <w:noWrap/>
            <w:vAlign w:val="center"/>
            <w:hideMark/>
          </w:tcPr>
          <w:p w14:paraId="0CC669E2" w14:textId="77777777" w:rsidR="00944F6A" w:rsidRPr="0046181A" w:rsidRDefault="00944F6A" w:rsidP="00944F6A">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0.6% </w:t>
            </w:r>
          </w:p>
        </w:tc>
      </w:tr>
      <w:tr w:rsidR="00944F6A" w:rsidRPr="00944F6A" w14:paraId="3036A9B4" w14:textId="77777777" w:rsidTr="0046181A">
        <w:trPr>
          <w:trHeight w:val="240"/>
        </w:trPr>
        <w:tc>
          <w:tcPr>
            <w:tcW w:w="2250" w:type="dxa"/>
            <w:tcBorders>
              <w:top w:val="nil"/>
              <w:left w:val="nil"/>
              <w:bottom w:val="nil"/>
              <w:right w:val="nil"/>
            </w:tcBorders>
            <w:shd w:val="clear" w:color="auto" w:fill="auto"/>
            <w:noWrap/>
            <w:vAlign w:val="center"/>
            <w:hideMark/>
          </w:tcPr>
          <w:p w14:paraId="424AF61F" w14:textId="77777777" w:rsidR="00944F6A" w:rsidRPr="0046181A" w:rsidRDefault="00944F6A" w:rsidP="00944F6A">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Non-Duals</w:t>
            </w:r>
          </w:p>
        </w:tc>
        <w:tc>
          <w:tcPr>
            <w:tcW w:w="2111" w:type="dxa"/>
            <w:tcBorders>
              <w:top w:val="nil"/>
              <w:left w:val="nil"/>
              <w:bottom w:val="nil"/>
              <w:right w:val="nil"/>
            </w:tcBorders>
            <w:shd w:val="clear" w:color="auto" w:fill="auto"/>
            <w:noWrap/>
            <w:vAlign w:val="center"/>
            <w:hideMark/>
          </w:tcPr>
          <w:p w14:paraId="50D0E9D6" w14:textId="1451FE80" w:rsidR="00944F6A" w:rsidRPr="0046181A" w:rsidRDefault="003435E8" w:rsidP="00944F6A">
            <w:pPr>
              <w:spacing w:after="0" w:line="240" w:lineRule="auto"/>
              <w:jc w:val="right"/>
              <w:rPr>
                <w:rFonts w:ascii="Arial" w:eastAsia="Times New Roman" w:hAnsi="Arial" w:cs="Arial"/>
                <w:color w:val="39414D"/>
                <w:sz w:val="16"/>
                <w:szCs w:val="16"/>
              </w:rPr>
            </w:pPr>
            <w:r>
              <w:rPr>
                <w:rFonts w:ascii="Arial" w:eastAsia="Times New Roman" w:hAnsi="Arial" w:cs="Arial"/>
                <w:color w:val="39414D"/>
                <w:sz w:val="16"/>
                <w:szCs w:val="16"/>
              </w:rPr>
              <w:t>0.0</w:t>
            </w:r>
            <w:r w:rsidR="00662FD6">
              <w:rPr>
                <w:rFonts w:ascii="Arial" w:eastAsia="Times New Roman" w:hAnsi="Arial" w:cs="Arial"/>
                <w:color w:val="39414D"/>
                <w:sz w:val="16"/>
                <w:szCs w:val="16"/>
              </w:rPr>
              <w:t>%</w:t>
            </w:r>
          </w:p>
        </w:tc>
        <w:tc>
          <w:tcPr>
            <w:tcW w:w="2111" w:type="dxa"/>
            <w:tcBorders>
              <w:top w:val="nil"/>
              <w:left w:val="nil"/>
              <w:bottom w:val="nil"/>
              <w:right w:val="nil"/>
            </w:tcBorders>
            <w:shd w:val="clear" w:color="auto" w:fill="auto"/>
            <w:noWrap/>
            <w:vAlign w:val="center"/>
            <w:hideMark/>
          </w:tcPr>
          <w:p w14:paraId="79A7AA21" w14:textId="77777777" w:rsidR="00944F6A" w:rsidRPr="0046181A" w:rsidRDefault="00944F6A" w:rsidP="00944F6A">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0.5% </w:t>
            </w:r>
          </w:p>
        </w:tc>
      </w:tr>
      <w:tr w:rsidR="00944F6A" w:rsidRPr="00944F6A" w14:paraId="1973AA3F" w14:textId="77777777" w:rsidTr="0046181A">
        <w:trPr>
          <w:trHeight w:val="240"/>
        </w:trPr>
        <w:tc>
          <w:tcPr>
            <w:tcW w:w="2250" w:type="dxa"/>
            <w:tcBorders>
              <w:top w:val="nil"/>
              <w:left w:val="nil"/>
              <w:bottom w:val="nil"/>
              <w:right w:val="nil"/>
            </w:tcBorders>
            <w:shd w:val="clear" w:color="000000" w:fill="E8E9E9"/>
            <w:noWrap/>
            <w:vAlign w:val="center"/>
            <w:hideMark/>
          </w:tcPr>
          <w:p w14:paraId="3C191FA7" w14:textId="77777777" w:rsidR="00944F6A" w:rsidRPr="0046181A" w:rsidRDefault="00944F6A" w:rsidP="00944F6A">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RHP Non-Duals</w:t>
            </w:r>
          </w:p>
        </w:tc>
        <w:tc>
          <w:tcPr>
            <w:tcW w:w="2111" w:type="dxa"/>
            <w:tcBorders>
              <w:top w:val="nil"/>
              <w:left w:val="nil"/>
              <w:bottom w:val="nil"/>
              <w:right w:val="nil"/>
            </w:tcBorders>
            <w:shd w:val="clear" w:color="000000" w:fill="E8E9E9"/>
            <w:noWrap/>
            <w:vAlign w:val="center"/>
            <w:hideMark/>
          </w:tcPr>
          <w:p w14:paraId="2AE02B87" w14:textId="2FE295B1" w:rsidR="00944F6A" w:rsidRPr="0046181A" w:rsidRDefault="00FD3E51" w:rsidP="00944F6A">
            <w:pPr>
              <w:spacing w:after="0" w:line="240" w:lineRule="auto"/>
              <w:jc w:val="right"/>
              <w:rPr>
                <w:rFonts w:ascii="Arial" w:eastAsia="Times New Roman" w:hAnsi="Arial" w:cs="Arial"/>
                <w:color w:val="39414D"/>
                <w:sz w:val="16"/>
                <w:szCs w:val="16"/>
              </w:rPr>
            </w:pPr>
            <w:r>
              <w:rPr>
                <w:rFonts w:ascii="Arial" w:eastAsia="Times New Roman" w:hAnsi="Arial" w:cs="Arial"/>
                <w:color w:val="39414D"/>
                <w:sz w:val="16"/>
                <w:szCs w:val="16"/>
              </w:rPr>
              <w:t>0.0%</w:t>
            </w:r>
          </w:p>
        </w:tc>
        <w:tc>
          <w:tcPr>
            <w:tcW w:w="2111" w:type="dxa"/>
            <w:tcBorders>
              <w:top w:val="nil"/>
              <w:left w:val="nil"/>
              <w:bottom w:val="nil"/>
              <w:right w:val="nil"/>
            </w:tcBorders>
            <w:shd w:val="clear" w:color="000000" w:fill="E8E9E9"/>
            <w:noWrap/>
            <w:vAlign w:val="center"/>
            <w:hideMark/>
          </w:tcPr>
          <w:p w14:paraId="74F2960F" w14:textId="7A13A0FA" w:rsidR="00944F6A" w:rsidRPr="0046181A" w:rsidRDefault="00A25123" w:rsidP="00944F6A">
            <w:pPr>
              <w:spacing w:after="0" w:line="240" w:lineRule="auto"/>
              <w:jc w:val="right"/>
              <w:rPr>
                <w:rFonts w:ascii="Arial" w:eastAsia="Times New Roman" w:hAnsi="Arial" w:cs="Arial"/>
                <w:color w:val="39414D"/>
                <w:sz w:val="16"/>
                <w:szCs w:val="16"/>
              </w:rPr>
            </w:pPr>
            <w:r w:rsidRPr="003326B3">
              <w:rPr>
                <w:rFonts w:ascii="Arial" w:eastAsia="Times New Roman" w:hAnsi="Arial" w:cs="Arial"/>
                <w:color w:val="39414D"/>
                <w:sz w:val="16"/>
                <w:szCs w:val="16"/>
              </w:rPr>
              <w:t>N/A</w:t>
            </w:r>
            <w:r w:rsidR="00944F6A" w:rsidRPr="0046181A">
              <w:rPr>
                <w:rFonts w:ascii="Arial" w:eastAsia="Times New Roman" w:hAnsi="Arial" w:cs="Arial"/>
                <w:color w:val="39414D"/>
                <w:sz w:val="16"/>
                <w:szCs w:val="16"/>
              </w:rPr>
              <w:t> </w:t>
            </w:r>
          </w:p>
        </w:tc>
      </w:tr>
      <w:tr w:rsidR="00944F6A" w:rsidRPr="00944F6A" w14:paraId="74C6708A" w14:textId="77777777" w:rsidTr="00C95EB0">
        <w:trPr>
          <w:trHeight w:val="240"/>
        </w:trPr>
        <w:tc>
          <w:tcPr>
            <w:tcW w:w="6472" w:type="dxa"/>
            <w:gridSpan w:val="3"/>
            <w:tcBorders>
              <w:top w:val="nil"/>
              <w:left w:val="nil"/>
              <w:bottom w:val="nil"/>
              <w:right w:val="nil"/>
            </w:tcBorders>
            <w:shd w:val="clear" w:color="auto" w:fill="auto"/>
            <w:noWrap/>
            <w:vAlign w:val="center"/>
            <w:hideMark/>
          </w:tcPr>
          <w:p w14:paraId="100A4359" w14:textId="77777777" w:rsidR="00944F6A" w:rsidRPr="0046181A" w:rsidRDefault="00944F6A" w:rsidP="00944F6A">
            <w:pPr>
              <w:spacing w:after="0" w:line="240" w:lineRule="auto"/>
              <w:rPr>
                <w:rFonts w:ascii="Times New Roman" w:eastAsia="Times New Roman" w:hAnsi="Times New Roman" w:cs="Times New Roman"/>
                <w:sz w:val="16"/>
                <w:szCs w:val="16"/>
              </w:rPr>
            </w:pPr>
          </w:p>
        </w:tc>
      </w:tr>
      <w:tr w:rsidR="00944F6A" w:rsidRPr="00944F6A" w14:paraId="4CE5A24C" w14:textId="77777777" w:rsidTr="0046181A">
        <w:trPr>
          <w:trHeight w:val="288"/>
        </w:trPr>
        <w:tc>
          <w:tcPr>
            <w:tcW w:w="2250" w:type="dxa"/>
            <w:tcBorders>
              <w:top w:val="nil"/>
              <w:left w:val="nil"/>
              <w:bottom w:val="nil"/>
              <w:right w:val="nil"/>
            </w:tcBorders>
            <w:shd w:val="clear" w:color="auto" w:fill="auto"/>
            <w:noWrap/>
            <w:vAlign w:val="center"/>
            <w:hideMark/>
          </w:tcPr>
          <w:p w14:paraId="7BD85BB6" w14:textId="77777777" w:rsidR="00944F6A" w:rsidRPr="0046181A" w:rsidRDefault="00944F6A" w:rsidP="00944F6A">
            <w:pPr>
              <w:spacing w:after="0" w:line="240" w:lineRule="auto"/>
              <w:rPr>
                <w:rFonts w:ascii="Times New Roman" w:eastAsia="Times New Roman" w:hAnsi="Times New Roman" w:cs="Times New Roman"/>
                <w:sz w:val="16"/>
                <w:szCs w:val="16"/>
              </w:rPr>
            </w:pPr>
          </w:p>
        </w:tc>
        <w:tc>
          <w:tcPr>
            <w:tcW w:w="4222" w:type="dxa"/>
            <w:gridSpan w:val="2"/>
            <w:tcBorders>
              <w:top w:val="nil"/>
              <w:left w:val="nil"/>
              <w:bottom w:val="nil"/>
              <w:right w:val="nil"/>
            </w:tcBorders>
            <w:shd w:val="clear" w:color="auto" w:fill="auto"/>
            <w:vAlign w:val="center"/>
            <w:hideMark/>
          </w:tcPr>
          <w:p w14:paraId="36433F71"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Legislative Increase Percentage Impact</w:t>
            </w:r>
          </w:p>
        </w:tc>
      </w:tr>
      <w:tr w:rsidR="00944F6A" w:rsidRPr="00944F6A" w14:paraId="4E12B09B" w14:textId="77777777" w:rsidTr="0046181A">
        <w:trPr>
          <w:trHeight w:val="288"/>
        </w:trPr>
        <w:tc>
          <w:tcPr>
            <w:tcW w:w="2250" w:type="dxa"/>
            <w:tcBorders>
              <w:top w:val="nil"/>
              <w:left w:val="nil"/>
              <w:bottom w:val="single" w:sz="8" w:space="0" w:color="C6C9CA"/>
              <w:right w:val="nil"/>
            </w:tcBorders>
            <w:shd w:val="clear" w:color="auto" w:fill="auto"/>
            <w:noWrap/>
            <w:vAlign w:val="center"/>
            <w:hideMark/>
          </w:tcPr>
          <w:p w14:paraId="20902C0E" w14:textId="77777777" w:rsidR="00944F6A" w:rsidRPr="0046181A" w:rsidRDefault="00944F6A" w:rsidP="00944F6A">
            <w:pPr>
              <w:spacing w:after="0" w:line="240" w:lineRule="auto"/>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PACE Rate Cell</w:t>
            </w:r>
          </w:p>
        </w:tc>
        <w:tc>
          <w:tcPr>
            <w:tcW w:w="2111" w:type="dxa"/>
            <w:tcBorders>
              <w:top w:val="nil"/>
              <w:left w:val="nil"/>
              <w:bottom w:val="single" w:sz="8" w:space="0" w:color="C6C9CA"/>
              <w:right w:val="nil"/>
            </w:tcBorders>
            <w:shd w:val="clear" w:color="auto" w:fill="auto"/>
            <w:vAlign w:val="center"/>
            <w:hideMark/>
          </w:tcPr>
          <w:p w14:paraId="55F6E4E2"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HCBS Rate Cell</w:t>
            </w:r>
          </w:p>
        </w:tc>
        <w:tc>
          <w:tcPr>
            <w:tcW w:w="2111" w:type="dxa"/>
            <w:tcBorders>
              <w:top w:val="nil"/>
              <w:left w:val="nil"/>
              <w:bottom w:val="single" w:sz="8" w:space="0" w:color="C6C9CA"/>
              <w:right w:val="nil"/>
            </w:tcBorders>
            <w:shd w:val="clear" w:color="auto" w:fill="auto"/>
            <w:vAlign w:val="center"/>
            <w:hideMark/>
          </w:tcPr>
          <w:p w14:paraId="7BB79D19" w14:textId="77777777" w:rsidR="00944F6A" w:rsidRPr="0046181A" w:rsidRDefault="00944F6A" w:rsidP="00944F6A">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Rate Cell</w:t>
            </w:r>
          </w:p>
        </w:tc>
      </w:tr>
      <w:tr w:rsidR="00216370" w:rsidRPr="00944F6A" w14:paraId="46A1A8E5" w14:textId="77777777" w:rsidTr="0046181A">
        <w:trPr>
          <w:trHeight w:val="240"/>
        </w:trPr>
        <w:tc>
          <w:tcPr>
            <w:tcW w:w="2250" w:type="dxa"/>
            <w:tcBorders>
              <w:top w:val="nil"/>
              <w:left w:val="nil"/>
              <w:bottom w:val="nil"/>
              <w:right w:val="nil"/>
            </w:tcBorders>
            <w:shd w:val="clear" w:color="auto" w:fill="auto"/>
            <w:noWrap/>
            <w:vAlign w:val="center"/>
            <w:hideMark/>
          </w:tcPr>
          <w:p w14:paraId="3E0E1322" w14:textId="77777777" w:rsidR="00216370" w:rsidRPr="0046181A" w:rsidRDefault="00216370" w:rsidP="00216370">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55-64</w:t>
            </w:r>
          </w:p>
        </w:tc>
        <w:tc>
          <w:tcPr>
            <w:tcW w:w="2111" w:type="dxa"/>
            <w:tcBorders>
              <w:top w:val="nil"/>
              <w:left w:val="nil"/>
              <w:bottom w:val="nil"/>
              <w:right w:val="nil"/>
            </w:tcBorders>
            <w:shd w:val="clear" w:color="auto" w:fill="auto"/>
            <w:noWrap/>
            <w:vAlign w:val="center"/>
            <w:hideMark/>
          </w:tcPr>
          <w:p w14:paraId="3D00DD9D" w14:textId="429BCA2D"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0.1% </w:t>
            </w:r>
          </w:p>
        </w:tc>
        <w:tc>
          <w:tcPr>
            <w:tcW w:w="2111" w:type="dxa"/>
            <w:tcBorders>
              <w:top w:val="nil"/>
              <w:left w:val="nil"/>
              <w:bottom w:val="nil"/>
              <w:right w:val="nil"/>
            </w:tcBorders>
            <w:shd w:val="clear" w:color="auto" w:fill="auto"/>
            <w:noWrap/>
            <w:vAlign w:val="center"/>
            <w:hideMark/>
          </w:tcPr>
          <w:p w14:paraId="654296D7" w14:textId="6DA7F64A"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0.8% </w:t>
            </w:r>
          </w:p>
        </w:tc>
      </w:tr>
      <w:tr w:rsidR="00216370" w:rsidRPr="00944F6A" w14:paraId="119D5726" w14:textId="77777777" w:rsidTr="0046181A">
        <w:trPr>
          <w:trHeight w:val="240"/>
        </w:trPr>
        <w:tc>
          <w:tcPr>
            <w:tcW w:w="2250" w:type="dxa"/>
            <w:tcBorders>
              <w:top w:val="nil"/>
              <w:left w:val="nil"/>
              <w:bottom w:val="nil"/>
              <w:right w:val="nil"/>
            </w:tcBorders>
            <w:shd w:val="clear" w:color="000000" w:fill="E8E9E9"/>
            <w:noWrap/>
            <w:vAlign w:val="center"/>
            <w:hideMark/>
          </w:tcPr>
          <w:p w14:paraId="42D93D85" w14:textId="77777777" w:rsidR="00216370" w:rsidRPr="0046181A" w:rsidRDefault="00216370" w:rsidP="00216370">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65+</w:t>
            </w:r>
          </w:p>
        </w:tc>
        <w:tc>
          <w:tcPr>
            <w:tcW w:w="2111" w:type="dxa"/>
            <w:tcBorders>
              <w:top w:val="nil"/>
              <w:left w:val="nil"/>
              <w:bottom w:val="nil"/>
              <w:right w:val="nil"/>
            </w:tcBorders>
            <w:shd w:val="clear" w:color="000000" w:fill="E8E9E9"/>
            <w:noWrap/>
            <w:vAlign w:val="center"/>
            <w:hideMark/>
          </w:tcPr>
          <w:p w14:paraId="2319F979" w14:textId="5FA05BD5"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0.1% </w:t>
            </w:r>
          </w:p>
        </w:tc>
        <w:tc>
          <w:tcPr>
            <w:tcW w:w="2111" w:type="dxa"/>
            <w:tcBorders>
              <w:top w:val="nil"/>
              <w:left w:val="nil"/>
              <w:bottom w:val="nil"/>
              <w:right w:val="nil"/>
            </w:tcBorders>
            <w:shd w:val="clear" w:color="000000" w:fill="E8E9E9"/>
            <w:noWrap/>
            <w:vAlign w:val="center"/>
            <w:hideMark/>
          </w:tcPr>
          <w:p w14:paraId="36846ED9" w14:textId="25EFEA66"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0.8% </w:t>
            </w:r>
          </w:p>
        </w:tc>
      </w:tr>
      <w:tr w:rsidR="00216370" w:rsidRPr="00944F6A" w14:paraId="3513664C" w14:textId="77777777" w:rsidTr="0046181A">
        <w:trPr>
          <w:trHeight w:val="240"/>
        </w:trPr>
        <w:tc>
          <w:tcPr>
            <w:tcW w:w="2250" w:type="dxa"/>
            <w:tcBorders>
              <w:top w:val="nil"/>
              <w:left w:val="nil"/>
              <w:bottom w:val="nil"/>
              <w:right w:val="nil"/>
            </w:tcBorders>
            <w:shd w:val="clear" w:color="auto" w:fill="auto"/>
            <w:noWrap/>
            <w:vAlign w:val="center"/>
            <w:hideMark/>
          </w:tcPr>
          <w:p w14:paraId="5C24F7E3" w14:textId="77777777" w:rsidR="00216370" w:rsidRPr="0046181A" w:rsidRDefault="00216370" w:rsidP="00216370">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Non-Duals</w:t>
            </w:r>
          </w:p>
        </w:tc>
        <w:tc>
          <w:tcPr>
            <w:tcW w:w="2111" w:type="dxa"/>
            <w:tcBorders>
              <w:top w:val="nil"/>
              <w:left w:val="nil"/>
              <w:bottom w:val="nil"/>
              <w:right w:val="nil"/>
            </w:tcBorders>
            <w:shd w:val="clear" w:color="auto" w:fill="auto"/>
            <w:noWrap/>
            <w:vAlign w:val="center"/>
            <w:hideMark/>
          </w:tcPr>
          <w:p w14:paraId="1146AA51" w14:textId="000013BD"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0.5% </w:t>
            </w:r>
          </w:p>
        </w:tc>
        <w:tc>
          <w:tcPr>
            <w:tcW w:w="2111" w:type="dxa"/>
            <w:tcBorders>
              <w:top w:val="nil"/>
              <w:left w:val="nil"/>
              <w:bottom w:val="nil"/>
              <w:right w:val="nil"/>
            </w:tcBorders>
            <w:shd w:val="clear" w:color="auto" w:fill="auto"/>
            <w:noWrap/>
            <w:vAlign w:val="center"/>
            <w:hideMark/>
          </w:tcPr>
          <w:p w14:paraId="5F0099A6" w14:textId="1E01F47B"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1.0% </w:t>
            </w:r>
          </w:p>
        </w:tc>
      </w:tr>
      <w:tr w:rsidR="00216370" w:rsidRPr="00944F6A" w14:paraId="2933C3ED" w14:textId="77777777" w:rsidTr="0046181A">
        <w:trPr>
          <w:trHeight w:val="240"/>
        </w:trPr>
        <w:tc>
          <w:tcPr>
            <w:tcW w:w="2250" w:type="dxa"/>
            <w:tcBorders>
              <w:top w:val="nil"/>
              <w:left w:val="nil"/>
              <w:bottom w:val="nil"/>
              <w:right w:val="nil"/>
            </w:tcBorders>
            <w:shd w:val="clear" w:color="000000" w:fill="E8E9E9"/>
            <w:noWrap/>
            <w:vAlign w:val="center"/>
            <w:hideMark/>
          </w:tcPr>
          <w:p w14:paraId="44484827" w14:textId="77777777" w:rsidR="00216370" w:rsidRPr="0046181A" w:rsidRDefault="00216370" w:rsidP="00216370">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RHP Non-Duals</w:t>
            </w:r>
          </w:p>
        </w:tc>
        <w:tc>
          <w:tcPr>
            <w:tcW w:w="2111" w:type="dxa"/>
            <w:tcBorders>
              <w:top w:val="nil"/>
              <w:left w:val="nil"/>
              <w:bottom w:val="nil"/>
              <w:right w:val="nil"/>
            </w:tcBorders>
            <w:shd w:val="clear" w:color="000000" w:fill="E8E9E9"/>
            <w:noWrap/>
            <w:vAlign w:val="center"/>
            <w:hideMark/>
          </w:tcPr>
          <w:p w14:paraId="2404D224" w14:textId="4C0CDCB7"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2111" w:type="dxa"/>
            <w:tcBorders>
              <w:top w:val="nil"/>
              <w:left w:val="nil"/>
              <w:bottom w:val="nil"/>
              <w:right w:val="nil"/>
            </w:tcBorders>
            <w:shd w:val="clear" w:color="000000" w:fill="E8E9E9"/>
            <w:noWrap/>
            <w:vAlign w:val="center"/>
            <w:hideMark/>
          </w:tcPr>
          <w:p w14:paraId="67FE7DFA" w14:textId="247C2B6E" w:rsidR="00216370" w:rsidRPr="00216370" w:rsidRDefault="00216370" w:rsidP="00216370">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N/A</w:t>
            </w:r>
          </w:p>
        </w:tc>
      </w:tr>
    </w:tbl>
    <w:p w14:paraId="56161BD1" w14:textId="77777777" w:rsidR="00A60275" w:rsidRDefault="00783FED" w:rsidP="00783FED">
      <w:pPr>
        <w:pStyle w:val="RRBullet1"/>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sidR="00A60275">
        <w:rPr>
          <w:rFonts w:ascii="Arial" w:eastAsia="Times New Roman" w:hAnsi="Arial" w:cs="Arial"/>
          <w:color w:val="727A7D"/>
          <w:sz w:val="16"/>
          <w:szCs w:val="16"/>
        </w:rPr>
        <w:t>s</w:t>
      </w:r>
      <w:r w:rsidRPr="006B42A9">
        <w:rPr>
          <w:rFonts w:ascii="Arial" w:eastAsia="Times New Roman" w:hAnsi="Arial" w:cs="Arial"/>
          <w:color w:val="727A7D"/>
          <w:sz w:val="16"/>
          <w:szCs w:val="16"/>
        </w:rPr>
        <w:t>:</w:t>
      </w:r>
      <w:r>
        <w:rPr>
          <w:rFonts w:ascii="Arial" w:eastAsia="Times New Roman" w:hAnsi="Arial" w:cs="Arial"/>
          <w:color w:val="727A7D"/>
          <w:sz w:val="16"/>
          <w:szCs w:val="16"/>
        </w:rPr>
        <w:t xml:space="preserve"> </w:t>
      </w:r>
    </w:p>
    <w:p w14:paraId="4C5F84BF" w14:textId="77777777" w:rsidR="00A60275" w:rsidRDefault="00783FED" w:rsidP="008405A2">
      <w:pPr>
        <w:pStyle w:val="RRBullet1"/>
        <w:numPr>
          <w:ilvl w:val="0"/>
          <w:numId w:val="19"/>
        </w:numPr>
        <w:spacing w:after="0"/>
        <w:rPr>
          <w:rFonts w:ascii="Arial" w:eastAsia="Times New Roman" w:hAnsi="Arial" w:cs="Arial"/>
          <w:color w:val="727A7D"/>
          <w:sz w:val="16"/>
          <w:szCs w:val="16"/>
        </w:rPr>
      </w:pPr>
      <w:r>
        <w:rPr>
          <w:rFonts w:ascii="Arial" w:eastAsia="Times New Roman" w:hAnsi="Arial" w:cs="Arial"/>
          <w:color w:val="727A7D"/>
          <w:sz w:val="16"/>
          <w:szCs w:val="16"/>
        </w:rPr>
        <w:t>Percentage illustrated represents the percent impact to total costs for the rate cell.</w:t>
      </w:r>
      <w:r w:rsidR="00A60275">
        <w:rPr>
          <w:rFonts w:ascii="Arial" w:eastAsia="Times New Roman" w:hAnsi="Arial" w:cs="Arial"/>
          <w:color w:val="727A7D"/>
          <w:sz w:val="16"/>
          <w:szCs w:val="16"/>
        </w:rPr>
        <w:t xml:space="preserve"> </w:t>
      </w:r>
    </w:p>
    <w:p w14:paraId="3AF6CFE9" w14:textId="4E1D129A" w:rsidR="00783FED" w:rsidRPr="006B42A9" w:rsidRDefault="00A60275" w:rsidP="008405A2">
      <w:pPr>
        <w:pStyle w:val="RRBullet1"/>
        <w:numPr>
          <w:ilvl w:val="0"/>
          <w:numId w:val="19"/>
        </w:numPr>
        <w:spacing w:after="0"/>
        <w:rPr>
          <w:rFonts w:ascii="Arial" w:eastAsia="Times New Roman" w:hAnsi="Arial" w:cs="Arial"/>
          <w:color w:val="727A7D"/>
          <w:sz w:val="16"/>
          <w:szCs w:val="16"/>
        </w:rPr>
      </w:pPr>
      <w:r>
        <w:rPr>
          <w:rFonts w:ascii="Arial" w:eastAsia="Times New Roman" w:hAnsi="Arial" w:cs="Arial"/>
          <w:color w:val="727A7D"/>
          <w:sz w:val="16"/>
          <w:szCs w:val="16"/>
        </w:rPr>
        <w:t>Values have been rounded.</w:t>
      </w:r>
    </w:p>
    <w:p w14:paraId="2992E3EE" w14:textId="47EEBCE2" w:rsidR="00783FED" w:rsidRDefault="00783FED" w:rsidP="008405A2">
      <w:pPr>
        <w:pStyle w:val="RRNumberedBullet1"/>
        <w:numPr>
          <w:ilvl w:val="0"/>
          <w:numId w:val="15"/>
        </w:numPr>
        <w:spacing w:before="120" w:after="0"/>
        <w:jc w:val="left"/>
      </w:pPr>
      <w:r>
        <w:rPr>
          <w:b/>
        </w:rPr>
        <w:t>Nursing Home Completion:</w:t>
      </w:r>
      <w:r>
        <w:t xml:space="preserve"> The nursing home completion adjustment reflects the estimated CY 2019 </w:t>
      </w:r>
      <w:r w:rsidR="00DA47EA">
        <w:t xml:space="preserve">FFS </w:t>
      </w:r>
      <w:r>
        <w:t>nursing home IBNP claims. IBNP was estimated to be immaterial for other service categories, as nursing home claim payments had a materially longer claims run-out period than other claim types.</w:t>
      </w:r>
    </w:p>
    <w:p w14:paraId="033EE37A" w14:textId="67F038F9" w:rsidR="00783FED" w:rsidRPr="008A7BBF" w:rsidRDefault="00783FED" w:rsidP="008405A2">
      <w:pPr>
        <w:pStyle w:val="RRNumberedBullet1"/>
        <w:numPr>
          <w:ilvl w:val="0"/>
          <w:numId w:val="15"/>
        </w:numPr>
        <w:spacing w:before="120" w:after="0"/>
        <w:jc w:val="left"/>
        <w:rPr>
          <w:b/>
        </w:rPr>
      </w:pPr>
      <w:r>
        <w:rPr>
          <w:b/>
        </w:rPr>
        <w:t>Legislative Increases:</w:t>
      </w:r>
      <w:r>
        <w:t xml:space="preserve"> Retrospective trend was applied to CY 2019 </w:t>
      </w:r>
      <w:r w:rsidR="00DA47EA">
        <w:t xml:space="preserve">FFS </w:t>
      </w:r>
      <w:r>
        <w:t xml:space="preserve">data to reflect increases to the </w:t>
      </w:r>
      <w:r w:rsidR="00DA47EA">
        <w:t xml:space="preserve">FFS </w:t>
      </w:r>
      <w:r>
        <w:t xml:space="preserve">program prescribed by the State of Rhode Island General Assembly Budget Article Relating to Human Services that occurred before the end of CY 2019. This adjustment modified the CY 2019 base experience to reflect a 7.2% reimbursement increase effective July 1, 2019 for inpatient and outpatient hospital services and a 1.0% reimbursement increase effective October 1, 2019 for nursing home and hospice services. </w:t>
      </w:r>
    </w:p>
    <w:p w14:paraId="2657AB9D" w14:textId="77777777" w:rsidR="00630B09" w:rsidRPr="00CB0BE3" w:rsidRDefault="00630B09" w:rsidP="008C085B">
      <w:pPr>
        <w:tabs>
          <w:tab w:val="left" w:pos="360"/>
          <w:tab w:val="left" w:pos="720"/>
          <w:tab w:val="left" w:pos="1080"/>
          <w:tab w:val="left" w:pos="1440"/>
          <w:tab w:val="left" w:pos="1800"/>
        </w:tabs>
        <w:spacing w:after="0" w:line="240" w:lineRule="auto"/>
        <w:jc w:val="both"/>
        <w:rPr>
          <w:rFonts w:cs="Arial"/>
        </w:rPr>
      </w:pPr>
    </w:p>
    <w:p w14:paraId="25B67F27" w14:textId="14EBED54" w:rsidR="0075417F" w:rsidRPr="00282D91" w:rsidRDefault="00FE48CC" w:rsidP="00FC4603">
      <w:pPr>
        <w:pStyle w:val="Heading3"/>
      </w:pPr>
      <w:bookmarkStart w:id="12" w:name="_Toc91081152"/>
      <w:r w:rsidRPr="00282D91">
        <w:t>S</w:t>
      </w:r>
      <w:r>
        <w:t>tep</w:t>
      </w:r>
      <w:r w:rsidRPr="00282D91">
        <w:t xml:space="preserve"> </w:t>
      </w:r>
      <w:r>
        <w:t>4</w:t>
      </w:r>
      <w:r w:rsidRPr="00282D91">
        <w:t>:</w:t>
      </w:r>
      <w:r w:rsidRPr="00282D91" w:rsidDel="00EB23CA">
        <w:t xml:space="preserve"> </w:t>
      </w:r>
      <w:r w:rsidRPr="00282D91">
        <w:t xml:space="preserve"> </w:t>
      </w:r>
      <w:r w:rsidR="00DB2659" w:rsidRPr="00DB2659">
        <w:t xml:space="preserve">Apply </w:t>
      </w:r>
      <w:r w:rsidR="00DB2659">
        <w:t>A</w:t>
      </w:r>
      <w:r w:rsidR="00DB2659" w:rsidRPr="00DB2659">
        <w:t xml:space="preserve">djustments to </w:t>
      </w:r>
      <w:r w:rsidR="00DB2659">
        <w:t>R</w:t>
      </w:r>
      <w:r w:rsidR="00DB2659" w:rsidRPr="00DB2659">
        <w:t xml:space="preserve">eflect the PACE </w:t>
      </w:r>
      <w:r w:rsidR="00DB2659">
        <w:t>P</w:t>
      </w:r>
      <w:r w:rsidR="00DB2659" w:rsidRPr="00DB2659">
        <w:t xml:space="preserve">opulation </w:t>
      </w:r>
      <w:r w:rsidR="00DB2659">
        <w:t>A</w:t>
      </w:r>
      <w:r w:rsidR="00DB2659" w:rsidRPr="00DB2659">
        <w:t>cuity</w:t>
      </w:r>
      <w:bookmarkEnd w:id="12"/>
    </w:p>
    <w:p w14:paraId="2DEE67D4" w14:textId="316BB47A" w:rsidR="008C085B" w:rsidRDefault="008C085B" w:rsidP="008C085B">
      <w:pPr>
        <w:spacing w:after="0" w:line="240" w:lineRule="auto"/>
        <w:jc w:val="both"/>
        <w:rPr>
          <w:rStyle w:val="Strong"/>
        </w:rPr>
      </w:pPr>
    </w:p>
    <w:p w14:paraId="30A392EC" w14:textId="663DE6AC" w:rsidR="006167E8" w:rsidRDefault="006167E8" w:rsidP="006167E8">
      <w:pPr>
        <w:spacing w:after="0" w:line="240" w:lineRule="auto"/>
        <w:rPr>
          <w:rFonts w:cs="Arial"/>
        </w:rPr>
      </w:pPr>
      <w:r w:rsidRPr="006132F8">
        <w:rPr>
          <w:rFonts w:cs="Arial"/>
        </w:rPr>
        <w:t xml:space="preserve">The CY 2019 base experience was adjusted for </w:t>
      </w:r>
      <w:r>
        <w:rPr>
          <w:rFonts w:cs="Arial"/>
        </w:rPr>
        <w:t>estimated acuity</w:t>
      </w:r>
      <w:r w:rsidRPr="006132F8">
        <w:rPr>
          <w:rFonts w:cs="Arial"/>
        </w:rPr>
        <w:t xml:space="preserve"> differences between the</w:t>
      </w:r>
      <w:r>
        <w:rPr>
          <w:rFonts w:cs="Arial"/>
        </w:rPr>
        <w:t xml:space="preserve"> population mix of the</w:t>
      </w:r>
      <w:r w:rsidRPr="006132F8">
        <w:rPr>
          <w:rFonts w:cs="Arial"/>
        </w:rPr>
        <w:t xml:space="preserve"> </w:t>
      </w:r>
      <w:r>
        <w:rPr>
          <w:rFonts w:cs="Arial"/>
        </w:rPr>
        <w:t>FFS</w:t>
      </w:r>
      <w:r w:rsidRPr="006132F8">
        <w:rPr>
          <w:rFonts w:cs="Arial"/>
        </w:rPr>
        <w:t xml:space="preserve"> </w:t>
      </w:r>
      <w:r>
        <w:rPr>
          <w:rFonts w:cs="Arial"/>
        </w:rPr>
        <w:t xml:space="preserve">proxy PACE </w:t>
      </w:r>
      <w:r w:rsidRPr="006132F8">
        <w:rPr>
          <w:rFonts w:cs="Arial"/>
        </w:rPr>
        <w:t>experience and P</w:t>
      </w:r>
      <w:r>
        <w:rPr>
          <w:rFonts w:cs="Arial"/>
        </w:rPr>
        <w:t xml:space="preserve">ACE-enrolled </w:t>
      </w:r>
      <w:r w:rsidRPr="006132F8">
        <w:rPr>
          <w:rFonts w:cs="Arial"/>
        </w:rPr>
        <w:t xml:space="preserve">population. </w:t>
      </w:r>
      <w:r>
        <w:rPr>
          <w:rFonts w:cs="Arial"/>
        </w:rPr>
        <w:t xml:space="preserve">Acuity adjustments to the CY 2019 base experience are illustrated in Appendix 2. </w:t>
      </w:r>
      <w:r w:rsidRPr="006132F8">
        <w:rPr>
          <w:rFonts w:cs="Arial"/>
        </w:rPr>
        <w:t xml:space="preserve">Figure </w:t>
      </w:r>
      <w:r>
        <w:rPr>
          <w:rFonts w:cs="Arial"/>
        </w:rPr>
        <w:t>7</w:t>
      </w:r>
      <w:r w:rsidRPr="006132F8">
        <w:rPr>
          <w:rFonts w:cs="Arial"/>
        </w:rPr>
        <w:t xml:space="preserve"> illustrates the estimated impact of the acuity differences between the </w:t>
      </w:r>
      <w:r>
        <w:rPr>
          <w:rFonts w:cs="Arial"/>
        </w:rPr>
        <w:t>FFS</w:t>
      </w:r>
      <w:r w:rsidRPr="006132F8">
        <w:rPr>
          <w:rFonts w:cs="Arial"/>
        </w:rPr>
        <w:t xml:space="preserve"> experience and </w:t>
      </w:r>
      <w:r>
        <w:rPr>
          <w:rFonts w:cs="Arial"/>
        </w:rPr>
        <w:t>PACE-enrolled</w:t>
      </w:r>
      <w:r w:rsidRPr="006132F8">
        <w:rPr>
          <w:rFonts w:cs="Arial"/>
        </w:rPr>
        <w:t xml:space="preserve"> population by </w:t>
      </w:r>
      <w:r>
        <w:rPr>
          <w:rFonts w:cs="Arial"/>
        </w:rPr>
        <w:t xml:space="preserve">rate cell </w:t>
      </w:r>
      <w:r w:rsidRPr="006132F8">
        <w:rPr>
          <w:rFonts w:cs="Arial"/>
        </w:rPr>
        <w:t>and service category.</w:t>
      </w:r>
    </w:p>
    <w:p w14:paraId="6FC750B6" w14:textId="77777777" w:rsidR="007E08AC" w:rsidRDefault="007E08AC" w:rsidP="006167E8">
      <w:pPr>
        <w:spacing w:after="0" w:line="240" w:lineRule="auto"/>
        <w:rPr>
          <w:rFonts w:ascii="Arial" w:eastAsia="Times New Roman" w:hAnsi="Arial" w:cs="Arial"/>
          <w:b/>
          <w:bCs/>
          <w:color w:val="0081E3"/>
          <w:sz w:val="16"/>
          <w:szCs w:val="16"/>
        </w:rPr>
      </w:pPr>
    </w:p>
    <w:p w14:paraId="07751322" w14:textId="77777777" w:rsidR="006167E8" w:rsidRDefault="006167E8" w:rsidP="008C085B">
      <w:pPr>
        <w:spacing w:after="0" w:line="240" w:lineRule="auto"/>
        <w:jc w:val="both"/>
        <w:rPr>
          <w:rStyle w:val="Strong"/>
        </w:rPr>
      </w:pPr>
    </w:p>
    <w:tbl>
      <w:tblPr>
        <w:tblW w:w="6472" w:type="dxa"/>
        <w:tblLayout w:type="fixed"/>
        <w:tblLook w:val="04A0" w:firstRow="1" w:lastRow="0" w:firstColumn="1" w:lastColumn="0" w:noHBand="0" w:noVBand="1"/>
      </w:tblPr>
      <w:tblGrid>
        <w:gridCol w:w="2250"/>
        <w:gridCol w:w="2111"/>
        <w:gridCol w:w="2111"/>
      </w:tblGrid>
      <w:tr w:rsidR="00353C89" w:rsidRPr="00182C0D" w14:paraId="11F4294C" w14:textId="77777777" w:rsidTr="00C95EB0">
        <w:trPr>
          <w:trHeight w:val="240"/>
        </w:trPr>
        <w:tc>
          <w:tcPr>
            <w:tcW w:w="6472" w:type="dxa"/>
            <w:gridSpan w:val="3"/>
            <w:tcBorders>
              <w:top w:val="nil"/>
              <w:left w:val="nil"/>
              <w:bottom w:val="nil"/>
              <w:right w:val="nil"/>
            </w:tcBorders>
            <w:shd w:val="clear" w:color="auto" w:fill="auto"/>
            <w:noWrap/>
            <w:vAlign w:val="center"/>
            <w:hideMark/>
          </w:tcPr>
          <w:p w14:paraId="67931E09" w14:textId="19267FB6" w:rsidR="00353C89" w:rsidRPr="0046181A" w:rsidRDefault="00353C89" w:rsidP="00182C0D">
            <w:pPr>
              <w:spacing w:after="0" w:line="240" w:lineRule="auto"/>
              <w:rPr>
                <w:rFonts w:ascii="Arial" w:eastAsia="Times New Roman" w:hAnsi="Arial" w:cs="Arial"/>
                <w:b/>
                <w:bCs/>
                <w:color w:val="0081E3"/>
                <w:sz w:val="16"/>
                <w:szCs w:val="16"/>
              </w:rPr>
            </w:pPr>
            <w:r w:rsidRPr="0046181A">
              <w:rPr>
                <w:rFonts w:ascii="Arial" w:eastAsia="Times New Roman" w:hAnsi="Arial" w:cs="Arial"/>
                <w:b/>
                <w:bCs/>
                <w:color w:val="0081E3"/>
                <w:sz w:val="16"/>
                <w:szCs w:val="16"/>
              </w:rPr>
              <w:lastRenderedPageBreak/>
              <w:t>FIGURE 7: PROSPECTIVE ACUITY ADJUSTMENTS</w:t>
            </w:r>
          </w:p>
        </w:tc>
      </w:tr>
      <w:tr w:rsidR="00182C0D" w:rsidRPr="00182C0D" w14:paraId="2E0744F2" w14:textId="77777777" w:rsidTr="0046181A">
        <w:trPr>
          <w:trHeight w:val="288"/>
        </w:trPr>
        <w:tc>
          <w:tcPr>
            <w:tcW w:w="2250" w:type="dxa"/>
            <w:tcBorders>
              <w:top w:val="nil"/>
              <w:left w:val="nil"/>
              <w:bottom w:val="nil"/>
              <w:right w:val="nil"/>
            </w:tcBorders>
            <w:shd w:val="clear" w:color="auto" w:fill="auto"/>
            <w:noWrap/>
            <w:vAlign w:val="center"/>
            <w:hideMark/>
          </w:tcPr>
          <w:p w14:paraId="5EE0FCE8" w14:textId="77777777" w:rsidR="00182C0D" w:rsidRPr="0046181A" w:rsidRDefault="00182C0D" w:rsidP="00182C0D">
            <w:pPr>
              <w:spacing w:after="0" w:line="240" w:lineRule="auto"/>
              <w:rPr>
                <w:rFonts w:ascii="Times New Roman" w:eastAsia="Times New Roman" w:hAnsi="Times New Roman" w:cs="Times New Roman"/>
                <w:sz w:val="16"/>
                <w:szCs w:val="16"/>
              </w:rPr>
            </w:pPr>
          </w:p>
        </w:tc>
        <w:tc>
          <w:tcPr>
            <w:tcW w:w="4222" w:type="dxa"/>
            <w:gridSpan w:val="2"/>
            <w:tcBorders>
              <w:top w:val="nil"/>
              <w:left w:val="nil"/>
              <w:bottom w:val="nil"/>
              <w:right w:val="nil"/>
            </w:tcBorders>
            <w:shd w:val="clear" w:color="auto" w:fill="auto"/>
            <w:vAlign w:val="center"/>
            <w:hideMark/>
          </w:tcPr>
          <w:p w14:paraId="7853483D" w14:textId="5488416F"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Acuity Impact</w:t>
            </w:r>
          </w:p>
        </w:tc>
      </w:tr>
      <w:tr w:rsidR="00182C0D" w:rsidRPr="00182C0D" w14:paraId="05EFC819" w14:textId="77777777" w:rsidTr="003B7A88">
        <w:trPr>
          <w:trHeight w:val="342"/>
        </w:trPr>
        <w:tc>
          <w:tcPr>
            <w:tcW w:w="2250" w:type="dxa"/>
            <w:tcBorders>
              <w:top w:val="nil"/>
              <w:left w:val="nil"/>
              <w:bottom w:val="single" w:sz="8" w:space="0" w:color="C6C9CA"/>
              <w:right w:val="nil"/>
            </w:tcBorders>
            <w:shd w:val="clear" w:color="auto" w:fill="auto"/>
            <w:noWrap/>
            <w:vAlign w:val="center"/>
            <w:hideMark/>
          </w:tcPr>
          <w:p w14:paraId="67ECCA42" w14:textId="77777777" w:rsidR="00182C0D" w:rsidRPr="0046181A" w:rsidRDefault="00182C0D" w:rsidP="00182C0D">
            <w:pPr>
              <w:spacing w:after="0" w:line="240" w:lineRule="auto"/>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PACE Rate Cell</w:t>
            </w:r>
          </w:p>
        </w:tc>
        <w:tc>
          <w:tcPr>
            <w:tcW w:w="2111" w:type="dxa"/>
            <w:tcBorders>
              <w:top w:val="nil"/>
              <w:left w:val="nil"/>
              <w:bottom w:val="single" w:sz="8" w:space="0" w:color="C6C9CA"/>
              <w:right w:val="nil"/>
            </w:tcBorders>
            <w:shd w:val="clear" w:color="auto" w:fill="auto"/>
            <w:vAlign w:val="center"/>
            <w:hideMark/>
          </w:tcPr>
          <w:p w14:paraId="021837B9" w14:textId="77777777"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HCBS Rate Cell</w:t>
            </w:r>
          </w:p>
        </w:tc>
        <w:tc>
          <w:tcPr>
            <w:tcW w:w="2111" w:type="dxa"/>
            <w:tcBorders>
              <w:top w:val="nil"/>
              <w:left w:val="nil"/>
              <w:bottom w:val="single" w:sz="8" w:space="0" w:color="C6C9CA"/>
              <w:right w:val="nil"/>
            </w:tcBorders>
            <w:shd w:val="clear" w:color="auto" w:fill="auto"/>
            <w:vAlign w:val="center"/>
            <w:hideMark/>
          </w:tcPr>
          <w:p w14:paraId="761E5D57" w14:textId="77777777"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Rate Cell</w:t>
            </w:r>
          </w:p>
        </w:tc>
      </w:tr>
      <w:tr w:rsidR="00A44C25" w:rsidRPr="00182C0D" w14:paraId="6448E361" w14:textId="77777777" w:rsidTr="0046181A">
        <w:trPr>
          <w:trHeight w:val="240"/>
        </w:trPr>
        <w:tc>
          <w:tcPr>
            <w:tcW w:w="2250" w:type="dxa"/>
            <w:tcBorders>
              <w:top w:val="nil"/>
              <w:left w:val="nil"/>
              <w:bottom w:val="nil"/>
              <w:right w:val="nil"/>
            </w:tcBorders>
            <w:shd w:val="clear" w:color="auto" w:fill="auto"/>
            <w:noWrap/>
            <w:vAlign w:val="center"/>
            <w:hideMark/>
          </w:tcPr>
          <w:p w14:paraId="5ADC2A71" w14:textId="77777777" w:rsidR="00A44C25" w:rsidRPr="0046181A" w:rsidRDefault="00A44C25" w:rsidP="00A44C2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55-64</w:t>
            </w:r>
          </w:p>
        </w:tc>
        <w:tc>
          <w:tcPr>
            <w:tcW w:w="2111" w:type="dxa"/>
            <w:tcBorders>
              <w:top w:val="nil"/>
              <w:left w:val="nil"/>
              <w:bottom w:val="nil"/>
              <w:right w:val="nil"/>
            </w:tcBorders>
            <w:shd w:val="clear" w:color="auto" w:fill="auto"/>
            <w:noWrap/>
            <w:hideMark/>
          </w:tcPr>
          <w:p w14:paraId="4B551634" w14:textId="0A432BF9" w:rsidR="00A44C25" w:rsidRPr="0046181A" w:rsidRDefault="00A44C25" w:rsidP="00A44C25">
            <w:pPr>
              <w:spacing w:after="0" w:line="240" w:lineRule="auto"/>
              <w:jc w:val="right"/>
              <w:rPr>
                <w:rFonts w:ascii="Arial" w:eastAsia="Times New Roman" w:hAnsi="Arial" w:cs="Arial"/>
                <w:color w:val="39414D"/>
                <w:sz w:val="16"/>
                <w:szCs w:val="16"/>
              </w:rPr>
            </w:pPr>
            <w:r w:rsidRPr="00A75C91">
              <w:rPr>
                <w:rFonts w:ascii="Arial" w:eastAsia="Times New Roman" w:hAnsi="Arial" w:cs="Arial"/>
                <w:color w:val="39414D"/>
                <w:sz w:val="16"/>
                <w:szCs w:val="16"/>
              </w:rPr>
              <w:t>0.0%</w:t>
            </w:r>
          </w:p>
        </w:tc>
        <w:tc>
          <w:tcPr>
            <w:tcW w:w="2111" w:type="dxa"/>
            <w:tcBorders>
              <w:top w:val="nil"/>
              <w:left w:val="nil"/>
              <w:bottom w:val="nil"/>
              <w:right w:val="nil"/>
            </w:tcBorders>
            <w:shd w:val="clear" w:color="auto" w:fill="auto"/>
            <w:noWrap/>
            <w:vAlign w:val="center"/>
            <w:hideMark/>
          </w:tcPr>
          <w:p w14:paraId="1A41AAF9" w14:textId="77777777" w:rsidR="00A44C25" w:rsidRPr="0046181A" w:rsidRDefault="00A44C25" w:rsidP="00A44C25">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2.9% </w:t>
            </w:r>
          </w:p>
        </w:tc>
      </w:tr>
      <w:tr w:rsidR="00A44C25" w:rsidRPr="00182C0D" w14:paraId="11ABAFEA" w14:textId="77777777" w:rsidTr="0046181A">
        <w:trPr>
          <w:trHeight w:val="240"/>
        </w:trPr>
        <w:tc>
          <w:tcPr>
            <w:tcW w:w="2250" w:type="dxa"/>
            <w:tcBorders>
              <w:top w:val="nil"/>
              <w:left w:val="nil"/>
              <w:bottom w:val="nil"/>
              <w:right w:val="nil"/>
            </w:tcBorders>
            <w:shd w:val="clear" w:color="000000" w:fill="E8E9E9"/>
            <w:noWrap/>
            <w:vAlign w:val="center"/>
            <w:hideMark/>
          </w:tcPr>
          <w:p w14:paraId="5B47E0AB" w14:textId="77777777" w:rsidR="00A44C25" w:rsidRPr="0046181A" w:rsidRDefault="00A44C25" w:rsidP="00A44C2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65+</w:t>
            </w:r>
          </w:p>
        </w:tc>
        <w:tc>
          <w:tcPr>
            <w:tcW w:w="2111" w:type="dxa"/>
            <w:tcBorders>
              <w:top w:val="nil"/>
              <w:left w:val="nil"/>
              <w:bottom w:val="nil"/>
              <w:right w:val="nil"/>
            </w:tcBorders>
            <w:shd w:val="clear" w:color="000000" w:fill="E8E9E9"/>
            <w:noWrap/>
            <w:hideMark/>
          </w:tcPr>
          <w:p w14:paraId="6F82F78E" w14:textId="4DFAB178" w:rsidR="00A44C25" w:rsidRPr="0046181A" w:rsidRDefault="00A44C25" w:rsidP="00A44C25">
            <w:pPr>
              <w:spacing w:after="0" w:line="240" w:lineRule="auto"/>
              <w:jc w:val="right"/>
              <w:rPr>
                <w:rFonts w:ascii="Arial" w:eastAsia="Times New Roman" w:hAnsi="Arial" w:cs="Arial"/>
                <w:color w:val="39414D"/>
                <w:sz w:val="16"/>
                <w:szCs w:val="16"/>
              </w:rPr>
            </w:pPr>
            <w:r w:rsidRPr="00A75C91">
              <w:rPr>
                <w:rFonts w:ascii="Arial" w:eastAsia="Times New Roman" w:hAnsi="Arial" w:cs="Arial"/>
                <w:color w:val="39414D"/>
                <w:sz w:val="16"/>
                <w:szCs w:val="16"/>
              </w:rPr>
              <w:t>0.0%</w:t>
            </w:r>
          </w:p>
        </w:tc>
        <w:tc>
          <w:tcPr>
            <w:tcW w:w="2111" w:type="dxa"/>
            <w:tcBorders>
              <w:top w:val="nil"/>
              <w:left w:val="nil"/>
              <w:bottom w:val="nil"/>
              <w:right w:val="nil"/>
            </w:tcBorders>
            <w:shd w:val="clear" w:color="000000" w:fill="E8E9E9"/>
            <w:noWrap/>
            <w:vAlign w:val="center"/>
            <w:hideMark/>
          </w:tcPr>
          <w:p w14:paraId="0E5FF0F5" w14:textId="77777777" w:rsidR="00A44C25" w:rsidRPr="0046181A" w:rsidRDefault="00A44C25" w:rsidP="00A44C25">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2.9% </w:t>
            </w:r>
          </w:p>
        </w:tc>
      </w:tr>
      <w:tr w:rsidR="00A44C25" w:rsidRPr="00182C0D" w14:paraId="15259CA8" w14:textId="77777777" w:rsidTr="0046181A">
        <w:trPr>
          <w:trHeight w:val="240"/>
        </w:trPr>
        <w:tc>
          <w:tcPr>
            <w:tcW w:w="2250" w:type="dxa"/>
            <w:tcBorders>
              <w:top w:val="nil"/>
              <w:left w:val="nil"/>
              <w:bottom w:val="nil"/>
              <w:right w:val="nil"/>
            </w:tcBorders>
            <w:shd w:val="clear" w:color="auto" w:fill="auto"/>
            <w:noWrap/>
            <w:vAlign w:val="center"/>
            <w:hideMark/>
          </w:tcPr>
          <w:p w14:paraId="02884D5F" w14:textId="77777777" w:rsidR="00A44C25" w:rsidRPr="0046181A" w:rsidRDefault="00A44C25" w:rsidP="00A44C2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Non-Duals</w:t>
            </w:r>
          </w:p>
        </w:tc>
        <w:tc>
          <w:tcPr>
            <w:tcW w:w="2111" w:type="dxa"/>
            <w:tcBorders>
              <w:top w:val="nil"/>
              <w:left w:val="nil"/>
              <w:bottom w:val="nil"/>
              <w:right w:val="nil"/>
            </w:tcBorders>
            <w:shd w:val="clear" w:color="auto" w:fill="auto"/>
            <w:noWrap/>
            <w:hideMark/>
          </w:tcPr>
          <w:p w14:paraId="420CF32E" w14:textId="25772369" w:rsidR="00A44C25" w:rsidRPr="0046181A" w:rsidRDefault="00A44C25" w:rsidP="00A44C25">
            <w:pPr>
              <w:spacing w:after="0" w:line="240" w:lineRule="auto"/>
              <w:jc w:val="right"/>
              <w:rPr>
                <w:rFonts w:ascii="Arial" w:eastAsia="Times New Roman" w:hAnsi="Arial" w:cs="Arial"/>
                <w:color w:val="39414D"/>
                <w:sz w:val="16"/>
                <w:szCs w:val="16"/>
              </w:rPr>
            </w:pPr>
            <w:r w:rsidRPr="00A75C91">
              <w:rPr>
                <w:rFonts w:ascii="Arial" w:eastAsia="Times New Roman" w:hAnsi="Arial" w:cs="Arial"/>
                <w:color w:val="39414D"/>
                <w:sz w:val="16"/>
                <w:szCs w:val="16"/>
              </w:rPr>
              <w:t>0.0%</w:t>
            </w:r>
          </w:p>
        </w:tc>
        <w:tc>
          <w:tcPr>
            <w:tcW w:w="2111" w:type="dxa"/>
            <w:tcBorders>
              <w:top w:val="nil"/>
              <w:left w:val="nil"/>
              <w:bottom w:val="nil"/>
              <w:right w:val="nil"/>
            </w:tcBorders>
            <w:shd w:val="clear" w:color="auto" w:fill="auto"/>
            <w:noWrap/>
            <w:vAlign w:val="center"/>
            <w:hideMark/>
          </w:tcPr>
          <w:p w14:paraId="05D9F200" w14:textId="77777777" w:rsidR="00A44C25" w:rsidRPr="0046181A" w:rsidRDefault="00A44C25" w:rsidP="00A44C25">
            <w:pPr>
              <w:spacing w:after="0" w:line="240" w:lineRule="auto"/>
              <w:jc w:val="right"/>
              <w:rPr>
                <w:rFonts w:ascii="Arial" w:eastAsia="Times New Roman" w:hAnsi="Arial" w:cs="Arial"/>
                <w:color w:val="39414D"/>
                <w:sz w:val="16"/>
                <w:szCs w:val="16"/>
              </w:rPr>
            </w:pPr>
            <w:r w:rsidRPr="0046181A">
              <w:rPr>
                <w:rFonts w:ascii="Arial" w:eastAsia="Times New Roman" w:hAnsi="Arial" w:cs="Arial"/>
                <w:color w:val="39414D"/>
                <w:sz w:val="16"/>
                <w:szCs w:val="16"/>
              </w:rPr>
              <w:t xml:space="preserve">2.9% </w:t>
            </w:r>
          </w:p>
        </w:tc>
      </w:tr>
      <w:tr w:rsidR="00182C0D" w:rsidRPr="00182C0D" w14:paraId="19BCB43E" w14:textId="77777777" w:rsidTr="0046181A">
        <w:trPr>
          <w:trHeight w:val="240"/>
        </w:trPr>
        <w:tc>
          <w:tcPr>
            <w:tcW w:w="2250" w:type="dxa"/>
            <w:tcBorders>
              <w:top w:val="nil"/>
              <w:left w:val="nil"/>
              <w:bottom w:val="nil"/>
              <w:right w:val="nil"/>
            </w:tcBorders>
            <w:shd w:val="clear" w:color="000000" w:fill="E8E9E9"/>
            <w:noWrap/>
            <w:vAlign w:val="center"/>
            <w:hideMark/>
          </w:tcPr>
          <w:p w14:paraId="5EF7846A" w14:textId="77777777" w:rsidR="00182C0D" w:rsidRPr="0046181A" w:rsidRDefault="00182C0D" w:rsidP="00182C0D">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RHP Non-Duals</w:t>
            </w:r>
          </w:p>
        </w:tc>
        <w:tc>
          <w:tcPr>
            <w:tcW w:w="2111" w:type="dxa"/>
            <w:tcBorders>
              <w:top w:val="nil"/>
              <w:left w:val="nil"/>
              <w:bottom w:val="nil"/>
              <w:right w:val="nil"/>
            </w:tcBorders>
            <w:shd w:val="clear" w:color="000000" w:fill="E8E9E9"/>
            <w:noWrap/>
            <w:vAlign w:val="center"/>
            <w:hideMark/>
          </w:tcPr>
          <w:p w14:paraId="589FB6DD" w14:textId="66962C50" w:rsidR="00182C0D" w:rsidRPr="0046181A" w:rsidRDefault="00A44C25" w:rsidP="00182C0D">
            <w:pPr>
              <w:spacing w:after="0" w:line="240" w:lineRule="auto"/>
              <w:jc w:val="right"/>
              <w:rPr>
                <w:rFonts w:ascii="Arial" w:eastAsia="Times New Roman" w:hAnsi="Arial" w:cs="Arial"/>
                <w:color w:val="39414D"/>
                <w:sz w:val="16"/>
                <w:szCs w:val="16"/>
              </w:rPr>
            </w:pPr>
            <w:r>
              <w:rPr>
                <w:rFonts w:ascii="Arial" w:eastAsia="Times New Roman" w:hAnsi="Arial" w:cs="Arial"/>
                <w:color w:val="39414D"/>
                <w:sz w:val="16"/>
                <w:szCs w:val="16"/>
              </w:rPr>
              <w:t>0.0%</w:t>
            </w:r>
          </w:p>
        </w:tc>
        <w:tc>
          <w:tcPr>
            <w:tcW w:w="2111" w:type="dxa"/>
            <w:tcBorders>
              <w:top w:val="nil"/>
              <w:left w:val="nil"/>
              <w:bottom w:val="nil"/>
              <w:right w:val="nil"/>
            </w:tcBorders>
            <w:shd w:val="clear" w:color="000000" w:fill="E8E9E9"/>
            <w:noWrap/>
            <w:vAlign w:val="center"/>
            <w:hideMark/>
          </w:tcPr>
          <w:p w14:paraId="02372CC2" w14:textId="6EF2A379" w:rsidR="00182C0D" w:rsidRPr="0046181A" w:rsidRDefault="00A44C25" w:rsidP="00182C0D">
            <w:pPr>
              <w:spacing w:after="0" w:line="240" w:lineRule="auto"/>
              <w:jc w:val="right"/>
              <w:rPr>
                <w:rFonts w:ascii="Arial" w:eastAsia="Times New Roman" w:hAnsi="Arial" w:cs="Arial"/>
                <w:color w:val="39414D"/>
                <w:sz w:val="16"/>
                <w:szCs w:val="16"/>
              </w:rPr>
            </w:pPr>
            <w:r w:rsidRPr="003326B3">
              <w:rPr>
                <w:rFonts w:ascii="Arial" w:eastAsia="Times New Roman" w:hAnsi="Arial" w:cs="Arial"/>
                <w:color w:val="39414D"/>
                <w:sz w:val="16"/>
                <w:szCs w:val="16"/>
              </w:rPr>
              <w:t>N/A</w:t>
            </w:r>
            <w:r w:rsidR="00182C0D" w:rsidRPr="0046181A">
              <w:rPr>
                <w:rFonts w:ascii="Arial" w:eastAsia="Times New Roman" w:hAnsi="Arial" w:cs="Arial"/>
                <w:color w:val="39414D"/>
                <w:sz w:val="16"/>
                <w:szCs w:val="16"/>
              </w:rPr>
              <w:t> </w:t>
            </w:r>
          </w:p>
        </w:tc>
      </w:tr>
      <w:tr w:rsidR="00353C89" w:rsidRPr="00182C0D" w14:paraId="2F71BAAE" w14:textId="77777777" w:rsidTr="00C95EB0">
        <w:trPr>
          <w:trHeight w:val="240"/>
        </w:trPr>
        <w:tc>
          <w:tcPr>
            <w:tcW w:w="6472" w:type="dxa"/>
            <w:gridSpan w:val="3"/>
            <w:tcBorders>
              <w:top w:val="nil"/>
              <w:left w:val="nil"/>
              <w:bottom w:val="nil"/>
              <w:right w:val="nil"/>
            </w:tcBorders>
            <w:shd w:val="clear" w:color="auto" w:fill="auto"/>
            <w:noWrap/>
            <w:vAlign w:val="center"/>
            <w:hideMark/>
          </w:tcPr>
          <w:p w14:paraId="4264C8A2" w14:textId="77777777" w:rsidR="00353C89" w:rsidRPr="0046181A" w:rsidRDefault="00353C89" w:rsidP="00182C0D">
            <w:pPr>
              <w:spacing w:after="0" w:line="240" w:lineRule="auto"/>
              <w:rPr>
                <w:rFonts w:ascii="Times New Roman" w:eastAsia="Times New Roman" w:hAnsi="Times New Roman" w:cs="Times New Roman"/>
                <w:sz w:val="16"/>
                <w:szCs w:val="16"/>
              </w:rPr>
            </w:pPr>
          </w:p>
        </w:tc>
      </w:tr>
      <w:tr w:rsidR="00182C0D" w:rsidRPr="00182C0D" w14:paraId="7554D923" w14:textId="77777777" w:rsidTr="003B7A88">
        <w:trPr>
          <w:trHeight w:val="60"/>
        </w:trPr>
        <w:tc>
          <w:tcPr>
            <w:tcW w:w="2250" w:type="dxa"/>
            <w:tcBorders>
              <w:top w:val="nil"/>
              <w:left w:val="nil"/>
              <w:bottom w:val="nil"/>
              <w:right w:val="nil"/>
            </w:tcBorders>
            <w:shd w:val="clear" w:color="auto" w:fill="auto"/>
            <w:noWrap/>
            <w:vAlign w:val="center"/>
            <w:hideMark/>
          </w:tcPr>
          <w:p w14:paraId="39137828" w14:textId="77777777" w:rsidR="00182C0D" w:rsidRPr="0046181A" w:rsidRDefault="00182C0D" w:rsidP="00182C0D">
            <w:pPr>
              <w:spacing w:after="0" w:line="240" w:lineRule="auto"/>
              <w:rPr>
                <w:rFonts w:ascii="Times New Roman" w:eastAsia="Times New Roman" w:hAnsi="Times New Roman" w:cs="Times New Roman"/>
                <w:sz w:val="16"/>
                <w:szCs w:val="16"/>
              </w:rPr>
            </w:pPr>
          </w:p>
        </w:tc>
        <w:tc>
          <w:tcPr>
            <w:tcW w:w="4222" w:type="dxa"/>
            <w:gridSpan w:val="2"/>
            <w:tcBorders>
              <w:top w:val="nil"/>
              <w:left w:val="nil"/>
              <w:bottom w:val="nil"/>
              <w:right w:val="nil"/>
            </w:tcBorders>
            <w:shd w:val="clear" w:color="auto" w:fill="auto"/>
            <w:vAlign w:val="center"/>
            <w:hideMark/>
          </w:tcPr>
          <w:p w14:paraId="3AF5734B" w14:textId="2A2EE99B"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HCBS and Case Management Acuity Impact</w:t>
            </w:r>
          </w:p>
        </w:tc>
      </w:tr>
      <w:tr w:rsidR="00182C0D" w:rsidRPr="00182C0D" w14:paraId="3840F24E" w14:textId="77777777" w:rsidTr="003B7A88">
        <w:trPr>
          <w:trHeight w:val="423"/>
        </w:trPr>
        <w:tc>
          <w:tcPr>
            <w:tcW w:w="2250" w:type="dxa"/>
            <w:tcBorders>
              <w:top w:val="nil"/>
              <w:left w:val="nil"/>
              <w:bottom w:val="single" w:sz="8" w:space="0" w:color="C6C9CA"/>
              <w:right w:val="nil"/>
            </w:tcBorders>
            <w:shd w:val="clear" w:color="auto" w:fill="auto"/>
            <w:noWrap/>
            <w:vAlign w:val="center"/>
            <w:hideMark/>
          </w:tcPr>
          <w:p w14:paraId="531B0C33" w14:textId="77777777" w:rsidR="00182C0D" w:rsidRPr="0046181A" w:rsidRDefault="00182C0D" w:rsidP="00182C0D">
            <w:pPr>
              <w:spacing w:after="0" w:line="240" w:lineRule="auto"/>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PACE Rate Cell</w:t>
            </w:r>
          </w:p>
        </w:tc>
        <w:tc>
          <w:tcPr>
            <w:tcW w:w="2111" w:type="dxa"/>
            <w:tcBorders>
              <w:top w:val="nil"/>
              <w:left w:val="nil"/>
              <w:bottom w:val="single" w:sz="8" w:space="0" w:color="C6C9CA"/>
              <w:right w:val="nil"/>
            </w:tcBorders>
            <w:shd w:val="clear" w:color="auto" w:fill="auto"/>
            <w:vAlign w:val="center"/>
            <w:hideMark/>
          </w:tcPr>
          <w:p w14:paraId="4FAFDD5D" w14:textId="77777777"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HCBS Rate Cell</w:t>
            </w:r>
          </w:p>
        </w:tc>
        <w:tc>
          <w:tcPr>
            <w:tcW w:w="2111" w:type="dxa"/>
            <w:tcBorders>
              <w:top w:val="nil"/>
              <w:left w:val="nil"/>
              <w:bottom w:val="single" w:sz="8" w:space="0" w:color="C6C9CA"/>
              <w:right w:val="nil"/>
            </w:tcBorders>
            <w:shd w:val="clear" w:color="auto" w:fill="auto"/>
            <w:vAlign w:val="center"/>
            <w:hideMark/>
          </w:tcPr>
          <w:p w14:paraId="28CC14A6" w14:textId="77777777" w:rsidR="00182C0D" w:rsidRPr="0046181A" w:rsidRDefault="00182C0D" w:rsidP="00182C0D">
            <w:pPr>
              <w:spacing w:after="0" w:line="240" w:lineRule="auto"/>
              <w:jc w:val="center"/>
              <w:rPr>
                <w:rFonts w:ascii="Arial" w:eastAsia="Times New Roman" w:hAnsi="Arial" w:cs="Arial"/>
                <w:b/>
                <w:bCs/>
                <w:color w:val="39414D"/>
                <w:sz w:val="16"/>
                <w:szCs w:val="16"/>
              </w:rPr>
            </w:pPr>
            <w:r w:rsidRPr="0046181A">
              <w:rPr>
                <w:rFonts w:ascii="Arial" w:eastAsia="Times New Roman" w:hAnsi="Arial" w:cs="Arial"/>
                <w:b/>
                <w:bCs/>
                <w:color w:val="39414D"/>
                <w:sz w:val="16"/>
                <w:szCs w:val="16"/>
              </w:rPr>
              <w:t>Nursing Home Rate Cell</w:t>
            </w:r>
          </w:p>
        </w:tc>
      </w:tr>
      <w:tr w:rsidR="00B54EA5" w:rsidRPr="00182C0D" w14:paraId="6B7FC19A" w14:textId="77777777" w:rsidTr="003B7A88">
        <w:trPr>
          <w:trHeight w:val="240"/>
        </w:trPr>
        <w:tc>
          <w:tcPr>
            <w:tcW w:w="2250" w:type="dxa"/>
            <w:tcBorders>
              <w:top w:val="nil"/>
              <w:left w:val="nil"/>
              <w:bottom w:val="nil"/>
              <w:right w:val="nil"/>
            </w:tcBorders>
            <w:shd w:val="clear" w:color="auto" w:fill="auto"/>
            <w:noWrap/>
            <w:vAlign w:val="center"/>
            <w:hideMark/>
          </w:tcPr>
          <w:p w14:paraId="2E9C778C" w14:textId="77777777" w:rsidR="00B54EA5" w:rsidRPr="0046181A" w:rsidRDefault="00B54EA5" w:rsidP="00B54EA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55-64</w:t>
            </w:r>
          </w:p>
        </w:tc>
        <w:tc>
          <w:tcPr>
            <w:tcW w:w="2111" w:type="dxa"/>
            <w:tcBorders>
              <w:top w:val="nil"/>
              <w:left w:val="nil"/>
              <w:bottom w:val="nil"/>
              <w:right w:val="nil"/>
            </w:tcBorders>
            <w:shd w:val="clear" w:color="auto" w:fill="auto"/>
            <w:noWrap/>
            <w:vAlign w:val="center"/>
            <w:hideMark/>
          </w:tcPr>
          <w:p w14:paraId="43A30E33" w14:textId="79660FDF"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0.2% </w:t>
            </w:r>
          </w:p>
        </w:tc>
        <w:tc>
          <w:tcPr>
            <w:tcW w:w="2111" w:type="dxa"/>
            <w:tcBorders>
              <w:top w:val="nil"/>
              <w:left w:val="nil"/>
              <w:bottom w:val="nil"/>
              <w:right w:val="nil"/>
            </w:tcBorders>
            <w:shd w:val="clear" w:color="auto" w:fill="auto"/>
            <w:noWrap/>
            <w:vAlign w:val="center"/>
            <w:hideMark/>
          </w:tcPr>
          <w:p w14:paraId="61649A49" w14:textId="5B7BE003"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r>
      <w:tr w:rsidR="00B54EA5" w:rsidRPr="00182C0D" w14:paraId="71E0FDA2" w14:textId="77777777" w:rsidTr="003B7A88">
        <w:trPr>
          <w:trHeight w:val="240"/>
        </w:trPr>
        <w:tc>
          <w:tcPr>
            <w:tcW w:w="2250" w:type="dxa"/>
            <w:tcBorders>
              <w:top w:val="nil"/>
              <w:left w:val="nil"/>
              <w:bottom w:val="nil"/>
              <w:right w:val="nil"/>
            </w:tcBorders>
            <w:shd w:val="clear" w:color="000000" w:fill="E8E9E9"/>
            <w:noWrap/>
            <w:vAlign w:val="center"/>
            <w:hideMark/>
          </w:tcPr>
          <w:p w14:paraId="1F331E0B" w14:textId="77777777" w:rsidR="00B54EA5" w:rsidRPr="0046181A" w:rsidRDefault="00B54EA5" w:rsidP="00B54EA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Duals 65+</w:t>
            </w:r>
          </w:p>
        </w:tc>
        <w:tc>
          <w:tcPr>
            <w:tcW w:w="2111" w:type="dxa"/>
            <w:tcBorders>
              <w:top w:val="nil"/>
              <w:left w:val="nil"/>
              <w:bottom w:val="nil"/>
              <w:right w:val="nil"/>
            </w:tcBorders>
            <w:shd w:val="clear" w:color="000000" w:fill="E8E9E9"/>
            <w:noWrap/>
            <w:vAlign w:val="center"/>
            <w:hideMark/>
          </w:tcPr>
          <w:p w14:paraId="07145175" w14:textId="3A4DB2A0"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2.8% </w:t>
            </w:r>
          </w:p>
        </w:tc>
        <w:tc>
          <w:tcPr>
            <w:tcW w:w="2111" w:type="dxa"/>
            <w:tcBorders>
              <w:top w:val="nil"/>
              <w:left w:val="nil"/>
              <w:bottom w:val="nil"/>
              <w:right w:val="nil"/>
            </w:tcBorders>
            <w:shd w:val="clear" w:color="000000" w:fill="E8E9E9"/>
            <w:noWrap/>
            <w:vAlign w:val="center"/>
            <w:hideMark/>
          </w:tcPr>
          <w:p w14:paraId="3185B798" w14:textId="51CA6E4E"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r>
      <w:tr w:rsidR="00B54EA5" w:rsidRPr="00182C0D" w14:paraId="19B0B022" w14:textId="77777777" w:rsidTr="003B7A88">
        <w:trPr>
          <w:trHeight w:val="240"/>
        </w:trPr>
        <w:tc>
          <w:tcPr>
            <w:tcW w:w="2250" w:type="dxa"/>
            <w:tcBorders>
              <w:top w:val="nil"/>
              <w:left w:val="nil"/>
              <w:bottom w:val="nil"/>
              <w:right w:val="nil"/>
            </w:tcBorders>
            <w:shd w:val="clear" w:color="auto" w:fill="auto"/>
            <w:noWrap/>
            <w:vAlign w:val="center"/>
            <w:hideMark/>
          </w:tcPr>
          <w:p w14:paraId="5F6F31A0" w14:textId="77777777" w:rsidR="00B54EA5" w:rsidRPr="0046181A" w:rsidRDefault="00B54EA5" w:rsidP="00B54EA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Non-Duals</w:t>
            </w:r>
          </w:p>
        </w:tc>
        <w:tc>
          <w:tcPr>
            <w:tcW w:w="2111" w:type="dxa"/>
            <w:tcBorders>
              <w:top w:val="nil"/>
              <w:left w:val="nil"/>
              <w:bottom w:val="nil"/>
              <w:right w:val="nil"/>
            </w:tcBorders>
            <w:shd w:val="clear" w:color="auto" w:fill="auto"/>
            <w:noWrap/>
            <w:vAlign w:val="center"/>
            <w:hideMark/>
          </w:tcPr>
          <w:p w14:paraId="47CFB80B" w14:textId="5DF6796E"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2.2% </w:t>
            </w:r>
          </w:p>
        </w:tc>
        <w:tc>
          <w:tcPr>
            <w:tcW w:w="2111" w:type="dxa"/>
            <w:tcBorders>
              <w:top w:val="nil"/>
              <w:left w:val="nil"/>
              <w:bottom w:val="nil"/>
              <w:right w:val="nil"/>
            </w:tcBorders>
            <w:shd w:val="clear" w:color="auto" w:fill="auto"/>
            <w:noWrap/>
            <w:vAlign w:val="center"/>
            <w:hideMark/>
          </w:tcPr>
          <w:p w14:paraId="06D44D93" w14:textId="539D5BA8"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r>
      <w:tr w:rsidR="00B54EA5" w:rsidRPr="00182C0D" w14:paraId="6B2C9FF0" w14:textId="77777777" w:rsidTr="0046181A">
        <w:trPr>
          <w:trHeight w:val="240"/>
        </w:trPr>
        <w:tc>
          <w:tcPr>
            <w:tcW w:w="2250" w:type="dxa"/>
            <w:tcBorders>
              <w:top w:val="nil"/>
              <w:left w:val="nil"/>
              <w:bottom w:val="nil"/>
              <w:right w:val="nil"/>
            </w:tcBorders>
            <w:shd w:val="clear" w:color="000000" w:fill="E8E9E9"/>
            <w:noWrap/>
            <w:vAlign w:val="center"/>
            <w:hideMark/>
          </w:tcPr>
          <w:p w14:paraId="2A61D6E1" w14:textId="77777777" w:rsidR="00B54EA5" w:rsidRPr="0046181A" w:rsidRDefault="00B54EA5" w:rsidP="00B54EA5">
            <w:pPr>
              <w:spacing w:after="0" w:line="240" w:lineRule="auto"/>
              <w:rPr>
                <w:rFonts w:ascii="Arial" w:eastAsia="Times New Roman" w:hAnsi="Arial" w:cs="Arial"/>
                <w:color w:val="39414D"/>
                <w:sz w:val="16"/>
                <w:szCs w:val="16"/>
              </w:rPr>
            </w:pPr>
            <w:r w:rsidRPr="0046181A">
              <w:rPr>
                <w:rFonts w:ascii="Arial" w:eastAsia="Times New Roman" w:hAnsi="Arial" w:cs="Arial"/>
                <w:color w:val="39414D"/>
                <w:sz w:val="16"/>
                <w:szCs w:val="16"/>
              </w:rPr>
              <w:t>RHP Non-Duals</w:t>
            </w:r>
          </w:p>
        </w:tc>
        <w:tc>
          <w:tcPr>
            <w:tcW w:w="2111" w:type="dxa"/>
            <w:tcBorders>
              <w:top w:val="nil"/>
              <w:left w:val="nil"/>
              <w:bottom w:val="nil"/>
              <w:right w:val="nil"/>
            </w:tcBorders>
            <w:shd w:val="clear" w:color="000000" w:fill="E8E9E9"/>
            <w:noWrap/>
            <w:vAlign w:val="center"/>
            <w:hideMark/>
          </w:tcPr>
          <w:p w14:paraId="067D3701" w14:textId="56D22F0C"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2.2% </w:t>
            </w:r>
          </w:p>
        </w:tc>
        <w:tc>
          <w:tcPr>
            <w:tcW w:w="2111" w:type="dxa"/>
            <w:tcBorders>
              <w:top w:val="nil"/>
              <w:left w:val="nil"/>
              <w:bottom w:val="nil"/>
              <w:right w:val="nil"/>
            </w:tcBorders>
            <w:shd w:val="clear" w:color="000000" w:fill="E8E9E9"/>
            <w:noWrap/>
            <w:vAlign w:val="center"/>
            <w:hideMark/>
          </w:tcPr>
          <w:p w14:paraId="0CB3DCDC" w14:textId="5863B23B" w:rsidR="00B54EA5" w:rsidRPr="00B54EA5" w:rsidRDefault="00B54EA5" w:rsidP="00B54EA5">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N/A</w:t>
            </w:r>
          </w:p>
        </w:tc>
      </w:tr>
    </w:tbl>
    <w:p w14:paraId="1F21AE44" w14:textId="77777777" w:rsidR="00182C0D" w:rsidRDefault="00182C0D" w:rsidP="00764FB8">
      <w:pPr>
        <w:pStyle w:val="RRBullet1"/>
        <w:spacing w:after="0"/>
        <w:rPr>
          <w:rFonts w:ascii="Arial" w:eastAsia="Times New Roman" w:hAnsi="Arial" w:cs="Arial"/>
          <w:color w:val="727A7D"/>
          <w:sz w:val="16"/>
          <w:szCs w:val="16"/>
        </w:rPr>
      </w:pPr>
    </w:p>
    <w:p w14:paraId="798AB45E" w14:textId="77777777" w:rsidR="00A60275" w:rsidRDefault="00764FB8" w:rsidP="00764FB8">
      <w:pPr>
        <w:pStyle w:val="RRBullet1"/>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sidR="00A60275">
        <w:rPr>
          <w:rFonts w:ascii="Arial" w:eastAsia="Times New Roman" w:hAnsi="Arial" w:cs="Arial"/>
          <w:color w:val="727A7D"/>
          <w:sz w:val="16"/>
          <w:szCs w:val="16"/>
        </w:rPr>
        <w:t>s</w:t>
      </w:r>
      <w:r w:rsidRPr="006B42A9">
        <w:rPr>
          <w:rFonts w:ascii="Arial" w:eastAsia="Times New Roman" w:hAnsi="Arial" w:cs="Arial"/>
          <w:color w:val="727A7D"/>
          <w:sz w:val="16"/>
          <w:szCs w:val="16"/>
        </w:rPr>
        <w:t>:</w:t>
      </w:r>
      <w:r>
        <w:rPr>
          <w:rFonts w:ascii="Arial" w:eastAsia="Times New Roman" w:hAnsi="Arial" w:cs="Arial"/>
          <w:color w:val="727A7D"/>
          <w:sz w:val="16"/>
          <w:szCs w:val="16"/>
        </w:rPr>
        <w:t xml:space="preserve"> </w:t>
      </w:r>
    </w:p>
    <w:p w14:paraId="1000786E" w14:textId="4F38B6FE" w:rsidR="00764FB8" w:rsidRDefault="00764FB8" w:rsidP="008405A2">
      <w:pPr>
        <w:pStyle w:val="RRBullet1"/>
        <w:numPr>
          <w:ilvl w:val="0"/>
          <w:numId w:val="20"/>
        </w:numPr>
        <w:spacing w:after="0"/>
        <w:rPr>
          <w:rFonts w:ascii="Arial" w:eastAsia="Times New Roman" w:hAnsi="Arial" w:cs="Arial"/>
          <w:color w:val="727A7D"/>
          <w:sz w:val="16"/>
          <w:szCs w:val="16"/>
        </w:rPr>
      </w:pPr>
      <w:r>
        <w:rPr>
          <w:rFonts w:ascii="Arial" w:eastAsia="Times New Roman" w:hAnsi="Arial" w:cs="Arial"/>
          <w:color w:val="727A7D"/>
          <w:sz w:val="16"/>
          <w:szCs w:val="16"/>
        </w:rPr>
        <w:t>Percentage illustrated represents the percent impact to the affected service categories.</w:t>
      </w:r>
    </w:p>
    <w:p w14:paraId="0D27A1B5" w14:textId="1A7D52A4" w:rsidR="00A60275" w:rsidRPr="006B42A9" w:rsidRDefault="00A60275" w:rsidP="008405A2">
      <w:pPr>
        <w:pStyle w:val="RRBullet1"/>
        <w:numPr>
          <w:ilvl w:val="0"/>
          <w:numId w:val="20"/>
        </w:numPr>
        <w:spacing w:after="0"/>
        <w:rPr>
          <w:rFonts w:ascii="Arial" w:eastAsia="Times New Roman" w:hAnsi="Arial" w:cs="Arial"/>
          <w:color w:val="727A7D"/>
          <w:sz w:val="16"/>
          <w:szCs w:val="16"/>
        </w:rPr>
      </w:pPr>
      <w:r>
        <w:rPr>
          <w:rFonts w:ascii="Arial" w:eastAsia="Times New Roman" w:hAnsi="Arial" w:cs="Arial"/>
          <w:color w:val="727A7D"/>
          <w:sz w:val="16"/>
          <w:szCs w:val="16"/>
        </w:rPr>
        <w:t>Values have been rounded</w:t>
      </w:r>
    </w:p>
    <w:p w14:paraId="3F53F200" w14:textId="7EA20982" w:rsidR="0091244C" w:rsidRPr="00C60385" w:rsidRDefault="0080228A" w:rsidP="008405A2">
      <w:pPr>
        <w:pStyle w:val="RRNumberedBullet1"/>
        <w:numPr>
          <w:ilvl w:val="0"/>
          <w:numId w:val="15"/>
        </w:numPr>
        <w:spacing w:before="120" w:after="0"/>
        <w:jc w:val="left"/>
      </w:pPr>
      <w:r>
        <w:rPr>
          <w:b/>
        </w:rPr>
        <w:t xml:space="preserve">Nursing </w:t>
      </w:r>
      <w:r w:rsidR="00981DEA" w:rsidRPr="00981DEA">
        <w:rPr>
          <w:b/>
        </w:rPr>
        <w:t>Home</w:t>
      </w:r>
      <w:r w:rsidR="00F0369A">
        <w:rPr>
          <w:b/>
        </w:rPr>
        <w:t xml:space="preserve"> Acuity Adjustment</w:t>
      </w:r>
      <w:r w:rsidR="00981DEA" w:rsidRPr="00981DEA">
        <w:rPr>
          <w:b/>
        </w:rPr>
        <w:t xml:space="preserve">: </w:t>
      </w:r>
      <w:r w:rsidR="003C5960">
        <w:rPr>
          <w:bCs/>
        </w:rPr>
        <w:t>The nursing home acuity adjustment</w:t>
      </w:r>
      <w:r w:rsidR="006D219F">
        <w:rPr>
          <w:bCs/>
        </w:rPr>
        <w:t xml:space="preserve"> r</w:t>
      </w:r>
      <w:r w:rsidR="006D219F" w:rsidRPr="008645E0">
        <w:rPr>
          <w:bCs/>
        </w:rPr>
        <w:t>eflect</w:t>
      </w:r>
      <w:r w:rsidR="003C5960">
        <w:rPr>
          <w:bCs/>
        </w:rPr>
        <w:t>s</w:t>
      </w:r>
      <w:r w:rsidR="006D219F" w:rsidRPr="008645E0">
        <w:rPr>
          <w:bCs/>
        </w:rPr>
        <w:t xml:space="preserve"> the </w:t>
      </w:r>
      <w:r w:rsidR="00B93549">
        <w:rPr>
          <w:bCs/>
        </w:rPr>
        <w:t xml:space="preserve">estimated </w:t>
      </w:r>
      <w:r w:rsidR="00994430">
        <w:rPr>
          <w:bCs/>
        </w:rPr>
        <w:t xml:space="preserve">acuity differential of </w:t>
      </w:r>
      <w:r w:rsidR="006D219F">
        <w:rPr>
          <w:bCs/>
        </w:rPr>
        <w:t>PACE</w:t>
      </w:r>
      <w:r w:rsidR="00994430">
        <w:rPr>
          <w:bCs/>
        </w:rPr>
        <w:t>-enrolled</w:t>
      </w:r>
      <w:r w:rsidR="006D219F">
        <w:rPr>
          <w:bCs/>
        </w:rPr>
        <w:t xml:space="preserve"> members </w:t>
      </w:r>
      <w:r w:rsidR="00994430">
        <w:rPr>
          <w:bCs/>
        </w:rPr>
        <w:t xml:space="preserve">residing </w:t>
      </w:r>
      <w:r w:rsidR="006D219F">
        <w:rPr>
          <w:bCs/>
        </w:rPr>
        <w:t xml:space="preserve">in a nursing home relative to the </w:t>
      </w:r>
      <w:r w:rsidR="00994430">
        <w:rPr>
          <w:bCs/>
        </w:rPr>
        <w:t xml:space="preserve">acuity </w:t>
      </w:r>
      <w:r w:rsidR="006D219F">
        <w:rPr>
          <w:bCs/>
        </w:rPr>
        <w:t xml:space="preserve">of the proxy PACE population </w:t>
      </w:r>
      <w:r w:rsidR="00EE37B7">
        <w:rPr>
          <w:bCs/>
        </w:rPr>
        <w:t>residing in a nursing home</w:t>
      </w:r>
      <w:r w:rsidR="006D219F">
        <w:rPr>
          <w:bCs/>
        </w:rPr>
        <w:t>. We used the Resource Utilization Group (</w:t>
      </w:r>
      <w:r w:rsidR="006D219F" w:rsidRPr="008645E0">
        <w:rPr>
          <w:bCs/>
        </w:rPr>
        <w:t>RUG</w:t>
      </w:r>
      <w:r w:rsidR="006D219F">
        <w:rPr>
          <w:bCs/>
        </w:rPr>
        <w:t>)</w:t>
      </w:r>
      <w:r w:rsidR="006D219F" w:rsidRPr="008645E0">
        <w:rPr>
          <w:bCs/>
        </w:rPr>
        <w:t xml:space="preserve"> score </w:t>
      </w:r>
      <w:r w:rsidR="006D219F">
        <w:rPr>
          <w:bCs/>
        </w:rPr>
        <w:t xml:space="preserve">assigned to each enrollee to </w:t>
      </w:r>
      <w:r w:rsidR="00EE37B7">
        <w:rPr>
          <w:bCs/>
        </w:rPr>
        <w:t xml:space="preserve">estimate </w:t>
      </w:r>
      <w:r w:rsidR="006D219F">
        <w:rPr>
          <w:bCs/>
        </w:rPr>
        <w:t xml:space="preserve">the </w:t>
      </w:r>
      <w:r w:rsidR="00EE37B7">
        <w:rPr>
          <w:bCs/>
        </w:rPr>
        <w:t xml:space="preserve">acuity </w:t>
      </w:r>
      <w:r w:rsidR="00EE5F35">
        <w:rPr>
          <w:bCs/>
        </w:rPr>
        <w:t>for the two populations</w:t>
      </w:r>
      <w:r w:rsidR="006D219F">
        <w:rPr>
          <w:bCs/>
        </w:rPr>
        <w:t xml:space="preserve">. </w:t>
      </w:r>
      <w:r w:rsidR="00970DB7">
        <w:rPr>
          <w:bCs/>
        </w:rPr>
        <w:t>The nursing home acuity adjustment is based on t</w:t>
      </w:r>
      <w:r w:rsidR="00EE37B7">
        <w:rPr>
          <w:bCs/>
        </w:rPr>
        <w:t xml:space="preserve">he </w:t>
      </w:r>
      <w:r w:rsidR="00970DB7">
        <w:rPr>
          <w:bCs/>
        </w:rPr>
        <w:t>relativity</w:t>
      </w:r>
      <w:r w:rsidR="00EE37B7">
        <w:rPr>
          <w:bCs/>
        </w:rPr>
        <w:t xml:space="preserve"> </w:t>
      </w:r>
      <w:r w:rsidR="00970DB7">
        <w:rPr>
          <w:bCs/>
        </w:rPr>
        <w:t>between</w:t>
      </w:r>
      <w:r w:rsidR="00EE37B7">
        <w:rPr>
          <w:bCs/>
        </w:rPr>
        <w:t xml:space="preserve"> the PACE-enrolled and Proxy PACE population</w:t>
      </w:r>
      <w:r w:rsidR="0091244C">
        <w:rPr>
          <w:bCs/>
        </w:rPr>
        <w:t xml:space="preserve"> RUG score</w:t>
      </w:r>
      <w:r w:rsidR="00970DB7">
        <w:rPr>
          <w:bCs/>
        </w:rPr>
        <w:t>s</w:t>
      </w:r>
      <w:r w:rsidR="00556D33">
        <w:rPr>
          <w:bCs/>
        </w:rPr>
        <w:t xml:space="preserve"> (ap</w:t>
      </w:r>
      <w:r w:rsidR="003127A3">
        <w:rPr>
          <w:bCs/>
        </w:rPr>
        <w:t xml:space="preserve">proximately </w:t>
      </w:r>
      <w:r w:rsidR="00386DC8">
        <w:rPr>
          <w:bCs/>
        </w:rPr>
        <w:t>5% differential</w:t>
      </w:r>
      <w:r w:rsidR="003127A3">
        <w:rPr>
          <w:bCs/>
        </w:rPr>
        <w:t>)</w:t>
      </w:r>
      <w:r w:rsidR="00970DB7">
        <w:rPr>
          <w:bCs/>
        </w:rPr>
        <w:t>,</w:t>
      </w:r>
      <w:r w:rsidR="0091244C">
        <w:rPr>
          <w:bCs/>
        </w:rPr>
        <w:t xml:space="preserve"> </w:t>
      </w:r>
      <w:r w:rsidR="00733B8F">
        <w:rPr>
          <w:bCs/>
        </w:rPr>
        <w:t xml:space="preserve">multiplied by the proportion of the nursing home per diem </w:t>
      </w:r>
      <w:r w:rsidR="009067BC">
        <w:rPr>
          <w:bCs/>
        </w:rPr>
        <w:t>adjusted b</w:t>
      </w:r>
      <w:r w:rsidR="00654876">
        <w:rPr>
          <w:bCs/>
        </w:rPr>
        <w:t>ased</w:t>
      </w:r>
      <w:r w:rsidR="009067BC">
        <w:rPr>
          <w:bCs/>
        </w:rPr>
        <w:t xml:space="preserve"> </w:t>
      </w:r>
      <w:r w:rsidR="00DC73DF">
        <w:rPr>
          <w:bCs/>
        </w:rPr>
        <w:t xml:space="preserve">on </w:t>
      </w:r>
      <w:r w:rsidR="009067BC">
        <w:rPr>
          <w:bCs/>
        </w:rPr>
        <w:t>RUG scores</w:t>
      </w:r>
      <w:r w:rsidR="004A5612">
        <w:rPr>
          <w:bCs/>
        </w:rPr>
        <w:t xml:space="preserve"> </w:t>
      </w:r>
      <w:r w:rsidR="00386DC8">
        <w:rPr>
          <w:bCs/>
        </w:rPr>
        <w:t>(approximately 55% of the nursing home per diem)</w:t>
      </w:r>
      <w:r w:rsidR="004A5612">
        <w:rPr>
          <w:bCs/>
        </w:rPr>
        <w:t>.</w:t>
      </w:r>
      <w:r w:rsidR="00EE37B7">
        <w:rPr>
          <w:bCs/>
        </w:rPr>
        <w:t xml:space="preserve"> </w:t>
      </w:r>
      <w:r w:rsidR="00747BE0">
        <w:rPr>
          <w:bCs/>
        </w:rPr>
        <w:t xml:space="preserve">The adjustment was applied </w:t>
      </w:r>
      <w:r w:rsidR="00DB1361">
        <w:rPr>
          <w:bCs/>
        </w:rPr>
        <w:t>to the nursing home</w:t>
      </w:r>
      <w:r w:rsidR="000B0E08">
        <w:rPr>
          <w:bCs/>
        </w:rPr>
        <w:t>, hospice,</w:t>
      </w:r>
      <w:r w:rsidR="00DB1361">
        <w:rPr>
          <w:bCs/>
        </w:rPr>
        <w:t xml:space="preserve"> and patient </w:t>
      </w:r>
      <w:r w:rsidR="002177D1">
        <w:rPr>
          <w:bCs/>
        </w:rPr>
        <w:t>liability</w:t>
      </w:r>
      <w:r w:rsidR="00DB1361">
        <w:rPr>
          <w:bCs/>
        </w:rPr>
        <w:t xml:space="preserve"> costs</w:t>
      </w:r>
      <w:r w:rsidR="00747BE0">
        <w:rPr>
          <w:bCs/>
        </w:rPr>
        <w:t xml:space="preserve"> on a composite basis across all </w:t>
      </w:r>
      <w:r w:rsidR="00260B07">
        <w:rPr>
          <w:bCs/>
        </w:rPr>
        <w:t>nursing home</w:t>
      </w:r>
      <w:r w:rsidR="00747BE0">
        <w:rPr>
          <w:bCs/>
        </w:rPr>
        <w:t xml:space="preserve"> </w:t>
      </w:r>
      <w:r w:rsidR="00136AE5">
        <w:rPr>
          <w:bCs/>
        </w:rPr>
        <w:t>rate cells</w:t>
      </w:r>
      <w:r w:rsidR="00747BE0">
        <w:rPr>
          <w:bCs/>
        </w:rPr>
        <w:t xml:space="preserve"> for credibility purposes. </w:t>
      </w:r>
    </w:p>
    <w:p w14:paraId="7C3CAED0" w14:textId="05BBD09D" w:rsidR="00A1798A" w:rsidRPr="00C60385" w:rsidRDefault="00F0369A" w:rsidP="008405A2">
      <w:pPr>
        <w:pStyle w:val="RRNumberedBullet1"/>
        <w:numPr>
          <w:ilvl w:val="0"/>
          <w:numId w:val="15"/>
        </w:numPr>
        <w:tabs>
          <w:tab w:val="left" w:pos="360"/>
          <w:tab w:val="left" w:pos="720"/>
          <w:tab w:val="left" w:pos="1080"/>
          <w:tab w:val="left" w:pos="1440"/>
          <w:tab w:val="left" w:pos="1800"/>
        </w:tabs>
        <w:spacing w:before="120" w:after="0"/>
        <w:jc w:val="left"/>
        <w:rPr>
          <w:rFonts w:cs="Arial"/>
        </w:rPr>
      </w:pPr>
      <w:r w:rsidRPr="00C60385">
        <w:rPr>
          <w:b/>
        </w:rPr>
        <w:t>Waiver El</w:t>
      </w:r>
      <w:r w:rsidRPr="00DC73DF">
        <w:rPr>
          <w:b/>
        </w:rPr>
        <w:t>igibility Acuity Adjustment</w:t>
      </w:r>
      <w:r w:rsidR="008B7908" w:rsidRPr="00DC73DF">
        <w:rPr>
          <w:b/>
        </w:rPr>
        <w:t xml:space="preserve">: </w:t>
      </w:r>
      <w:r w:rsidR="00DC73DF">
        <w:rPr>
          <w:bCs/>
        </w:rPr>
        <w:t xml:space="preserve">The waiver eligibility acuity </w:t>
      </w:r>
      <w:r w:rsidR="0049338B" w:rsidRPr="00C60385">
        <w:rPr>
          <w:bCs/>
        </w:rPr>
        <w:t xml:space="preserve">adjustment was used to reflect the waiver distribution of </w:t>
      </w:r>
      <w:r w:rsidR="0049338B" w:rsidRPr="00DC73DF">
        <w:rPr>
          <w:bCs/>
        </w:rPr>
        <w:t>PACE</w:t>
      </w:r>
      <w:r w:rsidR="00DC73DF">
        <w:rPr>
          <w:bCs/>
        </w:rPr>
        <w:t xml:space="preserve">-enrolled </w:t>
      </w:r>
      <w:r w:rsidR="0049338B" w:rsidRPr="00DC73DF">
        <w:rPr>
          <w:bCs/>
        </w:rPr>
        <w:t xml:space="preserve">members in a HCBS setting relative to the waiver distribution of the proxy PACE population in a HCBS setting. </w:t>
      </w:r>
      <w:r w:rsidR="004D7E59">
        <w:rPr>
          <w:bCs/>
        </w:rPr>
        <w:t xml:space="preserve">CY 2019 </w:t>
      </w:r>
      <w:r w:rsidR="006F7DC9">
        <w:rPr>
          <w:bCs/>
        </w:rPr>
        <w:t xml:space="preserve">HCBS fee-for-service </w:t>
      </w:r>
      <w:r w:rsidR="004D7E59">
        <w:rPr>
          <w:bCs/>
        </w:rPr>
        <w:t xml:space="preserve">costs </w:t>
      </w:r>
      <w:r w:rsidR="006F7DC9">
        <w:rPr>
          <w:bCs/>
        </w:rPr>
        <w:t xml:space="preserve">and patient liability amounts </w:t>
      </w:r>
      <w:r w:rsidR="004D7E59">
        <w:rPr>
          <w:bCs/>
        </w:rPr>
        <w:t>were used to estimate member cost by waiver type.</w:t>
      </w:r>
      <w:r w:rsidR="00D30D86">
        <w:rPr>
          <w:bCs/>
        </w:rPr>
        <w:t xml:space="preserve"> </w:t>
      </w:r>
      <w:r w:rsidR="004D7E59">
        <w:rPr>
          <w:bCs/>
        </w:rPr>
        <w:t>T</w:t>
      </w:r>
      <w:r w:rsidR="0049338B" w:rsidRPr="00C60385">
        <w:rPr>
          <w:bCs/>
        </w:rPr>
        <w:t xml:space="preserve">he </w:t>
      </w:r>
      <w:r w:rsidR="00B54EA5">
        <w:rPr>
          <w:bCs/>
        </w:rPr>
        <w:t>June</w:t>
      </w:r>
      <w:r w:rsidR="0049338B" w:rsidRPr="00DC73DF">
        <w:rPr>
          <w:bCs/>
        </w:rPr>
        <w:t xml:space="preserve"> 2021 </w:t>
      </w:r>
      <w:r w:rsidR="004D7E59">
        <w:rPr>
          <w:bCs/>
        </w:rPr>
        <w:t xml:space="preserve">waiver </w:t>
      </w:r>
      <w:r w:rsidR="0049338B" w:rsidRPr="00DC73DF">
        <w:rPr>
          <w:bCs/>
        </w:rPr>
        <w:t xml:space="preserve">eligibility </w:t>
      </w:r>
      <w:r w:rsidR="004D7E59">
        <w:rPr>
          <w:bCs/>
        </w:rPr>
        <w:t>for the PACE-enrolled and proxy PACE populations</w:t>
      </w:r>
      <w:r w:rsidR="006E44D1">
        <w:rPr>
          <w:bCs/>
        </w:rPr>
        <w:t xml:space="preserve">, in conjunction with the estimated costs by waiver type, were used to </w:t>
      </w:r>
      <w:r w:rsidR="00EA1AC7">
        <w:rPr>
          <w:bCs/>
        </w:rPr>
        <w:t xml:space="preserve">estimate </w:t>
      </w:r>
      <w:r w:rsidR="0049338B" w:rsidRPr="00C60385">
        <w:rPr>
          <w:bCs/>
        </w:rPr>
        <w:t xml:space="preserve">the </w:t>
      </w:r>
      <w:r w:rsidR="00EA1AC7">
        <w:rPr>
          <w:bCs/>
        </w:rPr>
        <w:t>waiver eligibility acuity adjustment</w:t>
      </w:r>
      <w:r w:rsidR="006E44D1">
        <w:rPr>
          <w:bCs/>
        </w:rPr>
        <w:t xml:space="preserve"> for each </w:t>
      </w:r>
      <w:r w:rsidR="00260B07">
        <w:rPr>
          <w:bCs/>
        </w:rPr>
        <w:t xml:space="preserve">HCBS </w:t>
      </w:r>
      <w:r w:rsidR="00136AE5">
        <w:rPr>
          <w:bCs/>
        </w:rPr>
        <w:t>rate cell</w:t>
      </w:r>
      <w:r w:rsidR="0049338B" w:rsidRPr="00C60385">
        <w:rPr>
          <w:bCs/>
        </w:rPr>
        <w:t xml:space="preserve">. </w:t>
      </w:r>
      <w:r w:rsidR="00260B07">
        <w:rPr>
          <w:bCs/>
        </w:rPr>
        <w:t xml:space="preserve">The adjustment was applied to the HCBS and patient </w:t>
      </w:r>
      <w:r w:rsidR="002177D1">
        <w:rPr>
          <w:bCs/>
        </w:rPr>
        <w:t>liability</w:t>
      </w:r>
      <w:r w:rsidR="003B7A88">
        <w:rPr>
          <w:bCs/>
        </w:rPr>
        <w:t xml:space="preserve"> </w:t>
      </w:r>
      <w:r w:rsidR="006F7DC9">
        <w:rPr>
          <w:bCs/>
        </w:rPr>
        <w:t>amounts</w:t>
      </w:r>
      <w:r w:rsidR="00260B07">
        <w:rPr>
          <w:bCs/>
        </w:rPr>
        <w:t>.</w:t>
      </w:r>
    </w:p>
    <w:p w14:paraId="45B87B72" w14:textId="4CD28C97" w:rsidR="00E81C57" w:rsidRDefault="00E81C57" w:rsidP="008C085B">
      <w:pPr>
        <w:spacing w:after="0" w:line="240" w:lineRule="auto"/>
        <w:jc w:val="both"/>
        <w:rPr>
          <w:rStyle w:val="Strong"/>
        </w:rPr>
      </w:pPr>
    </w:p>
    <w:p w14:paraId="7E5D6C22" w14:textId="7851EC7B" w:rsidR="00EF510C" w:rsidRPr="00D75198" w:rsidRDefault="00EF510C" w:rsidP="00EF510C">
      <w:pPr>
        <w:pStyle w:val="Heading3"/>
        <w:rPr>
          <w:rStyle w:val="Strong"/>
          <w:b/>
          <w:bCs w:val="0"/>
        </w:rPr>
      </w:pPr>
      <w:bookmarkStart w:id="13" w:name="_Toc91081153"/>
      <w:r w:rsidRPr="00D75198">
        <w:rPr>
          <w:rStyle w:val="Strong"/>
          <w:b/>
          <w:bCs w:val="0"/>
        </w:rPr>
        <w:t>Step 5:</w:t>
      </w:r>
      <w:r>
        <w:rPr>
          <w:rStyle w:val="Strong"/>
          <w:b/>
          <w:bCs w:val="0"/>
        </w:rPr>
        <w:t xml:space="preserve">  </w:t>
      </w:r>
      <w:r w:rsidR="00461D58">
        <w:rPr>
          <w:rStyle w:val="Strong"/>
          <w:b/>
          <w:bCs w:val="0"/>
        </w:rPr>
        <w:t xml:space="preserve">Apply Prospective </w:t>
      </w:r>
      <w:r>
        <w:rPr>
          <w:rStyle w:val="Strong"/>
          <w:b/>
          <w:bCs w:val="0"/>
        </w:rPr>
        <w:t>Program Adjustments</w:t>
      </w:r>
      <w:bookmarkEnd w:id="13"/>
    </w:p>
    <w:p w14:paraId="610A57C6" w14:textId="77777777" w:rsidR="00EF510C" w:rsidRDefault="00EF510C" w:rsidP="00EF510C">
      <w:pPr>
        <w:spacing w:after="0" w:line="240" w:lineRule="auto"/>
        <w:jc w:val="both"/>
        <w:rPr>
          <w:rFonts w:cs="Arial"/>
        </w:rPr>
      </w:pPr>
    </w:p>
    <w:p w14:paraId="274EE918" w14:textId="1D59BAE8" w:rsidR="00461D58" w:rsidRDefault="00461D58">
      <w:pPr>
        <w:pStyle w:val="RRBody"/>
        <w:jc w:val="left"/>
      </w:pPr>
      <w:r>
        <w:t>The CY 2019</w:t>
      </w:r>
      <w:r w:rsidRPr="003D0595">
        <w:t xml:space="preserve"> </w:t>
      </w:r>
      <w:r>
        <w:t>base</w:t>
      </w:r>
      <w:r w:rsidRPr="003D0595">
        <w:t xml:space="preserve"> experience </w:t>
      </w:r>
      <w:r>
        <w:t>was</w:t>
      </w:r>
      <w:r w:rsidRPr="003D0595">
        <w:t xml:space="preserve"> </w:t>
      </w:r>
      <w:r>
        <w:t>adjusted</w:t>
      </w:r>
      <w:r w:rsidRPr="003D0595">
        <w:t xml:space="preserve"> for</w:t>
      </w:r>
      <w:r>
        <w:t xml:space="preserve"> program changes effective in SFY 2022</w:t>
      </w:r>
      <w:r w:rsidR="00105569">
        <w:t>,</w:t>
      </w:r>
      <w:r>
        <w:t xml:space="preserve"> including the shared living increase, assisted living tiers, HCBS shift differential increase, and behavioral healthcare certification rate enhancement</w:t>
      </w:r>
      <w:r w:rsidR="00C11809">
        <w:t xml:space="preserve">, which are described below in </w:t>
      </w:r>
      <w:r w:rsidR="00557E8B">
        <w:t>more detail</w:t>
      </w:r>
      <w:r w:rsidRPr="003D0595">
        <w:t xml:space="preserve">. </w:t>
      </w:r>
      <w:r w:rsidR="00105569">
        <w:t xml:space="preserve">In addition, EOHHS is providing a temporary </w:t>
      </w:r>
      <w:r w:rsidR="009647A7">
        <w:t>reimbursement</w:t>
      </w:r>
      <w:r w:rsidR="00105569">
        <w:t xml:space="preserve"> increase </w:t>
      </w:r>
      <w:r w:rsidR="007E7E96">
        <w:t xml:space="preserve">for certain providers and services </w:t>
      </w:r>
      <w:r w:rsidR="00105569">
        <w:t xml:space="preserve">using </w:t>
      </w:r>
      <w:r w:rsidR="007E7E96">
        <w:t>American Rescue Plan Act of 2021 (ARPA)</w:t>
      </w:r>
      <w:r w:rsidR="00105569">
        <w:t xml:space="preserve"> funding</w:t>
      </w:r>
      <w:r w:rsidR="007E7E96">
        <w:t xml:space="preserve">. </w:t>
      </w:r>
      <w:r>
        <w:t xml:space="preserve">Prospective adjustments to the CY 2019 base experience are illustrated in Appendix </w:t>
      </w:r>
      <w:r w:rsidR="007E7E96">
        <w:t>3</w:t>
      </w:r>
      <w:r>
        <w:t xml:space="preserve">. </w:t>
      </w:r>
      <w:r w:rsidRPr="00CA2F57">
        <w:t xml:space="preserve">Figure </w:t>
      </w:r>
      <w:r>
        <w:t>8 summarizes the estimated fiscal impact of these prospective adjustments by rate cell</w:t>
      </w:r>
      <w:r w:rsidRPr="00816BFF">
        <w:t>.</w:t>
      </w:r>
    </w:p>
    <w:p w14:paraId="1153512D" w14:textId="77777777" w:rsidR="00105569" w:rsidRDefault="00105569" w:rsidP="003B7A88">
      <w:pPr>
        <w:pStyle w:val="RRBody"/>
        <w:jc w:val="left"/>
      </w:pPr>
    </w:p>
    <w:p w14:paraId="0C03BE67" w14:textId="77777777" w:rsidR="00C11809" w:rsidRDefault="00C11809">
      <w:r>
        <w:br w:type="page"/>
      </w:r>
    </w:p>
    <w:tbl>
      <w:tblPr>
        <w:tblW w:w="9654" w:type="dxa"/>
        <w:tblLayout w:type="fixed"/>
        <w:tblLook w:val="04A0" w:firstRow="1" w:lastRow="0" w:firstColumn="1" w:lastColumn="0" w:noHBand="0" w:noVBand="1"/>
      </w:tblPr>
      <w:tblGrid>
        <w:gridCol w:w="2250"/>
        <w:gridCol w:w="1480"/>
        <w:gridCol w:w="1367"/>
        <w:gridCol w:w="114"/>
        <w:gridCol w:w="1139"/>
        <w:gridCol w:w="342"/>
        <w:gridCol w:w="1481"/>
        <w:gridCol w:w="1481"/>
      </w:tblGrid>
      <w:tr w:rsidR="00461D58" w:rsidRPr="0044025B" w14:paraId="77C0BE99" w14:textId="77777777" w:rsidTr="003B7A88">
        <w:trPr>
          <w:gridAfter w:val="3"/>
          <w:wAfter w:w="3304" w:type="dxa"/>
          <w:trHeight w:val="256"/>
        </w:trPr>
        <w:tc>
          <w:tcPr>
            <w:tcW w:w="5097" w:type="dxa"/>
            <w:gridSpan w:val="3"/>
            <w:tcBorders>
              <w:top w:val="nil"/>
              <w:left w:val="nil"/>
              <w:bottom w:val="nil"/>
              <w:right w:val="nil"/>
            </w:tcBorders>
            <w:shd w:val="clear" w:color="auto" w:fill="auto"/>
            <w:noWrap/>
            <w:vAlign w:val="center"/>
            <w:hideMark/>
          </w:tcPr>
          <w:p w14:paraId="19510E58" w14:textId="00CE78FA" w:rsidR="00461D58" w:rsidRPr="003B7A88" w:rsidRDefault="00461D58" w:rsidP="00461D58">
            <w:pPr>
              <w:spacing w:after="0" w:line="240" w:lineRule="auto"/>
              <w:rPr>
                <w:rFonts w:ascii="Times New Roman" w:eastAsia="Times New Roman" w:hAnsi="Times New Roman" w:cs="Times New Roman"/>
                <w:sz w:val="16"/>
                <w:szCs w:val="16"/>
              </w:rPr>
            </w:pPr>
            <w:r w:rsidRPr="003B7A88">
              <w:rPr>
                <w:rFonts w:ascii="Arial" w:eastAsia="Times New Roman" w:hAnsi="Arial" w:cs="Arial"/>
                <w:b/>
                <w:bCs/>
                <w:color w:val="0081E3"/>
                <w:sz w:val="16"/>
                <w:szCs w:val="16"/>
              </w:rPr>
              <w:lastRenderedPageBreak/>
              <w:t xml:space="preserve">FIGURE 8: </w:t>
            </w:r>
            <w:r w:rsidR="0044025B">
              <w:rPr>
                <w:rFonts w:ascii="Arial" w:eastAsia="Times New Roman" w:hAnsi="Arial" w:cs="Arial"/>
                <w:b/>
                <w:bCs/>
                <w:color w:val="0081E3"/>
                <w:sz w:val="16"/>
                <w:szCs w:val="16"/>
              </w:rPr>
              <w:t xml:space="preserve">PROSPECTIVE </w:t>
            </w:r>
            <w:r w:rsidRPr="003B7A88">
              <w:rPr>
                <w:rFonts w:ascii="Arial" w:eastAsia="Times New Roman" w:hAnsi="Arial" w:cs="Arial"/>
                <w:b/>
                <w:bCs/>
                <w:caps/>
                <w:color w:val="0081E3"/>
                <w:sz w:val="16"/>
                <w:szCs w:val="16"/>
              </w:rPr>
              <w:t xml:space="preserve">Program </w:t>
            </w:r>
            <w:r w:rsidR="0044025B">
              <w:rPr>
                <w:rFonts w:ascii="Arial" w:eastAsia="Times New Roman" w:hAnsi="Arial" w:cs="Arial"/>
                <w:b/>
                <w:bCs/>
                <w:caps/>
                <w:color w:val="0081E3"/>
                <w:sz w:val="16"/>
                <w:szCs w:val="16"/>
              </w:rPr>
              <w:t>ADJUSTMENTS</w:t>
            </w:r>
          </w:p>
        </w:tc>
        <w:tc>
          <w:tcPr>
            <w:tcW w:w="1253" w:type="dxa"/>
            <w:gridSpan w:val="2"/>
            <w:tcBorders>
              <w:top w:val="nil"/>
              <w:left w:val="nil"/>
              <w:bottom w:val="nil"/>
              <w:right w:val="nil"/>
            </w:tcBorders>
            <w:shd w:val="clear" w:color="auto" w:fill="auto"/>
            <w:noWrap/>
            <w:vAlign w:val="center"/>
            <w:hideMark/>
          </w:tcPr>
          <w:p w14:paraId="55A00A87" w14:textId="77777777" w:rsidR="00461D58" w:rsidRPr="003B7A88" w:rsidRDefault="00461D58" w:rsidP="00461D58">
            <w:pPr>
              <w:spacing w:after="0" w:line="240" w:lineRule="auto"/>
              <w:rPr>
                <w:rFonts w:ascii="Times New Roman" w:eastAsia="Times New Roman" w:hAnsi="Times New Roman" w:cs="Times New Roman"/>
                <w:sz w:val="16"/>
                <w:szCs w:val="16"/>
              </w:rPr>
            </w:pPr>
          </w:p>
        </w:tc>
      </w:tr>
      <w:tr w:rsidR="00DA68EC" w:rsidRPr="0044025B" w14:paraId="43E3C1EE" w14:textId="77777777" w:rsidTr="003B7A88">
        <w:trPr>
          <w:trHeight w:val="720"/>
        </w:trPr>
        <w:tc>
          <w:tcPr>
            <w:tcW w:w="2250" w:type="dxa"/>
            <w:tcBorders>
              <w:top w:val="nil"/>
              <w:left w:val="nil"/>
              <w:bottom w:val="single" w:sz="4" w:space="0" w:color="C6C9CA"/>
              <w:right w:val="nil"/>
            </w:tcBorders>
            <w:shd w:val="clear" w:color="auto" w:fill="auto"/>
            <w:vAlign w:val="center"/>
            <w:hideMark/>
          </w:tcPr>
          <w:p w14:paraId="385CE074" w14:textId="4305E867" w:rsidR="00DA68EC" w:rsidRPr="003B7A88" w:rsidRDefault="00DA68EC" w:rsidP="00DA68EC">
            <w:pPr>
              <w:spacing w:after="0" w:line="240" w:lineRule="auto"/>
              <w:rPr>
                <w:rFonts w:ascii="Arial" w:eastAsia="Times New Roman" w:hAnsi="Arial" w:cs="Arial"/>
                <w:b/>
                <w:bCs/>
                <w:color w:val="39414D"/>
                <w:sz w:val="16"/>
                <w:szCs w:val="16"/>
              </w:rPr>
            </w:pPr>
            <w:r w:rsidRPr="003B7A88">
              <w:rPr>
                <w:rFonts w:ascii="Arial" w:hAnsi="Arial" w:cs="Arial"/>
                <w:b/>
                <w:bCs/>
                <w:color w:val="39414D"/>
                <w:sz w:val="16"/>
                <w:szCs w:val="16"/>
              </w:rPr>
              <w:t>PACE Rate Cell</w:t>
            </w:r>
          </w:p>
        </w:tc>
        <w:tc>
          <w:tcPr>
            <w:tcW w:w="1480" w:type="dxa"/>
            <w:tcBorders>
              <w:top w:val="nil"/>
              <w:left w:val="nil"/>
              <w:bottom w:val="single" w:sz="4" w:space="0" w:color="C6C9CA"/>
              <w:right w:val="nil"/>
            </w:tcBorders>
            <w:shd w:val="clear" w:color="auto" w:fill="auto"/>
            <w:vAlign w:val="center"/>
            <w:hideMark/>
          </w:tcPr>
          <w:p w14:paraId="5E1B9922" w14:textId="39807546" w:rsidR="00DA68EC" w:rsidRPr="003B7A88" w:rsidRDefault="00DA68EC" w:rsidP="00DA68EC">
            <w:pPr>
              <w:spacing w:after="0" w:line="240" w:lineRule="auto"/>
              <w:jc w:val="center"/>
              <w:rPr>
                <w:rFonts w:ascii="Arial" w:eastAsia="Times New Roman" w:hAnsi="Arial" w:cs="Arial"/>
                <w:b/>
                <w:bCs/>
                <w:color w:val="39414D"/>
                <w:sz w:val="16"/>
                <w:szCs w:val="16"/>
              </w:rPr>
            </w:pPr>
            <w:r w:rsidRPr="003B7A88">
              <w:rPr>
                <w:rFonts w:ascii="Arial" w:hAnsi="Arial" w:cs="Arial"/>
                <w:b/>
                <w:bCs/>
                <w:color w:val="39414D"/>
                <w:sz w:val="16"/>
                <w:szCs w:val="16"/>
              </w:rPr>
              <w:t>Shared Living Increase</w:t>
            </w:r>
          </w:p>
        </w:tc>
        <w:tc>
          <w:tcPr>
            <w:tcW w:w="1481" w:type="dxa"/>
            <w:gridSpan w:val="2"/>
            <w:tcBorders>
              <w:top w:val="nil"/>
              <w:left w:val="nil"/>
              <w:bottom w:val="single" w:sz="4" w:space="0" w:color="C6C9CA"/>
              <w:right w:val="nil"/>
            </w:tcBorders>
            <w:shd w:val="clear" w:color="auto" w:fill="auto"/>
            <w:vAlign w:val="center"/>
            <w:hideMark/>
          </w:tcPr>
          <w:p w14:paraId="63CE82C5" w14:textId="2D9984B1" w:rsidR="00DA68EC" w:rsidRPr="003B7A88" w:rsidRDefault="00DA68EC" w:rsidP="00DA68EC">
            <w:pPr>
              <w:spacing w:after="0" w:line="240" w:lineRule="auto"/>
              <w:jc w:val="center"/>
              <w:rPr>
                <w:rFonts w:ascii="Arial" w:eastAsia="Times New Roman" w:hAnsi="Arial" w:cs="Arial"/>
                <w:b/>
                <w:bCs/>
                <w:color w:val="39414D"/>
                <w:sz w:val="16"/>
                <w:szCs w:val="16"/>
              </w:rPr>
            </w:pPr>
            <w:r w:rsidRPr="003B7A88">
              <w:rPr>
                <w:rFonts w:ascii="Arial" w:hAnsi="Arial" w:cs="Arial"/>
                <w:b/>
                <w:bCs/>
                <w:color w:val="39414D"/>
                <w:sz w:val="16"/>
                <w:szCs w:val="16"/>
              </w:rPr>
              <w:t>Assisted Living Tiers</w:t>
            </w:r>
          </w:p>
        </w:tc>
        <w:tc>
          <w:tcPr>
            <w:tcW w:w="1481" w:type="dxa"/>
            <w:gridSpan w:val="2"/>
            <w:tcBorders>
              <w:top w:val="nil"/>
              <w:left w:val="nil"/>
              <w:bottom w:val="single" w:sz="4" w:space="0" w:color="C6C9CA"/>
              <w:right w:val="nil"/>
            </w:tcBorders>
            <w:shd w:val="clear" w:color="auto" w:fill="auto"/>
            <w:vAlign w:val="center"/>
            <w:hideMark/>
          </w:tcPr>
          <w:p w14:paraId="047B9C1B" w14:textId="6FC24493" w:rsidR="00DA68EC" w:rsidRPr="003B7A88" w:rsidRDefault="00DA68EC" w:rsidP="00DA68EC">
            <w:pPr>
              <w:spacing w:after="0" w:line="240" w:lineRule="auto"/>
              <w:jc w:val="center"/>
              <w:rPr>
                <w:rFonts w:ascii="Arial" w:eastAsia="Times New Roman" w:hAnsi="Arial" w:cs="Arial"/>
                <w:b/>
                <w:bCs/>
                <w:color w:val="39414D"/>
                <w:sz w:val="16"/>
                <w:szCs w:val="16"/>
              </w:rPr>
            </w:pPr>
            <w:r w:rsidRPr="003B7A88">
              <w:rPr>
                <w:rFonts w:ascii="Arial" w:hAnsi="Arial" w:cs="Arial"/>
                <w:b/>
                <w:bCs/>
                <w:color w:val="39414D"/>
                <w:sz w:val="16"/>
                <w:szCs w:val="16"/>
              </w:rPr>
              <w:t>HCBS Shift Differential Increase</w:t>
            </w:r>
          </w:p>
        </w:tc>
        <w:tc>
          <w:tcPr>
            <w:tcW w:w="1481" w:type="dxa"/>
            <w:tcBorders>
              <w:top w:val="nil"/>
              <w:left w:val="nil"/>
              <w:bottom w:val="single" w:sz="4" w:space="0" w:color="C6C9CA"/>
              <w:right w:val="nil"/>
            </w:tcBorders>
            <w:shd w:val="clear" w:color="auto" w:fill="auto"/>
            <w:vAlign w:val="center"/>
            <w:hideMark/>
          </w:tcPr>
          <w:p w14:paraId="152077CD" w14:textId="173572F7" w:rsidR="00DA68EC" w:rsidRPr="003B7A88" w:rsidRDefault="00DA68EC" w:rsidP="00DA68EC">
            <w:pPr>
              <w:spacing w:after="0" w:line="240" w:lineRule="auto"/>
              <w:jc w:val="center"/>
              <w:rPr>
                <w:rFonts w:ascii="Arial" w:eastAsia="Times New Roman" w:hAnsi="Arial" w:cs="Arial"/>
                <w:b/>
                <w:bCs/>
                <w:color w:val="39414D"/>
                <w:sz w:val="16"/>
                <w:szCs w:val="16"/>
              </w:rPr>
            </w:pPr>
            <w:r w:rsidRPr="003B7A88">
              <w:rPr>
                <w:rFonts w:ascii="Arial" w:hAnsi="Arial" w:cs="Arial"/>
                <w:b/>
                <w:bCs/>
                <w:color w:val="39414D"/>
                <w:sz w:val="16"/>
                <w:szCs w:val="16"/>
              </w:rPr>
              <w:t>Behavioral Health Cer</w:t>
            </w:r>
            <w:r>
              <w:rPr>
                <w:rFonts w:ascii="Arial" w:hAnsi="Arial" w:cs="Arial"/>
                <w:b/>
                <w:bCs/>
                <w:color w:val="39414D"/>
                <w:sz w:val="16"/>
                <w:szCs w:val="16"/>
              </w:rPr>
              <w:t>t</w:t>
            </w:r>
            <w:r w:rsidRPr="003B7A88">
              <w:rPr>
                <w:rFonts w:ascii="Arial" w:hAnsi="Arial" w:cs="Arial"/>
                <w:b/>
                <w:bCs/>
                <w:color w:val="39414D"/>
                <w:sz w:val="16"/>
                <w:szCs w:val="16"/>
              </w:rPr>
              <w:t xml:space="preserve"> Rate Enhancement</w:t>
            </w:r>
          </w:p>
        </w:tc>
        <w:tc>
          <w:tcPr>
            <w:tcW w:w="1481" w:type="dxa"/>
            <w:tcBorders>
              <w:top w:val="nil"/>
              <w:left w:val="nil"/>
              <w:bottom w:val="single" w:sz="4" w:space="0" w:color="C6C9CA"/>
              <w:right w:val="nil"/>
            </w:tcBorders>
            <w:shd w:val="clear" w:color="auto" w:fill="auto"/>
            <w:vAlign w:val="center"/>
            <w:hideMark/>
          </w:tcPr>
          <w:p w14:paraId="19A0AB99" w14:textId="725CA139" w:rsidR="00DA68EC" w:rsidRPr="003B7A88" w:rsidRDefault="00DA68EC" w:rsidP="00DA68EC">
            <w:pPr>
              <w:spacing w:after="0" w:line="240" w:lineRule="auto"/>
              <w:jc w:val="center"/>
              <w:rPr>
                <w:rFonts w:ascii="Arial" w:eastAsia="Times New Roman" w:hAnsi="Arial" w:cs="Arial"/>
                <w:b/>
                <w:bCs/>
                <w:color w:val="39414D"/>
                <w:sz w:val="16"/>
                <w:szCs w:val="16"/>
              </w:rPr>
            </w:pPr>
            <w:r w:rsidRPr="003B7A88">
              <w:rPr>
                <w:rFonts w:ascii="Arial" w:hAnsi="Arial" w:cs="Arial"/>
                <w:b/>
                <w:bCs/>
                <w:color w:val="39414D"/>
                <w:sz w:val="16"/>
                <w:szCs w:val="16"/>
              </w:rPr>
              <w:t xml:space="preserve">ARPA </w:t>
            </w:r>
            <w:r w:rsidR="00191F29">
              <w:rPr>
                <w:rFonts w:ascii="Arial" w:hAnsi="Arial" w:cs="Arial"/>
                <w:b/>
                <w:bCs/>
                <w:color w:val="39414D"/>
                <w:sz w:val="16"/>
                <w:szCs w:val="16"/>
              </w:rPr>
              <w:t>Reimbursement</w:t>
            </w:r>
            <w:r w:rsidRPr="003B7A88">
              <w:rPr>
                <w:rFonts w:ascii="Arial" w:hAnsi="Arial" w:cs="Arial"/>
                <w:b/>
                <w:bCs/>
                <w:color w:val="39414D"/>
                <w:sz w:val="16"/>
                <w:szCs w:val="16"/>
              </w:rPr>
              <w:t xml:space="preserve"> Increase</w:t>
            </w:r>
          </w:p>
        </w:tc>
      </w:tr>
      <w:tr w:rsidR="000C660F" w:rsidRPr="0044025B" w14:paraId="3CDBF981" w14:textId="77777777" w:rsidTr="003B7A88">
        <w:trPr>
          <w:trHeight w:val="242"/>
        </w:trPr>
        <w:tc>
          <w:tcPr>
            <w:tcW w:w="2250" w:type="dxa"/>
            <w:tcBorders>
              <w:top w:val="nil"/>
              <w:left w:val="nil"/>
              <w:bottom w:val="nil"/>
              <w:right w:val="nil"/>
            </w:tcBorders>
            <w:shd w:val="clear" w:color="auto" w:fill="auto"/>
            <w:vAlign w:val="center"/>
          </w:tcPr>
          <w:p w14:paraId="67DC3E64" w14:textId="1E2DBADC" w:rsidR="000C660F" w:rsidRPr="00DA68EC" w:rsidRDefault="000C660F" w:rsidP="000C660F">
            <w:pPr>
              <w:spacing w:after="0" w:line="240" w:lineRule="auto"/>
              <w:rPr>
                <w:rFonts w:ascii="Arial" w:hAnsi="Arial" w:cs="Arial"/>
                <w:color w:val="39414D"/>
                <w:sz w:val="16"/>
                <w:szCs w:val="16"/>
              </w:rPr>
            </w:pPr>
            <w:r w:rsidRPr="003B7A88">
              <w:rPr>
                <w:rFonts w:ascii="Arial" w:hAnsi="Arial" w:cs="Arial"/>
                <w:color w:val="39414D"/>
                <w:sz w:val="16"/>
                <w:szCs w:val="16"/>
              </w:rPr>
              <w:t>Duals 55-64 HCBS</w:t>
            </w:r>
          </w:p>
        </w:tc>
        <w:tc>
          <w:tcPr>
            <w:tcW w:w="1480" w:type="dxa"/>
            <w:tcBorders>
              <w:top w:val="nil"/>
              <w:left w:val="nil"/>
              <w:bottom w:val="nil"/>
              <w:right w:val="nil"/>
            </w:tcBorders>
            <w:shd w:val="clear" w:color="auto" w:fill="auto"/>
            <w:noWrap/>
            <w:vAlign w:val="center"/>
          </w:tcPr>
          <w:p w14:paraId="075265FD" w14:textId="579AF4A4"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auto" w:fill="auto"/>
            <w:noWrap/>
            <w:vAlign w:val="center"/>
          </w:tcPr>
          <w:p w14:paraId="7F1F3E59" w14:textId="3F805540"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3.2% </w:t>
            </w:r>
          </w:p>
        </w:tc>
        <w:tc>
          <w:tcPr>
            <w:tcW w:w="1481" w:type="dxa"/>
            <w:gridSpan w:val="2"/>
            <w:tcBorders>
              <w:top w:val="nil"/>
              <w:left w:val="nil"/>
              <w:bottom w:val="nil"/>
              <w:right w:val="nil"/>
            </w:tcBorders>
            <w:shd w:val="clear" w:color="auto" w:fill="auto"/>
            <w:noWrap/>
            <w:vAlign w:val="center"/>
          </w:tcPr>
          <w:p w14:paraId="6CA7D94F" w14:textId="4EA8F532"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0.6% </w:t>
            </w:r>
          </w:p>
        </w:tc>
        <w:tc>
          <w:tcPr>
            <w:tcW w:w="1481" w:type="dxa"/>
            <w:tcBorders>
              <w:top w:val="nil"/>
              <w:left w:val="nil"/>
              <w:bottom w:val="nil"/>
              <w:right w:val="nil"/>
            </w:tcBorders>
            <w:shd w:val="clear" w:color="auto" w:fill="auto"/>
            <w:noWrap/>
            <w:vAlign w:val="center"/>
          </w:tcPr>
          <w:p w14:paraId="7E48AB00" w14:textId="4320F4FB"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1.0% </w:t>
            </w:r>
          </w:p>
        </w:tc>
        <w:tc>
          <w:tcPr>
            <w:tcW w:w="1481" w:type="dxa"/>
            <w:tcBorders>
              <w:top w:val="nil"/>
              <w:left w:val="nil"/>
              <w:bottom w:val="nil"/>
              <w:right w:val="nil"/>
            </w:tcBorders>
            <w:shd w:val="clear" w:color="auto" w:fill="auto"/>
            <w:noWrap/>
            <w:vAlign w:val="center"/>
          </w:tcPr>
          <w:p w14:paraId="44D51037" w14:textId="7D33BB93" w:rsidR="000C660F" w:rsidRPr="000C660F" w:rsidRDefault="000C660F" w:rsidP="000C660F">
            <w:pPr>
              <w:spacing w:after="0" w:line="240" w:lineRule="auto"/>
              <w:jc w:val="right"/>
              <w:rPr>
                <w:rFonts w:ascii="Arial" w:hAnsi="Arial" w:cs="Arial"/>
                <w:color w:val="39414D"/>
                <w:sz w:val="16"/>
                <w:szCs w:val="16"/>
              </w:rPr>
            </w:pPr>
            <w:r w:rsidRPr="00097A11">
              <w:rPr>
                <w:rFonts w:ascii="Arial" w:hAnsi="Arial" w:cs="Arial"/>
                <w:color w:val="39414D"/>
                <w:sz w:val="16"/>
                <w:szCs w:val="16"/>
              </w:rPr>
              <w:t>36.</w:t>
            </w:r>
            <w:r w:rsidR="0050726D">
              <w:rPr>
                <w:rFonts w:ascii="Arial" w:hAnsi="Arial" w:cs="Arial"/>
                <w:color w:val="39414D"/>
                <w:sz w:val="16"/>
                <w:szCs w:val="16"/>
              </w:rPr>
              <w:t>6</w:t>
            </w:r>
            <w:r w:rsidRPr="00097A11">
              <w:rPr>
                <w:rFonts w:ascii="Arial" w:hAnsi="Arial" w:cs="Arial"/>
                <w:color w:val="39414D"/>
                <w:sz w:val="16"/>
                <w:szCs w:val="16"/>
              </w:rPr>
              <w:t xml:space="preserve">% </w:t>
            </w:r>
          </w:p>
        </w:tc>
      </w:tr>
      <w:tr w:rsidR="000C660F" w:rsidRPr="0044025B" w14:paraId="76EB72B6" w14:textId="77777777" w:rsidTr="003B7A88">
        <w:trPr>
          <w:trHeight w:val="242"/>
        </w:trPr>
        <w:tc>
          <w:tcPr>
            <w:tcW w:w="2250" w:type="dxa"/>
            <w:tcBorders>
              <w:top w:val="nil"/>
              <w:left w:val="nil"/>
              <w:bottom w:val="nil"/>
              <w:right w:val="nil"/>
            </w:tcBorders>
            <w:shd w:val="clear" w:color="auto" w:fill="E8E9E9"/>
            <w:vAlign w:val="center"/>
            <w:hideMark/>
          </w:tcPr>
          <w:p w14:paraId="1393ADE4" w14:textId="5BED63B5" w:rsidR="000C660F" w:rsidRPr="003B7A88" w:rsidRDefault="000C660F" w:rsidP="000C660F">
            <w:pPr>
              <w:spacing w:after="0" w:line="240" w:lineRule="auto"/>
              <w:rPr>
                <w:rFonts w:ascii="Arial" w:eastAsia="Times New Roman" w:hAnsi="Arial" w:cs="Arial"/>
                <w:color w:val="39414D"/>
                <w:sz w:val="16"/>
                <w:szCs w:val="16"/>
              </w:rPr>
            </w:pPr>
            <w:r w:rsidRPr="003B7A88">
              <w:rPr>
                <w:rFonts w:ascii="Arial" w:hAnsi="Arial" w:cs="Arial"/>
                <w:color w:val="39414D"/>
                <w:sz w:val="16"/>
                <w:szCs w:val="16"/>
              </w:rPr>
              <w:t>Duals 55-64 NH</w:t>
            </w:r>
          </w:p>
        </w:tc>
        <w:tc>
          <w:tcPr>
            <w:tcW w:w="1480" w:type="dxa"/>
            <w:tcBorders>
              <w:top w:val="nil"/>
              <w:left w:val="nil"/>
              <w:bottom w:val="nil"/>
              <w:right w:val="nil"/>
            </w:tcBorders>
            <w:shd w:val="clear" w:color="auto" w:fill="E8E9E9"/>
            <w:noWrap/>
            <w:vAlign w:val="center"/>
            <w:hideMark/>
          </w:tcPr>
          <w:p w14:paraId="2382C2EB" w14:textId="4A5CB387"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auto" w:fill="E8E9E9"/>
            <w:noWrap/>
            <w:vAlign w:val="center"/>
            <w:hideMark/>
          </w:tcPr>
          <w:p w14:paraId="6A7C88F6" w14:textId="40A16D2F"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auto" w:fill="E8E9E9"/>
            <w:noWrap/>
            <w:vAlign w:val="center"/>
            <w:hideMark/>
          </w:tcPr>
          <w:p w14:paraId="469F2C2B" w14:textId="26A6F298"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auto" w:fill="E8E9E9"/>
            <w:noWrap/>
            <w:vAlign w:val="center"/>
            <w:hideMark/>
          </w:tcPr>
          <w:p w14:paraId="636E4F8D" w14:textId="63BF4881"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auto" w:fill="E8E9E9"/>
            <w:noWrap/>
            <w:vAlign w:val="center"/>
            <w:hideMark/>
          </w:tcPr>
          <w:p w14:paraId="19EEBD93" w14:textId="1963ABCB" w:rsidR="000C660F" w:rsidRPr="000C660F" w:rsidRDefault="000C660F" w:rsidP="000C660F">
            <w:pPr>
              <w:spacing w:after="0" w:line="240" w:lineRule="auto"/>
              <w:jc w:val="right"/>
              <w:rPr>
                <w:rFonts w:ascii="Arial" w:eastAsia="Times New Roman" w:hAnsi="Arial" w:cs="Arial"/>
                <w:color w:val="39414D"/>
                <w:sz w:val="16"/>
                <w:szCs w:val="16"/>
              </w:rPr>
            </w:pPr>
            <w:r w:rsidRPr="00097A11">
              <w:rPr>
                <w:rFonts w:ascii="Arial" w:hAnsi="Arial" w:cs="Arial"/>
                <w:color w:val="39414D"/>
                <w:sz w:val="16"/>
                <w:szCs w:val="16"/>
              </w:rPr>
              <w:t xml:space="preserve">0.1% </w:t>
            </w:r>
          </w:p>
        </w:tc>
      </w:tr>
      <w:tr w:rsidR="000C660F" w:rsidRPr="0044025B" w14:paraId="34F7F687" w14:textId="77777777" w:rsidTr="003B7A88">
        <w:trPr>
          <w:trHeight w:val="256"/>
        </w:trPr>
        <w:tc>
          <w:tcPr>
            <w:tcW w:w="2250" w:type="dxa"/>
            <w:tcBorders>
              <w:top w:val="nil"/>
              <w:left w:val="nil"/>
              <w:bottom w:val="nil"/>
              <w:right w:val="nil"/>
            </w:tcBorders>
            <w:shd w:val="clear" w:color="auto" w:fill="auto"/>
            <w:noWrap/>
            <w:vAlign w:val="center"/>
            <w:hideMark/>
          </w:tcPr>
          <w:p w14:paraId="419CA6CE" w14:textId="4C29B24B" w:rsidR="000C660F" w:rsidRPr="003B7A88" w:rsidRDefault="000C660F" w:rsidP="000C660F">
            <w:pPr>
              <w:spacing w:after="0" w:line="240" w:lineRule="auto"/>
              <w:rPr>
                <w:rFonts w:ascii="Arial" w:eastAsia="Times New Roman" w:hAnsi="Arial" w:cs="Arial"/>
                <w:color w:val="39414D"/>
                <w:sz w:val="16"/>
                <w:szCs w:val="16"/>
              </w:rPr>
            </w:pPr>
            <w:r w:rsidRPr="003B7A88">
              <w:rPr>
                <w:rFonts w:ascii="Arial" w:hAnsi="Arial" w:cs="Arial"/>
                <w:color w:val="39414D"/>
                <w:sz w:val="16"/>
                <w:szCs w:val="16"/>
              </w:rPr>
              <w:t>Duals 65+ HCBS</w:t>
            </w:r>
          </w:p>
        </w:tc>
        <w:tc>
          <w:tcPr>
            <w:tcW w:w="1480" w:type="dxa"/>
            <w:tcBorders>
              <w:top w:val="nil"/>
              <w:left w:val="nil"/>
              <w:bottom w:val="nil"/>
              <w:right w:val="nil"/>
            </w:tcBorders>
            <w:shd w:val="clear" w:color="auto" w:fill="auto"/>
            <w:noWrap/>
            <w:vAlign w:val="center"/>
            <w:hideMark/>
          </w:tcPr>
          <w:p w14:paraId="31B7FBE3" w14:textId="4C2D6317"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0.1% </w:t>
            </w:r>
          </w:p>
        </w:tc>
        <w:tc>
          <w:tcPr>
            <w:tcW w:w="1481" w:type="dxa"/>
            <w:gridSpan w:val="2"/>
            <w:tcBorders>
              <w:top w:val="nil"/>
              <w:left w:val="nil"/>
              <w:bottom w:val="nil"/>
              <w:right w:val="nil"/>
            </w:tcBorders>
            <w:shd w:val="clear" w:color="auto" w:fill="auto"/>
            <w:noWrap/>
            <w:vAlign w:val="center"/>
            <w:hideMark/>
          </w:tcPr>
          <w:p w14:paraId="7A46FF24" w14:textId="0BCAB247"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2.7% </w:t>
            </w:r>
          </w:p>
        </w:tc>
        <w:tc>
          <w:tcPr>
            <w:tcW w:w="1481" w:type="dxa"/>
            <w:gridSpan w:val="2"/>
            <w:tcBorders>
              <w:top w:val="nil"/>
              <w:left w:val="nil"/>
              <w:bottom w:val="nil"/>
              <w:right w:val="nil"/>
            </w:tcBorders>
            <w:shd w:val="clear" w:color="auto" w:fill="auto"/>
            <w:noWrap/>
            <w:vAlign w:val="center"/>
            <w:hideMark/>
          </w:tcPr>
          <w:p w14:paraId="10B6F374" w14:textId="1E846BD2"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0.7% </w:t>
            </w:r>
          </w:p>
        </w:tc>
        <w:tc>
          <w:tcPr>
            <w:tcW w:w="1481" w:type="dxa"/>
            <w:tcBorders>
              <w:top w:val="nil"/>
              <w:left w:val="nil"/>
              <w:bottom w:val="nil"/>
              <w:right w:val="nil"/>
            </w:tcBorders>
            <w:shd w:val="clear" w:color="auto" w:fill="auto"/>
            <w:noWrap/>
            <w:vAlign w:val="center"/>
            <w:hideMark/>
          </w:tcPr>
          <w:p w14:paraId="55A667DB" w14:textId="16C8504B"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1.0% </w:t>
            </w:r>
          </w:p>
        </w:tc>
        <w:tc>
          <w:tcPr>
            <w:tcW w:w="1481" w:type="dxa"/>
            <w:tcBorders>
              <w:top w:val="nil"/>
              <w:left w:val="nil"/>
              <w:bottom w:val="nil"/>
              <w:right w:val="nil"/>
            </w:tcBorders>
            <w:shd w:val="clear" w:color="auto" w:fill="auto"/>
            <w:noWrap/>
            <w:vAlign w:val="center"/>
            <w:hideMark/>
          </w:tcPr>
          <w:p w14:paraId="6BEB17AB" w14:textId="44AFEB24" w:rsidR="000C660F" w:rsidRPr="000C660F" w:rsidRDefault="000C660F" w:rsidP="000C660F">
            <w:pPr>
              <w:spacing w:after="0" w:line="240" w:lineRule="auto"/>
              <w:jc w:val="right"/>
              <w:rPr>
                <w:rFonts w:ascii="Arial" w:eastAsia="Times New Roman" w:hAnsi="Arial" w:cs="Arial"/>
                <w:color w:val="39414D"/>
                <w:sz w:val="16"/>
                <w:szCs w:val="16"/>
              </w:rPr>
            </w:pPr>
            <w:r w:rsidRPr="00097A11">
              <w:rPr>
                <w:rFonts w:ascii="Arial" w:hAnsi="Arial" w:cs="Arial"/>
                <w:color w:val="39414D"/>
                <w:sz w:val="16"/>
                <w:szCs w:val="16"/>
              </w:rPr>
              <w:t>36.</w:t>
            </w:r>
            <w:r w:rsidR="0050726D">
              <w:rPr>
                <w:rFonts w:ascii="Arial" w:hAnsi="Arial" w:cs="Arial"/>
                <w:color w:val="39414D"/>
                <w:sz w:val="16"/>
                <w:szCs w:val="16"/>
              </w:rPr>
              <w:t>3</w:t>
            </w:r>
            <w:r w:rsidRPr="00097A11">
              <w:rPr>
                <w:rFonts w:ascii="Arial" w:hAnsi="Arial" w:cs="Arial"/>
                <w:color w:val="39414D"/>
                <w:sz w:val="16"/>
                <w:szCs w:val="16"/>
              </w:rPr>
              <w:t xml:space="preserve">% </w:t>
            </w:r>
          </w:p>
        </w:tc>
      </w:tr>
      <w:tr w:rsidR="000C660F" w:rsidRPr="0044025B" w14:paraId="647FED4A" w14:textId="77777777" w:rsidTr="003B7A88">
        <w:trPr>
          <w:trHeight w:val="256"/>
        </w:trPr>
        <w:tc>
          <w:tcPr>
            <w:tcW w:w="2250" w:type="dxa"/>
            <w:tcBorders>
              <w:top w:val="nil"/>
              <w:left w:val="nil"/>
              <w:bottom w:val="nil"/>
              <w:right w:val="nil"/>
            </w:tcBorders>
            <w:shd w:val="clear" w:color="000000" w:fill="E8E9E9"/>
            <w:noWrap/>
            <w:vAlign w:val="center"/>
            <w:hideMark/>
          </w:tcPr>
          <w:p w14:paraId="27B9792E" w14:textId="2AC895D5" w:rsidR="000C660F" w:rsidRPr="003B7A88" w:rsidRDefault="000C660F" w:rsidP="000C660F">
            <w:pPr>
              <w:spacing w:after="0" w:line="240" w:lineRule="auto"/>
              <w:rPr>
                <w:rFonts w:ascii="Arial" w:eastAsia="Times New Roman" w:hAnsi="Arial" w:cs="Arial"/>
                <w:color w:val="39414D"/>
                <w:sz w:val="16"/>
                <w:szCs w:val="16"/>
              </w:rPr>
            </w:pPr>
            <w:r w:rsidRPr="003B7A88">
              <w:rPr>
                <w:rFonts w:ascii="Arial" w:hAnsi="Arial" w:cs="Arial"/>
                <w:color w:val="39414D"/>
                <w:sz w:val="16"/>
                <w:szCs w:val="16"/>
              </w:rPr>
              <w:t>Duals 65+ NH</w:t>
            </w:r>
          </w:p>
        </w:tc>
        <w:tc>
          <w:tcPr>
            <w:tcW w:w="1480" w:type="dxa"/>
            <w:tcBorders>
              <w:top w:val="nil"/>
              <w:left w:val="nil"/>
              <w:bottom w:val="nil"/>
              <w:right w:val="nil"/>
            </w:tcBorders>
            <w:shd w:val="clear" w:color="000000" w:fill="E8E9E9"/>
            <w:noWrap/>
            <w:vAlign w:val="center"/>
            <w:hideMark/>
          </w:tcPr>
          <w:p w14:paraId="116A8EEA" w14:textId="497816A9"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000000" w:fill="E8E9E9"/>
            <w:noWrap/>
            <w:vAlign w:val="center"/>
            <w:hideMark/>
          </w:tcPr>
          <w:p w14:paraId="3FF95923" w14:textId="662077D6"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000000" w:fill="E8E9E9"/>
            <w:noWrap/>
            <w:vAlign w:val="center"/>
            <w:hideMark/>
          </w:tcPr>
          <w:p w14:paraId="5BDD5B0C" w14:textId="16C5C742"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000000" w:fill="E8E9E9"/>
            <w:noWrap/>
            <w:vAlign w:val="center"/>
            <w:hideMark/>
          </w:tcPr>
          <w:p w14:paraId="55FAB233" w14:textId="2E35C82E"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000000" w:fill="E8E9E9"/>
            <w:noWrap/>
            <w:vAlign w:val="center"/>
            <w:hideMark/>
          </w:tcPr>
          <w:p w14:paraId="0D933C60" w14:textId="7D521A6A" w:rsidR="000C660F" w:rsidRPr="000C660F" w:rsidRDefault="000C660F" w:rsidP="000C660F">
            <w:pPr>
              <w:spacing w:after="0" w:line="240" w:lineRule="auto"/>
              <w:jc w:val="right"/>
              <w:rPr>
                <w:rFonts w:ascii="Arial" w:eastAsia="Times New Roman" w:hAnsi="Arial" w:cs="Arial"/>
                <w:color w:val="39414D"/>
                <w:sz w:val="16"/>
                <w:szCs w:val="16"/>
              </w:rPr>
            </w:pPr>
            <w:r w:rsidRPr="00097A11">
              <w:rPr>
                <w:rFonts w:ascii="Arial" w:hAnsi="Arial" w:cs="Arial"/>
                <w:color w:val="39414D"/>
                <w:sz w:val="16"/>
                <w:szCs w:val="16"/>
              </w:rPr>
              <w:t xml:space="preserve">0.0% </w:t>
            </w:r>
          </w:p>
        </w:tc>
      </w:tr>
      <w:tr w:rsidR="000C660F" w:rsidRPr="0044025B" w14:paraId="7538238F" w14:textId="77777777" w:rsidTr="003B7A88">
        <w:trPr>
          <w:trHeight w:val="256"/>
        </w:trPr>
        <w:tc>
          <w:tcPr>
            <w:tcW w:w="2250" w:type="dxa"/>
            <w:tcBorders>
              <w:top w:val="nil"/>
              <w:left w:val="nil"/>
              <w:bottom w:val="nil"/>
              <w:right w:val="nil"/>
            </w:tcBorders>
            <w:shd w:val="clear" w:color="auto" w:fill="auto"/>
            <w:noWrap/>
            <w:vAlign w:val="center"/>
            <w:hideMark/>
          </w:tcPr>
          <w:p w14:paraId="1ABF157D" w14:textId="69BD8E9F" w:rsidR="000C660F" w:rsidRPr="003B7A88" w:rsidRDefault="000C660F" w:rsidP="000C660F">
            <w:pPr>
              <w:spacing w:after="0" w:line="240" w:lineRule="auto"/>
              <w:rPr>
                <w:rFonts w:ascii="Arial" w:eastAsia="Times New Roman" w:hAnsi="Arial" w:cs="Arial"/>
                <w:color w:val="39414D"/>
                <w:sz w:val="16"/>
                <w:szCs w:val="16"/>
              </w:rPr>
            </w:pPr>
            <w:r w:rsidRPr="003B7A88">
              <w:rPr>
                <w:rFonts w:ascii="Arial" w:hAnsi="Arial" w:cs="Arial"/>
                <w:color w:val="39414D"/>
                <w:sz w:val="16"/>
                <w:szCs w:val="16"/>
              </w:rPr>
              <w:t>Non-Duals HCBS</w:t>
            </w:r>
          </w:p>
        </w:tc>
        <w:tc>
          <w:tcPr>
            <w:tcW w:w="1480" w:type="dxa"/>
            <w:tcBorders>
              <w:top w:val="nil"/>
              <w:left w:val="nil"/>
              <w:bottom w:val="nil"/>
              <w:right w:val="nil"/>
            </w:tcBorders>
            <w:shd w:val="clear" w:color="auto" w:fill="auto"/>
            <w:noWrap/>
            <w:vAlign w:val="center"/>
            <w:hideMark/>
          </w:tcPr>
          <w:p w14:paraId="2FA81B93" w14:textId="0795D82C"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0.6% </w:t>
            </w:r>
          </w:p>
        </w:tc>
        <w:tc>
          <w:tcPr>
            <w:tcW w:w="1481" w:type="dxa"/>
            <w:gridSpan w:val="2"/>
            <w:tcBorders>
              <w:top w:val="nil"/>
              <w:left w:val="nil"/>
              <w:bottom w:val="nil"/>
              <w:right w:val="nil"/>
            </w:tcBorders>
            <w:shd w:val="clear" w:color="auto" w:fill="auto"/>
            <w:noWrap/>
            <w:vAlign w:val="center"/>
            <w:hideMark/>
          </w:tcPr>
          <w:p w14:paraId="5F36B4F6" w14:textId="0DA5FD6B"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2.3% </w:t>
            </w:r>
          </w:p>
        </w:tc>
        <w:tc>
          <w:tcPr>
            <w:tcW w:w="1481" w:type="dxa"/>
            <w:gridSpan w:val="2"/>
            <w:tcBorders>
              <w:top w:val="nil"/>
              <w:left w:val="nil"/>
              <w:bottom w:val="nil"/>
              <w:right w:val="nil"/>
            </w:tcBorders>
            <w:shd w:val="clear" w:color="auto" w:fill="auto"/>
            <w:noWrap/>
            <w:vAlign w:val="center"/>
            <w:hideMark/>
          </w:tcPr>
          <w:p w14:paraId="50C9240C" w14:textId="403885DD"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0.4% </w:t>
            </w:r>
          </w:p>
        </w:tc>
        <w:tc>
          <w:tcPr>
            <w:tcW w:w="1481" w:type="dxa"/>
            <w:tcBorders>
              <w:top w:val="nil"/>
              <w:left w:val="nil"/>
              <w:bottom w:val="nil"/>
              <w:right w:val="nil"/>
            </w:tcBorders>
            <w:shd w:val="clear" w:color="auto" w:fill="auto"/>
            <w:noWrap/>
            <w:vAlign w:val="center"/>
            <w:hideMark/>
          </w:tcPr>
          <w:p w14:paraId="4F78C2AA" w14:textId="2FAA5C59"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0.6% </w:t>
            </w:r>
          </w:p>
        </w:tc>
        <w:tc>
          <w:tcPr>
            <w:tcW w:w="1481" w:type="dxa"/>
            <w:tcBorders>
              <w:top w:val="nil"/>
              <w:left w:val="nil"/>
              <w:bottom w:val="nil"/>
              <w:right w:val="nil"/>
            </w:tcBorders>
            <w:shd w:val="clear" w:color="auto" w:fill="auto"/>
            <w:noWrap/>
            <w:vAlign w:val="center"/>
            <w:hideMark/>
          </w:tcPr>
          <w:p w14:paraId="66D0D995" w14:textId="51CC4CD8" w:rsidR="000C660F" w:rsidRPr="000C660F" w:rsidRDefault="000C660F" w:rsidP="000C660F">
            <w:pPr>
              <w:spacing w:after="0" w:line="240" w:lineRule="auto"/>
              <w:jc w:val="right"/>
              <w:rPr>
                <w:rFonts w:ascii="Arial" w:eastAsia="Times New Roman" w:hAnsi="Arial" w:cs="Arial"/>
                <w:color w:val="39414D"/>
                <w:sz w:val="16"/>
                <w:szCs w:val="16"/>
              </w:rPr>
            </w:pPr>
            <w:r w:rsidRPr="00097A11">
              <w:rPr>
                <w:rFonts w:ascii="Arial" w:hAnsi="Arial" w:cs="Arial"/>
                <w:color w:val="39414D"/>
                <w:sz w:val="16"/>
                <w:szCs w:val="16"/>
              </w:rPr>
              <w:t xml:space="preserve">20.6% </w:t>
            </w:r>
          </w:p>
        </w:tc>
      </w:tr>
      <w:tr w:rsidR="000C660F" w:rsidRPr="0044025B" w14:paraId="487C0C35" w14:textId="77777777" w:rsidTr="003B7A88">
        <w:trPr>
          <w:trHeight w:val="256"/>
        </w:trPr>
        <w:tc>
          <w:tcPr>
            <w:tcW w:w="2250" w:type="dxa"/>
            <w:tcBorders>
              <w:top w:val="nil"/>
              <w:left w:val="nil"/>
              <w:bottom w:val="nil"/>
              <w:right w:val="nil"/>
            </w:tcBorders>
            <w:shd w:val="clear" w:color="000000" w:fill="E8E9E9"/>
            <w:noWrap/>
            <w:vAlign w:val="center"/>
            <w:hideMark/>
          </w:tcPr>
          <w:p w14:paraId="05B91D83" w14:textId="4C2615FF" w:rsidR="000C660F" w:rsidRPr="003B7A88" w:rsidRDefault="000C660F" w:rsidP="000C660F">
            <w:pPr>
              <w:spacing w:after="0" w:line="240" w:lineRule="auto"/>
              <w:rPr>
                <w:rFonts w:ascii="Arial" w:eastAsia="Times New Roman" w:hAnsi="Arial" w:cs="Arial"/>
                <w:color w:val="39414D"/>
                <w:sz w:val="16"/>
                <w:szCs w:val="16"/>
              </w:rPr>
            </w:pPr>
            <w:r w:rsidRPr="003B7A88">
              <w:rPr>
                <w:rFonts w:ascii="Arial" w:hAnsi="Arial" w:cs="Arial"/>
                <w:color w:val="39414D"/>
                <w:sz w:val="16"/>
                <w:szCs w:val="16"/>
              </w:rPr>
              <w:t>Non-Duals NH</w:t>
            </w:r>
          </w:p>
        </w:tc>
        <w:tc>
          <w:tcPr>
            <w:tcW w:w="1480" w:type="dxa"/>
            <w:tcBorders>
              <w:top w:val="nil"/>
              <w:left w:val="nil"/>
              <w:bottom w:val="nil"/>
              <w:right w:val="nil"/>
            </w:tcBorders>
            <w:shd w:val="clear" w:color="000000" w:fill="E8E9E9"/>
            <w:noWrap/>
            <w:vAlign w:val="center"/>
            <w:hideMark/>
          </w:tcPr>
          <w:p w14:paraId="29ADE81C" w14:textId="5BD72D53"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000000" w:fill="E8E9E9"/>
            <w:noWrap/>
            <w:vAlign w:val="center"/>
            <w:hideMark/>
          </w:tcPr>
          <w:p w14:paraId="0FAE3285" w14:textId="41DC1F7E"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gridSpan w:val="2"/>
            <w:tcBorders>
              <w:top w:val="nil"/>
              <w:left w:val="nil"/>
              <w:bottom w:val="nil"/>
              <w:right w:val="nil"/>
            </w:tcBorders>
            <w:shd w:val="clear" w:color="000000" w:fill="E8E9E9"/>
            <w:noWrap/>
            <w:vAlign w:val="center"/>
            <w:hideMark/>
          </w:tcPr>
          <w:p w14:paraId="28D4E292" w14:textId="072FC72C"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000000" w:fill="E8E9E9"/>
            <w:noWrap/>
            <w:vAlign w:val="center"/>
            <w:hideMark/>
          </w:tcPr>
          <w:p w14:paraId="0A04D51B" w14:textId="3434E192" w:rsidR="000C660F" w:rsidRPr="003B7A88" w:rsidRDefault="000C660F" w:rsidP="000C660F">
            <w:pPr>
              <w:spacing w:after="0" w:line="240" w:lineRule="auto"/>
              <w:jc w:val="right"/>
              <w:rPr>
                <w:rFonts w:ascii="Arial" w:eastAsia="Times New Roman" w:hAnsi="Arial" w:cs="Arial"/>
                <w:color w:val="39414D"/>
                <w:sz w:val="16"/>
                <w:szCs w:val="16"/>
              </w:rPr>
            </w:pPr>
            <w:r w:rsidRPr="003B7A88">
              <w:rPr>
                <w:rFonts w:ascii="Arial" w:hAnsi="Arial" w:cs="Arial"/>
                <w:color w:val="39414D"/>
                <w:sz w:val="16"/>
                <w:szCs w:val="16"/>
              </w:rPr>
              <w:t xml:space="preserve">0.0% </w:t>
            </w:r>
          </w:p>
        </w:tc>
        <w:tc>
          <w:tcPr>
            <w:tcW w:w="1481" w:type="dxa"/>
            <w:tcBorders>
              <w:top w:val="nil"/>
              <w:left w:val="nil"/>
              <w:bottom w:val="nil"/>
              <w:right w:val="nil"/>
            </w:tcBorders>
            <w:shd w:val="clear" w:color="000000" w:fill="E8E9E9"/>
            <w:noWrap/>
            <w:vAlign w:val="center"/>
            <w:hideMark/>
          </w:tcPr>
          <w:p w14:paraId="76702D05" w14:textId="25ACC985" w:rsidR="000C660F" w:rsidRPr="000C660F" w:rsidRDefault="000C660F" w:rsidP="000C660F">
            <w:pPr>
              <w:spacing w:after="0" w:line="240" w:lineRule="auto"/>
              <w:jc w:val="right"/>
              <w:rPr>
                <w:rFonts w:ascii="Arial" w:eastAsia="Times New Roman" w:hAnsi="Arial" w:cs="Arial"/>
                <w:color w:val="39414D"/>
                <w:sz w:val="16"/>
                <w:szCs w:val="16"/>
              </w:rPr>
            </w:pPr>
            <w:r w:rsidRPr="00097A11">
              <w:rPr>
                <w:rFonts w:ascii="Arial" w:hAnsi="Arial" w:cs="Arial"/>
                <w:color w:val="39414D"/>
                <w:sz w:val="16"/>
                <w:szCs w:val="16"/>
              </w:rPr>
              <w:t xml:space="preserve">0.1% </w:t>
            </w:r>
          </w:p>
        </w:tc>
      </w:tr>
      <w:tr w:rsidR="000C660F" w:rsidRPr="0044025B" w14:paraId="3F13AE97" w14:textId="77777777" w:rsidTr="003B7A88">
        <w:trPr>
          <w:trHeight w:val="256"/>
        </w:trPr>
        <w:tc>
          <w:tcPr>
            <w:tcW w:w="2250" w:type="dxa"/>
            <w:tcBorders>
              <w:top w:val="nil"/>
              <w:left w:val="nil"/>
              <w:bottom w:val="nil"/>
              <w:right w:val="nil"/>
            </w:tcBorders>
            <w:shd w:val="clear" w:color="auto" w:fill="auto"/>
            <w:noWrap/>
            <w:vAlign w:val="center"/>
          </w:tcPr>
          <w:p w14:paraId="43885C1B" w14:textId="25E9F82E" w:rsidR="000C660F" w:rsidRPr="00DA68EC" w:rsidRDefault="000C660F" w:rsidP="000C660F">
            <w:pPr>
              <w:spacing w:after="0" w:line="240" w:lineRule="auto"/>
              <w:rPr>
                <w:rFonts w:ascii="Arial" w:hAnsi="Arial" w:cs="Arial"/>
                <w:color w:val="39414D"/>
                <w:sz w:val="16"/>
                <w:szCs w:val="16"/>
              </w:rPr>
            </w:pPr>
            <w:r w:rsidRPr="003B7A88">
              <w:rPr>
                <w:rFonts w:ascii="Arial" w:hAnsi="Arial" w:cs="Arial"/>
                <w:color w:val="39414D"/>
                <w:sz w:val="16"/>
                <w:szCs w:val="16"/>
              </w:rPr>
              <w:t>RHP Non-Duals HCBS</w:t>
            </w:r>
          </w:p>
        </w:tc>
        <w:tc>
          <w:tcPr>
            <w:tcW w:w="1480" w:type="dxa"/>
            <w:tcBorders>
              <w:top w:val="nil"/>
              <w:left w:val="nil"/>
              <w:bottom w:val="nil"/>
              <w:right w:val="nil"/>
            </w:tcBorders>
            <w:shd w:val="clear" w:color="auto" w:fill="auto"/>
            <w:noWrap/>
            <w:vAlign w:val="center"/>
          </w:tcPr>
          <w:p w14:paraId="61423F5D" w14:textId="1BAC734B"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0.8% </w:t>
            </w:r>
          </w:p>
        </w:tc>
        <w:tc>
          <w:tcPr>
            <w:tcW w:w="1481" w:type="dxa"/>
            <w:gridSpan w:val="2"/>
            <w:tcBorders>
              <w:top w:val="nil"/>
              <w:left w:val="nil"/>
              <w:bottom w:val="nil"/>
              <w:right w:val="nil"/>
            </w:tcBorders>
            <w:shd w:val="clear" w:color="auto" w:fill="auto"/>
            <w:noWrap/>
            <w:vAlign w:val="center"/>
          </w:tcPr>
          <w:p w14:paraId="4585BE88" w14:textId="597A3DDC"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3.2% </w:t>
            </w:r>
          </w:p>
        </w:tc>
        <w:tc>
          <w:tcPr>
            <w:tcW w:w="1481" w:type="dxa"/>
            <w:gridSpan w:val="2"/>
            <w:tcBorders>
              <w:top w:val="nil"/>
              <w:left w:val="nil"/>
              <w:bottom w:val="nil"/>
              <w:right w:val="nil"/>
            </w:tcBorders>
            <w:shd w:val="clear" w:color="auto" w:fill="auto"/>
            <w:noWrap/>
            <w:vAlign w:val="center"/>
          </w:tcPr>
          <w:p w14:paraId="36EB48E4" w14:textId="4CBAC6C9"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0.5% </w:t>
            </w:r>
          </w:p>
        </w:tc>
        <w:tc>
          <w:tcPr>
            <w:tcW w:w="1481" w:type="dxa"/>
            <w:tcBorders>
              <w:top w:val="nil"/>
              <w:left w:val="nil"/>
              <w:bottom w:val="nil"/>
              <w:right w:val="nil"/>
            </w:tcBorders>
            <w:shd w:val="clear" w:color="auto" w:fill="auto"/>
            <w:noWrap/>
            <w:vAlign w:val="center"/>
          </w:tcPr>
          <w:p w14:paraId="7B58125D" w14:textId="37171B79" w:rsidR="000C660F" w:rsidRPr="00AF0058" w:rsidRDefault="000C660F" w:rsidP="000C660F">
            <w:pPr>
              <w:spacing w:after="0" w:line="240" w:lineRule="auto"/>
              <w:jc w:val="right"/>
              <w:rPr>
                <w:rFonts w:ascii="Arial" w:hAnsi="Arial" w:cs="Arial"/>
                <w:color w:val="39414D"/>
                <w:sz w:val="16"/>
                <w:szCs w:val="16"/>
              </w:rPr>
            </w:pPr>
            <w:r w:rsidRPr="003B7A88">
              <w:rPr>
                <w:rFonts w:ascii="Arial" w:hAnsi="Arial" w:cs="Arial"/>
                <w:color w:val="39414D"/>
                <w:sz w:val="16"/>
                <w:szCs w:val="16"/>
              </w:rPr>
              <w:t xml:space="preserve">1.0% </w:t>
            </w:r>
          </w:p>
        </w:tc>
        <w:tc>
          <w:tcPr>
            <w:tcW w:w="1481" w:type="dxa"/>
            <w:tcBorders>
              <w:top w:val="nil"/>
              <w:left w:val="nil"/>
              <w:bottom w:val="nil"/>
              <w:right w:val="nil"/>
            </w:tcBorders>
            <w:shd w:val="clear" w:color="auto" w:fill="auto"/>
            <w:noWrap/>
            <w:vAlign w:val="center"/>
          </w:tcPr>
          <w:p w14:paraId="7CC57B2F" w14:textId="17D302B9" w:rsidR="000C660F" w:rsidRPr="000C660F" w:rsidRDefault="000C660F" w:rsidP="000C660F">
            <w:pPr>
              <w:spacing w:after="0" w:line="240" w:lineRule="auto"/>
              <w:jc w:val="right"/>
              <w:rPr>
                <w:rFonts w:ascii="Arial" w:hAnsi="Arial" w:cs="Arial"/>
                <w:color w:val="39414D"/>
                <w:sz w:val="16"/>
                <w:szCs w:val="16"/>
              </w:rPr>
            </w:pPr>
            <w:r w:rsidRPr="00097A11">
              <w:rPr>
                <w:rFonts w:ascii="Arial" w:hAnsi="Arial" w:cs="Arial"/>
                <w:color w:val="39414D"/>
                <w:sz w:val="16"/>
                <w:szCs w:val="16"/>
              </w:rPr>
              <w:t>37.</w:t>
            </w:r>
            <w:r w:rsidR="0050726D">
              <w:rPr>
                <w:rFonts w:ascii="Arial" w:hAnsi="Arial" w:cs="Arial"/>
                <w:color w:val="39414D"/>
                <w:sz w:val="16"/>
                <w:szCs w:val="16"/>
              </w:rPr>
              <w:t>0</w:t>
            </w:r>
            <w:r w:rsidRPr="00097A11">
              <w:rPr>
                <w:rFonts w:ascii="Arial" w:hAnsi="Arial" w:cs="Arial"/>
                <w:color w:val="39414D"/>
                <w:sz w:val="16"/>
                <w:szCs w:val="16"/>
              </w:rPr>
              <w:t xml:space="preserve">% </w:t>
            </w:r>
          </w:p>
        </w:tc>
      </w:tr>
    </w:tbl>
    <w:p w14:paraId="59ED1C9A" w14:textId="384AA1EF" w:rsidR="00461D58" w:rsidRPr="006B42A9" w:rsidRDefault="00461D58" w:rsidP="003B7A88">
      <w:pPr>
        <w:pStyle w:val="RRBullet1"/>
        <w:spacing w:after="0"/>
        <w:ind w:left="270"/>
        <w:rPr>
          <w:rFonts w:ascii="Arial" w:eastAsia="Times New Roman" w:hAnsi="Arial" w:cs="Arial"/>
          <w:color w:val="727A7D"/>
          <w:sz w:val="16"/>
          <w:szCs w:val="16"/>
        </w:rPr>
      </w:pPr>
      <w:r w:rsidRPr="00292769">
        <w:rPr>
          <w:rFonts w:ascii="Arial" w:eastAsia="Times New Roman" w:hAnsi="Arial" w:cs="Arial"/>
          <w:color w:val="727A7D"/>
          <w:sz w:val="16"/>
          <w:szCs w:val="16"/>
        </w:rPr>
        <w:t xml:space="preserve"> </w:t>
      </w:r>
      <w:r w:rsidRPr="006B42A9">
        <w:rPr>
          <w:rFonts w:ascii="Arial" w:eastAsia="Times New Roman" w:hAnsi="Arial" w:cs="Arial"/>
          <w:color w:val="727A7D"/>
          <w:sz w:val="16"/>
          <w:szCs w:val="16"/>
        </w:rPr>
        <w:t>Note:</w:t>
      </w:r>
      <w:r>
        <w:rPr>
          <w:rFonts w:ascii="Arial" w:eastAsia="Times New Roman" w:hAnsi="Arial" w:cs="Arial"/>
          <w:color w:val="727A7D"/>
          <w:sz w:val="16"/>
          <w:szCs w:val="16"/>
        </w:rPr>
        <w:t xml:space="preserve"> Percentage illustrated represents the percent impact to total costs for the rate cell.</w:t>
      </w:r>
      <w:r w:rsidR="00684CF8">
        <w:rPr>
          <w:rFonts w:ascii="Arial" w:eastAsia="Times New Roman" w:hAnsi="Arial" w:cs="Arial"/>
          <w:color w:val="727A7D"/>
          <w:sz w:val="16"/>
          <w:szCs w:val="16"/>
        </w:rPr>
        <w:t xml:space="preserve"> The RHP Non-Duals HCBS percentages represent the </w:t>
      </w:r>
      <w:r w:rsidR="008D4BE1">
        <w:rPr>
          <w:rFonts w:ascii="Arial" w:eastAsia="Times New Roman" w:hAnsi="Arial" w:cs="Arial"/>
          <w:color w:val="727A7D"/>
          <w:sz w:val="16"/>
          <w:szCs w:val="16"/>
        </w:rPr>
        <w:t xml:space="preserve">percent impact to </w:t>
      </w:r>
      <w:r w:rsidR="00684CF8">
        <w:rPr>
          <w:rFonts w:ascii="Arial" w:eastAsia="Times New Roman" w:hAnsi="Arial" w:cs="Arial"/>
          <w:color w:val="727A7D"/>
          <w:sz w:val="16"/>
          <w:szCs w:val="16"/>
        </w:rPr>
        <w:t>total costs prior to the application of the Medicaid managed care capitation payment (illustrated in Appendix 3).</w:t>
      </w:r>
    </w:p>
    <w:p w14:paraId="5B4B0E06" w14:textId="77777777" w:rsidR="00461D58" w:rsidRPr="00F0656A" w:rsidRDefault="00461D58" w:rsidP="008405A2">
      <w:pPr>
        <w:pStyle w:val="RRNumberedBullet1"/>
        <w:numPr>
          <w:ilvl w:val="0"/>
          <w:numId w:val="15"/>
        </w:numPr>
        <w:spacing w:before="60" w:line="288" w:lineRule="auto"/>
        <w:jc w:val="left"/>
        <w:rPr>
          <w:b/>
        </w:rPr>
      </w:pPr>
      <w:r>
        <w:rPr>
          <w:b/>
        </w:rPr>
        <w:t xml:space="preserve">Shared Living Increase: </w:t>
      </w:r>
      <w:r>
        <w:rPr>
          <w:bCs/>
        </w:rPr>
        <w:t xml:space="preserve">Effective July 1, 2021, </w:t>
      </w:r>
      <w:r w:rsidRPr="00294248">
        <w:rPr>
          <w:bCs/>
        </w:rPr>
        <w:t xml:space="preserve">adult companion care (procedure code S5136) reimbursement in shared living settings </w:t>
      </w:r>
      <w:r>
        <w:rPr>
          <w:bCs/>
        </w:rPr>
        <w:t>was</w:t>
      </w:r>
      <w:r w:rsidRPr="00294248">
        <w:rPr>
          <w:bCs/>
        </w:rPr>
        <w:t xml:space="preserve"> increased by 10%</w:t>
      </w:r>
      <w:r>
        <w:rPr>
          <w:bCs/>
        </w:rPr>
        <w:t>.</w:t>
      </w:r>
      <w:r w:rsidRPr="00294248">
        <w:rPr>
          <w:bCs/>
        </w:rPr>
        <w:t xml:space="preserve"> </w:t>
      </w:r>
      <w:r>
        <w:t>We estimated the fiscal impact of the reimbursement increase based on historical utilization for this code.</w:t>
      </w:r>
    </w:p>
    <w:p w14:paraId="6965E2C1" w14:textId="6D9B01A5" w:rsidR="00461D58" w:rsidRPr="00F0656A" w:rsidRDefault="00461D58" w:rsidP="008405A2">
      <w:pPr>
        <w:pStyle w:val="RRNumberedBullet1"/>
        <w:numPr>
          <w:ilvl w:val="0"/>
          <w:numId w:val="15"/>
        </w:numPr>
        <w:spacing w:before="60" w:line="288" w:lineRule="auto"/>
        <w:jc w:val="left"/>
        <w:rPr>
          <w:b/>
        </w:rPr>
      </w:pPr>
      <w:r>
        <w:rPr>
          <w:b/>
        </w:rPr>
        <w:t xml:space="preserve">Assisted Living Tiers: </w:t>
      </w:r>
      <w:r w:rsidRPr="00F0656A">
        <w:rPr>
          <w:bCs/>
        </w:rPr>
        <w:t xml:space="preserve">Effective November 1, 2021, assisted living services </w:t>
      </w:r>
      <w:r>
        <w:rPr>
          <w:bCs/>
        </w:rPr>
        <w:t>was</w:t>
      </w:r>
      <w:r w:rsidRPr="00F0656A">
        <w:rPr>
          <w:bCs/>
        </w:rPr>
        <w:t xml:space="preserve"> reimbursed under a tiered rating system. Tiers A and B (Basic and Enhanced, respectively) </w:t>
      </w:r>
      <w:r>
        <w:rPr>
          <w:bCs/>
        </w:rPr>
        <w:t>were</w:t>
      </w:r>
      <w:r w:rsidRPr="00F0656A">
        <w:rPr>
          <w:bCs/>
        </w:rPr>
        <w:t xml:space="preserve"> effective November 1, 2021, with a third tier (Tier C: Intensive/Highly Specialized) effective January 1, 2022. The tiered reimbursement replaces the current assisted living reimbursement under procedure code T2031</w:t>
      </w:r>
      <w:r w:rsidRPr="00294248">
        <w:rPr>
          <w:bCs/>
        </w:rPr>
        <w:t xml:space="preserve">. </w:t>
      </w:r>
    </w:p>
    <w:p w14:paraId="04B8F982" w14:textId="27B4393B" w:rsidR="00461D58" w:rsidRPr="00E7083F" w:rsidRDefault="00461D58" w:rsidP="003771D7">
      <w:pPr>
        <w:pStyle w:val="RRNumberedBullet1"/>
        <w:spacing w:before="60"/>
        <w:ind w:left="360"/>
        <w:rPr>
          <w:b/>
        </w:rPr>
      </w:pPr>
      <w:r>
        <w:rPr>
          <w:bCs/>
        </w:rPr>
        <w:t xml:space="preserve">The fiscal impact of this program was developed by comparing the estimated composite cost per diem for the tiered rates (approximately $96) to the current assisted living per diem ($69.00) for the effective periods. In addition, we estimated a composite reduction of other Medicaid services of approximately $2.50 </w:t>
      </w:r>
      <w:r w:rsidR="00ED4798">
        <w:rPr>
          <w:bCs/>
        </w:rPr>
        <w:t xml:space="preserve">per diem </w:t>
      </w:r>
      <w:r>
        <w:rPr>
          <w:bCs/>
        </w:rPr>
        <w:t>attributable to the enhanced services that will be provided in the Tier B and Tier C benefit based on discussions with EOHHS.</w:t>
      </w:r>
    </w:p>
    <w:p w14:paraId="47489936" w14:textId="77777777" w:rsidR="00461D58" w:rsidRDefault="00461D58" w:rsidP="008405A2">
      <w:pPr>
        <w:pStyle w:val="RRNumberedBullet1"/>
        <w:numPr>
          <w:ilvl w:val="0"/>
          <w:numId w:val="15"/>
        </w:numPr>
        <w:spacing w:before="60" w:line="288" w:lineRule="auto"/>
        <w:jc w:val="left"/>
      </w:pPr>
      <w:r>
        <w:rPr>
          <w:b/>
        </w:rPr>
        <w:t>HCBS Shift Differential Increase:</w:t>
      </w:r>
      <w:r>
        <w:t xml:space="preserve"> </w:t>
      </w:r>
      <w:r w:rsidRPr="00294248">
        <w:t xml:space="preserve">Effective July 1, 2021, the </w:t>
      </w:r>
      <w:r>
        <w:t xml:space="preserve">managed care </w:t>
      </w:r>
      <w:r w:rsidRPr="00294248">
        <w:t>shift differential rate enhancement for Personal Care and Combined Personal Care/Homemaker services increased from $0.375 to $0.56. The shift differential applies to services provided on an evening, night, or weekend/holiday (as indicated by procedure code modifiers UH, UJ, or TV)</w:t>
      </w:r>
      <w:r>
        <w:t>. We estimated the fiscal impact of the reimbursement increase based on historical utilization for these codes.</w:t>
      </w:r>
    </w:p>
    <w:p w14:paraId="472A942B" w14:textId="2C675D4D" w:rsidR="00461D58" w:rsidRPr="003B7A88" w:rsidRDefault="00461D58" w:rsidP="008405A2">
      <w:pPr>
        <w:pStyle w:val="RRNumberedBullet1"/>
        <w:numPr>
          <w:ilvl w:val="0"/>
          <w:numId w:val="15"/>
        </w:numPr>
        <w:spacing w:before="60" w:line="288" w:lineRule="auto"/>
        <w:jc w:val="left"/>
        <w:rPr>
          <w:b/>
        </w:rPr>
      </w:pPr>
      <w:bookmarkStart w:id="14" w:name="_Hlk90908192"/>
      <w:r>
        <w:rPr>
          <w:b/>
        </w:rPr>
        <w:t>Behavioral Healthcare Certification Rate Enhancement:</w:t>
      </w:r>
      <w:r>
        <w:t xml:space="preserve"> </w:t>
      </w:r>
      <w:r w:rsidRPr="00D61D96">
        <w:t xml:space="preserve">Effective January </w:t>
      </w:r>
      <w:bookmarkEnd w:id="14"/>
      <w:r w:rsidRPr="00D61D96">
        <w:t>1, 2022, Personal Care, Combined Personal Care/Homemaker, and Homemaker only services performed by providers with 30% of direct care workers certified in behavioral health care training receive a base rate enhancement of $0.39 per fifteen minutes</w:t>
      </w:r>
      <w:r>
        <w:t>. We assumed fifty percent (50%) of providers performing services under procedure codes S5125 or S5130 met this threshold based on discussions with EOHHS.</w:t>
      </w:r>
      <w:r w:rsidRPr="00D61D96">
        <w:t xml:space="preserve"> </w:t>
      </w:r>
      <w:r>
        <w:t>We estimated the six-month fiscal impact of the reimbursement increase based on this assumption and historical utilization for these codes.</w:t>
      </w:r>
    </w:p>
    <w:p w14:paraId="3CAAACCC" w14:textId="14B62B13" w:rsidR="00684CF8" w:rsidRPr="00097A11" w:rsidRDefault="0044025B" w:rsidP="008405A2">
      <w:pPr>
        <w:pStyle w:val="RRNumberedBullet1"/>
        <w:numPr>
          <w:ilvl w:val="0"/>
          <w:numId w:val="15"/>
        </w:numPr>
        <w:spacing w:before="60" w:line="288" w:lineRule="auto"/>
        <w:jc w:val="left"/>
        <w:rPr>
          <w:b/>
        </w:rPr>
      </w:pPr>
      <w:r w:rsidRPr="003B7A88">
        <w:rPr>
          <w:b/>
        </w:rPr>
        <w:t xml:space="preserve">ARPA </w:t>
      </w:r>
      <w:r w:rsidR="00191F29">
        <w:rPr>
          <w:b/>
        </w:rPr>
        <w:t>Provider Reimbursement</w:t>
      </w:r>
      <w:r w:rsidRPr="003B7A88">
        <w:rPr>
          <w:b/>
        </w:rPr>
        <w:t xml:space="preserve"> Increase</w:t>
      </w:r>
      <w:r w:rsidRPr="0044025B">
        <w:rPr>
          <w:b/>
        </w:rPr>
        <w:t>:</w:t>
      </w:r>
      <w:r>
        <w:t xml:space="preserve"> </w:t>
      </w:r>
      <w:r w:rsidR="00684CF8">
        <w:t xml:space="preserve">Various provider types included in the CY 2019 base data will receive a </w:t>
      </w:r>
      <w:r w:rsidR="009647A7">
        <w:t>reimbursement</w:t>
      </w:r>
      <w:r w:rsidR="00684CF8">
        <w:t xml:space="preserve"> </w:t>
      </w:r>
      <w:r>
        <w:t xml:space="preserve">increase </w:t>
      </w:r>
      <w:r w:rsidR="00684CF8">
        <w:t xml:space="preserve">between November 1, </w:t>
      </w:r>
      <w:proofErr w:type="gramStart"/>
      <w:r w:rsidR="00684CF8">
        <w:t>2021</w:t>
      </w:r>
      <w:proofErr w:type="gramEnd"/>
      <w:r w:rsidR="00684CF8">
        <w:t xml:space="preserve"> and March 30, 2022</w:t>
      </w:r>
      <w:r w:rsidR="009647A7">
        <w:t>.</w:t>
      </w:r>
      <w:r w:rsidR="00684CF8">
        <w:t xml:space="preserve"> </w:t>
      </w:r>
      <w:r w:rsidR="009647A7">
        <w:t>T</w:t>
      </w:r>
      <w:r w:rsidR="00684CF8">
        <w:t xml:space="preserve">he initial effective date varies by </w:t>
      </w:r>
      <w:proofErr w:type="gramStart"/>
      <w:r w:rsidR="00684CF8">
        <w:t>provider</w:t>
      </w:r>
      <w:proofErr w:type="gramEnd"/>
      <w:r w:rsidR="009647A7">
        <w:t xml:space="preserve"> but all rate increases expire March 30, 2022</w:t>
      </w:r>
      <w:r w:rsidR="00684CF8">
        <w:t>.</w:t>
      </w:r>
      <w:r w:rsidR="00684CF8">
        <w:rPr>
          <w:b/>
        </w:rPr>
        <w:t xml:space="preserve"> </w:t>
      </w:r>
      <w:r w:rsidR="00684CF8" w:rsidRPr="003B7A88">
        <w:rPr>
          <w:bCs/>
        </w:rPr>
        <w:t>The table below illustrates</w:t>
      </w:r>
      <w:r w:rsidR="00684CF8">
        <w:rPr>
          <w:bCs/>
        </w:rPr>
        <w:t xml:space="preserve"> the affected provider types and the </w:t>
      </w:r>
      <w:r w:rsidR="009647A7">
        <w:rPr>
          <w:bCs/>
        </w:rPr>
        <w:t>reimbursement</w:t>
      </w:r>
      <w:r w:rsidR="00684CF8">
        <w:rPr>
          <w:bCs/>
        </w:rPr>
        <w:t xml:space="preserve"> increase over the twelve</w:t>
      </w:r>
      <w:r w:rsidR="00C86E07">
        <w:rPr>
          <w:bCs/>
        </w:rPr>
        <w:t>-</w:t>
      </w:r>
      <w:r w:rsidR="00684CF8">
        <w:rPr>
          <w:bCs/>
        </w:rPr>
        <w:t xml:space="preserve">month rating period (i.e., </w:t>
      </w:r>
      <w:r w:rsidR="003F1256">
        <w:rPr>
          <w:bCs/>
        </w:rPr>
        <w:t>the</w:t>
      </w:r>
      <w:r w:rsidR="00684CF8">
        <w:rPr>
          <w:bCs/>
        </w:rPr>
        <w:t xml:space="preserve"> temporary fee schedule increase </w:t>
      </w:r>
      <w:r w:rsidR="00097A11">
        <w:rPr>
          <w:bCs/>
        </w:rPr>
        <w:t xml:space="preserve">is </w:t>
      </w:r>
      <w:r w:rsidR="003F1256">
        <w:rPr>
          <w:bCs/>
        </w:rPr>
        <w:t>allocated</w:t>
      </w:r>
      <w:r w:rsidR="00097A11">
        <w:rPr>
          <w:bCs/>
        </w:rPr>
        <w:t xml:space="preserve"> </w:t>
      </w:r>
      <w:r w:rsidR="00C86E07">
        <w:rPr>
          <w:bCs/>
        </w:rPr>
        <w:t>over twelve months).</w:t>
      </w:r>
    </w:p>
    <w:p w14:paraId="2EA0295A" w14:textId="20A65356" w:rsidR="009A1799" w:rsidRDefault="009A1799">
      <w:pPr>
        <w:spacing w:after="120" w:line="264" w:lineRule="auto"/>
        <w:rPr>
          <w:b/>
        </w:rPr>
      </w:pPr>
      <w:r>
        <w:rPr>
          <w:b/>
        </w:rPr>
        <w:br w:type="page"/>
      </w:r>
    </w:p>
    <w:tbl>
      <w:tblPr>
        <w:tblW w:w="7200" w:type="dxa"/>
        <w:tblLook w:val="04A0" w:firstRow="1" w:lastRow="0" w:firstColumn="1" w:lastColumn="0" w:noHBand="0" w:noVBand="1"/>
      </w:tblPr>
      <w:tblGrid>
        <w:gridCol w:w="3060"/>
        <w:gridCol w:w="1890"/>
        <w:gridCol w:w="2250"/>
      </w:tblGrid>
      <w:tr w:rsidR="00ED6F05" w:rsidRPr="00AF0058" w14:paraId="3F80A36F" w14:textId="77777777" w:rsidTr="00D87CC4">
        <w:trPr>
          <w:trHeight w:val="240"/>
        </w:trPr>
        <w:tc>
          <w:tcPr>
            <w:tcW w:w="4950" w:type="dxa"/>
            <w:gridSpan w:val="2"/>
            <w:tcBorders>
              <w:top w:val="nil"/>
              <w:left w:val="nil"/>
              <w:bottom w:val="nil"/>
              <w:right w:val="nil"/>
            </w:tcBorders>
            <w:shd w:val="clear" w:color="auto" w:fill="auto"/>
            <w:noWrap/>
            <w:vAlign w:val="center"/>
            <w:hideMark/>
          </w:tcPr>
          <w:p w14:paraId="03B7AEE1" w14:textId="34E457AE" w:rsidR="00ED6F05" w:rsidRPr="003B7A88" w:rsidRDefault="00ED6F05" w:rsidP="00AF0058">
            <w:pPr>
              <w:spacing w:after="0" w:line="240" w:lineRule="auto"/>
              <w:rPr>
                <w:rFonts w:ascii="Arial" w:eastAsia="Times New Roman" w:hAnsi="Arial" w:cs="Arial"/>
                <w:b/>
                <w:bCs/>
                <w:color w:val="0081E3"/>
                <w:sz w:val="16"/>
                <w:szCs w:val="16"/>
              </w:rPr>
            </w:pPr>
            <w:r w:rsidRPr="003B7A88">
              <w:rPr>
                <w:rFonts w:ascii="Arial" w:eastAsia="Times New Roman" w:hAnsi="Arial" w:cs="Arial"/>
                <w:b/>
                <w:bCs/>
                <w:color w:val="0081E3"/>
                <w:sz w:val="16"/>
                <w:szCs w:val="16"/>
              </w:rPr>
              <w:lastRenderedPageBreak/>
              <w:t xml:space="preserve">FIGURE 9: ARPA </w:t>
            </w:r>
            <w:r>
              <w:rPr>
                <w:rFonts w:ascii="Arial" w:eastAsia="Times New Roman" w:hAnsi="Arial" w:cs="Arial"/>
                <w:b/>
                <w:bCs/>
                <w:color w:val="0081E3"/>
                <w:sz w:val="16"/>
                <w:szCs w:val="16"/>
              </w:rPr>
              <w:t>PROVIDER REIMBURSEMENT</w:t>
            </w:r>
            <w:r w:rsidRPr="003B7A88">
              <w:rPr>
                <w:rFonts w:ascii="Arial" w:eastAsia="Times New Roman" w:hAnsi="Arial" w:cs="Arial"/>
                <w:b/>
                <w:bCs/>
                <w:color w:val="0081E3"/>
                <w:sz w:val="16"/>
                <w:szCs w:val="16"/>
              </w:rPr>
              <w:t xml:space="preserve"> INCREASE</w:t>
            </w:r>
          </w:p>
        </w:tc>
        <w:tc>
          <w:tcPr>
            <w:tcW w:w="2250" w:type="dxa"/>
            <w:tcBorders>
              <w:top w:val="nil"/>
              <w:left w:val="nil"/>
              <w:bottom w:val="nil"/>
              <w:right w:val="nil"/>
            </w:tcBorders>
            <w:shd w:val="clear" w:color="auto" w:fill="auto"/>
            <w:noWrap/>
            <w:vAlign w:val="center"/>
            <w:hideMark/>
          </w:tcPr>
          <w:p w14:paraId="7A30DC4E" w14:textId="44B8E1B5" w:rsidR="00ED6F05" w:rsidRPr="003B7A88" w:rsidRDefault="00ED6F05" w:rsidP="00AF0058">
            <w:pPr>
              <w:spacing w:after="0" w:line="240" w:lineRule="auto"/>
              <w:rPr>
                <w:rFonts w:ascii="Arial" w:eastAsia="Times New Roman" w:hAnsi="Arial" w:cs="Arial"/>
                <w:b/>
                <w:bCs/>
                <w:color w:val="0081E3"/>
                <w:sz w:val="16"/>
                <w:szCs w:val="16"/>
              </w:rPr>
            </w:pPr>
          </w:p>
        </w:tc>
      </w:tr>
      <w:tr w:rsidR="006167E8" w:rsidRPr="00AF0058" w14:paraId="296D56D8" w14:textId="77777777" w:rsidTr="003F1256">
        <w:trPr>
          <w:trHeight w:val="270"/>
        </w:trPr>
        <w:tc>
          <w:tcPr>
            <w:tcW w:w="3060" w:type="dxa"/>
            <w:tcBorders>
              <w:top w:val="nil"/>
              <w:left w:val="nil"/>
              <w:bottom w:val="single" w:sz="8" w:space="0" w:color="C6C9CA"/>
              <w:right w:val="nil"/>
            </w:tcBorders>
            <w:shd w:val="clear" w:color="auto" w:fill="auto"/>
            <w:vAlign w:val="center"/>
            <w:hideMark/>
          </w:tcPr>
          <w:p w14:paraId="450A9FFB" w14:textId="77777777" w:rsidR="006167E8" w:rsidRPr="003B7A88" w:rsidRDefault="006167E8" w:rsidP="006167E8">
            <w:pPr>
              <w:spacing w:after="0" w:line="240" w:lineRule="auto"/>
              <w:rPr>
                <w:rFonts w:ascii="Arial" w:eastAsia="Times New Roman" w:hAnsi="Arial" w:cs="Arial"/>
                <w:b/>
                <w:bCs/>
                <w:color w:val="39414D"/>
                <w:sz w:val="16"/>
                <w:szCs w:val="16"/>
              </w:rPr>
            </w:pPr>
            <w:bookmarkStart w:id="15" w:name="_Hlk91083030"/>
            <w:r w:rsidRPr="003B7A88">
              <w:rPr>
                <w:rFonts w:ascii="Arial" w:eastAsia="Times New Roman" w:hAnsi="Arial" w:cs="Arial"/>
                <w:b/>
                <w:bCs/>
                <w:color w:val="39414D"/>
                <w:sz w:val="16"/>
                <w:szCs w:val="16"/>
              </w:rPr>
              <w:t>Provider Type</w:t>
            </w:r>
          </w:p>
        </w:tc>
        <w:tc>
          <w:tcPr>
            <w:tcW w:w="1890" w:type="dxa"/>
            <w:tcBorders>
              <w:top w:val="nil"/>
              <w:left w:val="nil"/>
              <w:bottom w:val="single" w:sz="8" w:space="0" w:color="C6C9CA"/>
              <w:right w:val="nil"/>
            </w:tcBorders>
            <w:vAlign w:val="center"/>
          </w:tcPr>
          <w:p w14:paraId="37F4877B" w14:textId="412300C2" w:rsidR="006167E8" w:rsidRPr="006167E8" w:rsidRDefault="006167E8" w:rsidP="00B01EFD">
            <w:pPr>
              <w:spacing w:after="0" w:line="240" w:lineRule="auto"/>
              <w:rPr>
                <w:rFonts w:ascii="Arial" w:eastAsia="Times New Roman" w:hAnsi="Arial" w:cs="Arial"/>
                <w:b/>
                <w:bCs/>
                <w:color w:val="39414D"/>
                <w:sz w:val="16"/>
                <w:szCs w:val="16"/>
              </w:rPr>
            </w:pPr>
            <w:r w:rsidRPr="00B01EFD">
              <w:rPr>
                <w:rFonts w:ascii="Arial" w:hAnsi="Arial" w:cs="Arial"/>
                <w:b/>
                <w:bCs/>
                <w:color w:val="39414D"/>
                <w:sz w:val="16"/>
                <w:szCs w:val="16"/>
              </w:rPr>
              <w:t>Effective Date</w:t>
            </w:r>
          </w:p>
        </w:tc>
        <w:tc>
          <w:tcPr>
            <w:tcW w:w="2250" w:type="dxa"/>
            <w:tcBorders>
              <w:top w:val="nil"/>
              <w:left w:val="nil"/>
              <w:bottom w:val="single" w:sz="8" w:space="0" w:color="C6C9CA"/>
              <w:right w:val="nil"/>
            </w:tcBorders>
            <w:shd w:val="clear" w:color="auto" w:fill="auto"/>
            <w:vAlign w:val="center"/>
            <w:hideMark/>
          </w:tcPr>
          <w:p w14:paraId="43A8450A" w14:textId="7F9B290A" w:rsidR="006167E8" w:rsidRPr="003B7A88" w:rsidRDefault="00B01EFD" w:rsidP="006167E8">
            <w:pPr>
              <w:spacing w:after="0" w:line="240" w:lineRule="auto"/>
              <w:jc w:val="center"/>
              <w:rPr>
                <w:rFonts w:ascii="Arial" w:eastAsia="Times New Roman" w:hAnsi="Arial" w:cs="Arial"/>
                <w:b/>
                <w:bCs/>
                <w:color w:val="39414D"/>
                <w:sz w:val="16"/>
                <w:szCs w:val="16"/>
              </w:rPr>
            </w:pPr>
            <w:r>
              <w:rPr>
                <w:rFonts w:ascii="Arial" w:eastAsia="Times New Roman" w:hAnsi="Arial" w:cs="Arial"/>
                <w:b/>
                <w:bCs/>
                <w:color w:val="39414D"/>
                <w:sz w:val="16"/>
                <w:szCs w:val="16"/>
              </w:rPr>
              <w:t>Percentage Increase</w:t>
            </w:r>
            <w:r w:rsidR="009647A7">
              <w:rPr>
                <w:rFonts w:ascii="Arial" w:eastAsia="Times New Roman" w:hAnsi="Arial" w:cs="Arial"/>
                <w:b/>
                <w:bCs/>
                <w:color w:val="39414D"/>
                <w:sz w:val="16"/>
                <w:szCs w:val="16"/>
              </w:rPr>
              <w:t xml:space="preserve"> Averaged Over 12 Months</w:t>
            </w:r>
          </w:p>
        </w:tc>
      </w:tr>
      <w:tr w:rsidR="009A1799" w:rsidRPr="00AF0058" w14:paraId="2E1FC2D7" w14:textId="77777777" w:rsidTr="003F1256">
        <w:trPr>
          <w:trHeight w:val="240"/>
        </w:trPr>
        <w:tc>
          <w:tcPr>
            <w:tcW w:w="3060" w:type="dxa"/>
            <w:tcBorders>
              <w:top w:val="nil"/>
              <w:left w:val="nil"/>
              <w:bottom w:val="nil"/>
              <w:right w:val="nil"/>
            </w:tcBorders>
            <w:shd w:val="clear" w:color="auto" w:fill="auto"/>
            <w:noWrap/>
            <w:vAlign w:val="center"/>
            <w:hideMark/>
          </w:tcPr>
          <w:p w14:paraId="62A95783" w14:textId="4833BE66" w:rsidR="009A1799" w:rsidRPr="009A1799" w:rsidRDefault="009A1799" w:rsidP="009A1799">
            <w:pPr>
              <w:spacing w:after="0" w:line="240" w:lineRule="auto"/>
              <w:rPr>
                <w:rFonts w:ascii="Arial" w:eastAsia="Times New Roman" w:hAnsi="Arial" w:cs="Arial"/>
                <w:color w:val="39414D"/>
                <w:sz w:val="16"/>
                <w:szCs w:val="16"/>
              </w:rPr>
            </w:pPr>
            <w:r w:rsidRPr="003F1256">
              <w:rPr>
                <w:rFonts w:ascii="Arial" w:hAnsi="Arial" w:cs="Arial"/>
                <w:color w:val="39414D"/>
                <w:sz w:val="16"/>
                <w:szCs w:val="16"/>
              </w:rPr>
              <w:t>Skilled Nursing Homecare</w:t>
            </w:r>
          </w:p>
        </w:tc>
        <w:tc>
          <w:tcPr>
            <w:tcW w:w="1890" w:type="dxa"/>
            <w:tcBorders>
              <w:top w:val="nil"/>
              <w:left w:val="nil"/>
              <w:bottom w:val="nil"/>
              <w:right w:val="nil"/>
            </w:tcBorders>
            <w:vAlign w:val="center"/>
          </w:tcPr>
          <w:p w14:paraId="4810E1C9" w14:textId="041C38C8"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auto" w:fill="auto"/>
            <w:noWrap/>
            <w:vAlign w:val="center"/>
            <w:hideMark/>
          </w:tcPr>
          <w:p w14:paraId="158F1B87" w14:textId="49BB0F72"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32.5%</w:t>
            </w:r>
          </w:p>
        </w:tc>
      </w:tr>
      <w:tr w:rsidR="009A1799" w:rsidRPr="00AF0058" w14:paraId="63A51598" w14:textId="77777777" w:rsidTr="003F1256">
        <w:trPr>
          <w:trHeight w:val="240"/>
        </w:trPr>
        <w:tc>
          <w:tcPr>
            <w:tcW w:w="3060" w:type="dxa"/>
            <w:tcBorders>
              <w:top w:val="nil"/>
              <w:left w:val="nil"/>
              <w:bottom w:val="nil"/>
              <w:right w:val="nil"/>
            </w:tcBorders>
            <w:shd w:val="clear" w:color="000000" w:fill="E8E9E9"/>
            <w:noWrap/>
            <w:vAlign w:val="center"/>
            <w:hideMark/>
          </w:tcPr>
          <w:p w14:paraId="13827FCF" w14:textId="284C6A7F" w:rsidR="009A1799" w:rsidRPr="009A1799" w:rsidRDefault="009A1799" w:rsidP="009A1799">
            <w:pPr>
              <w:spacing w:after="0" w:line="240" w:lineRule="auto"/>
              <w:rPr>
                <w:rFonts w:ascii="Arial" w:eastAsia="Times New Roman" w:hAnsi="Arial" w:cs="Arial"/>
                <w:color w:val="39414D"/>
                <w:sz w:val="16"/>
                <w:szCs w:val="16"/>
              </w:rPr>
            </w:pPr>
            <w:r w:rsidRPr="003F1256">
              <w:rPr>
                <w:rFonts w:ascii="Arial" w:hAnsi="Arial" w:cs="Arial"/>
                <w:color w:val="39414D"/>
                <w:sz w:val="16"/>
                <w:szCs w:val="16"/>
              </w:rPr>
              <w:t>Case Management</w:t>
            </w:r>
          </w:p>
        </w:tc>
        <w:tc>
          <w:tcPr>
            <w:tcW w:w="1890" w:type="dxa"/>
            <w:tcBorders>
              <w:top w:val="nil"/>
              <w:left w:val="nil"/>
              <w:bottom w:val="nil"/>
              <w:right w:val="nil"/>
            </w:tcBorders>
            <w:shd w:val="clear" w:color="000000" w:fill="E8E9E9"/>
            <w:vAlign w:val="center"/>
          </w:tcPr>
          <w:p w14:paraId="44BE0D2E" w14:textId="169E5B10"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January 1, 2022</w:t>
            </w:r>
          </w:p>
        </w:tc>
        <w:tc>
          <w:tcPr>
            <w:tcW w:w="2250" w:type="dxa"/>
            <w:tcBorders>
              <w:top w:val="nil"/>
              <w:left w:val="nil"/>
              <w:bottom w:val="nil"/>
              <w:right w:val="nil"/>
            </w:tcBorders>
            <w:shd w:val="clear" w:color="000000" w:fill="E8E9E9"/>
            <w:noWrap/>
            <w:vAlign w:val="center"/>
            <w:hideMark/>
          </w:tcPr>
          <w:p w14:paraId="106DE98A" w14:textId="3ECB652D"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32.9%</w:t>
            </w:r>
          </w:p>
        </w:tc>
      </w:tr>
      <w:tr w:rsidR="009A1799" w:rsidRPr="00AF0058" w14:paraId="0BC2E534" w14:textId="77777777" w:rsidTr="003F1256">
        <w:trPr>
          <w:trHeight w:val="240"/>
        </w:trPr>
        <w:tc>
          <w:tcPr>
            <w:tcW w:w="3060" w:type="dxa"/>
            <w:tcBorders>
              <w:top w:val="nil"/>
              <w:left w:val="nil"/>
              <w:bottom w:val="nil"/>
              <w:right w:val="nil"/>
            </w:tcBorders>
            <w:shd w:val="clear" w:color="auto" w:fill="auto"/>
            <w:noWrap/>
            <w:vAlign w:val="center"/>
            <w:hideMark/>
          </w:tcPr>
          <w:p w14:paraId="4F3A467A" w14:textId="1BF5375B" w:rsidR="009A1799" w:rsidRPr="009A1799" w:rsidRDefault="009A1799" w:rsidP="009A1799">
            <w:pPr>
              <w:spacing w:after="0" w:line="240" w:lineRule="auto"/>
              <w:rPr>
                <w:rFonts w:ascii="Arial" w:eastAsia="Times New Roman" w:hAnsi="Arial" w:cs="Arial"/>
                <w:color w:val="39414D"/>
                <w:sz w:val="16"/>
                <w:szCs w:val="16"/>
              </w:rPr>
            </w:pPr>
            <w:r w:rsidRPr="003F1256">
              <w:rPr>
                <w:rFonts w:ascii="Arial" w:hAnsi="Arial" w:cs="Arial"/>
                <w:color w:val="39414D"/>
                <w:sz w:val="16"/>
                <w:szCs w:val="16"/>
              </w:rPr>
              <w:t>Adult Day Care</w:t>
            </w:r>
          </w:p>
        </w:tc>
        <w:tc>
          <w:tcPr>
            <w:tcW w:w="1890" w:type="dxa"/>
            <w:tcBorders>
              <w:top w:val="nil"/>
              <w:left w:val="nil"/>
              <w:bottom w:val="nil"/>
              <w:right w:val="nil"/>
            </w:tcBorders>
            <w:vAlign w:val="center"/>
          </w:tcPr>
          <w:p w14:paraId="5C1C64D7" w14:textId="65CD0195"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auto" w:fill="auto"/>
            <w:noWrap/>
            <w:vAlign w:val="center"/>
            <w:hideMark/>
          </w:tcPr>
          <w:p w14:paraId="09AEA37F" w14:textId="04C29948"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50.0%</w:t>
            </w:r>
          </w:p>
        </w:tc>
      </w:tr>
      <w:tr w:rsidR="009A1799" w:rsidRPr="00AF0058" w14:paraId="63918C5F" w14:textId="77777777" w:rsidTr="003F1256">
        <w:trPr>
          <w:trHeight w:val="240"/>
        </w:trPr>
        <w:tc>
          <w:tcPr>
            <w:tcW w:w="3060" w:type="dxa"/>
            <w:tcBorders>
              <w:top w:val="nil"/>
              <w:left w:val="nil"/>
              <w:bottom w:val="nil"/>
              <w:right w:val="nil"/>
            </w:tcBorders>
            <w:shd w:val="clear" w:color="000000" w:fill="E8E9E9"/>
            <w:noWrap/>
            <w:vAlign w:val="center"/>
            <w:hideMark/>
          </w:tcPr>
          <w:p w14:paraId="4EDFB9DB" w14:textId="17381247" w:rsidR="009A1799" w:rsidRPr="009A1799" w:rsidRDefault="009A1799" w:rsidP="009A1799">
            <w:pPr>
              <w:spacing w:after="0" w:line="240" w:lineRule="auto"/>
              <w:rPr>
                <w:rFonts w:ascii="Arial" w:eastAsia="Times New Roman" w:hAnsi="Arial" w:cs="Arial"/>
                <w:color w:val="39414D"/>
                <w:sz w:val="16"/>
                <w:szCs w:val="16"/>
              </w:rPr>
            </w:pPr>
            <w:r w:rsidRPr="003F1256">
              <w:rPr>
                <w:rFonts w:ascii="Arial" w:hAnsi="Arial" w:cs="Arial"/>
                <w:color w:val="39414D"/>
                <w:sz w:val="16"/>
                <w:szCs w:val="16"/>
              </w:rPr>
              <w:t xml:space="preserve">Substance </w:t>
            </w:r>
            <w:r w:rsidR="00AB5F03">
              <w:rPr>
                <w:rFonts w:ascii="Arial" w:hAnsi="Arial" w:cs="Arial"/>
                <w:color w:val="39414D"/>
                <w:sz w:val="16"/>
                <w:szCs w:val="16"/>
              </w:rPr>
              <w:t>Use Rehabilitation</w:t>
            </w:r>
          </w:p>
        </w:tc>
        <w:tc>
          <w:tcPr>
            <w:tcW w:w="1890" w:type="dxa"/>
            <w:tcBorders>
              <w:top w:val="nil"/>
              <w:left w:val="nil"/>
              <w:bottom w:val="nil"/>
              <w:right w:val="nil"/>
            </w:tcBorders>
            <w:shd w:val="clear" w:color="000000" w:fill="E8E9E9"/>
            <w:vAlign w:val="center"/>
          </w:tcPr>
          <w:p w14:paraId="11E6A78D" w14:textId="00BDC2B7"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December 1, 2021</w:t>
            </w:r>
          </w:p>
        </w:tc>
        <w:tc>
          <w:tcPr>
            <w:tcW w:w="2250" w:type="dxa"/>
            <w:tcBorders>
              <w:top w:val="nil"/>
              <w:left w:val="nil"/>
              <w:bottom w:val="nil"/>
              <w:right w:val="nil"/>
            </w:tcBorders>
            <w:shd w:val="clear" w:color="000000" w:fill="E8E9E9"/>
            <w:noWrap/>
            <w:vAlign w:val="center"/>
            <w:hideMark/>
          </w:tcPr>
          <w:p w14:paraId="77E9E8B6" w14:textId="0AE3892D"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26.3%</w:t>
            </w:r>
          </w:p>
        </w:tc>
      </w:tr>
      <w:tr w:rsidR="009A1799" w:rsidRPr="00AF0058" w14:paraId="3D5157D2" w14:textId="77777777" w:rsidTr="003F1256">
        <w:trPr>
          <w:trHeight w:val="240"/>
        </w:trPr>
        <w:tc>
          <w:tcPr>
            <w:tcW w:w="3060" w:type="dxa"/>
            <w:tcBorders>
              <w:top w:val="nil"/>
              <w:left w:val="nil"/>
              <w:bottom w:val="nil"/>
              <w:right w:val="nil"/>
            </w:tcBorders>
            <w:shd w:val="clear" w:color="auto" w:fill="auto"/>
            <w:noWrap/>
            <w:vAlign w:val="center"/>
            <w:hideMark/>
          </w:tcPr>
          <w:p w14:paraId="61C2F4E6" w14:textId="5CC8B426" w:rsidR="009A1799" w:rsidRPr="009A1799" w:rsidRDefault="009A1799" w:rsidP="009A1799">
            <w:pPr>
              <w:spacing w:after="0" w:line="240" w:lineRule="auto"/>
              <w:rPr>
                <w:rFonts w:ascii="Arial" w:eastAsia="Times New Roman" w:hAnsi="Arial" w:cs="Arial"/>
                <w:color w:val="39414D"/>
                <w:sz w:val="16"/>
                <w:szCs w:val="16"/>
                <w:highlight w:val="yellow"/>
              </w:rPr>
            </w:pPr>
            <w:r w:rsidRPr="003F1256">
              <w:rPr>
                <w:rFonts w:ascii="Arial" w:hAnsi="Arial" w:cs="Arial"/>
                <w:color w:val="39414D"/>
                <w:sz w:val="16"/>
                <w:szCs w:val="16"/>
              </w:rPr>
              <w:t>Hab</w:t>
            </w:r>
            <w:r w:rsidR="00977F8D">
              <w:rPr>
                <w:rFonts w:ascii="Arial" w:hAnsi="Arial" w:cs="Arial"/>
                <w:color w:val="39414D"/>
                <w:sz w:val="16"/>
                <w:szCs w:val="16"/>
              </w:rPr>
              <w:t>ilitation</w:t>
            </w:r>
            <w:r w:rsidRPr="003F1256">
              <w:rPr>
                <w:rFonts w:ascii="Arial" w:hAnsi="Arial" w:cs="Arial"/>
                <w:color w:val="39414D"/>
                <w:sz w:val="16"/>
                <w:szCs w:val="16"/>
              </w:rPr>
              <w:t xml:space="preserve"> Group Homes</w:t>
            </w:r>
          </w:p>
        </w:tc>
        <w:tc>
          <w:tcPr>
            <w:tcW w:w="1890" w:type="dxa"/>
            <w:tcBorders>
              <w:top w:val="nil"/>
              <w:left w:val="nil"/>
              <w:bottom w:val="nil"/>
              <w:right w:val="nil"/>
            </w:tcBorders>
            <w:vAlign w:val="center"/>
          </w:tcPr>
          <w:p w14:paraId="6D7E79FD" w14:textId="1AB40E38" w:rsidR="009A1799" w:rsidRPr="009A1799" w:rsidRDefault="009A1799" w:rsidP="009A1799">
            <w:pPr>
              <w:spacing w:after="0" w:line="240" w:lineRule="auto"/>
              <w:rPr>
                <w:rFonts w:ascii="Arial" w:hAnsi="Arial" w:cs="Arial"/>
                <w:color w:val="39414D"/>
                <w:sz w:val="16"/>
                <w:szCs w:val="16"/>
                <w:highlight w:val="yellow"/>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auto" w:fill="auto"/>
            <w:noWrap/>
            <w:vAlign w:val="center"/>
            <w:hideMark/>
          </w:tcPr>
          <w:p w14:paraId="0F39F3F9" w14:textId="089229DA"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48.3%</w:t>
            </w:r>
          </w:p>
        </w:tc>
      </w:tr>
      <w:tr w:rsidR="009A1799" w:rsidRPr="00AF0058" w14:paraId="39914D38" w14:textId="77777777" w:rsidTr="003F1256">
        <w:trPr>
          <w:trHeight w:val="240"/>
        </w:trPr>
        <w:tc>
          <w:tcPr>
            <w:tcW w:w="3060" w:type="dxa"/>
            <w:tcBorders>
              <w:top w:val="nil"/>
              <w:left w:val="nil"/>
              <w:bottom w:val="nil"/>
              <w:right w:val="nil"/>
            </w:tcBorders>
            <w:shd w:val="clear" w:color="000000" w:fill="E8E9E9"/>
            <w:noWrap/>
            <w:vAlign w:val="center"/>
            <w:hideMark/>
          </w:tcPr>
          <w:p w14:paraId="74A2EE40" w14:textId="7188A48C" w:rsidR="009A1799" w:rsidRPr="009A1799" w:rsidRDefault="009A1799" w:rsidP="009A1799">
            <w:pPr>
              <w:spacing w:after="0" w:line="240" w:lineRule="auto"/>
              <w:rPr>
                <w:rFonts w:ascii="Arial" w:eastAsia="Times New Roman" w:hAnsi="Arial" w:cs="Arial"/>
                <w:color w:val="39414D"/>
                <w:sz w:val="16"/>
                <w:szCs w:val="16"/>
              </w:rPr>
            </w:pPr>
            <w:r w:rsidRPr="003F1256">
              <w:rPr>
                <w:rFonts w:ascii="Arial" w:hAnsi="Arial" w:cs="Arial"/>
                <w:color w:val="39414D"/>
                <w:sz w:val="16"/>
                <w:szCs w:val="16"/>
              </w:rPr>
              <w:t>Community Mental Health Centers</w:t>
            </w:r>
          </w:p>
        </w:tc>
        <w:tc>
          <w:tcPr>
            <w:tcW w:w="1890" w:type="dxa"/>
            <w:tcBorders>
              <w:top w:val="nil"/>
              <w:left w:val="nil"/>
              <w:bottom w:val="nil"/>
              <w:right w:val="nil"/>
            </w:tcBorders>
            <w:shd w:val="clear" w:color="000000" w:fill="E8E9E9"/>
            <w:vAlign w:val="center"/>
          </w:tcPr>
          <w:p w14:paraId="27A3C7AB" w14:textId="221D95F5"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December 1, 2021</w:t>
            </w:r>
          </w:p>
        </w:tc>
        <w:tc>
          <w:tcPr>
            <w:tcW w:w="2250" w:type="dxa"/>
            <w:tcBorders>
              <w:top w:val="nil"/>
              <w:left w:val="nil"/>
              <w:bottom w:val="nil"/>
              <w:right w:val="nil"/>
            </w:tcBorders>
            <w:shd w:val="clear" w:color="000000" w:fill="E8E9E9"/>
            <w:noWrap/>
            <w:vAlign w:val="center"/>
            <w:hideMark/>
          </w:tcPr>
          <w:p w14:paraId="299AFAB9" w14:textId="640E9EA9" w:rsidR="009A1799" w:rsidRPr="009A1799" w:rsidRDefault="009A1799" w:rsidP="009A1799">
            <w:pPr>
              <w:spacing w:after="0" w:line="240" w:lineRule="auto"/>
              <w:jc w:val="right"/>
              <w:rPr>
                <w:rFonts w:ascii="Arial" w:eastAsia="Times New Roman" w:hAnsi="Arial" w:cs="Arial"/>
                <w:color w:val="39414D"/>
                <w:sz w:val="16"/>
                <w:szCs w:val="16"/>
              </w:rPr>
            </w:pPr>
            <w:r w:rsidRPr="003F1256">
              <w:rPr>
                <w:rFonts w:ascii="Arial" w:hAnsi="Arial" w:cs="Arial"/>
                <w:color w:val="39414D"/>
                <w:sz w:val="16"/>
                <w:szCs w:val="16"/>
              </w:rPr>
              <w:t>85.0%</w:t>
            </w:r>
          </w:p>
        </w:tc>
      </w:tr>
      <w:tr w:rsidR="009A1799" w:rsidRPr="00AF0058" w14:paraId="2F0E0F70" w14:textId="77777777" w:rsidTr="003F1256">
        <w:trPr>
          <w:trHeight w:val="240"/>
        </w:trPr>
        <w:tc>
          <w:tcPr>
            <w:tcW w:w="3060" w:type="dxa"/>
            <w:tcBorders>
              <w:top w:val="nil"/>
              <w:left w:val="nil"/>
              <w:bottom w:val="nil"/>
              <w:right w:val="nil"/>
            </w:tcBorders>
            <w:shd w:val="clear" w:color="auto" w:fill="auto"/>
            <w:noWrap/>
            <w:vAlign w:val="center"/>
          </w:tcPr>
          <w:p w14:paraId="4A66E3B2" w14:textId="0514C1FE"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Home Care Agencies</w:t>
            </w:r>
          </w:p>
        </w:tc>
        <w:tc>
          <w:tcPr>
            <w:tcW w:w="1890" w:type="dxa"/>
            <w:tcBorders>
              <w:top w:val="nil"/>
              <w:left w:val="nil"/>
              <w:bottom w:val="nil"/>
              <w:right w:val="nil"/>
            </w:tcBorders>
            <w:shd w:val="clear" w:color="auto" w:fill="auto"/>
            <w:vAlign w:val="center"/>
          </w:tcPr>
          <w:p w14:paraId="683A128E" w14:textId="0862DD28"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auto" w:fill="auto"/>
            <w:noWrap/>
            <w:vAlign w:val="center"/>
          </w:tcPr>
          <w:p w14:paraId="16E6CB33" w14:textId="151C202B" w:rsidR="009A1799" w:rsidRPr="009A1799" w:rsidRDefault="009A1799" w:rsidP="009A1799">
            <w:pPr>
              <w:spacing w:after="0" w:line="240" w:lineRule="auto"/>
              <w:jc w:val="right"/>
              <w:rPr>
                <w:rFonts w:ascii="Arial" w:hAnsi="Arial" w:cs="Arial"/>
                <w:color w:val="39414D"/>
                <w:sz w:val="16"/>
                <w:szCs w:val="16"/>
              </w:rPr>
            </w:pPr>
            <w:r w:rsidRPr="003F1256">
              <w:rPr>
                <w:rFonts w:ascii="Arial" w:hAnsi="Arial" w:cs="Arial"/>
                <w:color w:val="39414D"/>
                <w:sz w:val="16"/>
                <w:szCs w:val="16"/>
              </w:rPr>
              <w:t>52.</w:t>
            </w:r>
            <w:r w:rsidR="0050726D">
              <w:rPr>
                <w:rFonts w:ascii="Arial" w:hAnsi="Arial" w:cs="Arial"/>
                <w:color w:val="39414D"/>
                <w:sz w:val="16"/>
                <w:szCs w:val="16"/>
              </w:rPr>
              <w:t>1</w:t>
            </w:r>
            <w:r w:rsidRPr="003F1256">
              <w:rPr>
                <w:rFonts w:ascii="Arial" w:hAnsi="Arial" w:cs="Arial"/>
                <w:color w:val="39414D"/>
                <w:sz w:val="16"/>
                <w:szCs w:val="16"/>
              </w:rPr>
              <w:t>%</w:t>
            </w:r>
          </w:p>
        </w:tc>
      </w:tr>
      <w:tr w:rsidR="009A1799" w:rsidRPr="00AF0058" w14:paraId="780EFA08" w14:textId="77777777" w:rsidTr="009647A7">
        <w:trPr>
          <w:trHeight w:val="240"/>
        </w:trPr>
        <w:tc>
          <w:tcPr>
            <w:tcW w:w="3060" w:type="dxa"/>
            <w:tcBorders>
              <w:top w:val="nil"/>
              <w:left w:val="nil"/>
              <w:bottom w:val="nil"/>
              <w:right w:val="nil"/>
            </w:tcBorders>
            <w:shd w:val="clear" w:color="000000" w:fill="E8E9E9"/>
            <w:noWrap/>
            <w:vAlign w:val="center"/>
          </w:tcPr>
          <w:p w14:paraId="11418540" w14:textId="2D70E8E0"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Fiscal Intermediary</w:t>
            </w:r>
          </w:p>
        </w:tc>
        <w:tc>
          <w:tcPr>
            <w:tcW w:w="1890" w:type="dxa"/>
            <w:tcBorders>
              <w:top w:val="nil"/>
              <w:left w:val="nil"/>
              <w:bottom w:val="nil"/>
              <w:right w:val="nil"/>
            </w:tcBorders>
            <w:shd w:val="clear" w:color="000000" w:fill="E8E9E9"/>
            <w:vAlign w:val="center"/>
          </w:tcPr>
          <w:p w14:paraId="19A19788" w14:textId="5FA2959E" w:rsidR="009A1799" w:rsidRPr="009A1799" w:rsidRDefault="009A1799" w:rsidP="009A1799">
            <w:pPr>
              <w:spacing w:after="0" w:line="240" w:lineRule="auto"/>
              <w:rPr>
                <w:rFonts w:ascii="Arial" w:hAnsi="Arial" w:cs="Arial"/>
                <w:color w:val="39414D"/>
                <w:sz w:val="16"/>
                <w:szCs w:val="16"/>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000000" w:fill="E8E9E9"/>
            <w:noWrap/>
            <w:vAlign w:val="center"/>
          </w:tcPr>
          <w:p w14:paraId="673F077B" w14:textId="7B52A9BC" w:rsidR="009A1799" w:rsidRPr="009A1799" w:rsidRDefault="009A1799" w:rsidP="009A1799">
            <w:pPr>
              <w:spacing w:after="0" w:line="240" w:lineRule="auto"/>
              <w:jc w:val="right"/>
              <w:rPr>
                <w:rFonts w:ascii="Arial" w:hAnsi="Arial" w:cs="Arial"/>
                <w:color w:val="39414D"/>
                <w:sz w:val="16"/>
                <w:szCs w:val="16"/>
              </w:rPr>
            </w:pPr>
            <w:r w:rsidRPr="003F1256">
              <w:rPr>
                <w:rFonts w:ascii="Arial" w:hAnsi="Arial" w:cs="Arial"/>
                <w:color w:val="39414D"/>
                <w:sz w:val="16"/>
                <w:szCs w:val="16"/>
              </w:rPr>
              <w:t>4.2%</w:t>
            </w:r>
          </w:p>
        </w:tc>
      </w:tr>
      <w:tr w:rsidR="009A1799" w:rsidRPr="00AF0058" w14:paraId="3EFA639D" w14:textId="77777777" w:rsidTr="003F1256">
        <w:trPr>
          <w:trHeight w:val="240"/>
        </w:trPr>
        <w:tc>
          <w:tcPr>
            <w:tcW w:w="3060" w:type="dxa"/>
            <w:tcBorders>
              <w:top w:val="nil"/>
              <w:left w:val="nil"/>
              <w:bottom w:val="nil"/>
              <w:right w:val="nil"/>
            </w:tcBorders>
            <w:shd w:val="clear" w:color="auto" w:fill="auto"/>
            <w:noWrap/>
            <w:vAlign w:val="center"/>
          </w:tcPr>
          <w:p w14:paraId="2E3D34A2" w14:textId="04B7FD0B" w:rsidR="009A1799" w:rsidRPr="009A1799" w:rsidRDefault="00AB5F03" w:rsidP="009A1799">
            <w:pPr>
              <w:spacing w:after="0" w:line="240" w:lineRule="auto"/>
              <w:rPr>
                <w:rFonts w:ascii="Arial" w:hAnsi="Arial" w:cs="Arial"/>
                <w:color w:val="39414D"/>
                <w:sz w:val="16"/>
                <w:szCs w:val="16"/>
              </w:rPr>
            </w:pPr>
            <w:r>
              <w:rPr>
                <w:rFonts w:ascii="Arial" w:hAnsi="Arial" w:cs="Arial"/>
                <w:color w:val="39414D"/>
                <w:sz w:val="16"/>
                <w:szCs w:val="16"/>
              </w:rPr>
              <w:t>Personal Choice</w:t>
            </w:r>
          </w:p>
        </w:tc>
        <w:tc>
          <w:tcPr>
            <w:tcW w:w="1890" w:type="dxa"/>
            <w:tcBorders>
              <w:top w:val="nil"/>
              <w:left w:val="nil"/>
              <w:bottom w:val="nil"/>
              <w:right w:val="nil"/>
            </w:tcBorders>
            <w:shd w:val="clear" w:color="auto" w:fill="auto"/>
            <w:vAlign w:val="center"/>
          </w:tcPr>
          <w:p w14:paraId="7D18EFDC" w14:textId="4E4C5E8B" w:rsidR="009A1799" w:rsidRPr="009A1799" w:rsidRDefault="00AB5F03" w:rsidP="009A1799">
            <w:pPr>
              <w:spacing w:after="0" w:line="240" w:lineRule="auto"/>
              <w:rPr>
                <w:rFonts w:ascii="Arial" w:hAnsi="Arial" w:cs="Arial"/>
                <w:color w:val="39414D"/>
                <w:sz w:val="16"/>
                <w:szCs w:val="16"/>
              </w:rPr>
            </w:pPr>
            <w:r w:rsidRPr="003F1256">
              <w:rPr>
                <w:rFonts w:ascii="Arial" w:hAnsi="Arial" w:cs="Arial"/>
                <w:color w:val="39414D"/>
                <w:sz w:val="16"/>
                <w:szCs w:val="16"/>
              </w:rPr>
              <w:t>November 1, 2021</w:t>
            </w:r>
          </w:p>
        </w:tc>
        <w:tc>
          <w:tcPr>
            <w:tcW w:w="2250" w:type="dxa"/>
            <w:tcBorders>
              <w:top w:val="nil"/>
              <w:left w:val="nil"/>
              <w:bottom w:val="nil"/>
              <w:right w:val="nil"/>
            </w:tcBorders>
            <w:shd w:val="clear" w:color="auto" w:fill="auto"/>
            <w:noWrap/>
            <w:vAlign w:val="center"/>
          </w:tcPr>
          <w:p w14:paraId="40B6C6EE" w14:textId="10953FD0" w:rsidR="009A1799" w:rsidRPr="009A1799" w:rsidRDefault="0050726D" w:rsidP="009A1799">
            <w:pPr>
              <w:spacing w:after="0" w:line="240" w:lineRule="auto"/>
              <w:jc w:val="right"/>
              <w:rPr>
                <w:rFonts w:ascii="Arial" w:hAnsi="Arial" w:cs="Arial"/>
                <w:color w:val="39414D"/>
                <w:sz w:val="16"/>
                <w:szCs w:val="16"/>
              </w:rPr>
            </w:pPr>
            <w:r>
              <w:rPr>
                <w:rFonts w:ascii="Arial" w:hAnsi="Arial" w:cs="Arial"/>
                <w:color w:val="39414D"/>
                <w:sz w:val="16"/>
                <w:szCs w:val="16"/>
              </w:rPr>
              <w:t>26.3</w:t>
            </w:r>
            <w:r w:rsidR="009A1799" w:rsidRPr="003F1256">
              <w:rPr>
                <w:rFonts w:ascii="Arial" w:hAnsi="Arial" w:cs="Arial"/>
                <w:color w:val="39414D"/>
                <w:sz w:val="16"/>
                <w:szCs w:val="16"/>
              </w:rPr>
              <w:t>%</w:t>
            </w:r>
          </w:p>
        </w:tc>
      </w:tr>
    </w:tbl>
    <w:bookmarkEnd w:id="15"/>
    <w:p w14:paraId="3737F3CD" w14:textId="77777777" w:rsidR="009A1799" w:rsidRDefault="00B01EFD" w:rsidP="003F1256">
      <w:pPr>
        <w:pStyle w:val="RRNumberedBullet1"/>
        <w:spacing w:after="0"/>
        <w:rPr>
          <w:rFonts w:ascii="Arial" w:eastAsia="Times New Roman" w:hAnsi="Arial" w:cs="Arial"/>
          <w:color w:val="727A7D"/>
          <w:sz w:val="16"/>
          <w:szCs w:val="16"/>
        </w:rPr>
      </w:pPr>
      <w:r w:rsidRPr="006B42A9">
        <w:rPr>
          <w:rFonts w:ascii="Arial" w:eastAsia="Times New Roman" w:hAnsi="Arial" w:cs="Arial"/>
          <w:color w:val="727A7D"/>
          <w:sz w:val="16"/>
          <w:szCs w:val="16"/>
        </w:rPr>
        <w:t>Note</w:t>
      </w:r>
      <w:r w:rsidR="009A1799">
        <w:rPr>
          <w:rFonts w:ascii="Arial" w:eastAsia="Times New Roman" w:hAnsi="Arial" w:cs="Arial"/>
          <w:color w:val="727A7D"/>
          <w:sz w:val="16"/>
          <w:szCs w:val="16"/>
        </w:rPr>
        <w:t>s</w:t>
      </w:r>
      <w:r w:rsidRPr="006B42A9">
        <w:rPr>
          <w:rFonts w:ascii="Arial" w:eastAsia="Times New Roman" w:hAnsi="Arial" w:cs="Arial"/>
          <w:color w:val="727A7D"/>
          <w:sz w:val="16"/>
          <w:szCs w:val="16"/>
        </w:rPr>
        <w:t>:</w:t>
      </w:r>
      <w:r>
        <w:rPr>
          <w:rFonts w:ascii="Arial" w:eastAsia="Times New Roman" w:hAnsi="Arial" w:cs="Arial"/>
          <w:color w:val="727A7D"/>
          <w:sz w:val="16"/>
          <w:szCs w:val="16"/>
        </w:rPr>
        <w:t xml:space="preserve"> </w:t>
      </w:r>
    </w:p>
    <w:p w14:paraId="182F79AD" w14:textId="3F6E0C11" w:rsidR="009A1799" w:rsidRPr="009A1799" w:rsidRDefault="009A1799" w:rsidP="008405A2">
      <w:pPr>
        <w:pStyle w:val="RRNumberedBullet1"/>
        <w:numPr>
          <w:ilvl w:val="0"/>
          <w:numId w:val="21"/>
        </w:numPr>
        <w:spacing w:after="0"/>
        <w:rPr>
          <w:rFonts w:ascii="Arial" w:eastAsia="Times New Roman" w:hAnsi="Arial" w:cs="Arial"/>
          <w:color w:val="727A7D"/>
          <w:sz w:val="16"/>
          <w:szCs w:val="16"/>
        </w:rPr>
      </w:pPr>
      <w:r w:rsidRPr="009A1799">
        <w:rPr>
          <w:rFonts w:ascii="Arial" w:eastAsia="Times New Roman" w:hAnsi="Arial" w:cs="Arial"/>
          <w:color w:val="727A7D"/>
          <w:sz w:val="16"/>
          <w:szCs w:val="16"/>
        </w:rPr>
        <w:t xml:space="preserve">Fee schedule increases are limited to procedure codes </w:t>
      </w:r>
      <w:r w:rsidR="00EF01F8">
        <w:rPr>
          <w:rFonts w:ascii="Arial" w:eastAsia="Times New Roman" w:hAnsi="Arial" w:cs="Arial"/>
          <w:color w:val="727A7D"/>
          <w:sz w:val="16"/>
          <w:szCs w:val="16"/>
        </w:rPr>
        <w:t>as outlined</w:t>
      </w:r>
      <w:r w:rsidRPr="009A1799">
        <w:rPr>
          <w:rFonts w:ascii="Arial" w:eastAsia="Times New Roman" w:hAnsi="Arial" w:cs="Arial"/>
          <w:color w:val="727A7D"/>
          <w:sz w:val="16"/>
          <w:szCs w:val="16"/>
        </w:rPr>
        <w:t xml:space="preserve"> </w:t>
      </w:r>
      <w:r w:rsidR="00EF01F8">
        <w:rPr>
          <w:rFonts w:ascii="Arial" w:eastAsia="Times New Roman" w:hAnsi="Arial" w:cs="Arial"/>
          <w:color w:val="727A7D"/>
          <w:sz w:val="16"/>
          <w:szCs w:val="16"/>
        </w:rPr>
        <w:t>in</w:t>
      </w:r>
      <w:r w:rsidRPr="009A1799">
        <w:rPr>
          <w:rFonts w:ascii="Arial" w:eastAsia="Times New Roman" w:hAnsi="Arial" w:cs="Arial"/>
          <w:color w:val="727A7D"/>
          <w:sz w:val="16"/>
          <w:szCs w:val="16"/>
        </w:rPr>
        <w:t xml:space="preserve"> EOHHS </w:t>
      </w:r>
      <w:r w:rsidR="00EF01F8">
        <w:rPr>
          <w:rFonts w:ascii="Arial" w:eastAsia="Times New Roman" w:hAnsi="Arial" w:cs="Arial"/>
          <w:color w:val="727A7D"/>
          <w:sz w:val="16"/>
          <w:szCs w:val="16"/>
        </w:rPr>
        <w:t>program guidance</w:t>
      </w:r>
      <w:r w:rsidRPr="009A1799">
        <w:rPr>
          <w:rFonts w:ascii="Arial" w:eastAsia="Times New Roman" w:hAnsi="Arial" w:cs="Arial"/>
          <w:color w:val="727A7D"/>
          <w:sz w:val="16"/>
          <w:szCs w:val="16"/>
        </w:rPr>
        <w:t>.</w:t>
      </w:r>
    </w:p>
    <w:p w14:paraId="2274E6A2" w14:textId="573F0452" w:rsidR="009A1799" w:rsidRPr="008871D4" w:rsidRDefault="009A1799" w:rsidP="008405A2">
      <w:pPr>
        <w:pStyle w:val="RRNumberedBullet1"/>
        <w:numPr>
          <w:ilvl w:val="0"/>
          <w:numId w:val="21"/>
        </w:numPr>
        <w:spacing w:after="0"/>
        <w:rPr>
          <w:rStyle w:val="Strong"/>
          <w:rFonts w:ascii="Arial" w:eastAsia="Times New Roman" w:hAnsi="Arial" w:cs="Arial"/>
          <w:b w:val="0"/>
          <w:bCs w:val="0"/>
          <w:color w:val="727A7D"/>
          <w:sz w:val="16"/>
          <w:szCs w:val="16"/>
        </w:rPr>
      </w:pPr>
      <w:r w:rsidRPr="009A1799">
        <w:rPr>
          <w:rFonts w:ascii="Arial" w:eastAsia="Times New Roman" w:hAnsi="Arial" w:cs="Arial"/>
          <w:color w:val="727A7D"/>
          <w:sz w:val="16"/>
          <w:szCs w:val="16"/>
        </w:rPr>
        <w:t>H</w:t>
      </w:r>
      <w:r w:rsidR="00977F8D">
        <w:rPr>
          <w:rFonts w:ascii="Arial" w:eastAsia="Times New Roman" w:hAnsi="Arial" w:cs="Arial"/>
          <w:color w:val="727A7D"/>
          <w:sz w:val="16"/>
          <w:szCs w:val="16"/>
        </w:rPr>
        <w:t>abilitation</w:t>
      </w:r>
      <w:r w:rsidRPr="009A1799">
        <w:rPr>
          <w:rFonts w:ascii="Arial" w:eastAsia="Times New Roman" w:hAnsi="Arial" w:cs="Arial"/>
          <w:color w:val="727A7D"/>
          <w:sz w:val="16"/>
          <w:szCs w:val="16"/>
        </w:rPr>
        <w:t xml:space="preserve"> Group Homes is limited to NPI "1639476617"</w:t>
      </w:r>
      <w:r>
        <w:rPr>
          <w:rFonts w:ascii="Arial" w:eastAsia="Times New Roman" w:hAnsi="Arial" w:cs="Arial"/>
          <w:color w:val="727A7D"/>
          <w:sz w:val="16"/>
          <w:szCs w:val="16"/>
        </w:rPr>
        <w:t>.</w:t>
      </w:r>
    </w:p>
    <w:p w14:paraId="547642DF" w14:textId="77777777" w:rsidR="00B01EFD" w:rsidRDefault="00B01EFD" w:rsidP="003B7A88">
      <w:pPr>
        <w:pStyle w:val="RRNumberedBullet1"/>
        <w:rPr>
          <w:rStyle w:val="Strong"/>
          <w:b w:val="0"/>
          <w:bCs w:val="0"/>
        </w:rPr>
      </w:pPr>
    </w:p>
    <w:p w14:paraId="7CEA61B8" w14:textId="53CC0204" w:rsidR="008C085B" w:rsidRPr="00D75198" w:rsidRDefault="00D75198" w:rsidP="003B7A88">
      <w:pPr>
        <w:pStyle w:val="RRNumberedBullet1"/>
        <w:rPr>
          <w:rStyle w:val="Strong"/>
          <w:b w:val="0"/>
          <w:bCs w:val="0"/>
        </w:rPr>
      </w:pPr>
      <w:r w:rsidRPr="00D75198">
        <w:rPr>
          <w:rStyle w:val="Strong"/>
          <w:b w:val="0"/>
          <w:bCs w:val="0"/>
        </w:rPr>
        <w:t xml:space="preserve">Step </w:t>
      </w:r>
      <w:r w:rsidR="007E7E96">
        <w:rPr>
          <w:rStyle w:val="Strong"/>
          <w:b w:val="0"/>
          <w:bCs w:val="0"/>
        </w:rPr>
        <w:t>6</w:t>
      </w:r>
      <w:r w:rsidRPr="00D75198">
        <w:rPr>
          <w:rStyle w:val="Strong"/>
          <w:b w:val="0"/>
          <w:bCs w:val="0"/>
        </w:rPr>
        <w:t>:</w:t>
      </w:r>
      <w:r>
        <w:rPr>
          <w:rStyle w:val="Strong"/>
          <w:b w:val="0"/>
          <w:bCs w:val="0"/>
        </w:rPr>
        <w:t xml:space="preserve">  </w:t>
      </w:r>
      <w:r w:rsidR="008C085B" w:rsidRPr="00D75198">
        <w:rPr>
          <w:rStyle w:val="Strong"/>
          <w:b w:val="0"/>
          <w:bCs w:val="0"/>
        </w:rPr>
        <w:t xml:space="preserve">Trend Base </w:t>
      </w:r>
      <w:r w:rsidR="007A681A">
        <w:rPr>
          <w:rStyle w:val="Strong"/>
          <w:b w:val="0"/>
          <w:bCs w:val="0"/>
        </w:rPr>
        <w:t>Experience</w:t>
      </w:r>
      <w:r w:rsidR="007A681A" w:rsidRPr="00D75198">
        <w:rPr>
          <w:rStyle w:val="Strong"/>
          <w:b w:val="0"/>
          <w:bCs w:val="0"/>
        </w:rPr>
        <w:t xml:space="preserve"> </w:t>
      </w:r>
      <w:r w:rsidR="008C085B" w:rsidRPr="00D75198">
        <w:rPr>
          <w:rStyle w:val="Strong"/>
          <w:b w:val="0"/>
          <w:bCs w:val="0"/>
        </w:rPr>
        <w:t xml:space="preserve">to </w:t>
      </w:r>
      <w:r w:rsidR="007A681A">
        <w:rPr>
          <w:rStyle w:val="Strong"/>
          <w:b w:val="0"/>
          <w:bCs w:val="0"/>
        </w:rPr>
        <w:t xml:space="preserve">the </w:t>
      </w:r>
      <w:r w:rsidRPr="00D75198">
        <w:rPr>
          <w:rStyle w:val="Strong"/>
          <w:b w:val="0"/>
          <w:bCs w:val="0"/>
        </w:rPr>
        <w:t>SFY 2022 AWOP Period</w:t>
      </w:r>
    </w:p>
    <w:p w14:paraId="3DF48FBE" w14:textId="573AD1FC" w:rsidR="00BA0F8F" w:rsidRDefault="008C085B" w:rsidP="00D96AA6">
      <w:pPr>
        <w:shd w:val="clear" w:color="auto" w:fill="FFFFFF"/>
        <w:spacing w:after="120"/>
      </w:pPr>
      <w:r w:rsidRPr="00CB0BE3">
        <w:rPr>
          <w:rFonts w:cs="Arial"/>
        </w:rPr>
        <w:t>Trend adjustments from the base data period to the midpoint of the SFY 202</w:t>
      </w:r>
      <w:r>
        <w:rPr>
          <w:rFonts w:cs="Arial"/>
        </w:rPr>
        <w:t>2</w:t>
      </w:r>
      <w:r w:rsidRPr="00CB0BE3">
        <w:rPr>
          <w:rFonts w:cs="Arial"/>
        </w:rPr>
        <w:t xml:space="preserve"> </w:t>
      </w:r>
      <w:r w:rsidR="004C4CF3">
        <w:rPr>
          <w:rFonts w:cs="Arial"/>
        </w:rPr>
        <w:t>rating</w:t>
      </w:r>
      <w:r w:rsidR="004C4CF3" w:rsidRPr="00CB0BE3">
        <w:rPr>
          <w:rFonts w:cs="Arial"/>
        </w:rPr>
        <w:t xml:space="preserve"> </w:t>
      </w:r>
      <w:r w:rsidRPr="00CB0BE3">
        <w:rPr>
          <w:rFonts w:cs="Arial"/>
        </w:rPr>
        <w:t xml:space="preserve">period were informed by the trend analysis </w:t>
      </w:r>
      <w:r w:rsidR="0080147E">
        <w:rPr>
          <w:rFonts w:cs="Arial"/>
        </w:rPr>
        <w:t xml:space="preserve">used in the </w:t>
      </w:r>
      <w:r w:rsidRPr="00CB0BE3">
        <w:rPr>
          <w:rFonts w:cs="Arial"/>
        </w:rPr>
        <w:t xml:space="preserve">development of the </w:t>
      </w:r>
      <w:r w:rsidR="00BA0F8F">
        <w:rPr>
          <w:rFonts w:cs="Arial"/>
        </w:rPr>
        <w:t xml:space="preserve">SFY 2022 </w:t>
      </w:r>
      <w:r w:rsidR="0080147E">
        <w:rPr>
          <w:rFonts w:cs="Arial"/>
        </w:rPr>
        <w:t xml:space="preserve">Medicare-Medicaid Plan </w:t>
      </w:r>
      <w:r w:rsidR="00BA0F8F">
        <w:rPr>
          <w:rFonts w:cs="Arial"/>
        </w:rPr>
        <w:t xml:space="preserve">dual demonstration </w:t>
      </w:r>
      <w:r w:rsidRPr="00CB0BE3">
        <w:rPr>
          <w:rFonts w:cs="Arial"/>
        </w:rPr>
        <w:t>program capitation rates</w:t>
      </w:r>
      <w:r w:rsidR="008B2A4F">
        <w:rPr>
          <w:rFonts w:cs="Arial"/>
        </w:rPr>
        <w:t xml:space="preserve"> and a review of </w:t>
      </w:r>
      <w:r w:rsidR="00BC1E95">
        <w:rPr>
          <w:rFonts w:cs="Arial"/>
        </w:rPr>
        <w:t xml:space="preserve">historical </w:t>
      </w:r>
      <w:r w:rsidR="008B2A4F">
        <w:rPr>
          <w:rFonts w:cs="Arial"/>
        </w:rPr>
        <w:t xml:space="preserve">experience for the </w:t>
      </w:r>
      <w:r w:rsidR="00BC1E95">
        <w:rPr>
          <w:rFonts w:cs="Arial"/>
        </w:rPr>
        <w:t>proxy PACE population</w:t>
      </w:r>
      <w:r w:rsidRPr="00CB0BE3">
        <w:rPr>
          <w:rFonts w:cs="Arial"/>
        </w:rPr>
        <w:t xml:space="preserve">. </w:t>
      </w:r>
      <w:r w:rsidR="003C15B5">
        <w:rPr>
          <w:rFonts w:cs="Arial"/>
        </w:rPr>
        <w:t xml:space="preserve">Fee-schedule changes within the Medicaid fee-for-service program were evaluated when estimating the </w:t>
      </w:r>
      <w:r w:rsidR="00F976A2">
        <w:rPr>
          <w:rFonts w:cs="Arial"/>
        </w:rPr>
        <w:t xml:space="preserve">prospective trend rates. </w:t>
      </w:r>
      <w:r w:rsidR="00BA0F8F">
        <w:t xml:space="preserve">The impact of trend is illustrated by category of service in Appendix 3. The prospective trend was applied to </w:t>
      </w:r>
      <w:r w:rsidR="00453341">
        <w:t xml:space="preserve">adjust the base experience </w:t>
      </w:r>
      <w:r w:rsidR="00BA0F8F">
        <w:t xml:space="preserve">to the SFY 2022 </w:t>
      </w:r>
      <w:r w:rsidR="00453341">
        <w:t xml:space="preserve">rating </w:t>
      </w:r>
      <w:r w:rsidR="00BA0F8F">
        <w:t>period.</w:t>
      </w:r>
      <w:r w:rsidR="009C4C70">
        <w:t xml:space="preserve"> </w:t>
      </w:r>
    </w:p>
    <w:p w14:paraId="7F65591E" w14:textId="392CAB04" w:rsidR="007410BD" w:rsidRDefault="00684C80">
      <w:pPr>
        <w:spacing w:after="120"/>
        <w:rPr>
          <w:rFonts w:cs="Arial"/>
        </w:rPr>
      </w:pPr>
      <w:r w:rsidRPr="00684C80">
        <w:rPr>
          <w:rFonts w:cs="Arial"/>
        </w:rPr>
        <w:t xml:space="preserve">Figure </w:t>
      </w:r>
      <w:r w:rsidR="00282F74">
        <w:rPr>
          <w:rFonts w:cs="Arial"/>
        </w:rPr>
        <w:t>10</w:t>
      </w:r>
      <w:r w:rsidR="007E7E96" w:rsidRPr="00684C80">
        <w:rPr>
          <w:rFonts w:cs="Arial"/>
        </w:rPr>
        <w:t xml:space="preserve"> </w:t>
      </w:r>
      <w:r w:rsidRPr="00684C80">
        <w:rPr>
          <w:rFonts w:cs="Arial"/>
        </w:rPr>
        <w:t>illustrates the utilization and unit cost components of the trend by category of service.</w:t>
      </w:r>
    </w:p>
    <w:tbl>
      <w:tblPr>
        <w:tblW w:w="6456" w:type="dxa"/>
        <w:tblLook w:val="04A0" w:firstRow="1" w:lastRow="0" w:firstColumn="1" w:lastColumn="0" w:noHBand="0" w:noVBand="1"/>
      </w:tblPr>
      <w:tblGrid>
        <w:gridCol w:w="3303"/>
        <w:gridCol w:w="1689"/>
        <w:gridCol w:w="1464"/>
      </w:tblGrid>
      <w:tr w:rsidR="00E05069" w:rsidRPr="00E05069" w14:paraId="58BE0018" w14:textId="77777777" w:rsidTr="00E05069">
        <w:trPr>
          <w:trHeight w:val="240"/>
        </w:trPr>
        <w:tc>
          <w:tcPr>
            <w:tcW w:w="6456" w:type="dxa"/>
            <w:gridSpan w:val="3"/>
            <w:tcBorders>
              <w:top w:val="nil"/>
              <w:left w:val="nil"/>
              <w:bottom w:val="nil"/>
              <w:right w:val="nil"/>
            </w:tcBorders>
            <w:shd w:val="clear" w:color="auto" w:fill="auto"/>
            <w:noWrap/>
            <w:vAlign w:val="center"/>
            <w:hideMark/>
          </w:tcPr>
          <w:p w14:paraId="70BE89EB" w14:textId="5E5E9B72" w:rsidR="00E05069" w:rsidRPr="00E05069" w:rsidRDefault="00E05069" w:rsidP="00E05069">
            <w:pPr>
              <w:spacing w:after="0" w:line="240" w:lineRule="auto"/>
              <w:rPr>
                <w:rFonts w:ascii="Arial" w:eastAsia="Times New Roman" w:hAnsi="Arial" w:cs="Arial"/>
                <w:b/>
                <w:bCs/>
                <w:color w:val="0081E3"/>
                <w:sz w:val="16"/>
                <w:szCs w:val="16"/>
              </w:rPr>
            </w:pPr>
            <w:r w:rsidRPr="00E05069">
              <w:rPr>
                <w:rFonts w:ascii="Arial" w:eastAsia="Times New Roman" w:hAnsi="Arial" w:cs="Arial"/>
                <w:b/>
                <w:bCs/>
                <w:color w:val="0081E3"/>
                <w:sz w:val="16"/>
                <w:szCs w:val="16"/>
              </w:rPr>
              <w:t xml:space="preserve">FIGURE </w:t>
            </w:r>
            <w:r w:rsidR="00282F74">
              <w:rPr>
                <w:rFonts w:ascii="Arial" w:eastAsia="Times New Roman" w:hAnsi="Arial" w:cs="Arial"/>
                <w:b/>
                <w:bCs/>
                <w:color w:val="0081E3"/>
                <w:sz w:val="16"/>
                <w:szCs w:val="16"/>
              </w:rPr>
              <w:t>10</w:t>
            </w:r>
            <w:r w:rsidRPr="00E05069">
              <w:rPr>
                <w:rFonts w:ascii="Arial" w:eastAsia="Times New Roman" w:hAnsi="Arial" w:cs="Arial"/>
                <w:b/>
                <w:bCs/>
                <w:color w:val="0081E3"/>
                <w:sz w:val="16"/>
                <w:szCs w:val="16"/>
              </w:rPr>
              <w:t>: ANNUALIZED PROSPECTIVE UTILIZATION AND UNIT COST TREND</w:t>
            </w:r>
          </w:p>
        </w:tc>
      </w:tr>
      <w:tr w:rsidR="00E05069" w:rsidRPr="00E05069" w14:paraId="660ED275" w14:textId="77777777" w:rsidTr="00E05069">
        <w:trPr>
          <w:trHeight w:val="255"/>
        </w:trPr>
        <w:tc>
          <w:tcPr>
            <w:tcW w:w="3303" w:type="dxa"/>
            <w:tcBorders>
              <w:top w:val="nil"/>
              <w:left w:val="nil"/>
              <w:bottom w:val="single" w:sz="8" w:space="0" w:color="C6C9CA"/>
              <w:right w:val="nil"/>
            </w:tcBorders>
            <w:shd w:val="clear" w:color="auto" w:fill="auto"/>
            <w:vAlign w:val="center"/>
            <w:hideMark/>
          </w:tcPr>
          <w:p w14:paraId="0C167F26" w14:textId="77777777" w:rsidR="00E05069" w:rsidRPr="00E05069" w:rsidRDefault="00E05069" w:rsidP="00E05069">
            <w:pPr>
              <w:spacing w:after="0" w:line="240" w:lineRule="auto"/>
              <w:rPr>
                <w:rFonts w:ascii="Arial" w:eastAsia="Times New Roman" w:hAnsi="Arial" w:cs="Arial"/>
                <w:b/>
                <w:bCs/>
                <w:color w:val="39414D"/>
                <w:sz w:val="16"/>
                <w:szCs w:val="16"/>
              </w:rPr>
            </w:pPr>
            <w:r w:rsidRPr="00E05069">
              <w:rPr>
                <w:rFonts w:ascii="Arial" w:eastAsia="Times New Roman" w:hAnsi="Arial" w:cs="Arial"/>
                <w:b/>
                <w:bCs/>
                <w:color w:val="39414D"/>
                <w:sz w:val="16"/>
                <w:szCs w:val="16"/>
              </w:rPr>
              <w:t>Service Category</w:t>
            </w:r>
          </w:p>
        </w:tc>
        <w:tc>
          <w:tcPr>
            <w:tcW w:w="1689" w:type="dxa"/>
            <w:tcBorders>
              <w:top w:val="nil"/>
              <w:left w:val="nil"/>
              <w:bottom w:val="single" w:sz="8" w:space="0" w:color="C6C9CA"/>
              <w:right w:val="nil"/>
            </w:tcBorders>
            <w:shd w:val="clear" w:color="auto" w:fill="auto"/>
            <w:vAlign w:val="center"/>
            <w:hideMark/>
          </w:tcPr>
          <w:p w14:paraId="561893E5" w14:textId="77777777" w:rsidR="00E05069" w:rsidRPr="00E05069" w:rsidRDefault="00E05069" w:rsidP="00E05069">
            <w:pPr>
              <w:spacing w:after="0" w:line="240" w:lineRule="auto"/>
              <w:jc w:val="center"/>
              <w:rPr>
                <w:rFonts w:ascii="Arial" w:eastAsia="Times New Roman" w:hAnsi="Arial" w:cs="Arial"/>
                <w:b/>
                <w:bCs/>
                <w:color w:val="39414D"/>
                <w:sz w:val="16"/>
                <w:szCs w:val="16"/>
              </w:rPr>
            </w:pPr>
            <w:r w:rsidRPr="00E05069">
              <w:rPr>
                <w:rFonts w:ascii="Arial" w:eastAsia="Times New Roman" w:hAnsi="Arial" w:cs="Arial"/>
                <w:b/>
                <w:bCs/>
                <w:color w:val="39414D"/>
                <w:sz w:val="16"/>
                <w:szCs w:val="16"/>
              </w:rPr>
              <w:t>Utilization Trend</w:t>
            </w:r>
          </w:p>
        </w:tc>
        <w:tc>
          <w:tcPr>
            <w:tcW w:w="1464" w:type="dxa"/>
            <w:tcBorders>
              <w:top w:val="nil"/>
              <w:left w:val="nil"/>
              <w:bottom w:val="single" w:sz="8" w:space="0" w:color="C6C9CA"/>
              <w:right w:val="nil"/>
            </w:tcBorders>
            <w:shd w:val="clear" w:color="auto" w:fill="auto"/>
            <w:vAlign w:val="center"/>
            <w:hideMark/>
          </w:tcPr>
          <w:p w14:paraId="07EE8FC9" w14:textId="77777777" w:rsidR="00E05069" w:rsidRPr="00E05069" w:rsidRDefault="00E05069" w:rsidP="00E05069">
            <w:pPr>
              <w:spacing w:after="0" w:line="240" w:lineRule="auto"/>
              <w:jc w:val="center"/>
              <w:rPr>
                <w:rFonts w:ascii="Arial" w:eastAsia="Times New Roman" w:hAnsi="Arial" w:cs="Arial"/>
                <w:b/>
                <w:bCs/>
                <w:color w:val="39414D"/>
                <w:sz w:val="16"/>
                <w:szCs w:val="16"/>
              </w:rPr>
            </w:pPr>
            <w:r w:rsidRPr="00E05069">
              <w:rPr>
                <w:rFonts w:ascii="Arial" w:eastAsia="Times New Roman" w:hAnsi="Arial" w:cs="Arial"/>
                <w:b/>
                <w:bCs/>
                <w:color w:val="39414D"/>
                <w:sz w:val="16"/>
                <w:szCs w:val="16"/>
              </w:rPr>
              <w:t>Unit Cost Trend</w:t>
            </w:r>
          </w:p>
        </w:tc>
      </w:tr>
      <w:tr w:rsidR="00E05069" w:rsidRPr="00E05069" w14:paraId="35EB2F38" w14:textId="77777777" w:rsidTr="00E05069">
        <w:trPr>
          <w:trHeight w:val="240"/>
        </w:trPr>
        <w:tc>
          <w:tcPr>
            <w:tcW w:w="3303" w:type="dxa"/>
            <w:tcBorders>
              <w:top w:val="nil"/>
              <w:left w:val="nil"/>
              <w:bottom w:val="nil"/>
              <w:right w:val="nil"/>
            </w:tcBorders>
            <w:shd w:val="clear" w:color="auto" w:fill="auto"/>
            <w:noWrap/>
            <w:vAlign w:val="center"/>
            <w:hideMark/>
          </w:tcPr>
          <w:p w14:paraId="61ACB46F" w14:textId="3B71B318"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Inpatient</w:t>
            </w:r>
            <w:r w:rsidR="0057378B" w:rsidRPr="003421E1">
              <w:rPr>
                <w:rFonts w:ascii="Arial" w:eastAsia="Times New Roman" w:hAnsi="Arial" w:cs="Arial"/>
                <w:color w:val="39414D"/>
                <w:sz w:val="16"/>
                <w:szCs w:val="16"/>
                <w:vertAlign w:val="superscript"/>
              </w:rPr>
              <w:t>1,2</w:t>
            </w:r>
          </w:p>
        </w:tc>
        <w:tc>
          <w:tcPr>
            <w:tcW w:w="1689" w:type="dxa"/>
            <w:tcBorders>
              <w:top w:val="nil"/>
              <w:left w:val="nil"/>
              <w:bottom w:val="nil"/>
              <w:right w:val="nil"/>
            </w:tcBorders>
            <w:shd w:val="clear" w:color="auto" w:fill="auto"/>
            <w:noWrap/>
            <w:vAlign w:val="center"/>
            <w:hideMark/>
          </w:tcPr>
          <w:p w14:paraId="3992EFAD" w14:textId="5C0546E2"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1.5%</w:t>
            </w:r>
          </w:p>
        </w:tc>
        <w:tc>
          <w:tcPr>
            <w:tcW w:w="1464" w:type="dxa"/>
            <w:tcBorders>
              <w:top w:val="nil"/>
              <w:left w:val="nil"/>
              <w:bottom w:val="nil"/>
              <w:right w:val="nil"/>
            </w:tcBorders>
            <w:shd w:val="clear" w:color="auto" w:fill="auto"/>
            <w:noWrap/>
            <w:vAlign w:val="center"/>
            <w:hideMark/>
          </w:tcPr>
          <w:p w14:paraId="55018229" w14:textId="517D2B2F"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2.2%</w:t>
            </w:r>
          </w:p>
        </w:tc>
      </w:tr>
      <w:tr w:rsidR="00E05069" w:rsidRPr="00E05069" w14:paraId="14E66C53" w14:textId="77777777" w:rsidTr="00E05069">
        <w:trPr>
          <w:trHeight w:val="240"/>
        </w:trPr>
        <w:tc>
          <w:tcPr>
            <w:tcW w:w="3303" w:type="dxa"/>
            <w:tcBorders>
              <w:top w:val="nil"/>
              <w:left w:val="nil"/>
              <w:bottom w:val="nil"/>
              <w:right w:val="nil"/>
            </w:tcBorders>
            <w:shd w:val="clear" w:color="000000" w:fill="E8E9E9"/>
            <w:noWrap/>
            <w:vAlign w:val="center"/>
            <w:hideMark/>
          </w:tcPr>
          <w:p w14:paraId="1A7F4665" w14:textId="26962BC8"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Emergency Room</w:t>
            </w:r>
            <w:r w:rsidR="0057378B" w:rsidRPr="00CD674F">
              <w:rPr>
                <w:rFonts w:ascii="Arial" w:eastAsia="Times New Roman" w:hAnsi="Arial" w:cs="Arial"/>
                <w:color w:val="39414D"/>
                <w:sz w:val="16"/>
                <w:szCs w:val="16"/>
                <w:vertAlign w:val="superscript"/>
              </w:rPr>
              <w:t>1,2</w:t>
            </w:r>
          </w:p>
        </w:tc>
        <w:tc>
          <w:tcPr>
            <w:tcW w:w="1689" w:type="dxa"/>
            <w:tcBorders>
              <w:top w:val="nil"/>
              <w:left w:val="nil"/>
              <w:bottom w:val="nil"/>
              <w:right w:val="nil"/>
            </w:tcBorders>
            <w:shd w:val="clear" w:color="000000" w:fill="E8E9E9"/>
            <w:noWrap/>
            <w:vAlign w:val="center"/>
            <w:hideMark/>
          </w:tcPr>
          <w:p w14:paraId="1FBC5C5F" w14:textId="49EE972B"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0.5%</w:t>
            </w:r>
          </w:p>
        </w:tc>
        <w:tc>
          <w:tcPr>
            <w:tcW w:w="1464" w:type="dxa"/>
            <w:tcBorders>
              <w:top w:val="nil"/>
              <w:left w:val="nil"/>
              <w:bottom w:val="nil"/>
              <w:right w:val="nil"/>
            </w:tcBorders>
            <w:shd w:val="clear" w:color="000000" w:fill="E8E9E9"/>
            <w:noWrap/>
            <w:vAlign w:val="center"/>
            <w:hideMark/>
          </w:tcPr>
          <w:p w14:paraId="18306D86" w14:textId="612A3871"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2.2%</w:t>
            </w:r>
          </w:p>
        </w:tc>
      </w:tr>
      <w:tr w:rsidR="006167E8" w:rsidRPr="00E05069" w14:paraId="361E1256" w14:textId="77777777" w:rsidTr="00E05069">
        <w:trPr>
          <w:trHeight w:val="240"/>
        </w:trPr>
        <w:tc>
          <w:tcPr>
            <w:tcW w:w="3303" w:type="dxa"/>
            <w:tcBorders>
              <w:top w:val="nil"/>
              <w:left w:val="nil"/>
              <w:bottom w:val="nil"/>
              <w:right w:val="nil"/>
            </w:tcBorders>
            <w:shd w:val="clear" w:color="auto" w:fill="auto"/>
            <w:noWrap/>
            <w:vAlign w:val="center"/>
            <w:hideMark/>
          </w:tcPr>
          <w:p w14:paraId="66D659EE" w14:textId="6A1A7098" w:rsidR="006167E8" w:rsidRPr="00E05069" w:rsidRDefault="006167E8" w:rsidP="006167E8">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Outpatient</w:t>
            </w:r>
            <w:r w:rsidRPr="00CD674F">
              <w:rPr>
                <w:rFonts w:ascii="Arial" w:eastAsia="Times New Roman" w:hAnsi="Arial" w:cs="Arial"/>
                <w:color w:val="39414D"/>
                <w:sz w:val="16"/>
                <w:szCs w:val="16"/>
                <w:vertAlign w:val="superscript"/>
              </w:rPr>
              <w:t>1,2</w:t>
            </w:r>
          </w:p>
        </w:tc>
        <w:tc>
          <w:tcPr>
            <w:tcW w:w="1689" w:type="dxa"/>
            <w:tcBorders>
              <w:top w:val="nil"/>
              <w:left w:val="nil"/>
              <w:bottom w:val="nil"/>
              <w:right w:val="nil"/>
            </w:tcBorders>
            <w:shd w:val="clear" w:color="auto" w:fill="auto"/>
            <w:noWrap/>
            <w:vAlign w:val="center"/>
            <w:hideMark/>
          </w:tcPr>
          <w:p w14:paraId="4844FEFD" w14:textId="68BC6F54" w:rsidR="006167E8" w:rsidRPr="006167E8" w:rsidRDefault="006167E8" w:rsidP="006167E8">
            <w:pPr>
              <w:spacing w:after="0" w:line="240" w:lineRule="auto"/>
              <w:jc w:val="right"/>
              <w:rPr>
                <w:rFonts w:ascii="Arial" w:eastAsia="Times New Roman" w:hAnsi="Arial" w:cs="Arial"/>
                <w:color w:val="39414D"/>
                <w:sz w:val="16"/>
                <w:szCs w:val="16"/>
              </w:rPr>
            </w:pPr>
            <w:r w:rsidRPr="006167E8">
              <w:rPr>
                <w:rFonts w:ascii="Arial" w:hAnsi="Arial" w:cs="Arial"/>
                <w:color w:val="39414D"/>
                <w:sz w:val="16"/>
                <w:szCs w:val="16"/>
              </w:rPr>
              <w:t>1.5%</w:t>
            </w:r>
          </w:p>
        </w:tc>
        <w:tc>
          <w:tcPr>
            <w:tcW w:w="1464" w:type="dxa"/>
            <w:tcBorders>
              <w:top w:val="nil"/>
              <w:left w:val="nil"/>
              <w:bottom w:val="nil"/>
              <w:right w:val="nil"/>
            </w:tcBorders>
            <w:shd w:val="clear" w:color="auto" w:fill="auto"/>
            <w:noWrap/>
            <w:vAlign w:val="center"/>
            <w:hideMark/>
          </w:tcPr>
          <w:p w14:paraId="19F70F99" w14:textId="2007CBAD" w:rsidR="006167E8" w:rsidRPr="006167E8" w:rsidRDefault="006167E8" w:rsidP="006167E8">
            <w:pPr>
              <w:spacing w:after="0" w:line="240" w:lineRule="auto"/>
              <w:jc w:val="right"/>
              <w:rPr>
                <w:rFonts w:ascii="Arial" w:eastAsia="Times New Roman" w:hAnsi="Arial" w:cs="Arial"/>
                <w:color w:val="39414D"/>
                <w:sz w:val="16"/>
                <w:szCs w:val="16"/>
              </w:rPr>
            </w:pPr>
            <w:r w:rsidRPr="006167E8">
              <w:rPr>
                <w:rFonts w:ascii="Arial" w:hAnsi="Arial" w:cs="Arial"/>
                <w:color w:val="39414D"/>
                <w:sz w:val="16"/>
                <w:szCs w:val="16"/>
              </w:rPr>
              <w:t>2.2%</w:t>
            </w:r>
          </w:p>
        </w:tc>
      </w:tr>
      <w:tr w:rsidR="00E05069" w:rsidRPr="00E05069" w14:paraId="41E15E75" w14:textId="77777777" w:rsidTr="00E05069">
        <w:trPr>
          <w:trHeight w:val="240"/>
        </w:trPr>
        <w:tc>
          <w:tcPr>
            <w:tcW w:w="3303" w:type="dxa"/>
            <w:tcBorders>
              <w:top w:val="nil"/>
              <w:left w:val="nil"/>
              <w:bottom w:val="nil"/>
              <w:right w:val="nil"/>
            </w:tcBorders>
            <w:shd w:val="clear" w:color="000000" w:fill="E8E9E9"/>
            <w:noWrap/>
            <w:vAlign w:val="center"/>
            <w:hideMark/>
          </w:tcPr>
          <w:p w14:paraId="3AB23819" w14:textId="77777777"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Professional</w:t>
            </w:r>
          </w:p>
        </w:tc>
        <w:tc>
          <w:tcPr>
            <w:tcW w:w="1689" w:type="dxa"/>
            <w:tcBorders>
              <w:top w:val="nil"/>
              <w:left w:val="nil"/>
              <w:bottom w:val="nil"/>
              <w:right w:val="nil"/>
            </w:tcBorders>
            <w:shd w:val="clear" w:color="000000" w:fill="E8E9E9"/>
            <w:noWrap/>
            <w:vAlign w:val="center"/>
            <w:hideMark/>
          </w:tcPr>
          <w:p w14:paraId="621EDC2A" w14:textId="7CD95C91"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2.0%</w:t>
            </w:r>
          </w:p>
        </w:tc>
        <w:tc>
          <w:tcPr>
            <w:tcW w:w="1464" w:type="dxa"/>
            <w:tcBorders>
              <w:top w:val="nil"/>
              <w:left w:val="nil"/>
              <w:bottom w:val="nil"/>
              <w:right w:val="nil"/>
            </w:tcBorders>
            <w:shd w:val="clear" w:color="000000" w:fill="E8E9E9"/>
            <w:noWrap/>
            <w:vAlign w:val="center"/>
            <w:hideMark/>
          </w:tcPr>
          <w:p w14:paraId="54F1233B" w14:textId="39C11798"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2.0%</w:t>
            </w:r>
          </w:p>
        </w:tc>
      </w:tr>
      <w:tr w:rsidR="00E05069" w:rsidRPr="00E05069" w14:paraId="71C6243F" w14:textId="77777777" w:rsidTr="00E05069">
        <w:trPr>
          <w:trHeight w:val="240"/>
        </w:trPr>
        <w:tc>
          <w:tcPr>
            <w:tcW w:w="3303" w:type="dxa"/>
            <w:tcBorders>
              <w:top w:val="nil"/>
              <w:left w:val="nil"/>
              <w:bottom w:val="nil"/>
              <w:right w:val="nil"/>
            </w:tcBorders>
            <w:shd w:val="clear" w:color="auto" w:fill="auto"/>
            <w:noWrap/>
            <w:vAlign w:val="center"/>
            <w:hideMark/>
          </w:tcPr>
          <w:p w14:paraId="7DF1880A" w14:textId="77777777"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Retail Pharmacy</w:t>
            </w:r>
          </w:p>
        </w:tc>
        <w:tc>
          <w:tcPr>
            <w:tcW w:w="1689" w:type="dxa"/>
            <w:tcBorders>
              <w:top w:val="nil"/>
              <w:left w:val="nil"/>
              <w:bottom w:val="nil"/>
              <w:right w:val="nil"/>
            </w:tcBorders>
            <w:shd w:val="clear" w:color="auto" w:fill="auto"/>
            <w:noWrap/>
            <w:vAlign w:val="center"/>
            <w:hideMark/>
          </w:tcPr>
          <w:p w14:paraId="35FCEA29" w14:textId="3FB2F1DE"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2.0%</w:t>
            </w:r>
          </w:p>
        </w:tc>
        <w:tc>
          <w:tcPr>
            <w:tcW w:w="1464" w:type="dxa"/>
            <w:tcBorders>
              <w:top w:val="nil"/>
              <w:left w:val="nil"/>
              <w:bottom w:val="nil"/>
              <w:right w:val="nil"/>
            </w:tcBorders>
            <w:shd w:val="clear" w:color="auto" w:fill="auto"/>
            <w:noWrap/>
            <w:vAlign w:val="center"/>
            <w:hideMark/>
          </w:tcPr>
          <w:p w14:paraId="42AFEA8E" w14:textId="4EF5AEB5"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4.0%</w:t>
            </w:r>
          </w:p>
        </w:tc>
      </w:tr>
      <w:tr w:rsidR="00E05069" w:rsidRPr="00E05069" w14:paraId="4EA7C0A3" w14:textId="77777777" w:rsidTr="00E05069">
        <w:trPr>
          <w:trHeight w:val="240"/>
        </w:trPr>
        <w:tc>
          <w:tcPr>
            <w:tcW w:w="3303" w:type="dxa"/>
            <w:tcBorders>
              <w:top w:val="nil"/>
              <w:left w:val="nil"/>
              <w:bottom w:val="nil"/>
              <w:right w:val="nil"/>
            </w:tcBorders>
            <w:shd w:val="clear" w:color="000000" w:fill="E8E9E9"/>
            <w:noWrap/>
            <w:vAlign w:val="center"/>
            <w:hideMark/>
          </w:tcPr>
          <w:p w14:paraId="59697CD8" w14:textId="31887B85"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 xml:space="preserve">Ancillary </w:t>
            </w:r>
          </w:p>
        </w:tc>
        <w:tc>
          <w:tcPr>
            <w:tcW w:w="1689" w:type="dxa"/>
            <w:tcBorders>
              <w:top w:val="nil"/>
              <w:left w:val="nil"/>
              <w:bottom w:val="nil"/>
              <w:right w:val="nil"/>
            </w:tcBorders>
            <w:shd w:val="clear" w:color="000000" w:fill="E8E9E9"/>
            <w:noWrap/>
            <w:vAlign w:val="center"/>
            <w:hideMark/>
          </w:tcPr>
          <w:p w14:paraId="3EE76354" w14:textId="423C4685"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1.0%</w:t>
            </w:r>
          </w:p>
        </w:tc>
        <w:tc>
          <w:tcPr>
            <w:tcW w:w="1464" w:type="dxa"/>
            <w:tcBorders>
              <w:top w:val="nil"/>
              <w:left w:val="nil"/>
              <w:bottom w:val="nil"/>
              <w:right w:val="nil"/>
            </w:tcBorders>
            <w:shd w:val="clear" w:color="000000" w:fill="E8E9E9"/>
            <w:noWrap/>
            <w:vAlign w:val="center"/>
            <w:hideMark/>
          </w:tcPr>
          <w:p w14:paraId="4DDA66D4" w14:textId="1D6A4452"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2.5%</w:t>
            </w:r>
          </w:p>
        </w:tc>
      </w:tr>
      <w:tr w:rsidR="00E05069" w:rsidRPr="00E05069" w14:paraId="3482A3E8" w14:textId="77777777" w:rsidTr="00E05069">
        <w:trPr>
          <w:trHeight w:val="240"/>
        </w:trPr>
        <w:tc>
          <w:tcPr>
            <w:tcW w:w="3303" w:type="dxa"/>
            <w:tcBorders>
              <w:top w:val="nil"/>
              <w:left w:val="nil"/>
              <w:bottom w:val="nil"/>
              <w:right w:val="nil"/>
            </w:tcBorders>
            <w:shd w:val="clear" w:color="auto" w:fill="auto"/>
            <w:noWrap/>
            <w:vAlign w:val="center"/>
            <w:hideMark/>
          </w:tcPr>
          <w:p w14:paraId="1495FD17" w14:textId="696248C7"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NEMT</w:t>
            </w:r>
            <w:r w:rsidR="00177D34" w:rsidRPr="003421E1">
              <w:rPr>
                <w:rFonts w:ascii="Arial" w:eastAsia="Times New Roman" w:hAnsi="Arial" w:cs="Arial"/>
                <w:color w:val="39414D"/>
                <w:sz w:val="16"/>
                <w:szCs w:val="16"/>
                <w:vertAlign w:val="superscript"/>
              </w:rPr>
              <w:t>4</w:t>
            </w:r>
          </w:p>
        </w:tc>
        <w:tc>
          <w:tcPr>
            <w:tcW w:w="1689" w:type="dxa"/>
            <w:tcBorders>
              <w:top w:val="nil"/>
              <w:left w:val="nil"/>
              <w:bottom w:val="nil"/>
              <w:right w:val="nil"/>
            </w:tcBorders>
            <w:shd w:val="clear" w:color="auto" w:fill="auto"/>
            <w:noWrap/>
            <w:vAlign w:val="center"/>
            <w:hideMark/>
          </w:tcPr>
          <w:p w14:paraId="591B26F5" w14:textId="10CBB5C4"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0.0%</w:t>
            </w:r>
          </w:p>
        </w:tc>
        <w:tc>
          <w:tcPr>
            <w:tcW w:w="1464" w:type="dxa"/>
            <w:tcBorders>
              <w:top w:val="nil"/>
              <w:left w:val="nil"/>
              <w:bottom w:val="nil"/>
              <w:right w:val="nil"/>
            </w:tcBorders>
            <w:shd w:val="clear" w:color="auto" w:fill="auto"/>
            <w:noWrap/>
            <w:vAlign w:val="center"/>
            <w:hideMark/>
          </w:tcPr>
          <w:p w14:paraId="01B26969" w14:textId="7208C79D"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0.0%</w:t>
            </w:r>
          </w:p>
        </w:tc>
      </w:tr>
      <w:tr w:rsidR="00E05069" w:rsidRPr="00E05069" w14:paraId="5AB83937" w14:textId="77777777" w:rsidTr="00E05069">
        <w:trPr>
          <w:trHeight w:val="240"/>
        </w:trPr>
        <w:tc>
          <w:tcPr>
            <w:tcW w:w="3303" w:type="dxa"/>
            <w:tcBorders>
              <w:top w:val="nil"/>
              <w:left w:val="nil"/>
              <w:bottom w:val="nil"/>
              <w:right w:val="nil"/>
            </w:tcBorders>
            <w:shd w:val="clear" w:color="000000" w:fill="E8E9E9"/>
            <w:noWrap/>
            <w:vAlign w:val="center"/>
            <w:hideMark/>
          </w:tcPr>
          <w:p w14:paraId="12D6CF0E" w14:textId="6D5412DD"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Nursing Home and Hospice</w:t>
            </w:r>
            <w:r w:rsidR="0057378B" w:rsidRPr="00CD674F">
              <w:rPr>
                <w:rFonts w:ascii="Arial" w:eastAsia="Times New Roman" w:hAnsi="Arial" w:cs="Arial"/>
                <w:color w:val="39414D"/>
                <w:sz w:val="16"/>
                <w:szCs w:val="16"/>
                <w:vertAlign w:val="superscript"/>
              </w:rPr>
              <w:t>1,</w:t>
            </w:r>
            <w:r w:rsidR="00177D34">
              <w:rPr>
                <w:rFonts w:ascii="Arial" w:eastAsia="Times New Roman" w:hAnsi="Arial" w:cs="Arial"/>
                <w:color w:val="39414D"/>
                <w:sz w:val="16"/>
                <w:szCs w:val="16"/>
                <w:vertAlign w:val="superscript"/>
              </w:rPr>
              <w:t>3</w:t>
            </w:r>
          </w:p>
        </w:tc>
        <w:tc>
          <w:tcPr>
            <w:tcW w:w="1689" w:type="dxa"/>
            <w:tcBorders>
              <w:top w:val="nil"/>
              <w:left w:val="nil"/>
              <w:bottom w:val="nil"/>
              <w:right w:val="nil"/>
            </w:tcBorders>
            <w:shd w:val="clear" w:color="000000" w:fill="E8E9E9"/>
            <w:noWrap/>
            <w:vAlign w:val="center"/>
            <w:hideMark/>
          </w:tcPr>
          <w:p w14:paraId="55D21969" w14:textId="55DEC0B4"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0.5%</w:t>
            </w:r>
          </w:p>
        </w:tc>
        <w:tc>
          <w:tcPr>
            <w:tcW w:w="1464" w:type="dxa"/>
            <w:tcBorders>
              <w:top w:val="nil"/>
              <w:left w:val="nil"/>
              <w:bottom w:val="nil"/>
              <w:right w:val="nil"/>
            </w:tcBorders>
            <w:shd w:val="clear" w:color="000000" w:fill="E8E9E9"/>
            <w:noWrap/>
            <w:vAlign w:val="center"/>
            <w:hideMark/>
          </w:tcPr>
          <w:p w14:paraId="7825BC5D" w14:textId="6E7E57F4"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1.</w:t>
            </w:r>
            <w:r w:rsidR="00C86E07">
              <w:rPr>
                <w:rFonts w:ascii="Arial" w:hAnsi="Arial" w:cs="Arial"/>
                <w:color w:val="39414D"/>
                <w:sz w:val="16"/>
                <w:szCs w:val="16"/>
              </w:rPr>
              <w:t>8</w:t>
            </w:r>
            <w:r w:rsidRPr="003421E1">
              <w:rPr>
                <w:rFonts w:ascii="Arial" w:hAnsi="Arial" w:cs="Arial"/>
                <w:color w:val="39414D"/>
                <w:sz w:val="16"/>
                <w:szCs w:val="16"/>
              </w:rPr>
              <w:t>%</w:t>
            </w:r>
          </w:p>
        </w:tc>
      </w:tr>
      <w:tr w:rsidR="00E05069" w:rsidRPr="00E05069" w14:paraId="18599301" w14:textId="77777777" w:rsidTr="00E05069">
        <w:trPr>
          <w:trHeight w:val="240"/>
        </w:trPr>
        <w:tc>
          <w:tcPr>
            <w:tcW w:w="3303" w:type="dxa"/>
            <w:tcBorders>
              <w:top w:val="nil"/>
              <w:left w:val="nil"/>
              <w:bottom w:val="nil"/>
              <w:right w:val="nil"/>
            </w:tcBorders>
            <w:shd w:val="clear" w:color="auto" w:fill="auto"/>
            <w:noWrap/>
            <w:vAlign w:val="center"/>
            <w:hideMark/>
          </w:tcPr>
          <w:p w14:paraId="6877CF84" w14:textId="77777777" w:rsidR="00E05069" w:rsidRPr="00E05069" w:rsidRDefault="00E05069" w:rsidP="00E05069">
            <w:pPr>
              <w:spacing w:after="0" w:line="240" w:lineRule="auto"/>
              <w:rPr>
                <w:rFonts w:ascii="Arial" w:eastAsia="Times New Roman" w:hAnsi="Arial" w:cs="Arial"/>
                <w:color w:val="39414D"/>
                <w:sz w:val="16"/>
                <w:szCs w:val="16"/>
              </w:rPr>
            </w:pPr>
            <w:r w:rsidRPr="00E05069">
              <w:rPr>
                <w:rFonts w:ascii="Arial" w:eastAsia="Times New Roman" w:hAnsi="Arial" w:cs="Arial"/>
                <w:color w:val="39414D"/>
                <w:sz w:val="16"/>
                <w:szCs w:val="16"/>
              </w:rPr>
              <w:t>HCBS</w:t>
            </w:r>
          </w:p>
        </w:tc>
        <w:tc>
          <w:tcPr>
            <w:tcW w:w="1689" w:type="dxa"/>
            <w:tcBorders>
              <w:top w:val="nil"/>
              <w:left w:val="nil"/>
              <w:bottom w:val="nil"/>
              <w:right w:val="nil"/>
            </w:tcBorders>
            <w:shd w:val="clear" w:color="auto" w:fill="auto"/>
            <w:noWrap/>
            <w:vAlign w:val="center"/>
            <w:hideMark/>
          </w:tcPr>
          <w:p w14:paraId="5760E14E" w14:textId="0327BD3A"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2.0%</w:t>
            </w:r>
          </w:p>
        </w:tc>
        <w:tc>
          <w:tcPr>
            <w:tcW w:w="1464" w:type="dxa"/>
            <w:tcBorders>
              <w:top w:val="nil"/>
              <w:left w:val="nil"/>
              <w:bottom w:val="nil"/>
              <w:right w:val="nil"/>
            </w:tcBorders>
            <w:shd w:val="clear" w:color="auto" w:fill="auto"/>
            <w:noWrap/>
            <w:vAlign w:val="center"/>
            <w:hideMark/>
          </w:tcPr>
          <w:p w14:paraId="3AB04BD2" w14:textId="2693193D" w:rsidR="00E05069" w:rsidRPr="0074398C" w:rsidRDefault="0074398C" w:rsidP="002352E4">
            <w:pPr>
              <w:spacing w:after="0" w:line="240" w:lineRule="auto"/>
              <w:jc w:val="right"/>
              <w:rPr>
                <w:rFonts w:ascii="Arial" w:eastAsia="Times New Roman" w:hAnsi="Arial" w:cs="Arial"/>
                <w:color w:val="39414D"/>
                <w:sz w:val="16"/>
                <w:szCs w:val="16"/>
              </w:rPr>
            </w:pPr>
            <w:r w:rsidRPr="003421E1">
              <w:rPr>
                <w:rFonts w:ascii="Arial" w:hAnsi="Arial" w:cs="Arial"/>
                <w:color w:val="39414D"/>
                <w:sz w:val="16"/>
                <w:szCs w:val="16"/>
              </w:rPr>
              <w:t>2.0%</w:t>
            </w:r>
          </w:p>
        </w:tc>
      </w:tr>
    </w:tbl>
    <w:p w14:paraId="36324854" w14:textId="77777777" w:rsidR="006468EE" w:rsidRPr="008E07FA" w:rsidRDefault="006468EE" w:rsidP="006468EE">
      <w:pPr>
        <w:pStyle w:val="RRBullet1"/>
        <w:spacing w:before="120" w:after="0"/>
        <w:rPr>
          <w:rFonts w:ascii="Arial" w:eastAsia="Times New Roman" w:hAnsi="Arial" w:cs="Arial"/>
          <w:color w:val="727A7D"/>
          <w:sz w:val="16"/>
          <w:szCs w:val="16"/>
          <w:u w:val="single"/>
        </w:rPr>
      </w:pPr>
      <w:r w:rsidRPr="008E07FA">
        <w:rPr>
          <w:rFonts w:ascii="Arial" w:eastAsia="Times New Roman" w:hAnsi="Arial" w:cs="Arial"/>
          <w:color w:val="727A7D"/>
          <w:sz w:val="16"/>
          <w:szCs w:val="16"/>
          <w:u w:val="single"/>
        </w:rPr>
        <w:t xml:space="preserve">Notes </w:t>
      </w:r>
    </w:p>
    <w:p w14:paraId="420D8639" w14:textId="77777777" w:rsidR="006468EE" w:rsidRDefault="006468EE" w:rsidP="008405A2">
      <w:pPr>
        <w:pStyle w:val="RRBullet1"/>
        <w:numPr>
          <w:ilvl w:val="0"/>
          <w:numId w:val="17"/>
        </w:numPr>
        <w:spacing w:after="0"/>
        <w:jc w:val="left"/>
        <w:rPr>
          <w:rFonts w:ascii="Arial" w:eastAsia="Times New Roman" w:hAnsi="Arial" w:cs="Arial"/>
          <w:color w:val="727A7D"/>
          <w:sz w:val="16"/>
          <w:szCs w:val="16"/>
        </w:rPr>
      </w:pPr>
      <w:r>
        <w:rPr>
          <w:rFonts w:ascii="Arial" w:eastAsia="Times New Roman" w:hAnsi="Arial" w:cs="Arial"/>
          <w:color w:val="727A7D"/>
          <w:sz w:val="16"/>
          <w:szCs w:val="16"/>
        </w:rPr>
        <w:t>Unit cost trends for the inpatient, outpatient, emergency room, and nursing home and hospice service categories reflects legislatively mandated reimbursement increases for the fee-for-service program.</w:t>
      </w:r>
    </w:p>
    <w:p w14:paraId="1BE30C08" w14:textId="5026F843" w:rsidR="006468EE" w:rsidRDefault="006468EE" w:rsidP="008405A2">
      <w:pPr>
        <w:pStyle w:val="RRBullet1"/>
        <w:numPr>
          <w:ilvl w:val="0"/>
          <w:numId w:val="17"/>
        </w:numPr>
        <w:spacing w:after="0"/>
        <w:jc w:val="left"/>
        <w:rPr>
          <w:rFonts w:ascii="Arial" w:eastAsia="Times New Roman" w:hAnsi="Arial" w:cs="Arial"/>
          <w:color w:val="727A7D"/>
          <w:sz w:val="16"/>
          <w:szCs w:val="16"/>
        </w:rPr>
      </w:pPr>
      <w:r>
        <w:rPr>
          <w:rFonts w:ascii="Arial" w:eastAsia="Times New Roman" w:hAnsi="Arial" w:cs="Arial"/>
          <w:color w:val="727A7D"/>
          <w:sz w:val="16"/>
          <w:szCs w:val="16"/>
        </w:rPr>
        <w:t>The inpatient, outpatient, and emergency room increases are 3.0% and 2.4% effective July 1, 2020 and July 1, 2021, respectively.</w:t>
      </w:r>
    </w:p>
    <w:p w14:paraId="705141C8" w14:textId="00011465" w:rsidR="006468EE" w:rsidRDefault="006468EE" w:rsidP="008405A2">
      <w:pPr>
        <w:pStyle w:val="RRBullet1"/>
        <w:numPr>
          <w:ilvl w:val="0"/>
          <w:numId w:val="17"/>
        </w:numPr>
        <w:spacing w:after="0"/>
        <w:jc w:val="left"/>
        <w:rPr>
          <w:rFonts w:ascii="Arial" w:eastAsia="Times New Roman" w:hAnsi="Arial" w:cs="Arial"/>
          <w:color w:val="727A7D"/>
          <w:sz w:val="16"/>
          <w:szCs w:val="16"/>
        </w:rPr>
      </w:pPr>
      <w:r>
        <w:rPr>
          <w:rFonts w:ascii="Arial" w:eastAsia="Times New Roman" w:hAnsi="Arial" w:cs="Arial"/>
          <w:color w:val="727A7D"/>
          <w:sz w:val="16"/>
          <w:szCs w:val="16"/>
        </w:rPr>
        <w:t>The nursing home and hospice increases are 2.4% and 2.</w:t>
      </w:r>
      <w:r w:rsidR="00ED4798">
        <w:rPr>
          <w:rFonts w:ascii="Arial" w:eastAsia="Times New Roman" w:hAnsi="Arial" w:cs="Arial"/>
          <w:color w:val="727A7D"/>
          <w:sz w:val="16"/>
          <w:szCs w:val="16"/>
        </w:rPr>
        <w:t>7</w:t>
      </w:r>
      <w:r>
        <w:rPr>
          <w:rFonts w:ascii="Arial" w:eastAsia="Times New Roman" w:hAnsi="Arial" w:cs="Arial"/>
          <w:color w:val="727A7D"/>
          <w:sz w:val="16"/>
          <w:szCs w:val="16"/>
        </w:rPr>
        <w:t>% effective October 1, 2020 and October 1, 2021, respectively.</w:t>
      </w:r>
    </w:p>
    <w:p w14:paraId="5F1AA362" w14:textId="72FAC1BC" w:rsidR="0046424A" w:rsidRDefault="0046424A" w:rsidP="008405A2">
      <w:pPr>
        <w:pStyle w:val="RRBullet1"/>
        <w:numPr>
          <w:ilvl w:val="0"/>
          <w:numId w:val="17"/>
        </w:numPr>
        <w:spacing w:after="0"/>
        <w:jc w:val="left"/>
        <w:rPr>
          <w:rFonts w:ascii="Arial" w:eastAsia="Times New Roman" w:hAnsi="Arial" w:cs="Arial"/>
          <w:color w:val="727A7D"/>
          <w:sz w:val="16"/>
          <w:szCs w:val="16"/>
        </w:rPr>
      </w:pPr>
      <w:r w:rsidRPr="0046424A">
        <w:rPr>
          <w:rFonts w:ascii="Arial" w:eastAsia="Times New Roman" w:hAnsi="Arial" w:cs="Arial"/>
          <w:color w:val="727A7D"/>
          <w:sz w:val="16"/>
          <w:szCs w:val="16"/>
        </w:rPr>
        <w:t>Trends were not applied for the NEMT benefit since the underlying experience was developed based on the SFY 2022 NEMT capitation rates</w:t>
      </w:r>
      <w:r w:rsidR="009F4AC0">
        <w:rPr>
          <w:rFonts w:ascii="Arial" w:eastAsia="Times New Roman" w:hAnsi="Arial" w:cs="Arial"/>
          <w:color w:val="727A7D"/>
          <w:sz w:val="16"/>
          <w:szCs w:val="16"/>
        </w:rPr>
        <w:t>.</w:t>
      </w:r>
    </w:p>
    <w:p w14:paraId="79D95DD1" w14:textId="0E6EACE7" w:rsidR="009F4AC0" w:rsidRDefault="009F4AC0" w:rsidP="008405A2">
      <w:pPr>
        <w:pStyle w:val="RRBullet1"/>
        <w:numPr>
          <w:ilvl w:val="0"/>
          <w:numId w:val="17"/>
        </w:numPr>
        <w:spacing w:after="0"/>
        <w:jc w:val="left"/>
        <w:rPr>
          <w:rFonts w:ascii="Arial" w:eastAsia="Times New Roman" w:hAnsi="Arial" w:cs="Arial"/>
          <w:color w:val="727A7D"/>
          <w:sz w:val="16"/>
          <w:szCs w:val="16"/>
        </w:rPr>
      </w:pPr>
      <w:r w:rsidRPr="009F4AC0">
        <w:rPr>
          <w:rFonts w:ascii="Arial" w:eastAsia="Times New Roman" w:hAnsi="Arial" w:cs="Arial"/>
          <w:color w:val="727A7D"/>
          <w:sz w:val="16"/>
          <w:szCs w:val="16"/>
        </w:rPr>
        <w:t xml:space="preserve">The trend for patient liability is consistent </w:t>
      </w:r>
      <w:r>
        <w:rPr>
          <w:rFonts w:ascii="Arial" w:eastAsia="Times New Roman" w:hAnsi="Arial" w:cs="Arial"/>
          <w:color w:val="727A7D"/>
          <w:sz w:val="16"/>
          <w:szCs w:val="16"/>
        </w:rPr>
        <w:t xml:space="preserve">with the nursing home/hospice </w:t>
      </w:r>
      <w:r w:rsidR="00154AFC">
        <w:rPr>
          <w:rFonts w:ascii="Arial" w:eastAsia="Times New Roman" w:hAnsi="Arial" w:cs="Arial"/>
          <w:color w:val="727A7D"/>
          <w:sz w:val="16"/>
          <w:szCs w:val="16"/>
        </w:rPr>
        <w:t>trend</w:t>
      </w:r>
      <w:r>
        <w:rPr>
          <w:rFonts w:ascii="Arial" w:eastAsia="Times New Roman" w:hAnsi="Arial" w:cs="Arial"/>
          <w:color w:val="727A7D"/>
          <w:sz w:val="16"/>
          <w:szCs w:val="16"/>
        </w:rPr>
        <w:t xml:space="preserve"> </w:t>
      </w:r>
      <w:r w:rsidR="007E3810">
        <w:rPr>
          <w:rFonts w:ascii="Arial" w:eastAsia="Times New Roman" w:hAnsi="Arial" w:cs="Arial"/>
          <w:color w:val="727A7D"/>
          <w:sz w:val="16"/>
          <w:szCs w:val="16"/>
        </w:rPr>
        <w:t xml:space="preserve">for nursing home </w:t>
      </w:r>
      <w:r w:rsidR="00136AE5">
        <w:rPr>
          <w:rFonts w:ascii="Arial" w:eastAsia="Times New Roman" w:hAnsi="Arial" w:cs="Arial"/>
          <w:color w:val="727A7D"/>
          <w:sz w:val="16"/>
          <w:szCs w:val="16"/>
        </w:rPr>
        <w:t>rate cells</w:t>
      </w:r>
      <w:r w:rsidR="007E3810">
        <w:rPr>
          <w:rFonts w:ascii="Arial" w:eastAsia="Times New Roman" w:hAnsi="Arial" w:cs="Arial"/>
          <w:color w:val="727A7D"/>
          <w:sz w:val="16"/>
          <w:szCs w:val="16"/>
        </w:rPr>
        <w:t xml:space="preserve"> and consistent with HCBS </w:t>
      </w:r>
      <w:r w:rsidR="00154AFC">
        <w:rPr>
          <w:rFonts w:ascii="Arial" w:eastAsia="Times New Roman" w:hAnsi="Arial" w:cs="Arial"/>
          <w:color w:val="727A7D"/>
          <w:sz w:val="16"/>
          <w:szCs w:val="16"/>
        </w:rPr>
        <w:t xml:space="preserve">trend </w:t>
      </w:r>
      <w:r w:rsidR="007E3810">
        <w:rPr>
          <w:rFonts w:ascii="Arial" w:eastAsia="Times New Roman" w:hAnsi="Arial" w:cs="Arial"/>
          <w:color w:val="727A7D"/>
          <w:sz w:val="16"/>
          <w:szCs w:val="16"/>
        </w:rPr>
        <w:t xml:space="preserve">for HCBS </w:t>
      </w:r>
      <w:r w:rsidR="00136AE5">
        <w:rPr>
          <w:rFonts w:ascii="Arial" w:eastAsia="Times New Roman" w:hAnsi="Arial" w:cs="Arial"/>
          <w:color w:val="727A7D"/>
          <w:sz w:val="16"/>
          <w:szCs w:val="16"/>
        </w:rPr>
        <w:t>rate cells</w:t>
      </w:r>
      <w:r w:rsidRPr="009F4AC0">
        <w:rPr>
          <w:rFonts w:ascii="Arial" w:eastAsia="Times New Roman" w:hAnsi="Arial" w:cs="Arial"/>
          <w:color w:val="727A7D"/>
          <w:sz w:val="16"/>
          <w:szCs w:val="16"/>
        </w:rPr>
        <w:t>.</w:t>
      </w:r>
    </w:p>
    <w:p w14:paraId="46EBE598" w14:textId="733F0EDE" w:rsidR="00A60275" w:rsidRDefault="00A60275" w:rsidP="008405A2">
      <w:pPr>
        <w:pStyle w:val="RRBullet1"/>
        <w:numPr>
          <w:ilvl w:val="0"/>
          <w:numId w:val="17"/>
        </w:numPr>
        <w:spacing w:after="0"/>
        <w:jc w:val="left"/>
        <w:rPr>
          <w:rFonts w:ascii="Arial" w:eastAsia="Times New Roman" w:hAnsi="Arial" w:cs="Arial"/>
          <w:color w:val="727A7D"/>
          <w:sz w:val="16"/>
          <w:szCs w:val="16"/>
        </w:rPr>
      </w:pPr>
      <w:r>
        <w:rPr>
          <w:rFonts w:ascii="Arial" w:eastAsia="Times New Roman" w:hAnsi="Arial" w:cs="Arial"/>
          <w:color w:val="727A7D"/>
          <w:sz w:val="16"/>
          <w:szCs w:val="16"/>
        </w:rPr>
        <w:t>Values have been rounded.</w:t>
      </w:r>
    </w:p>
    <w:p w14:paraId="791778F5" w14:textId="77777777" w:rsidR="008C085B" w:rsidRPr="00CB0BE3" w:rsidRDefault="008C085B" w:rsidP="008C085B">
      <w:pPr>
        <w:spacing w:after="0" w:line="240" w:lineRule="auto"/>
        <w:jc w:val="both"/>
        <w:rPr>
          <w:rFonts w:cs="Arial"/>
        </w:rPr>
      </w:pPr>
    </w:p>
    <w:p w14:paraId="748EE3D2" w14:textId="28C9EBFE" w:rsidR="008C085B" w:rsidRDefault="004E0AA0" w:rsidP="000470AB">
      <w:pPr>
        <w:spacing w:after="0"/>
        <w:rPr>
          <w:rFonts w:cs="Arial"/>
          <w:bCs/>
          <w:color w:val="000000" w:themeColor="text1"/>
          <w:szCs w:val="18"/>
        </w:rPr>
      </w:pPr>
      <w:r>
        <w:rPr>
          <w:rFonts w:cs="Arial"/>
          <w:bCs/>
          <w:color w:val="000000" w:themeColor="text1"/>
          <w:szCs w:val="18"/>
        </w:rPr>
        <w:t>W</w:t>
      </w:r>
      <w:r w:rsidRPr="004E0AA0">
        <w:rPr>
          <w:rFonts w:cs="Arial"/>
          <w:bCs/>
          <w:color w:val="000000" w:themeColor="text1"/>
          <w:szCs w:val="18"/>
        </w:rPr>
        <w:t xml:space="preserve">e acknowledge there is uncertainty regarding the impact of the COVID-19 pandemic on future projections. It is possible that the COVID-19 pandemic could have a material impact on the projected enrollment and capitation rates presented in this report. However, due to the nature of </w:t>
      </w:r>
      <w:r w:rsidR="007955CE">
        <w:rPr>
          <w:rFonts w:cs="Arial"/>
          <w:bCs/>
          <w:color w:val="000000" w:themeColor="text1"/>
          <w:szCs w:val="18"/>
        </w:rPr>
        <w:t>l</w:t>
      </w:r>
      <w:r w:rsidR="007955CE" w:rsidRPr="00706BA7">
        <w:rPr>
          <w:rFonts w:cs="Arial"/>
        </w:rPr>
        <w:t>ong-term services and supports</w:t>
      </w:r>
      <w:r w:rsidR="007955CE">
        <w:rPr>
          <w:rFonts w:cs="Arial"/>
        </w:rPr>
        <w:t xml:space="preserve"> </w:t>
      </w:r>
      <w:r w:rsidRPr="004E0AA0">
        <w:rPr>
          <w:rFonts w:cs="Arial"/>
          <w:bCs/>
          <w:color w:val="000000" w:themeColor="text1"/>
          <w:szCs w:val="18"/>
        </w:rPr>
        <w:t xml:space="preserve">in this population and the availability of COVID-19 vaccinations, we have not assumed a material impact of COVID-19 to the prospective </w:t>
      </w:r>
      <w:r w:rsidR="00A108FF">
        <w:rPr>
          <w:rFonts w:cs="Arial"/>
          <w:bCs/>
          <w:color w:val="000000" w:themeColor="text1"/>
          <w:szCs w:val="18"/>
        </w:rPr>
        <w:t>trends</w:t>
      </w:r>
      <w:r w:rsidR="006C3B1F" w:rsidRPr="006C3B1F">
        <w:rPr>
          <w:rFonts w:cs="Arial"/>
          <w:bCs/>
          <w:color w:val="000000" w:themeColor="text1"/>
          <w:szCs w:val="18"/>
        </w:rPr>
        <w:t>.</w:t>
      </w:r>
    </w:p>
    <w:p w14:paraId="28C6D2B8" w14:textId="6249D770" w:rsidR="008C085B" w:rsidRDefault="008C085B" w:rsidP="008C085B">
      <w:pPr>
        <w:spacing w:after="0" w:line="240" w:lineRule="auto"/>
        <w:jc w:val="both"/>
        <w:rPr>
          <w:rStyle w:val="Strong"/>
        </w:rPr>
      </w:pPr>
    </w:p>
    <w:p w14:paraId="68250D5D" w14:textId="447817C5" w:rsidR="008C085B" w:rsidRPr="00282D91" w:rsidRDefault="008C085B" w:rsidP="00FC4603">
      <w:pPr>
        <w:pStyle w:val="Heading3"/>
      </w:pPr>
      <w:bookmarkStart w:id="16" w:name="_Toc434745312"/>
      <w:bookmarkStart w:id="17" w:name="_Toc91081154"/>
      <w:bookmarkEnd w:id="16"/>
      <w:r w:rsidRPr="00282D91">
        <w:lastRenderedPageBreak/>
        <w:t>S</w:t>
      </w:r>
      <w:r w:rsidR="00154BF4">
        <w:t>tep</w:t>
      </w:r>
      <w:r w:rsidRPr="00282D91">
        <w:t xml:space="preserve"> </w:t>
      </w:r>
      <w:r w:rsidR="007E7E96">
        <w:t>7</w:t>
      </w:r>
      <w:r w:rsidRPr="00282D91">
        <w:t>:</w:t>
      </w:r>
      <w:r w:rsidRPr="00282D91" w:rsidDel="00EB23CA">
        <w:t xml:space="preserve"> </w:t>
      </w:r>
      <w:r w:rsidRPr="00282D91">
        <w:t xml:space="preserve"> </w:t>
      </w:r>
      <w:r w:rsidR="009D2452" w:rsidRPr="009D2452">
        <w:t xml:space="preserve">Combine the Non-Dual HCBS </w:t>
      </w:r>
      <w:r w:rsidR="009D2452">
        <w:t xml:space="preserve">FFS </w:t>
      </w:r>
      <w:r w:rsidR="009D2452" w:rsidRPr="009D2452">
        <w:t xml:space="preserve">and </w:t>
      </w:r>
      <w:r w:rsidR="0004086D">
        <w:t>M</w:t>
      </w:r>
      <w:r w:rsidR="009D2452" w:rsidRPr="009D2452">
        <w:t xml:space="preserve">anaged </w:t>
      </w:r>
      <w:r w:rsidR="0004086D">
        <w:t>C</w:t>
      </w:r>
      <w:r w:rsidR="009D2452" w:rsidRPr="009D2452">
        <w:t xml:space="preserve">are </w:t>
      </w:r>
      <w:r w:rsidR="0004086D">
        <w:t>E</w:t>
      </w:r>
      <w:r w:rsidR="009D2452" w:rsidRPr="009D2452">
        <w:t>xperience</w:t>
      </w:r>
      <w:bookmarkEnd w:id="17"/>
      <w:r w:rsidR="009D2452" w:rsidRPr="009D2452" w:rsidDel="009D2452">
        <w:t xml:space="preserve"> </w:t>
      </w:r>
    </w:p>
    <w:p w14:paraId="2A6557CF" w14:textId="77777777" w:rsidR="0075382E" w:rsidRDefault="0075382E" w:rsidP="008C085B">
      <w:pPr>
        <w:spacing w:after="0" w:line="240" w:lineRule="auto"/>
        <w:jc w:val="both"/>
        <w:rPr>
          <w:rFonts w:cs="Arial"/>
        </w:rPr>
      </w:pPr>
    </w:p>
    <w:p w14:paraId="27AB0604" w14:textId="4D498231" w:rsidR="0090180B" w:rsidRDefault="00352117" w:rsidP="00D96AA6">
      <w:pPr>
        <w:spacing w:after="120"/>
        <w:rPr>
          <w:rFonts w:cs="Arial"/>
        </w:rPr>
      </w:pPr>
      <w:r>
        <w:rPr>
          <w:rFonts w:cs="Arial"/>
        </w:rPr>
        <w:t xml:space="preserve">The </w:t>
      </w:r>
      <w:r w:rsidR="007955CE">
        <w:rPr>
          <w:rFonts w:cs="Arial"/>
        </w:rPr>
        <w:t xml:space="preserve">number of </w:t>
      </w:r>
      <w:r w:rsidR="00347F98">
        <w:rPr>
          <w:rFonts w:cs="Arial"/>
        </w:rPr>
        <w:t xml:space="preserve">Medicaid managed care population enrollees that met the proxy PACE eligibility criteria was estimated to be material only for the non-dual HCBS </w:t>
      </w:r>
      <w:r w:rsidR="00136AE5">
        <w:rPr>
          <w:rFonts w:cs="Arial"/>
        </w:rPr>
        <w:t>rate cell</w:t>
      </w:r>
      <w:r w:rsidR="00347F98">
        <w:rPr>
          <w:rFonts w:cs="Arial"/>
        </w:rPr>
        <w:t>.</w:t>
      </w:r>
      <w:r w:rsidR="00347F98" w:rsidRPr="00347F98">
        <w:rPr>
          <w:rFonts w:cs="Arial"/>
        </w:rPr>
        <w:t xml:space="preserve"> </w:t>
      </w:r>
      <w:r w:rsidR="00347F98" w:rsidRPr="00706BA7">
        <w:rPr>
          <w:rFonts w:cs="Arial"/>
        </w:rPr>
        <w:t>Members in the RHP HCBS population are attributable to members previously enrolled in the RHO Phase 1 managed long-term services and supports program that were transitioned to RHP following the termination of the RHO Phase 1 program.</w:t>
      </w:r>
    </w:p>
    <w:p w14:paraId="35804F69" w14:textId="57BAA8FF" w:rsidR="0040616E" w:rsidRDefault="0071481D" w:rsidP="00D96AA6">
      <w:pPr>
        <w:spacing w:after="120"/>
        <w:rPr>
          <w:rFonts w:cs="Arial"/>
        </w:rPr>
      </w:pPr>
      <w:r>
        <w:rPr>
          <w:rFonts w:cs="Arial"/>
        </w:rPr>
        <w:t xml:space="preserve">Experience for FFS </w:t>
      </w:r>
      <w:r w:rsidR="00D87886">
        <w:rPr>
          <w:rFonts w:cs="Arial"/>
        </w:rPr>
        <w:t>members was blended wit</w:t>
      </w:r>
      <w:r w:rsidR="001F3D26">
        <w:rPr>
          <w:rFonts w:cs="Arial"/>
        </w:rPr>
        <w:t>h the RHP members</w:t>
      </w:r>
      <w:r w:rsidR="00186753">
        <w:rPr>
          <w:rFonts w:cs="Arial"/>
        </w:rPr>
        <w:t>’</w:t>
      </w:r>
      <w:r w:rsidR="001F3D26">
        <w:rPr>
          <w:rFonts w:cs="Arial"/>
        </w:rPr>
        <w:t xml:space="preserve"> </w:t>
      </w:r>
      <w:r w:rsidR="00186753">
        <w:rPr>
          <w:rFonts w:cs="Arial"/>
        </w:rPr>
        <w:t xml:space="preserve">composite </w:t>
      </w:r>
      <w:r w:rsidR="001F3D26">
        <w:rPr>
          <w:rFonts w:cs="Arial"/>
        </w:rPr>
        <w:t xml:space="preserve">SFY 2022 capitation </w:t>
      </w:r>
      <w:r w:rsidR="00F67633">
        <w:rPr>
          <w:rFonts w:cs="Arial"/>
        </w:rPr>
        <w:t xml:space="preserve">rate </w:t>
      </w:r>
      <w:r w:rsidR="00186753">
        <w:rPr>
          <w:rFonts w:cs="Arial"/>
        </w:rPr>
        <w:t xml:space="preserve">and FFS claims for services covered outside of the Medicaid managed care program. </w:t>
      </w:r>
      <w:r w:rsidR="00A0698A">
        <w:rPr>
          <w:rFonts w:cs="Arial"/>
        </w:rPr>
        <w:t xml:space="preserve">The combination of the </w:t>
      </w:r>
      <w:r w:rsidR="003C11EB">
        <w:rPr>
          <w:rFonts w:cs="Arial"/>
        </w:rPr>
        <w:t xml:space="preserve">composite </w:t>
      </w:r>
      <w:r w:rsidR="00A0698A">
        <w:rPr>
          <w:rFonts w:cs="Arial"/>
        </w:rPr>
        <w:t xml:space="preserve">SFY </w:t>
      </w:r>
      <w:r w:rsidR="00EA3E75">
        <w:rPr>
          <w:rFonts w:cs="Arial"/>
        </w:rPr>
        <w:t>2022 RHP capitation rate</w:t>
      </w:r>
      <w:r w:rsidR="003C11EB">
        <w:rPr>
          <w:rFonts w:cs="Arial"/>
        </w:rPr>
        <w:t>, inclusive of</w:t>
      </w:r>
      <w:r w:rsidR="008C4E1E">
        <w:rPr>
          <w:rFonts w:cs="Arial"/>
        </w:rPr>
        <w:t xml:space="preserve"> managed care non-benefit expense loads, and </w:t>
      </w:r>
      <w:r w:rsidR="00E13D2E">
        <w:rPr>
          <w:rFonts w:cs="Arial"/>
        </w:rPr>
        <w:t xml:space="preserve">FFS </w:t>
      </w:r>
      <w:r w:rsidR="006B1D0B">
        <w:rPr>
          <w:rFonts w:cs="Arial"/>
        </w:rPr>
        <w:t>claims represent the AWOP for this population</w:t>
      </w:r>
      <w:r w:rsidR="00E715E5">
        <w:rPr>
          <w:rFonts w:cs="Arial"/>
        </w:rPr>
        <w:t xml:space="preserve"> if the individuals were not enrolled in PACE</w:t>
      </w:r>
      <w:r w:rsidR="006B1D0B">
        <w:rPr>
          <w:rFonts w:cs="Arial"/>
        </w:rPr>
        <w:t>.</w:t>
      </w:r>
      <w:r w:rsidR="00023F45">
        <w:rPr>
          <w:rFonts w:cs="Arial"/>
        </w:rPr>
        <w:t xml:space="preserve"> </w:t>
      </w:r>
      <w:r w:rsidR="0040616E">
        <w:rPr>
          <w:rFonts w:cs="Arial"/>
        </w:rPr>
        <w:t xml:space="preserve">The blending </w:t>
      </w:r>
      <w:r w:rsidR="00173AB7">
        <w:rPr>
          <w:rFonts w:cs="Arial"/>
        </w:rPr>
        <w:t>of experience by category</w:t>
      </w:r>
      <w:r w:rsidR="0040616E">
        <w:rPr>
          <w:rFonts w:cs="Arial"/>
        </w:rPr>
        <w:t xml:space="preserve"> </w:t>
      </w:r>
      <w:r w:rsidR="00B37D9E">
        <w:rPr>
          <w:rFonts w:cs="Arial"/>
        </w:rPr>
        <w:t xml:space="preserve">of service </w:t>
      </w:r>
      <w:r w:rsidR="00173AB7">
        <w:rPr>
          <w:rFonts w:cs="Arial"/>
        </w:rPr>
        <w:t>is</w:t>
      </w:r>
      <w:r w:rsidR="0040616E">
        <w:rPr>
          <w:rFonts w:cs="Arial"/>
        </w:rPr>
        <w:t xml:space="preserve"> illustrated in Appendix </w:t>
      </w:r>
      <w:r w:rsidR="0022064D">
        <w:rPr>
          <w:rFonts w:cs="Arial"/>
        </w:rPr>
        <w:t>3</w:t>
      </w:r>
      <w:r w:rsidR="0040616E">
        <w:rPr>
          <w:rFonts w:cs="Arial"/>
        </w:rPr>
        <w:t xml:space="preserve">. </w:t>
      </w:r>
      <w:r w:rsidR="0085011E">
        <w:rPr>
          <w:rFonts w:cs="Arial"/>
        </w:rPr>
        <w:t xml:space="preserve">Figure </w:t>
      </w:r>
      <w:r w:rsidR="00282F74">
        <w:rPr>
          <w:rFonts w:cs="Arial"/>
        </w:rPr>
        <w:t xml:space="preserve">11 </w:t>
      </w:r>
      <w:r w:rsidR="0085011E">
        <w:rPr>
          <w:rFonts w:cs="Arial"/>
        </w:rPr>
        <w:t xml:space="preserve">illustrates the </w:t>
      </w:r>
      <w:r w:rsidR="009608D4">
        <w:rPr>
          <w:rFonts w:cs="Arial"/>
        </w:rPr>
        <w:t xml:space="preserve">development of the non-dual HCBS </w:t>
      </w:r>
      <w:r w:rsidR="00136AE5">
        <w:rPr>
          <w:rFonts w:cs="Arial"/>
        </w:rPr>
        <w:t>rate cell</w:t>
      </w:r>
      <w:r w:rsidR="009608D4">
        <w:rPr>
          <w:rFonts w:cs="Arial"/>
        </w:rPr>
        <w:t xml:space="preserve"> </w:t>
      </w:r>
      <w:r w:rsidR="00C53B17">
        <w:rPr>
          <w:rFonts w:cs="Arial"/>
        </w:rPr>
        <w:t xml:space="preserve">blended benefit cost PMPM. </w:t>
      </w:r>
    </w:p>
    <w:p w14:paraId="1FD82E53" w14:textId="77777777" w:rsidR="006F2DF4" w:rsidRDefault="006F2DF4" w:rsidP="00D96AA6">
      <w:pPr>
        <w:spacing w:after="120"/>
        <w:rPr>
          <w:rFonts w:cs="Arial"/>
        </w:rPr>
      </w:pPr>
    </w:p>
    <w:tbl>
      <w:tblPr>
        <w:tblW w:w="8248" w:type="dxa"/>
        <w:tblLook w:val="04A0" w:firstRow="1" w:lastRow="0" w:firstColumn="1" w:lastColumn="0" w:noHBand="0" w:noVBand="1"/>
      </w:tblPr>
      <w:tblGrid>
        <w:gridCol w:w="3088"/>
        <w:gridCol w:w="1608"/>
        <w:gridCol w:w="1776"/>
        <w:gridCol w:w="1776"/>
      </w:tblGrid>
      <w:tr w:rsidR="00934EF8" w:rsidRPr="00934EF8" w14:paraId="3F65619B" w14:textId="77777777" w:rsidTr="00934EF8">
        <w:trPr>
          <w:trHeight w:val="240"/>
        </w:trPr>
        <w:tc>
          <w:tcPr>
            <w:tcW w:w="4696" w:type="dxa"/>
            <w:gridSpan w:val="2"/>
            <w:tcBorders>
              <w:top w:val="nil"/>
              <w:left w:val="nil"/>
              <w:bottom w:val="nil"/>
              <w:right w:val="nil"/>
            </w:tcBorders>
            <w:shd w:val="clear" w:color="auto" w:fill="auto"/>
            <w:noWrap/>
            <w:vAlign w:val="center"/>
            <w:hideMark/>
          </w:tcPr>
          <w:p w14:paraId="497E0729" w14:textId="189092C5" w:rsidR="00934EF8" w:rsidRPr="00934EF8" w:rsidRDefault="00F948FB" w:rsidP="00934EF8">
            <w:pPr>
              <w:spacing w:after="0" w:line="240" w:lineRule="auto"/>
              <w:rPr>
                <w:rFonts w:ascii="Arial" w:eastAsia="Times New Roman" w:hAnsi="Arial" w:cs="Arial"/>
                <w:b/>
                <w:bCs/>
                <w:color w:val="0081E3"/>
                <w:sz w:val="16"/>
                <w:szCs w:val="16"/>
              </w:rPr>
            </w:pPr>
            <w:r w:rsidRPr="00F948FB">
              <w:rPr>
                <w:rFonts w:ascii="Arial" w:eastAsia="Times New Roman" w:hAnsi="Arial" w:cs="Arial"/>
                <w:b/>
                <w:bCs/>
                <w:color w:val="0081E3"/>
                <w:sz w:val="16"/>
                <w:szCs w:val="16"/>
              </w:rPr>
              <w:t xml:space="preserve">FIGURE </w:t>
            </w:r>
            <w:r w:rsidR="007E7E96">
              <w:rPr>
                <w:rFonts w:ascii="Arial" w:eastAsia="Times New Roman" w:hAnsi="Arial" w:cs="Arial"/>
                <w:b/>
                <w:bCs/>
                <w:color w:val="0081E3"/>
                <w:sz w:val="16"/>
                <w:szCs w:val="16"/>
              </w:rPr>
              <w:t>1</w:t>
            </w:r>
            <w:r w:rsidR="00282F74">
              <w:rPr>
                <w:rFonts w:ascii="Arial" w:eastAsia="Times New Roman" w:hAnsi="Arial" w:cs="Arial"/>
                <w:b/>
                <w:bCs/>
                <w:color w:val="0081E3"/>
                <w:sz w:val="16"/>
                <w:szCs w:val="16"/>
              </w:rPr>
              <w:t>1</w:t>
            </w:r>
            <w:r w:rsidRPr="00F948FB">
              <w:rPr>
                <w:rFonts w:ascii="Arial" w:eastAsia="Times New Roman" w:hAnsi="Arial" w:cs="Arial"/>
                <w:b/>
                <w:bCs/>
                <w:color w:val="0081E3"/>
                <w:sz w:val="16"/>
                <w:szCs w:val="16"/>
              </w:rPr>
              <w:t>: NON-DUALS HCBS RATE CELL BLEND</w:t>
            </w:r>
          </w:p>
        </w:tc>
        <w:tc>
          <w:tcPr>
            <w:tcW w:w="1776" w:type="dxa"/>
            <w:tcBorders>
              <w:top w:val="nil"/>
              <w:left w:val="nil"/>
              <w:bottom w:val="nil"/>
              <w:right w:val="nil"/>
            </w:tcBorders>
            <w:shd w:val="clear" w:color="auto" w:fill="auto"/>
            <w:noWrap/>
            <w:vAlign w:val="bottom"/>
            <w:hideMark/>
          </w:tcPr>
          <w:p w14:paraId="02E57BF3" w14:textId="77777777" w:rsidR="00934EF8" w:rsidRPr="00934EF8" w:rsidRDefault="00934EF8" w:rsidP="00934EF8">
            <w:pPr>
              <w:spacing w:after="0" w:line="240" w:lineRule="auto"/>
              <w:rPr>
                <w:rFonts w:ascii="Arial" w:eastAsia="Times New Roman" w:hAnsi="Arial" w:cs="Arial"/>
                <w:b/>
                <w:bCs/>
                <w:color w:val="0081E3"/>
                <w:sz w:val="16"/>
                <w:szCs w:val="16"/>
              </w:rPr>
            </w:pPr>
          </w:p>
        </w:tc>
        <w:tc>
          <w:tcPr>
            <w:tcW w:w="1776" w:type="dxa"/>
            <w:tcBorders>
              <w:top w:val="nil"/>
              <w:left w:val="nil"/>
              <w:bottom w:val="nil"/>
              <w:right w:val="nil"/>
            </w:tcBorders>
            <w:shd w:val="clear" w:color="auto" w:fill="auto"/>
            <w:noWrap/>
            <w:vAlign w:val="bottom"/>
            <w:hideMark/>
          </w:tcPr>
          <w:p w14:paraId="38D0DAC4" w14:textId="77777777" w:rsidR="00934EF8" w:rsidRPr="00934EF8" w:rsidRDefault="00934EF8" w:rsidP="00934EF8">
            <w:pPr>
              <w:spacing w:after="0" w:line="240" w:lineRule="auto"/>
              <w:rPr>
                <w:rFonts w:ascii="Times New Roman" w:eastAsia="Times New Roman" w:hAnsi="Times New Roman" w:cs="Times New Roman"/>
                <w:sz w:val="16"/>
                <w:szCs w:val="16"/>
              </w:rPr>
            </w:pPr>
          </w:p>
        </w:tc>
      </w:tr>
      <w:tr w:rsidR="00934EF8" w:rsidRPr="00934EF8" w14:paraId="65E37A42" w14:textId="77777777" w:rsidTr="00934EF8">
        <w:trPr>
          <w:trHeight w:val="255"/>
        </w:trPr>
        <w:tc>
          <w:tcPr>
            <w:tcW w:w="3088" w:type="dxa"/>
            <w:tcBorders>
              <w:top w:val="nil"/>
              <w:left w:val="nil"/>
              <w:bottom w:val="single" w:sz="8" w:space="0" w:color="C6C9CA"/>
              <w:right w:val="nil"/>
            </w:tcBorders>
            <w:shd w:val="clear" w:color="auto" w:fill="auto"/>
            <w:vAlign w:val="center"/>
            <w:hideMark/>
          </w:tcPr>
          <w:p w14:paraId="2F5E3DF8" w14:textId="77777777" w:rsidR="00934EF8" w:rsidRPr="00934EF8" w:rsidRDefault="00934EF8" w:rsidP="00934EF8">
            <w:pPr>
              <w:spacing w:after="0" w:line="240" w:lineRule="auto"/>
              <w:rPr>
                <w:rFonts w:ascii="Arial" w:eastAsia="Times New Roman" w:hAnsi="Arial" w:cs="Arial"/>
                <w:b/>
                <w:bCs/>
                <w:color w:val="39414D"/>
                <w:sz w:val="16"/>
                <w:szCs w:val="16"/>
              </w:rPr>
            </w:pPr>
            <w:r w:rsidRPr="00934EF8">
              <w:rPr>
                <w:rFonts w:ascii="Arial" w:eastAsia="Times New Roman" w:hAnsi="Arial" w:cs="Arial"/>
                <w:b/>
                <w:bCs/>
                <w:color w:val="39414D"/>
                <w:sz w:val="16"/>
                <w:szCs w:val="16"/>
              </w:rPr>
              <w:t>Service Category</w:t>
            </w:r>
          </w:p>
        </w:tc>
        <w:tc>
          <w:tcPr>
            <w:tcW w:w="1608" w:type="dxa"/>
            <w:tcBorders>
              <w:top w:val="nil"/>
              <w:left w:val="nil"/>
              <w:bottom w:val="single" w:sz="8" w:space="0" w:color="C6C9CA"/>
              <w:right w:val="nil"/>
            </w:tcBorders>
            <w:shd w:val="clear" w:color="auto" w:fill="auto"/>
            <w:vAlign w:val="center"/>
            <w:hideMark/>
          </w:tcPr>
          <w:p w14:paraId="4D7C1195" w14:textId="19544D7F" w:rsidR="00934EF8" w:rsidRPr="00934EF8" w:rsidRDefault="00D87886" w:rsidP="003421E1">
            <w:pPr>
              <w:spacing w:after="0" w:line="240" w:lineRule="auto"/>
              <w:jc w:val="right"/>
              <w:rPr>
                <w:rFonts w:ascii="Arial" w:eastAsia="Times New Roman" w:hAnsi="Arial" w:cs="Arial"/>
                <w:b/>
                <w:bCs/>
                <w:color w:val="39414D"/>
                <w:sz w:val="16"/>
                <w:szCs w:val="16"/>
              </w:rPr>
            </w:pPr>
            <w:r>
              <w:rPr>
                <w:rFonts w:ascii="Arial" w:eastAsia="Times New Roman" w:hAnsi="Arial" w:cs="Arial"/>
                <w:b/>
                <w:bCs/>
                <w:color w:val="39414D"/>
                <w:sz w:val="16"/>
                <w:szCs w:val="16"/>
              </w:rPr>
              <w:t>FFS</w:t>
            </w:r>
          </w:p>
        </w:tc>
        <w:tc>
          <w:tcPr>
            <w:tcW w:w="1776" w:type="dxa"/>
            <w:tcBorders>
              <w:top w:val="nil"/>
              <w:left w:val="nil"/>
              <w:bottom w:val="single" w:sz="8" w:space="0" w:color="C6C9CA"/>
              <w:right w:val="nil"/>
            </w:tcBorders>
            <w:shd w:val="clear" w:color="auto" w:fill="auto"/>
            <w:vAlign w:val="center"/>
            <w:hideMark/>
          </w:tcPr>
          <w:p w14:paraId="2BBB6DB4" w14:textId="77777777" w:rsidR="00934EF8" w:rsidRPr="00934EF8" w:rsidRDefault="00934EF8" w:rsidP="003421E1">
            <w:pPr>
              <w:spacing w:after="0" w:line="240" w:lineRule="auto"/>
              <w:jc w:val="right"/>
              <w:rPr>
                <w:rFonts w:ascii="Arial" w:eastAsia="Times New Roman" w:hAnsi="Arial" w:cs="Arial"/>
                <w:b/>
                <w:bCs/>
                <w:color w:val="39414D"/>
                <w:sz w:val="16"/>
                <w:szCs w:val="16"/>
              </w:rPr>
            </w:pPr>
            <w:r w:rsidRPr="00934EF8">
              <w:rPr>
                <w:rFonts w:ascii="Arial" w:eastAsia="Times New Roman" w:hAnsi="Arial" w:cs="Arial"/>
                <w:b/>
                <w:bCs/>
                <w:color w:val="39414D"/>
                <w:sz w:val="16"/>
                <w:szCs w:val="16"/>
              </w:rPr>
              <w:t>RHP</w:t>
            </w:r>
          </w:p>
        </w:tc>
        <w:tc>
          <w:tcPr>
            <w:tcW w:w="1776" w:type="dxa"/>
            <w:tcBorders>
              <w:top w:val="nil"/>
              <w:left w:val="nil"/>
              <w:bottom w:val="single" w:sz="8" w:space="0" w:color="C6C9CA"/>
              <w:right w:val="nil"/>
            </w:tcBorders>
            <w:shd w:val="clear" w:color="auto" w:fill="auto"/>
            <w:vAlign w:val="center"/>
            <w:hideMark/>
          </w:tcPr>
          <w:p w14:paraId="506C4D6F" w14:textId="77777777" w:rsidR="00934EF8" w:rsidRPr="00934EF8" w:rsidRDefault="00934EF8" w:rsidP="003421E1">
            <w:pPr>
              <w:spacing w:after="0" w:line="240" w:lineRule="auto"/>
              <w:jc w:val="right"/>
              <w:rPr>
                <w:rFonts w:ascii="Arial" w:eastAsia="Times New Roman" w:hAnsi="Arial" w:cs="Arial"/>
                <w:b/>
                <w:bCs/>
                <w:color w:val="39414D"/>
                <w:sz w:val="16"/>
                <w:szCs w:val="16"/>
              </w:rPr>
            </w:pPr>
            <w:r w:rsidRPr="00934EF8">
              <w:rPr>
                <w:rFonts w:ascii="Arial" w:eastAsia="Times New Roman" w:hAnsi="Arial" w:cs="Arial"/>
                <w:b/>
                <w:bCs/>
                <w:color w:val="39414D"/>
                <w:sz w:val="16"/>
                <w:szCs w:val="16"/>
              </w:rPr>
              <w:t>Blended</w:t>
            </w:r>
          </w:p>
        </w:tc>
      </w:tr>
      <w:tr w:rsidR="006167E8" w:rsidRPr="00934EF8" w14:paraId="42B00A9A" w14:textId="77777777" w:rsidTr="00934EF8">
        <w:trPr>
          <w:trHeight w:val="240"/>
        </w:trPr>
        <w:tc>
          <w:tcPr>
            <w:tcW w:w="3088" w:type="dxa"/>
            <w:tcBorders>
              <w:top w:val="nil"/>
              <w:left w:val="nil"/>
              <w:bottom w:val="nil"/>
              <w:right w:val="nil"/>
            </w:tcBorders>
            <w:shd w:val="clear" w:color="auto" w:fill="auto"/>
            <w:noWrap/>
            <w:vAlign w:val="center"/>
            <w:hideMark/>
          </w:tcPr>
          <w:p w14:paraId="62D61522" w14:textId="77777777" w:rsidR="006167E8" w:rsidRPr="00934EF8" w:rsidRDefault="006167E8" w:rsidP="006167E8">
            <w:pPr>
              <w:spacing w:after="0" w:line="240" w:lineRule="auto"/>
              <w:rPr>
                <w:rFonts w:ascii="Arial" w:eastAsia="Times New Roman" w:hAnsi="Arial" w:cs="Arial"/>
                <w:color w:val="39414D"/>
                <w:sz w:val="16"/>
                <w:szCs w:val="16"/>
              </w:rPr>
            </w:pPr>
            <w:r w:rsidRPr="00934EF8">
              <w:rPr>
                <w:rFonts w:ascii="Arial" w:eastAsia="Times New Roman" w:hAnsi="Arial" w:cs="Arial"/>
                <w:color w:val="39414D"/>
                <w:sz w:val="16"/>
                <w:szCs w:val="16"/>
              </w:rPr>
              <w:t>CY 2019 Member Months</w:t>
            </w:r>
          </w:p>
        </w:tc>
        <w:tc>
          <w:tcPr>
            <w:tcW w:w="1608" w:type="dxa"/>
            <w:tcBorders>
              <w:top w:val="nil"/>
              <w:left w:val="nil"/>
              <w:bottom w:val="nil"/>
              <w:right w:val="nil"/>
            </w:tcBorders>
            <w:shd w:val="clear" w:color="auto" w:fill="auto"/>
            <w:noWrap/>
            <w:vAlign w:val="center"/>
            <w:hideMark/>
          </w:tcPr>
          <w:p w14:paraId="49F5AD6A" w14:textId="7D5B5B51" w:rsidR="006167E8" w:rsidRPr="00AF0058" w:rsidRDefault="006167E8" w:rsidP="006167E8">
            <w:pPr>
              <w:spacing w:after="0" w:line="240" w:lineRule="auto"/>
              <w:jc w:val="right"/>
              <w:rPr>
                <w:rFonts w:ascii="Arial" w:eastAsia="Times New Roman" w:hAnsi="Arial" w:cs="Arial"/>
                <w:color w:val="39414D"/>
                <w:sz w:val="16"/>
                <w:szCs w:val="16"/>
              </w:rPr>
            </w:pPr>
            <w:r w:rsidRPr="007944E3">
              <w:rPr>
                <w:rFonts w:ascii="Arial" w:hAnsi="Arial" w:cs="Arial"/>
                <w:color w:val="39414D"/>
                <w:sz w:val="16"/>
                <w:szCs w:val="16"/>
              </w:rPr>
              <w:t xml:space="preserve">462 </w:t>
            </w:r>
          </w:p>
        </w:tc>
        <w:tc>
          <w:tcPr>
            <w:tcW w:w="1776" w:type="dxa"/>
            <w:tcBorders>
              <w:top w:val="nil"/>
              <w:left w:val="nil"/>
              <w:bottom w:val="nil"/>
              <w:right w:val="nil"/>
            </w:tcBorders>
            <w:shd w:val="clear" w:color="auto" w:fill="auto"/>
            <w:noWrap/>
            <w:vAlign w:val="center"/>
            <w:hideMark/>
          </w:tcPr>
          <w:p w14:paraId="710AA335" w14:textId="266747FF" w:rsidR="006167E8" w:rsidRPr="006167E8" w:rsidRDefault="006167E8" w:rsidP="006167E8">
            <w:pPr>
              <w:spacing w:after="0" w:line="240" w:lineRule="auto"/>
              <w:jc w:val="right"/>
              <w:rPr>
                <w:rFonts w:ascii="Arial" w:eastAsia="Times New Roman" w:hAnsi="Arial" w:cs="Arial"/>
                <w:color w:val="39414D"/>
                <w:sz w:val="16"/>
                <w:szCs w:val="16"/>
              </w:rPr>
            </w:pPr>
            <w:r w:rsidRPr="008F6AC7">
              <w:rPr>
                <w:rFonts w:ascii="Arial" w:hAnsi="Arial" w:cs="Arial"/>
                <w:color w:val="39414D"/>
                <w:sz w:val="16"/>
                <w:szCs w:val="16"/>
              </w:rPr>
              <w:t xml:space="preserve">1,406 </w:t>
            </w:r>
          </w:p>
        </w:tc>
        <w:tc>
          <w:tcPr>
            <w:tcW w:w="1776" w:type="dxa"/>
            <w:tcBorders>
              <w:top w:val="nil"/>
              <w:left w:val="nil"/>
              <w:bottom w:val="nil"/>
              <w:right w:val="nil"/>
            </w:tcBorders>
            <w:shd w:val="clear" w:color="auto" w:fill="auto"/>
            <w:noWrap/>
            <w:vAlign w:val="center"/>
            <w:hideMark/>
          </w:tcPr>
          <w:p w14:paraId="40241114" w14:textId="6341B94E" w:rsidR="006167E8" w:rsidRPr="006167E8" w:rsidRDefault="006167E8" w:rsidP="006167E8">
            <w:pPr>
              <w:spacing w:after="0" w:line="240" w:lineRule="auto"/>
              <w:jc w:val="right"/>
              <w:rPr>
                <w:rFonts w:ascii="Arial" w:eastAsia="Times New Roman" w:hAnsi="Arial" w:cs="Arial"/>
                <w:color w:val="39414D"/>
                <w:sz w:val="16"/>
                <w:szCs w:val="16"/>
              </w:rPr>
            </w:pPr>
            <w:r w:rsidRPr="008F6AC7">
              <w:rPr>
                <w:rFonts w:ascii="Arial" w:hAnsi="Arial" w:cs="Arial"/>
                <w:color w:val="39414D"/>
                <w:sz w:val="16"/>
                <w:szCs w:val="16"/>
              </w:rPr>
              <w:t xml:space="preserve">1,868 </w:t>
            </w:r>
          </w:p>
        </w:tc>
      </w:tr>
      <w:tr w:rsidR="0050726D" w:rsidRPr="00934EF8" w14:paraId="46658847" w14:textId="77777777" w:rsidTr="00934EF8">
        <w:trPr>
          <w:trHeight w:val="240"/>
        </w:trPr>
        <w:tc>
          <w:tcPr>
            <w:tcW w:w="3088" w:type="dxa"/>
            <w:tcBorders>
              <w:top w:val="nil"/>
              <w:left w:val="nil"/>
              <w:bottom w:val="nil"/>
              <w:right w:val="nil"/>
            </w:tcBorders>
            <w:shd w:val="clear" w:color="000000" w:fill="E8E9E9"/>
            <w:noWrap/>
            <w:vAlign w:val="center"/>
            <w:hideMark/>
          </w:tcPr>
          <w:p w14:paraId="769383B8" w14:textId="77777777" w:rsidR="0050726D" w:rsidRPr="00934EF8" w:rsidRDefault="0050726D" w:rsidP="0050726D">
            <w:pPr>
              <w:spacing w:after="0" w:line="240" w:lineRule="auto"/>
              <w:rPr>
                <w:rFonts w:ascii="Arial" w:eastAsia="Times New Roman" w:hAnsi="Arial" w:cs="Arial"/>
                <w:color w:val="39414D"/>
                <w:sz w:val="16"/>
                <w:szCs w:val="16"/>
              </w:rPr>
            </w:pPr>
            <w:r w:rsidRPr="00934EF8">
              <w:rPr>
                <w:rFonts w:ascii="Arial" w:eastAsia="Times New Roman" w:hAnsi="Arial" w:cs="Arial"/>
                <w:color w:val="39414D"/>
                <w:sz w:val="16"/>
                <w:szCs w:val="16"/>
              </w:rPr>
              <w:t>FFS Experience PMPM</w:t>
            </w:r>
          </w:p>
        </w:tc>
        <w:tc>
          <w:tcPr>
            <w:tcW w:w="1608" w:type="dxa"/>
            <w:tcBorders>
              <w:top w:val="nil"/>
              <w:left w:val="nil"/>
              <w:bottom w:val="nil"/>
              <w:right w:val="nil"/>
            </w:tcBorders>
            <w:shd w:val="clear" w:color="000000" w:fill="E8E9E9"/>
            <w:noWrap/>
            <w:vAlign w:val="center"/>
            <w:hideMark/>
          </w:tcPr>
          <w:p w14:paraId="14311884" w14:textId="31E99565" w:rsidR="0050726D" w:rsidRPr="0050726D" w:rsidRDefault="0050726D" w:rsidP="0050726D">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$ 4,033.99 </w:t>
            </w:r>
          </w:p>
        </w:tc>
        <w:tc>
          <w:tcPr>
            <w:tcW w:w="1776" w:type="dxa"/>
            <w:tcBorders>
              <w:top w:val="nil"/>
              <w:left w:val="nil"/>
              <w:bottom w:val="nil"/>
              <w:right w:val="nil"/>
            </w:tcBorders>
            <w:shd w:val="clear" w:color="000000" w:fill="E8E9E9"/>
            <w:noWrap/>
            <w:vAlign w:val="center"/>
            <w:hideMark/>
          </w:tcPr>
          <w:p w14:paraId="3A863E5E" w14:textId="69150540" w:rsidR="0050726D" w:rsidRPr="0050726D" w:rsidRDefault="0050726D" w:rsidP="0050726D">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$ 3,407.36 </w:t>
            </w:r>
          </w:p>
        </w:tc>
        <w:tc>
          <w:tcPr>
            <w:tcW w:w="1776" w:type="dxa"/>
            <w:tcBorders>
              <w:top w:val="nil"/>
              <w:left w:val="nil"/>
              <w:bottom w:val="nil"/>
              <w:right w:val="nil"/>
            </w:tcBorders>
            <w:shd w:val="clear" w:color="000000" w:fill="E8E9E9"/>
            <w:noWrap/>
            <w:vAlign w:val="center"/>
            <w:hideMark/>
          </w:tcPr>
          <w:p w14:paraId="4B1381C0" w14:textId="667765FA" w:rsidR="0050726D" w:rsidRPr="0050726D" w:rsidRDefault="0050726D" w:rsidP="0050726D">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$ 3,562.34 </w:t>
            </w:r>
          </w:p>
        </w:tc>
      </w:tr>
      <w:tr w:rsidR="009A1799" w:rsidRPr="00934EF8" w14:paraId="34C1F634" w14:textId="77777777" w:rsidTr="00934EF8">
        <w:trPr>
          <w:trHeight w:val="240"/>
        </w:trPr>
        <w:tc>
          <w:tcPr>
            <w:tcW w:w="3088" w:type="dxa"/>
            <w:tcBorders>
              <w:top w:val="nil"/>
              <w:left w:val="nil"/>
              <w:bottom w:val="nil"/>
              <w:right w:val="nil"/>
            </w:tcBorders>
            <w:shd w:val="clear" w:color="auto" w:fill="auto"/>
            <w:noWrap/>
            <w:vAlign w:val="center"/>
            <w:hideMark/>
          </w:tcPr>
          <w:p w14:paraId="4029EA5A" w14:textId="77777777" w:rsidR="009A1799" w:rsidRPr="00934EF8" w:rsidRDefault="009A1799" w:rsidP="009A1799">
            <w:pPr>
              <w:spacing w:after="0" w:line="240" w:lineRule="auto"/>
              <w:rPr>
                <w:rFonts w:ascii="Arial" w:eastAsia="Times New Roman" w:hAnsi="Arial" w:cs="Arial"/>
                <w:color w:val="39414D"/>
                <w:sz w:val="16"/>
                <w:szCs w:val="16"/>
              </w:rPr>
            </w:pPr>
            <w:r w:rsidRPr="00934EF8">
              <w:rPr>
                <w:rFonts w:ascii="Arial" w:eastAsia="Times New Roman" w:hAnsi="Arial" w:cs="Arial"/>
                <w:color w:val="39414D"/>
                <w:sz w:val="16"/>
                <w:szCs w:val="16"/>
              </w:rPr>
              <w:t>SFY 2022 Capitation Rate</w:t>
            </w:r>
          </w:p>
        </w:tc>
        <w:tc>
          <w:tcPr>
            <w:tcW w:w="1608" w:type="dxa"/>
            <w:tcBorders>
              <w:top w:val="nil"/>
              <w:left w:val="nil"/>
              <w:bottom w:val="nil"/>
              <w:right w:val="nil"/>
            </w:tcBorders>
            <w:shd w:val="clear" w:color="auto" w:fill="auto"/>
            <w:noWrap/>
            <w:vAlign w:val="center"/>
            <w:hideMark/>
          </w:tcPr>
          <w:p w14:paraId="23106161" w14:textId="0D902015" w:rsidR="009A1799" w:rsidRPr="009A1799" w:rsidRDefault="009A1799" w:rsidP="009A1799">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$ 0.00 </w:t>
            </w:r>
          </w:p>
        </w:tc>
        <w:tc>
          <w:tcPr>
            <w:tcW w:w="1776" w:type="dxa"/>
            <w:tcBorders>
              <w:top w:val="nil"/>
              <w:left w:val="nil"/>
              <w:bottom w:val="nil"/>
              <w:right w:val="nil"/>
            </w:tcBorders>
            <w:shd w:val="clear" w:color="auto" w:fill="auto"/>
            <w:noWrap/>
            <w:vAlign w:val="center"/>
            <w:hideMark/>
          </w:tcPr>
          <w:p w14:paraId="4674822E" w14:textId="6D2B8D8F" w:rsidR="009A1799" w:rsidRPr="009A1799" w:rsidRDefault="009A1799" w:rsidP="009A1799">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$ 2,145.08 </w:t>
            </w:r>
          </w:p>
        </w:tc>
        <w:tc>
          <w:tcPr>
            <w:tcW w:w="1776" w:type="dxa"/>
            <w:tcBorders>
              <w:top w:val="nil"/>
              <w:left w:val="nil"/>
              <w:bottom w:val="nil"/>
              <w:right w:val="nil"/>
            </w:tcBorders>
            <w:shd w:val="clear" w:color="auto" w:fill="auto"/>
            <w:noWrap/>
            <w:vAlign w:val="center"/>
            <w:hideMark/>
          </w:tcPr>
          <w:p w14:paraId="7EB30489" w14:textId="3AE28F2D" w:rsidR="009A1799" w:rsidRPr="009A1799" w:rsidRDefault="009A1799" w:rsidP="009A1799">
            <w:pPr>
              <w:spacing w:after="0" w:line="240" w:lineRule="auto"/>
              <w:jc w:val="right"/>
              <w:rPr>
                <w:rFonts w:ascii="Arial" w:eastAsia="Times New Roman" w:hAnsi="Arial" w:cs="Arial"/>
                <w:color w:val="39414D"/>
                <w:sz w:val="16"/>
                <w:szCs w:val="16"/>
              </w:rPr>
            </w:pPr>
            <w:r w:rsidRPr="0040049C">
              <w:rPr>
                <w:rFonts w:ascii="Arial" w:hAnsi="Arial" w:cs="Arial"/>
                <w:color w:val="39414D"/>
                <w:sz w:val="16"/>
                <w:szCs w:val="16"/>
              </w:rPr>
              <w:t xml:space="preserve">$ 1,614.55 </w:t>
            </w:r>
          </w:p>
        </w:tc>
      </w:tr>
      <w:tr w:rsidR="0050726D" w:rsidRPr="00934EF8" w14:paraId="6CBAA577" w14:textId="77777777" w:rsidTr="00934EF8">
        <w:trPr>
          <w:trHeight w:val="240"/>
        </w:trPr>
        <w:tc>
          <w:tcPr>
            <w:tcW w:w="3088" w:type="dxa"/>
            <w:tcBorders>
              <w:top w:val="nil"/>
              <w:left w:val="nil"/>
              <w:bottom w:val="nil"/>
              <w:right w:val="nil"/>
            </w:tcBorders>
            <w:shd w:val="clear" w:color="000000" w:fill="E8E9E9"/>
            <w:noWrap/>
            <w:vAlign w:val="center"/>
            <w:hideMark/>
          </w:tcPr>
          <w:p w14:paraId="100EFB3D" w14:textId="5394D490" w:rsidR="0050726D" w:rsidRPr="00934EF8" w:rsidRDefault="0050726D" w:rsidP="0050726D">
            <w:pPr>
              <w:spacing w:after="0" w:line="240" w:lineRule="auto"/>
              <w:rPr>
                <w:rFonts w:ascii="Arial" w:eastAsia="Times New Roman" w:hAnsi="Arial" w:cs="Arial"/>
                <w:b/>
                <w:bCs/>
                <w:color w:val="39414D"/>
                <w:sz w:val="16"/>
                <w:szCs w:val="16"/>
              </w:rPr>
            </w:pPr>
            <w:r w:rsidRPr="00674406">
              <w:rPr>
                <w:rFonts w:ascii="Arial" w:eastAsia="Times New Roman" w:hAnsi="Arial" w:cs="Arial"/>
                <w:b/>
                <w:bCs/>
                <w:color w:val="39414D"/>
                <w:sz w:val="16"/>
                <w:szCs w:val="16"/>
              </w:rPr>
              <w:t>Blended</w:t>
            </w:r>
            <w:r w:rsidRPr="00934EF8">
              <w:rPr>
                <w:rFonts w:ascii="Arial" w:eastAsia="Times New Roman" w:hAnsi="Arial" w:cs="Arial"/>
                <w:b/>
                <w:bCs/>
                <w:color w:val="39414D"/>
                <w:sz w:val="16"/>
                <w:szCs w:val="16"/>
              </w:rPr>
              <w:t xml:space="preserve"> PMPM</w:t>
            </w:r>
          </w:p>
        </w:tc>
        <w:tc>
          <w:tcPr>
            <w:tcW w:w="1608" w:type="dxa"/>
            <w:tcBorders>
              <w:top w:val="nil"/>
              <w:left w:val="nil"/>
              <w:bottom w:val="nil"/>
              <w:right w:val="nil"/>
            </w:tcBorders>
            <w:shd w:val="clear" w:color="000000" w:fill="E8E9E9"/>
            <w:noWrap/>
            <w:vAlign w:val="center"/>
            <w:hideMark/>
          </w:tcPr>
          <w:p w14:paraId="29C91E8A" w14:textId="0849185B" w:rsidR="0050726D" w:rsidRPr="0050726D" w:rsidRDefault="0050726D" w:rsidP="0050726D">
            <w:pPr>
              <w:spacing w:after="0" w:line="240" w:lineRule="auto"/>
              <w:jc w:val="right"/>
              <w:rPr>
                <w:rFonts w:ascii="Arial" w:eastAsia="Times New Roman" w:hAnsi="Arial" w:cs="Arial"/>
                <w:b/>
                <w:color w:val="39414D"/>
                <w:sz w:val="16"/>
                <w:szCs w:val="16"/>
              </w:rPr>
            </w:pPr>
            <w:r w:rsidRPr="0040049C">
              <w:rPr>
                <w:rFonts w:ascii="Arial" w:hAnsi="Arial" w:cs="Arial"/>
                <w:b/>
                <w:bCs/>
                <w:color w:val="39414D"/>
                <w:sz w:val="16"/>
                <w:szCs w:val="16"/>
              </w:rPr>
              <w:t xml:space="preserve">$ 4,033.99 </w:t>
            </w:r>
          </w:p>
        </w:tc>
        <w:tc>
          <w:tcPr>
            <w:tcW w:w="1776" w:type="dxa"/>
            <w:tcBorders>
              <w:top w:val="nil"/>
              <w:left w:val="nil"/>
              <w:bottom w:val="nil"/>
              <w:right w:val="nil"/>
            </w:tcBorders>
            <w:shd w:val="clear" w:color="000000" w:fill="E8E9E9"/>
            <w:noWrap/>
            <w:vAlign w:val="center"/>
            <w:hideMark/>
          </w:tcPr>
          <w:p w14:paraId="23A563A2" w14:textId="3F3E90AA" w:rsidR="0050726D" w:rsidRPr="0050726D" w:rsidRDefault="0050726D" w:rsidP="0050726D">
            <w:pPr>
              <w:spacing w:after="0" w:line="240" w:lineRule="auto"/>
              <w:jc w:val="right"/>
              <w:rPr>
                <w:rFonts w:ascii="Arial" w:eastAsia="Times New Roman" w:hAnsi="Arial" w:cs="Arial"/>
                <w:b/>
                <w:color w:val="39414D"/>
                <w:sz w:val="16"/>
                <w:szCs w:val="16"/>
              </w:rPr>
            </w:pPr>
            <w:r w:rsidRPr="0040049C">
              <w:rPr>
                <w:rFonts w:ascii="Arial" w:hAnsi="Arial" w:cs="Arial"/>
                <w:b/>
                <w:bCs/>
                <w:color w:val="39414D"/>
                <w:sz w:val="16"/>
                <w:szCs w:val="16"/>
              </w:rPr>
              <w:t xml:space="preserve">$ 5,552.44 </w:t>
            </w:r>
          </w:p>
        </w:tc>
        <w:tc>
          <w:tcPr>
            <w:tcW w:w="1776" w:type="dxa"/>
            <w:tcBorders>
              <w:top w:val="nil"/>
              <w:left w:val="nil"/>
              <w:bottom w:val="nil"/>
              <w:right w:val="nil"/>
            </w:tcBorders>
            <w:shd w:val="clear" w:color="000000" w:fill="E8E9E9"/>
            <w:noWrap/>
            <w:vAlign w:val="center"/>
            <w:hideMark/>
          </w:tcPr>
          <w:p w14:paraId="1AEC0CFA" w14:textId="5E408D6B" w:rsidR="0050726D" w:rsidRPr="0050726D" w:rsidRDefault="0050726D" w:rsidP="0050726D">
            <w:pPr>
              <w:spacing w:after="0" w:line="240" w:lineRule="auto"/>
              <w:jc w:val="right"/>
              <w:rPr>
                <w:rFonts w:ascii="Arial" w:eastAsia="Times New Roman" w:hAnsi="Arial" w:cs="Arial"/>
                <w:b/>
                <w:color w:val="39414D"/>
                <w:sz w:val="16"/>
                <w:szCs w:val="16"/>
              </w:rPr>
            </w:pPr>
            <w:r w:rsidRPr="0040049C">
              <w:rPr>
                <w:rFonts w:ascii="Arial" w:hAnsi="Arial" w:cs="Arial"/>
                <w:b/>
                <w:bCs/>
                <w:color w:val="39414D"/>
                <w:sz w:val="16"/>
                <w:szCs w:val="16"/>
              </w:rPr>
              <w:t xml:space="preserve">$ 5,176.89 </w:t>
            </w:r>
          </w:p>
        </w:tc>
      </w:tr>
    </w:tbl>
    <w:p w14:paraId="5C348637" w14:textId="552A4D70" w:rsidR="0040616E" w:rsidRDefault="0040616E" w:rsidP="008C085B">
      <w:pPr>
        <w:spacing w:after="0" w:line="240" w:lineRule="auto"/>
        <w:jc w:val="both"/>
        <w:rPr>
          <w:rFonts w:cs="Arial"/>
        </w:rPr>
      </w:pPr>
    </w:p>
    <w:p w14:paraId="52E9A604" w14:textId="6892C99B" w:rsidR="00A60275" w:rsidRDefault="00A60275" w:rsidP="008C085B">
      <w:pPr>
        <w:spacing w:after="0" w:line="240" w:lineRule="auto"/>
        <w:jc w:val="both"/>
        <w:rPr>
          <w:rFonts w:cs="Arial"/>
        </w:rPr>
      </w:pPr>
    </w:p>
    <w:p w14:paraId="049929EC" w14:textId="07CBC472" w:rsidR="008C085B" w:rsidRPr="0040378B" w:rsidRDefault="008C085B" w:rsidP="00FC4603">
      <w:pPr>
        <w:pStyle w:val="Heading3"/>
      </w:pPr>
      <w:bookmarkStart w:id="18" w:name="_Toc91081155"/>
      <w:r w:rsidRPr="0040378B">
        <w:t>S</w:t>
      </w:r>
      <w:r w:rsidR="00154BF4">
        <w:t>tep</w:t>
      </w:r>
      <w:r w:rsidRPr="0040378B">
        <w:t xml:space="preserve"> </w:t>
      </w:r>
      <w:r w:rsidR="007E7E96">
        <w:t>8</w:t>
      </w:r>
      <w:r w:rsidRPr="0040378B">
        <w:t xml:space="preserve">:  </w:t>
      </w:r>
      <w:r w:rsidR="00154BF4" w:rsidRPr="0040378B">
        <w:t xml:space="preserve">Include </w:t>
      </w:r>
      <w:r w:rsidR="009D2452">
        <w:t>Administrative Cost Load</w:t>
      </w:r>
      <w:bookmarkEnd w:id="18"/>
      <w:r w:rsidR="00154BF4" w:rsidRPr="0040378B">
        <w:t xml:space="preserve"> </w:t>
      </w:r>
    </w:p>
    <w:p w14:paraId="02E9E68E" w14:textId="77777777" w:rsidR="008C085B" w:rsidRPr="0040378B" w:rsidRDefault="008C085B" w:rsidP="008C085B">
      <w:pPr>
        <w:spacing w:after="0" w:line="240" w:lineRule="auto"/>
        <w:jc w:val="both"/>
        <w:rPr>
          <w:rFonts w:cs="Arial"/>
          <w:b/>
          <w:color w:val="000000" w:themeColor="text1"/>
          <w:sz w:val="20"/>
          <w:szCs w:val="20"/>
        </w:rPr>
      </w:pPr>
    </w:p>
    <w:p w14:paraId="775C215B" w14:textId="1FE2560C" w:rsidR="008C085B" w:rsidRDefault="00943152" w:rsidP="000470AB">
      <w:pPr>
        <w:spacing w:after="0"/>
        <w:rPr>
          <w:rFonts w:cs="Arial"/>
        </w:rPr>
      </w:pPr>
      <w:r w:rsidRPr="00943152">
        <w:rPr>
          <w:rFonts w:cs="Arial"/>
        </w:rPr>
        <w:t xml:space="preserve">The primary data source used in the development of the SFY 2022 non-benefit costs is the SFY 2019 Medicaid Expenditures report. The Medicaid Expenditure report was used to identify the central administrative costs related to </w:t>
      </w:r>
      <w:r w:rsidR="00EC1DB0">
        <w:rPr>
          <w:rFonts w:cs="Arial"/>
        </w:rPr>
        <w:t xml:space="preserve">EOHHS </w:t>
      </w:r>
      <w:r w:rsidRPr="00943152">
        <w:rPr>
          <w:rFonts w:cs="Arial"/>
        </w:rPr>
        <w:t>managing the Medicaid program</w:t>
      </w:r>
      <w:r w:rsidR="00547B0C">
        <w:rPr>
          <w:rFonts w:cs="Arial"/>
        </w:rPr>
        <w:t>. We included a $</w:t>
      </w:r>
      <w:r w:rsidR="00787747">
        <w:rPr>
          <w:rFonts w:cs="Arial"/>
        </w:rPr>
        <w:t xml:space="preserve">225 </w:t>
      </w:r>
      <w:r w:rsidR="00547B0C">
        <w:rPr>
          <w:rFonts w:cs="Arial"/>
        </w:rPr>
        <w:t xml:space="preserve">PMPM administrative load </w:t>
      </w:r>
      <w:r w:rsidR="00EA50A6">
        <w:rPr>
          <w:rFonts w:cs="Arial"/>
        </w:rPr>
        <w:t>in the SFY 2022 PACE AWOP development</w:t>
      </w:r>
      <w:r w:rsidR="00547B0C">
        <w:rPr>
          <w:rFonts w:cs="Arial"/>
        </w:rPr>
        <w:t xml:space="preserve">, consistent with the Medicare-Medicaid Plan </w:t>
      </w:r>
      <w:r w:rsidR="00E90DFC">
        <w:rPr>
          <w:rFonts w:cs="Arial"/>
        </w:rPr>
        <w:t>SFY 2022 capitation rate administrative load.</w:t>
      </w:r>
      <w:r w:rsidR="0075382E">
        <w:rPr>
          <w:rFonts w:cs="Arial"/>
        </w:rPr>
        <w:t xml:space="preserve"> </w:t>
      </w:r>
    </w:p>
    <w:p w14:paraId="4161BDD0" w14:textId="5DBBB55E" w:rsidR="009E2DC1" w:rsidRDefault="009E2DC1" w:rsidP="0075382E">
      <w:pPr>
        <w:spacing w:after="0" w:line="240" w:lineRule="auto"/>
        <w:jc w:val="both"/>
        <w:rPr>
          <w:rFonts w:cs="Arial"/>
        </w:rPr>
      </w:pPr>
    </w:p>
    <w:p w14:paraId="2F5FFE94" w14:textId="490BDCDB" w:rsidR="009E2DC1" w:rsidRPr="00282D91" w:rsidRDefault="00154BF4" w:rsidP="00FC4603">
      <w:pPr>
        <w:pStyle w:val="Heading3"/>
      </w:pPr>
      <w:bookmarkStart w:id="19" w:name="_Toc91081156"/>
      <w:r w:rsidRPr="00282D91">
        <w:t xml:space="preserve">Step </w:t>
      </w:r>
      <w:r w:rsidR="007E7E96">
        <w:t>9</w:t>
      </w:r>
      <w:r w:rsidRPr="00282D91">
        <w:t>:</w:t>
      </w:r>
      <w:r w:rsidRPr="00282D91" w:rsidDel="00EB23CA">
        <w:t xml:space="preserve"> </w:t>
      </w:r>
      <w:r w:rsidRPr="00282D91">
        <w:t xml:space="preserve"> </w:t>
      </w:r>
      <w:r w:rsidR="009D2452" w:rsidRPr="009D2452">
        <w:t xml:space="preserve">Composite the HCBS and Nursing Home </w:t>
      </w:r>
      <w:r w:rsidR="009D2452">
        <w:t>P</w:t>
      </w:r>
      <w:r w:rsidR="009D2452" w:rsidRPr="009D2452">
        <w:t xml:space="preserve">opulations to </w:t>
      </w:r>
      <w:r w:rsidR="009D2452">
        <w:t>F</w:t>
      </w:r>
      <w:r w:rsidR="009D2452" w:rsidRPr="009D2452">
        <w:t xml:space="preserve">orm a </w:t>
      </w:r>
      <w:r w:rsidR="009D2452">
        <w:t>B</w:t>
      </w:r>
      <w:r w:rsidR="009D2452" w:rsidRPr="009D2452">
        <w:t>lended AWOP</w:t>
      </w:r>
      <w:bookmarkEnd w:id="19"/>
    </w:p>
    <w:p w14:paraId="10B63E79" w14:textId="77777777" w:rsidR="009E2DC1" w:rsidRDefault="009E2DC1" w:rsidP="009E2DC1">
      <w:pPr>
        <w:spacing w:after="0" w:line="240" w:lineRule="auto"/>
        <w:jc w:val="both"/>
        <w:rPr>
          <w:rFonts w:cs="Arial"/>
        </w:rPr>
      </w:pPr>
    </w:p>
    <w:p w14:paraId="4C2A7680" w14:textId="77777777" w:rsidR="00787747" w:rsidRDefault="009E2DC1" w:rsidP="0046181A">
      <w:pPr>
        <w:spacing w:after="120"/>
        <w:rPr>
          <w:rFonts w:cs="Arial"/>
        </w:rPr>
      </w:pPr>
      <w:r>
        <w:rPr>
          <w:rFonts w:cs="Arial"/>
        </w:rPr>
        <w:t xml:space="preserve">HCBS </w:t>
      </w:r>
      <w:r w:rsidR="003B19A8">
        <w:rPr>
          <w:rFonts w:cs="Arial"/>
        </w:rPr>
        <w:t>w</w:t>
      </w:r>
      <w:r>
        <w:rPr>
          <w:rFonts w:cs="Arial"/>
        </w:rPr>
        <w:t xml:space="preserve">aiver and </w:t>
      </w:r>
      <w:r w:rsidR="003B19A8">
        <w:rPr>
          <w:rFonts w:cs="Arial"/>
        </w:rPr>
        <w:t>n</w:t>
      </w:r>
      <w:r>
        <w:rPr>
          <w:rFonts w:cs="Arial"/>
        </w:rPr>
        <w:t xml:space="preserve">ursing </w:t>
      </w:r>
      <w:r w:rsidR="003B19A8">
        <w:rPr>
          <w:rFonts w:cs="Arial"/>
        </w:rPr>
        <w:t>h</w:t>
      </w:r>
      <w:r>
        <w:rPr>
          <w:rFonts w:cs="Arial"/>
        </w:rPr>
        <w:t>ome</w:t>
      </w:r>
      <w:r w:rsidRPr="00CB0BE3">
        <w:rPr>
          <w:rFonts w:cs="Arial"/>
        </w:rPr>
        <w:t xml:space="preserve"> </w:t>
      </w:r>
      <w:r w:rsidR="00136AE5">
        <w:rPr>
          <w:rFonts w:cs="Arial"/>
        </w:rPr>
        <w:t>rate cells</w:t>
      </w:r>
      <w:r w:rsidR="005B75C2">
        <w:rPr>
          <w:rFonts w:cs="Arial"/>
        </w:rPr>
        <w:t xml:space="preserve"> were blended </w:t>
      </w:r>
      <w:r w:rsidR="00711186">
        <w:rPr>
          <w:rFonts w:cs="Arial"/>
        </w:rPr>
        <w:t xml:space="preserve">to calculate the </w:t>
      </w:r>
      <w:r w:rsidR="00A85AA0">
        <w:rPr>
          <w:rFonts w:cs="Arial"/>
        </w:rPr>
        <w:t xml:space="preserve">blended </w:t>
      </w:r>
      <w:r w:rsidR="00711186">
        <w:rPr>
          <w:rFonts w:cs="Arial"/>
        </w:rPr>
        <w:t>PACE AWOP</w:t>
      </w:r>
      <w:r w:rsidR="006D0A09">
        <w:rPr>
          <w:rFonts w:cs="Arial"/>
        </w:rPr>
        <w:t>.</w:t>
      </w:r>
      <w:r w:rsidR="00711186">
        <w:rPr>
          <w:rFonts w:cs="Arial"/>
        </w:rPr>
        <w:t xml:space="preserve"> </w:t>
      </w:r>
      <w:r w:rsidR="00F42430">
        <w:rPr>
          <w:rFonts w:cs="Arial"/>
        </w:rPr>
        <w:t>T</w:t>
      </w:r>
      <w:r w:rsidRPr="00CB0BE3">
        <w:rPr>
          <w:rFonts w:cs="Arial"/>
        </w:rPr>
        <w:t xml:space="preserve">he </w:t>
      </w:r>
      <w:r>
        <w:rPr>
          <w:rFonts w:cs="Arial"/>
        </w:rPr>
        <w:t xml:space="preserve">projected </w:t>
      </w:r>
      <w:r w:rsidR="005B75C2">
        <w:rPr>
          <w:rFonts w:cs="Arial"/>
        </w:rPr>
        <w:t xml:space="preserve">SFY 2022 </w:t>
      </w:r>
      <w:r w:rsidRPr="00CB0BE3">
        <w:rPr>
          <w:rFonts w:cs="Arial"/>
        </w:rPr>
        <w:t>PACE enrollment distribution</w:t>
      </w:r>
      <w:r w:rsidR="00F42430">
        <w:rPr>
          <w:rFonts w:cs="Arial"/>
        </w:rPr>
        <w:t xml:space="preserve"> was used </w:t>
      </w:r>
      <w:r w:rsidR="00747BCE">
        <w:rPr>
          <w:rFonts w:cs="Arial"/>
        </w:rPr>
        <w:t>for purposes of blending</w:t>
      </w:r>
      <w:r w:rsidR="00B74236">
        <w:rPr>
          <w:rFonts w:cs="Arial"/>
        </w:rPr>
        <w:t xml:space="preserve"> the HCBS and nursing home </w:t>
      </w:r>
      <w:r w:rsidR="00FE5C9A">
        <w:rPr>
          <w:rFonts w:cs="Arial"/>
        </w:rPr>
        <w:t>population costs</w:t>
      </w:r>
      <w:r w:rsidR="006D0A09">
        <w:rPr>
          <w:rFonts w:cs="Arial"/>
        </w:rPr>
        <w:t>,</w:t>
      </w:r>
      <w:r w:rsidR="00382F2B">
        <w:rPr>
          <w:rFonts w:cs="Arial"/>
        </w:rPr>
        <w:t xml:space="preserve"> as illustrated in Appendix </w:t>
      </w:r>
      <w:r w:rsidR="00F32527">
        <w:rPr>
          <w:rFonts w:cs="Arial"/>
        </w:rPr>
        <w:t>4</w:t>
      </w:r>
      <w:r w:rsidR="00382F2B">
        <w:rPr>
          <w:rFonts w:cs="Arial"/>
        </w:rPr>
        <w:t>.</w:t>
      </w:r>
      <w:r w:rsidR="006D0A09">
        <w:rPr>
          <w:rFonts w:cs="Arial"/>
        </w:rPr>
        <w:t xml:space="preserve"> </w:t>
      </w:r>
    </w:p>
    <w:p w14:paraId="6FEE81D6" w14:textId="25A321AF" w:rsidR="007E7E96" w:rsidRDefault="007944E3" w:rsidP="0046181A">
      <w:pPr>
        <w:spacing w:after="120"/>
        <w:rPr>
          <w:rFonts w:cs="Arial"/>
        </w:rPr>
      </w:pPr>
      <w:r>
        <w:rPr>
          <w:rFonts w:cs="Arial"/>
        </w:rPr>
        <w:t>A</w:t>
      </w:r>
      <w:r w:rsidR="007E0277">
        <w:rPr>
          <w:rFonts w:cs="Arial"/>
        </w:rPr>
        <w:t xml:space="preserve">pproximately </w:t>
      </w:r>
      <w:r w:rsidR="00934D3E">
        <w:rPr>
          <w:rFonts w:cs="Arial"/>
        </w:rPr>
        <w:t>11.0</w:t>
      </w:r>
      <w:r w:rsidR="007E0277">
        <w:rPr>
          <w:rFonts w:cs="Arial"/>
        </w:rPr>
        <w:t xml:space="preserve">% </w:t>
      </w:r>
      <w:r>
        <w:rPr>
          <w:rFonts w:cs="Arial"/>
        </w:rPr>
        <w:t xml:space="preserve">of PACE enrolled members resided </w:t>
      </w:r>
      <w:r w:rsidR="007E0277">
        <w:rPr>
          <w:rFonts w:cs="Arial"/>
        </w:rPr>
        <w:t xml:space="preserve">in the nursing home and </w:t>
      </w:r>
      <w:r>
        <w:rPr>
          <w:rFonts w:cs="Arial"/>
        </w:rPr>
        <w:t xml:space="preserve">approximately </w:t>
      </w:r>
      <w:r w:rsidR="00934D3E">
        <w:rPr>
          <w:rFonts w:cs="Arial"/>
        </w:rPr>
        <w:t>89.0</w:t>
      </w:r>
      <w:r w:rsidR="007E0277">
        <w:rPr>
          <w:rFonts w:cs="Arial"/>
        </w:rPr>
        <w:t xml:space="preserve">% in a community setting </w:t>
      </w:r>
      <w:r w:rsidR="00934D3E">
        <w:rPr>
          <w:rFonts w:cs="Arial"/>
        </w:rPr>
        <w:t>based on a review of historical PACE enrollment</w:t>
      </w:r>
      <w:r w:rsidR="007E0277">
        <w:rPr>
          <w:rFonts w:cs="Arial"/>
        </w:rPr>
        <w:t>. We estimated a</w:t>
      </w:r>
      <w:r w:rsidR="00934D3E">
        <w:rPr>
          <w:rFonts w:cs="Arial"/>
        </w:rPr>
        <w:t xml:space="preserve"> 25% reduction of nursing home days achieved by the PACE program relative to the base experience</w:t>
      </w:r>
      <w:r w:rsidR="007E0277">
        <w:rPr>
          <w:rFonts w:cs="Arial"/>
        </w:rPr>
        <w:t xml:space="preserve"> based on </w:t>
      </w:r>
      <w:r>
        <w:rPr>
          <w:rFonts w:cs="Arial"/>
        </w:rPr>
        <w:t>a review of managed care efficiencies estimated by other managed LTSS programs and PACE programs</w:t>
      </w:r>
      <w:r w:rsidR="00934D3E">
        <w:rPr>
          <w:rFonts w:cs="Arial"/>
        </w:rPr>
        <w:t>. This adjustment results in a 14.7% nursing home and 85.3% community distribution for purposes of the SFY 2022 blended AWOP</w:t>
      </w:r>
      <w:r w:rsidR="007E0277">
        <w:rPr>
          <w:rFonts w:cs="Arial"/>
        </w:rPr>
        <w:t xml:space="preserve">. </w:t>
      </w:r>
      <w:r w:rsidR="00787747">
        <w:rPr>
          <w:rFonts w:cs="Arial"/>
        </w:rPr>
        <w:t>Total enrollment was informed by current PACE enrollment information.</w:t>
      </w:r>
      <w:r w:rsidR="006726FA">
        <w:rPr>
          <w:rFonts w:cs="Arial"/>
        </w:rPr>
        <w:t xml:space="preserve"> </w:t>
      </w:r>
    </w:p>
    <w:p w14:paraId="0529CB11" w14:textId="61749376" w:rsidR="009E2DC1" w:rsidRDefault="006726FA" w:rsidP="0046181A">
      <w:pPr>
        <w:spacing w:after="120"/>
        <w:rPr>
          <w:rFonts w:cs="Arial"/>
        </w:rPr>
      </w:pPr>
      <w:r>
        <w:rPr>
          <w:rFonts w:cs="Arial"/>
        </w:rPr>
        <w:t xml:space="preserve">Figure </w:t>
      </w:r>
      <w:r w:rsidR="008A2AC9">
        <w:rPr>
          <w:rFonts w:cs="Arial"/>
        </w:rPr>
        <w:t>1</w:t>
      </w:r>
      <w:r w:rsidR="00282F74">
        <w:rPr>
          <w:rFonts w:cs="Arial"/>
        </w:rPr>
        <w:t>2</w:t>
      </w:r>
      <w:r w:rsidR="008A2AC9">
        <w:rPr>
          <w:rFonts w:cs="Arial"/>
        </w:rPr>
        <w:t xml:space="preserve"> </w:t>
      </w:r>
      <w:r>
        <w:rPr>
          <w:rFonts w:cs="Arial"/>
        </w:rPr>
        <w:t xml:space="preserve">illustrates the </w:t>
      </w:r>
      <w:r w:rsidR="00D41E92">
        <w:rPr>
          <w:rFonts w:cs="Arial"/>
        </w:rPr>
        <w:t xml:space="preserve">blended AWOP for the </w:t>
      </w:r>
      <w:r w:rsidR="009E2DC1">
        <w:rPr>
          <w:rFonts w:cs="Arial"/>
        </w:rPr>
        <w:t xml:space="preserve">Duals 55-64, Duals 65 and Over, and Non-Duals </w:t>
      </w:r>
      <w:r w:rsidR="00D41E92">
        <w:rPr>
          <w:rFonts w:cs="Arial"/>
        </w:rPr>
        <w:t>eligibility categories</w:t>
      </w:r>
      <w:r w:rsidR="009E2DC1" w:rsidRPr="00CB0BE3">
        <w:rPr>
          <w:rFonts w:cs="Arial"/>
        </w:rPr>
        <w:t>.</w:t>
      </w:r>
      <w:r w:rsidR="009E2DC1">
        <w:rPr>
          <w:rFonts w:cs="Arial"/>
        </w:rPr>
        <w:t xml:space="preserve"> </w:t>
      </w:r>
    </w:p>
    <w:p w14:paraId="5049FC98" w14:textId="416C2E2F" w:rsidR="00977F8D" w:rsidRDefault="00977F8D" w:rsidP="0046181A">
      <w:pPr>
        <w:spacing w:after="120"/>
        <w:rPr>
          <w:rFonts w:cs="Arial"/>
        </w:rPr>
      </w:pPr>
    </w:p>
    <w:p w14:paraId="6E34882E" w14:textId="70593502" w:rsidR="00977F8D" w:rsidRDefault="00977F8D" w:rsidP="0046181A">
      <w:pPr>
        <w:spacing w:after="120"/>
        <w:rPr>
          <w:rFonts w:cs="Arial"/>
        </w:rPr>
      </w:pPr>
    </w:p>
    <w:p w14:paraId="295387F0" w14:textId="0492BF8F" w:rsidR="00977F8D" w:rsidRDefault="00977F8D" w:rsidP="0046181A">
      <w:pPr>
        <w:spacing w:after="120"/>
        <w:rPr>
          <w:rFonts w:cs="Arial"/>
        </w:rPr>
      </w:pPr>
    </w:p>
    <w:p w14:paraId="0CCB7B5D" w14:textId="75484AEA" w:rsidR="00977F8D" w:rsidRDefault="00977F8D" w:rsidP="0046181A">
      <w:pPr>
        <w:spacing w:after="120"/>
        <w:rPr>
          <w:rFonts w:cs="Arial"/>
        </w:rPr>
      </w:pPr>
    </w:p>
    <w:p w14:paraId="716EF2AF" w14:textId="48611132" w:rsidR="00977F8D" w:rsidRDefault="00977F8D" w:rsidP="0046181A">
      <w:pPr>
        <w:spacing w:after="120"/>
        <w:rPr>
          <w:rFonts w:cs="Arial"/>
        </w:rPr>
      </w:pPr>
    </w:p>
    <w:p w14:paraId="4EDD7B1D" w14:textId="21C8DA1C" w:rsidR="00977F8D" w:rsidRDefault="00977F8D" w:rsidP="0046181A">
      <w:pPr>
        <w:spacing w:after="120"/>
        <w:rPr>
          <w:rFonts w:cs="Arial"/>
        </w:rPr>
      </w:pPr>
    </w:p>
    <w:p w14:paraId="31641E18" w14:textId="68E341DA" w:rsidR="00977F8D" w:rsidRDefault="00977F8D" w:rsidP="0046181A">
      <w:pPr>
        <w:spacing w:after="120"/>
        <w:rPr>
          <w:rFonts w:cs="Arial"/>
        </w:rPr>
      </w:pPr>
    </w:p>
    <w:p w14:paraId="71623ECE" w14:textId="77777777" w:rsidR="00977F8D" w:rsidRDefault="00977F8D" w:rsidP="0046181A">
      <w:pPr>
        <w:spacing w:after="120"/>
        <w:rPr>
          <w:rFonts w:cs="Arial"/>
        </w:rPr>
      </w:pPr>
    </w:p>
    <w:tbl>
      <w:tblPr>
        <w:tblW w:w="6887" w:type="dxa"/>
        <w:tblLook w:val="04A0" w:firstRow="1" w:lastRow="0" w:firstColumn="1" w:lastColumn="0" w:noHBand="0" w:noVBand="1"/>
      </w:tblPr>
      <w:tblGrid>
        <w:gridCol w:w="2895"/>
        <w:gridCol w:w="1801"/>
        <w:gridCol w:w="2191"/>
      </w:tblGrid>
      <w:tr w:rsidR="004A0986" w:rsidRPr="004A0986" w14:paraId="3FD4CB5D" w14:textId="77777777" w:rsidTr="0050726D">
        <w:trPr>
          <w:trHeight w:val="240"/>
        </w:trPr>
        <w:tc>
          <w:tcPr>
            <w:tcW w:w="4696" w:type="dxa"/>
            <w:gridSpan w:val="2"/>
            <w:tcBorders>
              <w:top w:val="nil"/>
              <w:left w:val="nil"/>
              <w:bottom w:val="nil"/>
              <w:right w:val="nil"/>
            </w:tcBorders>
            <w:shd w:val="clear" w:color="auto" w:fill="auto"/>
            <w:noWrap/>
            <w:vAlign w:val="center"/>
            <w:hideMark/>
          </w:tcPr>
          <w:p w14:paraId="77B66C11" w14:textId="79059FA4" w:rsidR="004A0986" w:rsidRPr="004A0986" w:rsidRDefault="004A0986" w:rsidP="004A0986">
            <w:pPr>
              <w:spacing w:after="0" w:line="240" w:lineRule="auto"/>
              <w:rPr>
                <w:rFonts w:ascii="Arial" w:eastAsia="Times New Roman" w:hAnsi="Arial" w:cs="Arial"/>
                <w:b/>
                <w:bCs/>
                <w:color w:val="0081E3"/>
                <w:sz w:val="16"/>
                <w:szCs w:val="16"/>
              </w:rPr>
            </w:pPr>
            <w:r w:rsidRPr="004A0986">
              <w:rPr>
                <w:rFonts w:ascii="Arial" w:eastAsia="Times New Roman" w:hAnsi="Arial" w:cs="Arial"/>
                <w:b/>
                <w:bCs/>
                <w:color w:val="0081E3"/>
                <w:sz w:val="16"/>
                <w:szCs w:val="16"/>
              </w:rPr>
              <w:lastRenderedPageBreak/>
              <w:t xml:space="preserve">FIGURE </w:t>
            </w:r>
            <w:r w:rsidR="007E7E96" w:rsidRPr="004A0986">
              <w:rPr>
                <w:rFonts w:ascii="Arial" w:eastAsia="Times New Roman" w:hAnsi="Arial" w:cs="Arial"/>
                <w:b/>
                <w:bCs/>
                <w:color w:val="0081E3"/>
                <w:sz w:val="16"/>
                <w:szCs w:val="16"/>
              </w:rPr>
              <w:t>1</w:t>
            </w:r>
            <w:r w:rsidR="00282F74">
              <w:rPr>
                <w:rFonts w:ascii="Arial" w:eastAsia="Times New Roman" w:hAnsi="Arial" w:cs="Arial"/>
                <w:b/>
                <w:bCs/>
                <w:color w:val="0081E3"/>
                <w:sz w:val="16"/>
                <w:szCs w:val="16"/>
              </w:rPr>
              <w:t>2</w:t>
            </w:r>
            <w:r w:rsidRPr="004A0986">
              <w:rPr>
                <w:rFonts w:ascii="Arial" w:eastAsia="Times New Roman" w:hAnsi="Arial" w:cs="Arial"/>
                <w:b/>
                <w:bCs/>
                <w:color w:val="0081E3"/>
                <w:sz w:val="16"/>
                <w:szCs w:val="16"/>
              </w:rPr>
              <w:t>: RATE CELL BLEND</w:t>
            </w:r>
            <w:r w:rsidR="00A60275">
              <w:rPr>
                <w:rFonts w:ascii="Arial" w:eastAsia="Times New Roman" w:hAnsi="Arial" w:cs="Arial"/>
                <w:b/>
                <w:bCs/>
                <w:color w:val="0081E3"/>
                <w:sz w:val="16"/>
                <w:szCs w:val="16"/>
              </w:rPr>
              <w:t>ING</w:t>
            </w:r>
          </w:p>
        </w:tc>
        <w:tc>
          <w:tcPr>
            <w:tcW w:w="2191" w:type="dxa"/>
            <w:tcBorders>
              <w:top w:val="nil"/>
              <w:left w:val="nil"/>
              <w:bottom w:val="nil"/>
              <w:right w:val="nil"/>
            </w:tcBorders>
            <w:shd w:val="clear" w:color="auto" w:fill="auto"/>
            <w:noWrap/>
            <w:vAlign w:val="bottom"/>
            <w:hideMark/>
          </w:tcPr>
          <w:p w14:paraId="7B106A8E" w14:textId="77777777" w:rsidR="004A0986" w:rsidRPr="004A0986" w:rsidRDefault="004A0986" w:rsidP="004A0986">
            <w:pPr>
              <w:spacing w:after="0" w:line="240" w:lineRule="auto"/>
              <w:rPr>
                <w:rFonts w:ascii="Times New Roman" w:eastAsia="Times New Roman" w:hAnsi="Times New Roman" w:cs="Times New Roman"/>
                <w:sz w:val="16"/>
                <w:szCs w:val="16"/>
              </w:rPr>
            </w:pPr>
          </w:p>
        </w:tc>
      </w:tr>
      <w:tr w:rsidR="004A0986" w:rsidRPr="004A0986" w14:paraId="1B3A9A0D" w14:textId="77777777" w:rsidTr="0050726D">
        <w:trPr>
          <w:trHeight w:val="495"/>
        </w:trPr>
        <w:tc>
          <w:tcPr>
            <w:tcW w:w="2895" w:type="dxa"/>
            <w:tcBorders>
              <w:top w:val="nil"/>
              <w:left w:val="nil"/>
              <w:bottom w:val="single" w:sz="8" w:space="0" w:color="C6C9CA"/>
              <w:right w:val="nil"/>
            </w:tcBorders>
            <w:shd w:val="clear" w:color="auto" w:fill="auto"/>
            <w:vAlign w:val="center"/>
            <w:hideMark/>
          </w:tcPr>
          <w:p w14:paraId="618A7956" w14:textId="48CBE13A" w:rsidR="004A0986" w:rsidRPr="004A0986" w:rsidRDefault="00D41E92" w:rsidP="004A0986">
            <w:pPr>
              <w:spacing w:after="0" w:line="240" w:lineRule="auto"/>
              <w:rPr>
                <w:rFonts w:ascii="Arial" w:eastAsia="Times New Roman" w:hAnsi="Arial" w:cs="Arial"/>
                <w:b/>
                <w:bCs/>
                <w:color w:val="39414D"/>
                <w:sz w:val="16"/>
                <w:szCs w:val="16"/>
              </w:rPr>
            </w:pPr>
            <w:r>
              <w:rPr>
                <w:rFonts w:ascii="Arial" w:eastAsia="Times New Roman" w:hAnsi="Arial" w:cs="Arial"/>
                <w:b/>
                <w:bCs/>
                <w:color w:val="39414D"/>
                <w:sz w:val="16"/>
                <w:szCs w:val="16"/>
              </w:rPr>
              <w:t>Eligibility Category</w:t>
            </w:r>
          </w:p>
        </w:tc>
        <w:tc>
          <w:tcPr>
            <w:tcW w:w="1801" w:type="dxa"/>
            <w:tcBorders>
              <w:top w:val="nil"/>
              <w:left w:val="nil"/>
              <w:bottom w:val="single" w:sz="8" w:space="0" w:color="C6C9CA"/>
              <w:right w:val="nil"/>
            </w:tcBorders>
            <w:shd w:val="clear" w:color="auto" w:fill="auto"/>
            <w:vAlign w:val="center"/>
            <w:hideMark/>
          </w:tcPr>
          <w:p w14:paraId="185DCE2F" w14:textId="77777777" w:rsidR="004A0986" w:rsidRPr="004A0986" w:rsidRDefault="004A0986" w:rsidP="004A0986">
            <w:pPr>
              <w:spacing w:after="0" w:line="240" w:lineRule="auto"/>
              <w:jc w:val="center"/>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Estimated Average Monthly Enrollment</w:t>
            </w:r>
          </w:p>
        </w:tc>
        <w:tc>
          <w:tcPr>
            <w:tcW w:w="2191" w:type="dxa"/>
            <w:tcBorders>
              <w:top w:val="nil"/>
              <w:left w:val="nil"/>
              <w:bottom w:val="single" w:sz="8" w:space="0" w:color="C6C9CA"/>
              <w:right w:val="nil"/>
            </w:tcBorders>
            <w:shd w:val="clear" w:color="auto" w:fill="auto"/>
            <w:vAlign w:val="center"/>
            <w:hideMark/>
          </w:tcPr>
          <w:p w14:paraId="73AEFD5C" w14:textId="508C509A" w:rsidR="004A0986" w:rsidRPr="004A0986" w:rsidRDefault="004A0986" w:rsidP="004A0986">
            <w:pPr>
              <w:spacing w:after="0" w:line="240" w:lineRule="auto"/>
              <w:jc w:val="center"/>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 xml:space="preserve">SFY 2022 PACE </w:t>
            </w:r>
            <w:r w:rsidR="007D6EB5">
              <w:rPr>
                <w:rFonts w:ascii="Arial" w:eastAsia="Times New Roman" w:hAnsi="Arial" w:cs="Arial"/>
                <w:b/>
                <w:bCs/>
                <w:color w:val="39414D"/>
                <w:sz w:val="16"/>
                <w:szCs w:val="16"/>
              </w:rPr>
              <w:t>AWOP</w:t>
            </w:r>
          </w:p>
        </w:tc>
      </w:tr>
      <w:tr w:rsidR="0050726D" w:rsidRPr="004A0986" w14:paraId="7A3BF12F" w14:textId="77777777" w:rsidTr="0050726D">
        <w:trPr>
          <w:trHeight w:val="240"/>
        </w:trPr>
        <w:tc>
          <w:tcPr>
            <w:tcW w:w="2895" w:type="dxa"/>
            <w:tcBorders>
              <w:top w:val="nil"/>
              <w:left w:val="nil"/>
              <w:bottom w:val="nil"/>
              <w:right w:val="nil"/>
            </w:tcBorders>
            <w:shd w:val="clear" w:color="auto" w:fill="auto"/>
            <w:noWrap/>
            <w:vAlign w:val="center"/>
            <w:hideMark/>
          </w:tcPr>
          <w:p w14:paraId="3234A04B"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Duals 55-64 HCBS</w:t>
            </w:r>
          </w:p>
        </w:tc>
        <w:tc>
          <w:tcPr>
            <w:tcW w:w="1801" w:type="dxa"/>
            <w:tcBorders>
              <w:top w:val="nil"/>
              <w:left w:val="nil"/>
              <w:bottom w:val="nil"/>
              <w:right w:val="nil"/>
            </w:tcBorders>
            <w:shd w:val="clear" w:color="auto" w:fill="auto"/>
            <w:noWrap/>
            <w:vAlign w:val="center"/>
            <w:hideMark/>
          </w:tcPr>
          <w:p w14:paraId="27F6203C" w14:textId="7E500B64"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26</w:t>
            </w:r>
          </w:p>
        </w:tc>
        <w:tc>
          <w:tcPr>
            <w:tcW w:w="2191" w:type="dxa"/>
            <w:tcBorders>
              <w:top w:val="nil"/>
              <w:left w:val="nil"/>
              <w:bottom w:val="nil"/>
              <w:right w:val="nil"/>
            </w:tcBorders>
            <w:shd w:val="clear" w:color="auto" w:fill="auto"/>
            <w:noWrap/>
            <w:vAlign w:val="center"/>
            <w:hideMark/>
          </w:tcPr>
          <w:p w14:paraId="2256E27F" w14:textId="1377FB81"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4,101.81</w:t>
            </w:r>
          </w:p>
        </w:tc>
      </w:tr>
      <w:tr w:rsidR="0050726D" w:rsidRPr="004A0986" w14:paraId="1EF49112" w14:textId="77777777" w:rsidTr="0050726D">
        <w:trPr>
          <w:trHeight w:val="240"/>
        </w:trPr>
        <w:tc>
          <w:tcPr>
            <w:tcW w:w="2895" w:type="dxa"/>
            <w:tcBorders>
              <w:top w:val="nil"/>
              <w:left w:val="nil"/>
              <w:bottom w:val="nil"/>
              <w:right w:val="nil"/>
            </w:tcBorders>
            <w:shd w:val="clear" w:color="000000" w:fill="E8E9E9"/>
            <w:noWrap/>
            <w:vAlign w:val="center"/>
            <w:hideMark/>
          </w:tcPr>
          <w:p w14:paraId="68A08A1D"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Duals 55-64 NH</w:t>
            </w:r>
          </w:p>
        </w:tc>
        <w:tc>
          <w:tcPr>
            <w:tcW w:w="1801" w:type="dxa"/>
            <w:tcBorders>
              <w:top w:val="nil"/>
              <w:left w:val="nil"/>
              <w:bottom w:val="nil"/>
              <w:right w:val="nil"/>
            </w:tcBorders>
            <w:shd w:val="clear" w:color="000000" w:fill="E8E9E9"/>
            <w:noWrap/>
            <w:vAlign w:val="center"/>
            <w:hideMark/>
          </w:tcPr>
          <w:p w14:paraId="71DF660E" w14:textId="7CF83FF4"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5</w:t>
            </w:r>
          </w:p>
        </w:tc>
        <w:tc>
          <w:tcPr>
            <w:tcW w:w="2191" w:type="dxa"/>
            <w:tcBorders>
              <w:top w:val="nil"/>
              <w:left w:val="nil"/>
              <w:bottom w:val="nil"/>
              <w:right w:val="nil"/>
            </w:tcBorders>
            <w:shd w:val="clear" w:color="000000" w:fill="E8E9E9"/>
            <w:noWrap/>
            <w:vAlign w:val="center"/>
            <w:hideMark/>
          </w:tcPr>
          <w:p w14:paraId="1C024A99" w14:textId="5ABA6767"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7,528.98</w:t>
            </w:r>
          </w:p>
        </w:tc>
      </w:tr>
      <w:tr w:rsidR="0050726D" w:rsidRPr="004A0986" w14:paraId="5BDD2D65" w14:textId="77777777" w:rsidTr="0050726D">
        <w:trPr>
          <w:trHeight w:val="240"/>
        </w:trPr>
        <w:tc>
          <w:tcPr>
            <w:tcW w:w="2895" w:type="dxa"/>
            <w:tcBorders>
              <w:top w:val="nil"/>
              <w:left w:val="nil"/>
              <w:bottom w:val="nil"/>
              <w:right w:val="nil"/>
            </w:tcBorders>
            <w:shd w:val="clear" w:color="auto" w:fill="auto"/>
            <w:noWrap/>
            <w:vAlign w:val="center"/>
            <w:hideMark/>
          </w:tcPr>
          <w:p w14:paraId="276E2FF0" w14:textId="77777777" w:rsidR="0050726D" w:rsidRPr="004A0986" w:rsidRDefault="0050726D" w:rsidP="0050726D">
            <w:pPr>
              <w:spacing w:after="0" w:line="240" w:lineRule="auto"/>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Duals 55-64</w:t>
            </w:r>
          </w:p>
        </w:tc>
        <w:tc>
          <w:tcPr>
            <w:tcW w:w="1801" w:type="dxa"/>
            <w:tcBorders>
              <w:top w:val="nil"/>
              <w:left w:val="nil"/>
              <w:bottom w:val="nil"/>
              <w:right w:val="nil"/>
            </w:tcBorders>
            <w:shd w:val="clear" w:color="auto" w:fill="auto"/>
            <w:noWrap/>
            <w:vAlign w:val="center"/>
            <w:hideMark/>
          </w:tcPr>
          <w:p w14:paraId="4931E034" w14:textId="3C1DCCAF" w:rsidR="0050726D" w:rsidRPr="00C948C4"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31</w:t>
            </w:r>
          </w:p>
        </w:tc>
        <w:tc>
          <w:tcPr>
            <w:tcW w:w="2191" w:type="dxa"/>
            <w:tcBorders>
              <w:top w:val="nil"/>
              <w:left w:val="nil"/>
              <w:bottom w:val="nil"/>
              <w:right w:val="nil"/>
            </w:tcBorders>
            <w:shd w:val="clear" w:color="auto" w:fill="auto"/>
            <w:noWrap/>
            <w:vAlign w:val="center"/>
            <w:hideMark/>
          </w:tcPr>
          <w:p w14:paraId="6F8BA8F2" w14:textId="5E422F7D" w:rsidR="0050726D" w:rsidRPr="0050726D"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 xml:space="preserve">$ 4,608.52 </w:t>
            </w:r>
          </w:p>
        </w:tc>
      </w:tr>
      <w:tr w:rsidR="0050726D" w:rsidRPr="004A0986" w14:paraId="5A5F2481" w14:textId="77777777" w:rsidTr="0050726D">
        <w:trPr>
          <w:trHeight w:val="240"/>
        </w:trPr>
        <w:tc>
          <w:tcPr>
            <w:tcW w:w="2895" w:type="dxa"/>
            <w:tcBorders>
              <w:top w:val="nil"/>
              <w:left w:val="nil"/>
              <w:bottom w:val="nil"/>
              <w:right w:val="nil"/>
            </w:tcBorders>
            <w:shd w:val="clear" w:color="000000" w:fill="E8E9E9"/>
            <w:noWrap/>
            <w:vAlign w:val="center"/>
            <w:hideMark/>
          </w:tcPr>
          <w:p w14:paraId="4F2361AB"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Duals 65+ HCBS</w:t>
            </w:r>
          </w:p>
        </w:tc>
        <w:tc>
          <w:tcPr>
            <w:tcW w:w="1801" w:type="dxa"/>
            <w:tcBorders>
              <w:top w:val="nil"/>
              <w:left w:val="nil"/>
              <w:bottom w:val="nil"/>
              <w:right w:val="nil"/>
            </w:tcBorders>
            <w:shd w:val="clear" w:color="000000" w:fill="E8E9E9"/>
            <w:noWrap/>
            <w:vAlign w:val="center"/>
            <w:hideMark/>
          </w:tcPr>
          <w:p w14:paraId="1B66BF21" w14:textId="2C24A70D"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241</w:t>
            </w:r>
          </w:p>
        </w:tc>
        <w:tc>
          <w:tcPr>
            <w:tcW w:w="2191" w:type="dxa"/>
            <w:tcBorders>
              <w:top w:val="nil"/>
              <w:left w:val="nil"/>
              <w:bottom w:val="nil"/>
              <w:right w:val="nil"/>
            </w:tcBorders>
            <w:shd w:val="clear" w:color="000000" w:fill="E8E9E9"/>
            <w:noWrap/>
            <w:vAlign w:val="center"/>
            <w:hideMark/>
          </w:tcPr>
          <w:p w14:paraId="7212E81A" w14:textId="152972FE"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4,419.37</w:t>
            </w:r>
          </w:p>
        </w:tc>
      </w:tr>
      <w:tr w:rsidR="0050726D" w:rsidRPr="004A0986" w14:paraId="1FB81478" w14:textId="77777777" w:rsidTr="0050726D">
        <w:trPr>
          <w:trHeight w:val="240"/>
        </w:trPr>
        <w:tc>
          <w:tcPr>
            <w:tcW w:w="2895" w:type="dxa"/>
            <w:tcBorders>
              <w:top w:val="nil"/>
              <w:left w:val="nil"/>
              <w:bottom w:val="nil"/>
              <w:right w:val="nil"/>
            </w:tcBorders>
            <w:shd w:val="clear" w:color="auto" w:fill="auto"/>
            <w:noWrap/>
            <w:vAlign w:val="center"/>
            <w:hideMark/>
          </w:tcPr>
          <w:p w14:paraId="0F085AD5"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Duals 65+ NH</w:t>
            </w:r>
          </w:p>
        </w:tc>
        <w:tc>
          <w:tcPr>
            <w:tcW w:w="1801" w:type="dxa"/>
            <w:tcBorders>
              <w:top w:val="nil"/>
              <w:left w:val="nil"/>
              <w:bottom w:val="nil"/>
              <w:right w:val="nil"/>
            </w:tcBorders>
            <w:shd w:val="clear" w:color="auto" w:fill="auto"/>
            <w:noWrap/>
            <w:vAlign w:val="center"/>
            <w:hideMark/>
          </w:tcPr>
          <w:p w14:paraId="4E915B6B" w14:textId="722D48DF"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41</w:t>
            </w:r>
          </w:p>
        </w:tc>
        <w:tc>
          <w:tcPr>
            <w:tcW w:w="2191" w:type="dxa"/>
            <w:tcBorders>
              <w:top w:val="nil"/>
              <w:left w:val="nil"/>
              <w:bottom w:val="nil"/>
              <w:right w:val="nil"/>
            </w:tcBorders>
            <w:shd w:val="clear" w:color="auto" w:fill="auto"/>
            <w:noWrap/>
            <w:vAlign w:val="center"/>
            <w:hideMark/>
          </w:tcPr>
          <w:p w14:paraId="25CC0A69" w14:textId="4E51819B"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7,665.08</w:t>
            </w:r>
          </w:p>
        </w:tc>
      </w:tr>
      <w:tr w:rsidR="0050726D" w:rsidRPr="004A0986" w14:paraId="6E3B6189" w14:textId="77777777" w:rsidTr="0050726D">
        <w:trPr>
          <w:trHeight w:val="240"/>
        </w:trPr>
        <w:tc>
          <w:tcPr>
            <w:tcW w:w="2895" w:type="dxa"/>
            <w:tcBorders>
              <w:top w:val="nil"/>
              <w:left w:val="nil"/>
              <w:bottom w:val="nil"/>
              <w:right w:val="nil"/>
            </w:tcBorders>
            <w:shd w:val="clear" w:color="000000" w:fill="E8E9E9"/>
            <w:noWrap/>
            <w:vAlign w:val="center"/>
            <w:hideMark/>
          </w:tcPr>
          <w:p w14:paraId="73F60D84" w14:textId="77777777" w:rsidR="0050726D" w:rsidRPr="004A0986" w:rsidRDefault="0050726D" w:rsidP="0050726D">
            <w:pPr>
              <w:spacing w:after="0" w:line="240" w:lineRule="auto"/>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Duals 65+</w:t>
            </w:r>
          </w:p>
        </w:tc>
        <w:tc>
          <w:tcPr>
            <w:tcW w:w="1801" w:type="dxa"/>
            <w:tcBorders>
              <w:top w:val="nil"/>
              <w:left w:val="nil"/>
              <w:bottom w:val="nil"/>
              <w:right w:val="nil"/>
            </w:tcBorders>
            <w:shd w:val="clear" w:color="000000" w:fill="E8E9E9"/>
            <w:noWrap/>
            <w:vAlign w:val="center"/>
            <w:hideMark/>
          </w:tcPr>
          <w:p w14:paraId="41717D8F" w14:textId="27E5F50C" w:rsidR="0050726D" w:rsidRPr="00C948C4"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282</w:t>
            </w:r>
          </w:p>
        </w:tc>
        <w:tc>
          <w:tcPr>
            <w:tcW w:w="2191" w:type="dxa"/>
            <w:tcBorders>
              <w:top w:val="nil"/>
              <w:left w:val="nil"/>
              <w:bottom w:val="nil"/>
              <w:right w:val="nil"/>
            </w:tcBorders>
            <w:shd w:val="clear" w:color="000000" w:fill="E8E9E9"/>
            <w:noWrap/>
            <w:vAlign w:val="center"/>
            <w:hideMark/>
          </w:tcPr>
          <w:p w14:paraId="7BF48265" w14:textId="3BF689C1" w:rsidR="0050726D" w:rsidRPr="0050726D"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 xml:space="preserve">$ 4,896.06 </w:t>
            </w:r>
          </w:p>
        </w:tc>
      </w:tr>
      <w:tr w:rsidR="0050726D" w:rsidRPr="004A0986" w14:paraId="4C26E6AB" w14:textId="77777777" w:rsidTr="0050726D">
        <w:trPr>
          <w:trHeight w:val="240"/>
        </w:trPr>
        <w:tc>
          <w:tcPr>
            <w:tcW w:w="2895" w:type="dxa"/>
            <w:tcBorders>
              <w:top w:val="nil"/>
              <w:left w:val="nil"/>
              <w:bottom w:val="nil"/>
              <w:right w:val="nil"/>
            </w:tcBorders>
            <w:shd w:val="clear" w:color="auto" w:fill="auto"/>
            <w:noWrap/>
            <w:vAlign w:val="center"/>
            <w:hideMark/>
          </w:tcPr>
          <w:p w14:paraId="7719C6EB"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Non-Duals HCBS</w:t>
            </w:r>
          </w:p>
        </w:tc>
        <w:tc>
          <w:tcPr>
            <w:tcW w:w="1801" w:type="dxa"/>
            <w:tcBorders>
              <w:top w:val="nil"/>
              <w:left w:val="nil"/>
              <w:bottom w:val="nil"/>
              <w:right w:val="nil"/>
            </w:tcBorders>
            <w:shd w:val="clear" w:color="auto" w:fill="auto"/>
            <w:noWrap/>
            <w:vAlign w:val="center"/>
            <w:hideMark/>
          </w:tcPr>
          <w:p w14:paraId="32F112D8" w14:textId="7C0F7405"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27</w:t>
            </w:r>
          </w:p>
        </w:tc>
        <w:tc>
          <w:tcPr>
            <w:tcW w:w="2191" w:type="dxa"/>
            <w:tcBorders>
              <w:top w:val="nil"/>
              <w:left w:val="nil"/>
              <w:bottom w:val="nil"/>
              <w:right w:val="nil"/>
            </w:tcBorders>
            <w:shd w:val="clear" w:color="auto" w:fill="auto"/>
            <w:noWrap/>
            <w:vAlign w:val="center"/>
            <w:hideMark/>
          </w:tcPr>
          <w:p w14:paraId="14D50B80" w14:textId="77E2EBE2"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5,401.89</w:t>
            </w:r>
          </w:p>
        </w:tc>
      </w:tr>
      <w:tr w:rsidR="0050726D" w:rsidRPr="004A0986" w14:paraId="4CD9B157" w14:textId="77777777" w:rsidTr="0050726D">
        <w:trPr>
          <w:trHeight w:val="240"/>
        </w:trPr>
        <w:tc>
          <w:tcPr>
            <w:tcW w:w="2895" w:type="dxa"/>
            <w:tcBorders>
              <w:top w:val="nil"/>
              <w:left w:val="nil"/>
              <w:bottom w:val="nil"/>
              <w:right w:val="nil"/>
            </w:tcBorders>
            <w:shd w:val="clear" w:color="000000" w:fill="E8E9E9"/>
            <w:noWrap/>
            <w:vAlign w:val="center"/>
            <w:hideMark/>
          </w:tcPr>
          <w:p w14:paraId="0B6C1EAB" w14:textId="77777777" w:rsidR="0050726D" w:rsidRPr="004A0986" w:rsidRDefault="0050726D" w:rsidP="0050726D">
            <w:pPr>
              <w:spacing w:after="0" w:line="240" w:lineRule="auto"/>
              <w:ind w:firstLineChars="100" w:firstLine="160"/>
              <w:rPr>
                <w:rFonts w:ascii="Arial" w:eastAsia="Times New Roman" w:hAnsi="Arial" w:cs="Arial"/>
                <w:color w:val="39414D"/>
                <w:sz w:val="16"/>
                <w:szCs w:val="16"/>
              </w:rPr>
            </w:pPr>
            <w:r w:rsidRPr="004A0986">
              <w:rPr>
                <w:rFonts w:ascii="Arial" w:eastAsia="Times New Roman" w:hAnsi="Arial" w:cs="Arial"/>
                <w:color w:val="39414D"/>
                <w:sz w:val="16"/>
                <w:szCs w:val="16"/>
              </w:rPr>
              <w:t>Non-Duals NH</w:t>
            </w:r>
          </w:p>
        </w:tc>
        <w:tc>
          <w:tcPr>
            <w:tcW w:w="1801" w:type="dxa"/>
            <w:tcBorders>
              <w:top w:val="nil"/>
              <w:left w:val="nil"/>
              <w:bottom w:val="nil"/>
              <w:right w:val="nil"/>
            </w:tcBorders>
            <w:shd w:val="clear" w:color="000000" w:fill="E8E9E9"/>
            <w:noWrap/>
            <w:vAlign w:val="center"/>
            <w:hideMark/>
          </w:tcPr>
          <w:p w14:paraId="4DE132DA" w14:textId="578037E8"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5</w:t>
            </w:r>
          </w:p>
        </w:tc>
        <w:tc>
          <w:tcPr>
            <w:tcW w:w="2191" w:type="dxa"/>
            <w:tcBorders>
              <w:top w:val="nil"/>
              <w:left w:val="nil"/>
              <w:bottom w:val="nil"/>
              <w:right w:val="nil"/>
            </w:tcBorders>
            <w:shd w:val="clear" w:color="000000" w:fill="E8E9E9"/>
            <w:noWrap/>
            <w:vAlign w:val="center"/>
            <w:hideMark/>
          </w:tcPr>
          <w:p w14:paraId="749680D7" w14:textId="6CEDB464"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8,826.45</w:t>
            </w:r>
          </w:p>
        </w:tc>
      </w:tr>
      <w:tr w:rsidR="0050726D" w:rsidRPr="004A0986" w14:paraId="7B12FA94" w14:textId="77777777" w:rsidTr="0050726D">
        <w:trPr>
          <w:trHeight w:val="240"/>
        </w:trPr>
        <w:tc>
          <w:tcPr>
            <w:tcW w:w="2895" w:type="dxa"/>
            <w:tcBorders>
              <w:top w:val="nil"/>
              <w:left w:val="nil"/>
              <w:bottom w:val="nil"/>
              <w:right w:val="nil"/>
            </w:tcBorders>
            <w:shd w:val="clear" w:color="auto" w:fill="auto"/>
            <w:noWrap/>
            <w:vAlign w:val="center"/>
            <w:hideMark/>
          </w:tcPr>
          <w:p w14:paraId="56752C8C" w14:textId="77777777" w:rsidR="0050726D" w:rsidRPr="004A0986" w:rsidRDefault="0050726D" w:rsidP="0050726D">
            <w:pPr>
              <w:spacing w:after="0" w:line="240" w:lineRule="auto"/>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Non-Duals</w:t>
            </w:r>
          </w:p>
        </w:tc>
        <w:tc>
          <w:tcPr>
            <w:tcW w:w="1801" w:type="dxa"/>
            <w:tcBorders>
              <w:top w:val="nil"/>
              <w:left w:val="nil"/>
              <w:bottom w:val="nil"/>
              <w:right w:val="nil"/>
            </w:tcBorders>
            <w:shd w:val="clear" w:color="auto" w:fill="auto"/>
            <w:noWrap/>
            <w:vAlign w:val="center"/>
            <w:hideMark/>
          </w:tcPr>
          <w:p w14:paraId="683ADDCF" w14:textId="762E5CDB" w:rsidR="0050726D" w:rsidRPr="00C948C4"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32</w:t>
            </w:r>
          </w:p>
        </w:tc>
        <w:tc>
          <w:tcPr>
            <w:tcW w:w="2191" w:type="dxa"/>
            <w:tcBorders>
              <w:top w:val="nil"/>
              <w:left w:val="nil"/>
              <w:bottom w:val="nil"/>
              <w:right w:val="nil"/>
            </w:tcBorders>
            <w:shd w:val="clear" w:color="auto" w:fill="auto"/>
            <w:noWrap/>
            <w:vAlign w:val="center"/>
            <w:hideMark/>
          </w:tcPr>
          <w:p w14:paraId="2EC5F349" w14:textId="6BAD3990" w:rsidR="0050726D" w:rsidRPr="0050726D"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 xml:space="preserve">$ 5,901.31 </w:t>
            </w:r>
          </w:p>
        </w:tc>
      </w:tr>
      <w:tr w:rsidR="0050726D" w:rsidRPr="004A0986" w14:paraId="0473C407" w14:textId="77777777" w:rsidTr="0050726D">
        <w:trPr>
          <w:trHeight w:val="240"/>
        </w:trPr>
        <w:tc>
          <w:tcPr>
            <w:tcW w:w="2895" w:type="dxa"/>
            <w:tcBorders>
              <w:top w:val="nil"/>
              <w:left w:val="nil"/>
              <w:bottom w:val="nil"/>
              <w:right w:val="nil"/>
            </w:tcBorders>
            <w:shd w:val="clear" w:color="000000" w:fill="E8E9E9"/>
            <w:noWrap/>
            <w:vAlign w:val="center"/>
            <w:hideMark/>
          </w:tcPr>
          <w:p w14:paraId="2223EF69" w14:textId="77777777" w:rsidR="0050726D" w:rsidRPr="004A0986" w:rsidRDefault="0050726D" w:rsidP="0050726D">
            <w:pPr>
              <w:spacing w:after="0" w:line="240" w:lineRule="auto"/>
              <w:rPr>
                <w:rFonts w:ascii="Arial" w:eastAsia="Times New Roman" w:hAnsi="Arial" w:cs="Arial"/>
                <w:b/>
                <w:bCs/>
                <w:color w:val="39414D"/>
                <w:sz w:val="16"/>
                <w:szCs w:val="16"/>
              </w:rPr>
            </w:pPr>
            <w:r w:rsidRPr="004A0986">
              <w:rPr>
                <w:rFonts w:ascii="Arial" w:eastAsia="Times New Roman" w:hAnsi="Arial" w:cs="Arial"/>
                <w:b/>
                <w:bCs/>
                <w:color w:val="39414D"/>
                <w:sz w:val="16"/>
                <w:szCs w:val="16"/>
              </w:rPr>
              <w:t>Composite PACE</w:t>
            </w:r>
          </w:p>
        </w:tc>
        <w:tc>
          <w:tcPr>
            <w:tcW w:w="1801" w:type="dxa"/>
            <w:tcBorders>
              <w:top w:val="nil"/>
              <w:left w:val="nil"/>
              <w:bottom w:val="nil"/>
              <w:right w:val="nil"/>
            </w:tcBorders>
            <w:shd w:val="clear" w:color="000000" w:fill="E8E9E9"/>
            <w:noWrap/>
            <w:vAlign w:val="center"/>
            <w:hideMark/>
          </w:tcPr>
          <w:p w14:paraId="57A45B7F" w14:textId="6F863AD4" w:rsidR="0050726D" w:rsidRPr="00C948C4"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345</w:t>
            </w:r>
          </w:p>
        </w:tc>
        <w:tc>
          <w:tcPr>
            <w:tcW w:w="2191" w:type="dxa"/>
            <w:tcBorders>
              <w:top w:val="nil"/>
              <w:left w:val="nil"/>
              <w:bottom w:val="nil"/>
              <w:right w:val="nil"/>
            </w:tcBorders>
            <w:shd w:val="clear" w:color="000000" w:fill="E8E9E9"/>
            <w:noWrap/>
            <w:vAlign w:val="center"/>
            <w:hideMark/>
          </w:tcPr>
          <w:p w14:paraId="3DEE926A" w14:textId="0B8BB80D" w:rsidR="0050726D" w:rsidRPr="0050726D" w:rsidRDefault="0050726D" w:rsidP="0050726D">
            <w:pPr>
              <w:spacing w:after="0" w:line="240" w:lineRule="auto"/>
              <w:jc w:val="right"/>
              <w:rPr>
                <w:rFonts w:ascii="Arial" w:eastAsia="Times New Roman" w:hAnsi="Arial" w:cs="Arial"/>
                <w:b/>
                <w:color w:val="39414D"/>
                <w:sz w:val="16"/>
                <w:szCs w:val="16"/>
              </w:rPr>
            </w:pPr>
            <w:r w:rsidRPr="00150F98">
              <w:rPr>
                <w:rFonts w:ascii="Arial" w:hAnsi="Arial" w:cs="Arial"/>
                <w:b/>
                <w:bCs/>
                <w:color w:val="39414D"/>
                <w:sz w:val="16"/>
                <w:szCs w:val="16"/>
              </w:rPr>
              <w:t xml:space="preserve">$ 4,963.46 </w:t>
            </w:r>
          </w:p>
        </w:tc>
      </w:tr>
    </w:tbl>
    <w:p w14:paraId="62A91501" w14:textId="77777777" w:rsidR="00003216" w:rsidRPr="00FC4603" w:rsidRDefault="00003216" w:rsidP="00246993">
      <w:pPr>
        <w:spacing w:after="0" w:line="240" w:lineRule="auto"/>
        <w:rPr>
          <w:rFonts w:cs="Arial"/>
        </w:rPr>
      </w:pPr>
    </w:p>
    <w:p w14:paraId="47A1765A" w14:textId="2CF9134E" w:rsidR="008C085B" w:rsidRPr="00CB0BE3" w:rsidRDefault="0075382E" w:rsidP="00D96AA6">
      <w:pPr>
        <w:tabs>
          <w:tab w:val="left" w:pos="360"/>
          <w:tab w:val="left" w:pos="720"/>
          <w:tab w:val="left" w:pos="1080"/>
          <w:tab w:val="left" w:pos="1440"/>
          <w:tab w:val="left" w:pos="1800"/>
        </w:tabs>
        <w:spacing w:after="0"/>
        <w:rPr>
          <w:rFonts w:cs="Arial"/>
        </w:rPr>
      </w:pPr>
      <w:r>
        <w:rPr>
          <w:rFonts w:cs="Arial"/>
        </w:rPr>
        <w:t xml:space="preserve">The culmination of steps 1 through </w:t>
      </w:r>
      <w:r w:rsidR="002955D5">
        <w:rPr>
          <w:rFonts w:cs="Arial"/>
        </w:rPr>
        <w:t>8</w:t>
      </w:r>
      <w:r>
        <w:rPr>
          <w:rFonts w:cs="Arial"/>
        </w:rPr>
        <w:t xml:space="preserve"> is the</w:t>
      </w:r>
      <w:r w:rsidR="00EC7901">
        <w:rPr>
          <w:rFonts w:cs="Arial"/>
        </w:rPr>
        <w:t xml:space="preserve"> blended AWOP</w:t>
      </w:r>
      <w:r>
        <w:rPr>
          <w:rFonts w:cs="Arial"/>
        </w:rPr>
        <w:t xml:space="preserve">. </w:t>
      </w:r>
      <w:r w:rsidR="008C085B" w:rsidRPr="00CB0BE3">
        <w:rPr>
          <w:rFonts w:cs="Arial"/>
        </w:rPr>
        <w:t>The AWOP is gross of patient liability</w:t>
      </w:r>
      <w:r w:rsidR="00277F6C">
        <w:rPr>
          <w:rFonts w:cs="Arial"/>
        </w:rPr>
        <w:t>, because</w:t>
      </w:r>
      <w:r w:rsidR="00277F6C" w:rsidRPr="00277F6C">
        <w:rPr>
          <w:rFonts w:cs="Arial"/>
        </w:rPr>
        <w:t xml:space="preserve"> </w:t>
      </w:r>
      <w:r w:rsidR="00277F6C">
        <w:rPr>
          <w:rFonts w:cs="Arial"/>
        </w:rPr>
        <w:t>EOHHS subtracts the patient liability from the capitation payment made to the PACE organization based on each member’s calculated patient liability.</w:t>
      </w:r>
      <w:r w:rsidR="008C085B" w:rsidRPr="00CB0BE3">
        <w:rPr>
          <w:rFonts w:cs="Arial"/>
        </w:rPr>
        <w:t xml:space="preserve">  </w:t>
      </w:r>
    </w:p>
    <w:p w14:paraId="18463A28" w14:textId="77777777" w:rsidR="008C085B" w:rsidRDefault="008C085B" w:rsidP="008C085B">
      <w:pPr>
        <w:rPr>
          <w:rFonts w:eastAsia="Calibri"/>
          <w:b/>
          <w:caps/>
          <w:color w:val="000000" w:themeColor="text1"/>
          <w:sz w:val="28"/>
          <w:szCs w:val="32"/>
        </w:rPr>
      </w:pPr>
      <w:r>
        <w:br w:type="page"/>
      </w:r>
    </w:p>
    <w:p w14:paraId="06CE89C8" w14:textId="5CF01C52" w:rsidR="008C085B" w:rsidRPr="00282D91" w:rsidRDefault="008C085B" w:rsidP="000B2662">
      <w:pPr>
        <w:pStyle w:val="Heading1"/>
      </w:pPr>
      <w:bookmarkStart w:id="20" w:name="_Toc91081157"/>
      <w:bookmarkStart w:id="21" w:name="_Toc69226416"/>
      <w:r>
        <w:lastRenderedPageBreak/>
        <w:t xml:space="preserve">III. </w:t>
      </w:r>
      <w:r w:rsidRPr="00282D91">
        <w:t xml:space="preserve">PACE </w:t>
      </w:r>
      <w:r>
        <w:t>Capitation Rate</w:t>
      </w:r>
      <w:r w:rsidRPr="00282D91">
        <w:t xml:space="preserve"> </w:t>
      </w:r>
      <w:r w:rsidR="005A6600">
        <w:t>M</w:t>
      </w:r>
      <w:r>
        <w:t>ethodology</w:t>
      </w:r>
      <w:bookmarkEnd w:id="20"/>
      <w:r>
        <w:t xml:space="preserve"> </w:t>
      </w:r>
      <w:bookmarkEnd w:id="21"/>
    </w:p>
    <w:p w14:paraId="621B4183" w14:textId="357BA973" w:rsidR="00E14138" w:rsidRDefault="006E4CA8" w:rsidP="00D96AA6">
      <w:pPr>
        <w:spacing w:after="180"/>
        <w:jc w:val="both"/>
      </w:pPr>
      <w:r>
        <w:rPr>
          <w:rFonts w:cs="Arial"/>
        </w:rPr>
        <w:t xml:space="preserve">The PACE capitation rates are calculated as a percentage discount to the </w:t>
      </w:r>
      <w:r w:rsidR="00A74E47">
        <w:rPr>
          <w:rFonts w:cs="Arial"/>
        </w:rPr>
        <w:t>AWOP.</w:t>
      </w:r>
      <w:r>
        <w:rPr>
          <w:rFonts w:cs="Arial"/>
        </w:rPr>
        <w:t xml:space="preserve"> </w:t>
      </w:r>
      <w:r w:rsidR="00A74E47">
        <w:rPr>
          <w:rFonts w:cs="Arial"/>
        </w:rPr>
        <w:t xml:space="preserve">EOHHS utilizes a 2% </w:t>
      </w:r>
      <w:r w:rsidR="00C2295F">
        <w:rPr>
          <w:rFonts w:cs="Arial"/>
        </w:rPr>
        <w:t>discount on the AWOP to calculate the PACE capitation rates</w:t>
      </w:r>
      <w:r w:rsidR="00A74E47">
        <w:rPr>
          <w:rFonts w:cs="Arial"/>
        </w:rPr>
        <w:t xml:space="preserve">. </w:t>
      </w:r>
      <w:r w:rsidR="00EB02AA">
        <w:rPr>
          <w:rFonts w:cs="Arial"/>
        </w:rPr>
        <w:t>PACE capitation rates are rounded to the nearest dollar.</w:t>
      </w:r>
      <w:r w:rsidR="00A74E47">
        <w:rPr>
          <w:rFonts w:cs="Arial"/>
        </w:rPr>
        <w:t xml:space="preserve"> </w:t>
      </w:r>
      <w:r w:rsidR="002C0ECD">
        <w:rPr>
          <w:rFonts w:cs="Arial"/>
        </w:rPr>
        <w:t>T</w:t>
      </w:r>
      <w:r w:rsidR="00A74E47">
        <w:rPr>
          <w:rFonts w:cs="Arial"/>
        </w:rPr>
        <w:t>he development of the SFY 2022 PACE capitation rates based on the SFY 2022 AWOP</w:t>
      </w:r>
      <w:r w:rsidR="002C0ECD">
        <w:rPr>
          <w:rFonts w:cs="Arial"/>
        </w:rPr>
        <w:t xml:space="preserve">s is illustrated in Figure </w:t>
      </w:r>
      <w:r w:rsidR="00282F74">
        <w:rPr>
          <w:rFonts w:cs="Arial"/>
        </w:rPr>
        <w:t xml:space="preserve">13 </w:t>
      </w:r>
      <w:r w:rsidR="002C0ECD">
        <w:rPr>
          <w:rFonts w:cs="Arial"/>
        </w:rPr>
        <w:t>for each eligibility category.</w:t>
      </w:r>
    </w:p>
    <w:tbl>
      <w:tblPr>
        <w:tblW w:w="6606" w:type="dxa"/>
        <w:tblLayout w:type="fixed"/>
        <w:tblLook w:val="04A0" w:firstRow="1" w:lastRow="0" w:firstColumn="1" w:lastColumn="0" w:noHBand="0" w:noVBand="1"/>
      </w:tblPr>
      <w:tblGrid>
        <w:gridCol w:w="1854"/>
        <w:gridCol w:w="1584"/>
        <w:gridCol w:w="1584"/>
        <w:gridCol w:w="1530"/>
        <w:gridCol w:w="54"/>
      </w:tblGrid>
      <w:tr w:rsidR="003E587F" w:rsidRPr="008D15FB" w14:paraId="104A7468" w14:textId="77777777" w:rsidTr="00C95EB0">
        <w:trPr>
          <w:gridAfter w:val="1"/>
          <w:wAfter w:w="54" w:type="dxa"/>
          <w:trHeight w:val="255"/>
        </w:trPr>
        <w:tc>
          <w:tcPr>
            <w:tcW w:w="6552" w:type="dxa"/>
            <w:gridSpan w:val="4"/>
            <w:tcBorders>
              <w:top w:val="single" w:sz="8" w:space="0" w:color="E8E9E9"/>
              <w:left w:val="nil"/>
              <w:bottom w:val="single" w:sz="8" w:space="0" w:color="auto"/>
              <w:right w:val="nil"/>
            </w:tcBorders>
            <w:shd w:val="clear" w:color="auto" w:fill="auto"/>
            <w:noWrap/>
            <w:vAlign w:val="center"/>
            <w:hideMark/>
          </w:tcPr>
          <w:p w14:paraId="5E401097" w14:textId="526A8112" w:rsidR="003E587F" w:rsidRPr="008D15FB" w:rsidRDefault="003E587F" w:rsidP="008D15FB">
            <w:pPr>
              <w:spacing w:after="0" w:line="240" w:lineRule="auto"/>
              <w:rPr>
                <w:rFonts w:ascii="Arial" w:eastAsia="Times New Roman" w:hAnsi="Arial" w:cs="Arial"/>
                <w:b/>
                <w:color w:val="0081E3"/>
                <w:sz w:val="16"/>
                <w:szCs w:val="16"/>
              </w:rPr>
            </w:pPr>
            <w:r w:rsidRPr="008D15FB">
              <w:rPr>
                <w:rFonts w:ascii="Arial" w:eastAsia="Times New Roman" w:hAnsi="Arial" w:cs="Arial"/>
                <w:b/>
                <w:bCs/>
                <w:color w:val="0081E3"/>
                <w:sz w:val="16"/>
                <w:szCs w:val="16"/>
              </w:rPr>
              <w:t xml:space="preserve">FIGURE </w:t>
            </w:r>
            <w:r w:rsidR="007E7E96" w:rsidRPr="008D15FB">
              <w:rPr>
                <w:rFonts w:ascii="Arial" w:eastAsia="Times New Roman" w:hAnsi="Arial" w:cs="Arial"/>
                <w:b/>
                <w:bCs/>
                <w:color w:val="0081E3"/>
                <w:sz w:val="16"/>
                <w:szCs w:val="16"/>
              </w:rPr>
              <w:t>1</w:t>
            </w:r>
            <w:r w:rsidR="00282F74">
              <w:rPr>
                <w:rFonts w:ascii="Arial" w:eastAsia="Times New Roman" w:hAnsi="Arial" w:cs="Arial"/>
                <w:b/>
                <w:bCs/>
                <w:color w:val="0081E3"/>
                <w:sz w:val="16"/>
                <w:szCs w:val="16"/>
              </w:rPr>
              <w:t>3</w:t>
            </w:r>
            <w:r w:rsidRPr="008D15FB">
              <w:rPr>
                <w:rFonts w:ascii="Arial" w:eastAsia="Times New Roman" w:hAnsi="Arial" w:cs="Arial"/>
                <w:b/>
                <w:bCs/>
                <w:color w:val="0081E3"/>
                <w:sz w:val="16"/>
                <w:szCs w:val="16"/>
              </w:rPr>
              <w:t>: COMPARISON OF SFY 2022 PACE</w:t>
            </w:r>
            <w:r>
              <w:rPr>
                <w:rFonts w:ascii="Arial" w:eastAsia="Times New Roman" w:hAnsi="Arial" w:cs="Arial"/>
                <w:b/>
                <w:bCs/>
                <w:color w:val="0081E3"/>
                <w:sz w:val="16"/>
                <w:szCs w:val="16"/>
              </w:rPr>
              <w:t xml:space="preserve"> CAPITATION</w:t>
            </w:r>
            <w:r w:rsidRPr="008D15FB">
              <w:rPr>
                <w:rFonts w:ascii="Arial" w:eastAsia="Times New Roman" w:hAnsi="Arial" w:cs="Arial"/>
                <w:b/>
                <w:bCs/>
                <w:color w:val="0081E3"/>
                <w:sz w:val="16"/>
                <w:szCs w:val="16"/>
              </w:rPr>
              <w:t xml:space="preserve"> RATE TO SFY 2022 AWOP</w:t>
            </w:r>
          </w:p>
        </w:tc>
      </w:tr>
      <w:tr w:rsidR="003E587F" w:rsidRPr="008D15FB" w14:paraId="433C105E" w14:textId="77777777" w:rsidTr="0046181A">
        <w:trPr>
          <w:trHeight w:val="495"/>
        </w:trPr>
        <w:tc>
          <w:tcPr>
            <w:tcW w:w="1854" w:type="dxa"/>
            <w:tcBorders>
              <w:top w:val="nil"/>
              <w:left w:val="nil"/>
              <w:bottom w:val="single" w:sz="8" w:space="0" w:color="C6C9CA"/>
              <w:right w:val="nil"/>
            </w:tcBorders>
            <w:shd w:val="clear" w:color="auto" w:fill="auto"/>
            <w:noWrap/>
            <w:vAlign w:val="center"/>
            <w:hideMark/>
          </w:tcPr>
          <w:p w14:paraId="136085B0" w14:textId="77777777" w:rsidR="003E587F" w:rsidRPr="008D15FB" w:rsidRDefault="003E587F" w:rsidP="008D15FB">
            <w:pPr>
              <w:spacing w:after="0" w:line="240" w:lineRule="auto"/>
              <w:rPr>
                <w:rFonts w:ascii="Arial" w:eastAsia="Times New Roman" w:hAnsi="Arial" w:cs="Arial"/>
                <w:b/>
                <w:bCs/>
                <w:color w:val="39414D"/>
                <w:sz w:val="16"/>
                <w:szCs w:val="16"/>
              </w:rPr>
            </w:pPr>
            <w:r w:rsidRPr="008D15FB">
              <w:rPr>
                <w:rFonts w:ascii="Arial" w:eastAsia="Times New Roman" w:hAnsi="Arial" w:cs="Arial"/>
                <w:b/>
                <w:bCs/>
                <w:color w:val="39414D"/>
                <w:sz w:val="16"/>
                <w:szCs w:val="16"/>
              </w:rPr>
              <w:t>Eligibility Category</w:t>
            </w:r>
          </w:p>
        </w:tc>
        <w:tc>
          <w:tcPr>
            <w:tcW w:w="1584" w:type="dxa"/>
            <w:tcBorders>
              <w:top w:val="nil"/>
              <w:left w:val="nil"/>
              <w:bottom w:val="single" w:sz="8" w:space="0" w:color="C6C9CA"/>
              <w:right w:val="nil"/>
            </w:tcBorders>
            <w:shd w:val="clear" w:color="auto" w:fill="auto"/>
            <w:noWrap/>
            <w:vAlign w:val="center"/>
            <w:hideMark/>
          </w:tcPr>
          <w:p w14:paraId="78F5647C" w14:textId="77777777" w:rsidR="003E587F" w:rsidRPr="008D15FB" w:rsidRDefault="003E587F" w:rsidP="008D15FB">
            <w:pPr>
              <w:spacing w:after="0" w:line="240" w:lineRule="auto"/>
              <w:jc w:val="center"/>
              <w:rPr>
                <w:rFonts w:ascii="Arial" w:eastAsia="Times New Roman" w:hAnsi="Arial" w:cs="Arial"/>
                <w:b/>
                <w:bCs/>
                <w:color w:val="39414D"/>
                <w:sz w:val="16"/>
                <w:szCs w:val="16"/>
              </w:rPr>
            </w:pPr>
            <w:r w:rsidRPr="008D15FB">
              <w:rPr>
                <w:rFonts w:ascii="Arial" w:eastAsia="Times New Roman" w:hAnsi="Arial" w:cs="Arial"/>
                <w:b/>
                <w:bCs/>
                <w:color w:val="39414D"/>
                <w:sz w:val="16"/>
                <w:szCs w:val="16"/>
              </w:rPr>
              <w:t>SFY 2022 AWOP</w:t>
            </w:r>
          </w:p>
        </w:tc>
        <w:tc>
          <w:tcPr>
            <w:tcW w:w="1584" w:type="dxa"/>
            <w:tcBorders>
              <w:top w:val="single" w:sz="8" w:space="0" w:color="auto"/>
              <w:left w:val="nil"/>
              <w:bottom w:val="single" w:sz="8" w:space="0" w:color="C6C9CA"/>
              <w:right w:val="nil"/>
            </w:tcBorders>
            <w:shd w:val="clear" w:color="auto" w:fill="auto"/>
            <w:noWrap/>
            <w:vAlign w:val="center"/>
            <w:hideMark/>
          </w:tcPr>
          <w:p w14:paraId="791CE80C" w14:textId="62E718C4" w:rsidR="003E587F" w:rsidRPr="008D15FB" w:rsidRDefault="003E587F" w:rsidP="008D15FB">
            <w:pPr>
              <w:spacing w:after="0" w:line="240" w:lineRule="auto"/>
              <w:jc w:val="center"/>
              <w:rPr>
                <w:rFonts w:ascii="Arial" w:eastAsia="Times New Roman" w:hAnsi="Arial" w:cs="Arial"/>
                <w:b/>
                <w:bCs/>
                <w:color w:val="39414D"/>
                <w:sz w:val="16"/>
                <w:szCs w:val="16"/>
              </w:rPr>
            </w:pPr>
            <w:r>
              <w:rPr>
                <w:rFonts w:ascii="Arial" w:eastAsia="Times New Roman" w:hAnsi="Arial" w:cs="Arial"/>
                <w:b/>
                <w:bCs/>
                <w:color w:val="39414D"/>
                <w:sz w:val="16"/>
                <w:szCs w:val="16"/>
              </w:rPr>
              <w:t>Percentage Discount</w:t>
            </w:r>
          </w:p>
        </w:tc>
        <w:tc>
          <w:tcPr>
            <w:tcW w:w="1584" w:type="dxa"/>
            <w:gridSpan w:val="2"/>
            <w:tcBorders>
              <w:top w:val="single" w:sz="8" w:space="0" w:color="auto"/>
              <w:left w:val="nil"/>
              <w:bottom w:val="single" w:sz="8" w:space="0" w:color="C6C9CA"/>
              <w:right w:val="nil"/>
            </w:tcBorders>
            <w:shd w:val="clear" w:color="auto" w:fill="auto"/>
            <w:vAlign w:val="center"/>
            <w:hideMark/>
          </w:tcPr>
          <w:p w14:paraId="64FF1010" w14:textId="77777777" w:rsidR="003E587F" w:rsidRPr="008D15FB" w:rsidRDefault="003E587F" w:rsidP="008D15FB">
            <w:pPr>
              <w:spacing w:after="0" w:line="240" w:lineRule="auto"/>
              <w:jc w:val="center"/>
              <w:rPr>
                <w:rFonts w:ascii="Arial" w:eastAsia="Times New Roman" w:hAnsi="Arial" w:cs="Arial"/>
                <w:b/>
                <w:bCs/>
                <w:color w:val="39414D"/>
                <w:sz w:val="16"/>
                <w:szCs w:val="16"/>
              </w:rPr>
            </w:pPr>
            <w:r w:rsidRPr="008D15FB">
              <w:rPr>
                <w:rFonts w:ascii="Arial" w:eastAsia="Times New Roman" w:hAnsi="Arial" w:cs="Arial"/>
                <w:b/>
                <w:bCs/>
                <w:color w:val="39414D"/>
                <w:sz w:val="16"/>
                <w:szCs w:val="16"/>
              </w:rPr>
              <w:t>SFY 2022 PACE Capitation Rate</w:t>
            </w:r>
          </w:p>
        </w:tc>
      </w:tr>
      <w:tr w:rsidR="0050726D" w:rsidRPr="008D15FB" w14:paraId="572A040A" w14:textId="77777777" w:rsidTr="0046181A">
        <w:trPr>
          <w:trHeight w:val="240"/>
        </w:trPr>
        <w:tc>
          <w:tcPr>
            <w:tcW w:w="1854" w:type="dxa"/>
            <w:tcBorders>
              <w:top w:val="nil"/>
              <w:left w:val="nil"/>
              <w:bottom w:val="nil"/>
              <w:right w:val="nil"/>
            </w:tcBorders>
            <w:shd w:val="clear" w:color="auto" w:fill="auto"/>
            <w:noWrap/>
            <w:vAlign w:val="center"/>
            <w:hideMark/>
          </w:tcPr>
          <w:p w14:paraId="724CC022" w14:textId="77777777" w:rsidR="0050726D" w:rsidRPr="008D15FB" w:rsidRDefault="0050726D" w:rsidP="0050726D">
            <w:pPr>
              <w:spacing w:after="0" w:line="240" w:lineRule="auto"/>
              <w:rPr>
                <w:rFonts w:ascii="Arial" w:eastAsia="Times New Roman" w:hAnsi="Arial" w:cs="Arial"/>
                <w:color w:val="39414D"/>
                <w:sz w:val="16"/>
                <w:szCs w:val="16"/>
              </w:rPr>
            </w:pPr>
            <w:r w:rsidRPr="008D15FB">
              <w:rPr>
                <w:rFonts w:ascii="Arial" w:eastAsia="Times New Roman" w:hAnsi="Arial" w:cs="Arial"/>
                <w:color w:val="39414D"/>
                <w:sz w:val="16"/>
                <w:szCs w:val="16"/>
              </w:rPr>
              <w:t>Duals 55-64</w:t>
            </w:r>
          </w:p>
        </w:tc>
        <w:tc>
          <w:tcPr>
            <w:tcW w:w="1584" w:type="dxa"/>
            <w:tcBorders>
              <w:top w:val="nil"/>
              <w:left w:val="nil"/>
              <w:bottom w:val="nil"/>
              <w:right w:val="nil"/>
            </w:tcBorders>
            <w:shd w:val="clear" w:color="auto" w:fill="auto"/>
            <w:noWrap/>
            <w:vAlign w:val="center"/>
            <w:hideMark/>
          </w:tcPr>
          <w:p w14:paraId="0573DE54" w14:textId="1CE3AD33"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$ 4,608.52 </w:t>
            </w:r>
          </w:p>
        </w:tc>
        <w:tc>
          <w:tcPr>
            <w:tcW w:w="1584" w:type="dxa"/>
            <w:tcBorders>
              <w:top w:val="nil"/>
              <w:left w:val="nil"/>
              <w:bottom w:val="nil"/>
              <w:right w:val="nil"/>
            </w:tcBorders>
            <w:shd w:val="clear" w:color="auto" w:fill="auto"/>
            <w:noWrap/>
            <w:vAlign w:val="center"/>
            <w:hideMark/>
          </w:tcPr>
          <w:p w14:paraId="4924E74D" w14:textId="6578453B"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2.0% </w:t>
            </w:r>
          </w:p>
        </w:tc>
        <w:tc>
          <w:tcPr>
            <w:tcW w:w="1584" w:type="dxa"/>
            <w:gridSpan w:val="2"/>
            <w:tcBorders>
              <w:top w:val="nil"/>
              <w:left w:val="nil"/>
              <w:bottom w:val="nil"/>
              <w:right w:val="nil"/>
            </w:tcBorders>
            <w:shd w:val="clear" w:color="auto" w:fill="auto"/>
            <w:noWrap/>
            <w:vAlign w:val="center"/>
            <w:hideMark/>
          </w:tcPr>
          <w:p w14:paraId="27CA43F3" w14:textId="5204E21E"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$ 4,516.00 </w:t>
            </w:r>
          </w:p>
        </w:tc>
      </w:tr>
      <w:tr w:rsidR="0050726D" w:rsidRPr="008D15FB" w14:paraId="2803B865" w14:textId="77777777" w:rsidTr="0046181A">
        <w:trPr>
          <w:trHeight w:val="240"/>
        </w:trPr>
        <w:tc>
          <w:tcPr>
            <w:tcW w:w="1854" w:type="dxa"/>
            <w:tcBorders>
              <w:top w:val="nil"/>
              <w:left w:val="nil"/>
              <w:bottom w:val="nil"/>
              <w:right w:val="nil"/>
            </w:tcBorders>
            <w:shd w:val="clear" w:color="000000" w:fill="E8E9E9"/>
            <w:noWrap/>
            <w:vAlign w:val="center"/>
            <w:hideMark/>
          </w:tcPr>
          <w:p w14:paraId="01E9D844" w14:textId="77777777" w:rsidR="0050726D" w:rsidRPr="008D15FB" w:rsidRDefault="0050726D" w:rsidP="0050726D">
            <w:pPr>
              <w:spacing w:after="0" w:line="240" w:lineRule="auto"/>
              <w:rPr>
                <w:rFonts w:ascii="Arial" w:eastAsia="Times New Roman" w:hAnsi="Arial" w:cs="Arial"/>
                <w:color w:val="39414D"/>
                <w:sz w:val="16"/>
                <w:szCs w:val="16"/>
              </w:rPr>
            </w:pPr>
            <w:r w:rsidRPr="008D15FB">
              <w:rPr>
                <w:rFonts w:ascii="Arial" w:eastAsia="Times New Roman" w:hAnsi="Arial" w:cs="Arial"/>
                <w:color w:val="39414D"/>
                <w:sz w:val="16"/>
                <w:szCs w:val="16"/>
              </w:rPr>
              <w:t>Duals 65+</w:t>
            </w:r>
          </w:p>
        </w:tc>
        <w:tc>
          <w:tcPr>
            <w:tcW w:w="1584" w:type="dxa"/>
            <w:tcBorders>
              <w:top w:val="nil"/>
              <w:left w:val="nil"/>
              <w:bottom w:val="nil"/>
              <w:right w:val="nil"/>
            </w:tcBorders>
            <w:shd w:val="clear" w:color="000000" w:fill="E8E9E9"/>
            <w:noWrap/>
            <w:vAlign w:val="center"/>
            <w:hideMark/>
          </w:tcPr>
          <w:p w14:paraId="031A5A03" w14:textId="20637224"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4,896.06 </w:t>
            </w:r>
          </w:p>
        </w:tc>
        <w:tc>
          <w:tcPr>
            <w:tcW w:w="1584" w:type="dxa"/>
            <w:tcBorders>
              <w:top w:val="nil"/>
              <w:left w:val="nil"/>
              <w:bottom w:val="nil"/>
              <w:right w:val="nil"/>
            </w:tcBorders>
            <w:shd w:val="clear" w:color="000000" w:fill="E8E9E9"/>
            <w:noWrap/>
            <w:vAlign w:val="center"/>
            <w:hideMark/>
          </w:tcPr>
          <w:p w14:paraId="24FBC623" w14:textId="221E8F5E"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2.0% </w:t>
            </w:r>
          </w:p>
        </w:tc>
        <w:tc>
          <w:tcPr>
            <w:tcW w:w="1584" w:type="dxa"/>
            <w:gridSpan w:val="2"/>
            <w:tcBorders>
              <w:top w:val="nil"/>
              <w:left w:val="nil"/>
              <w:bottom w:val="nil"/>
              <w:right w:val="nil"/>
            </w:tcBorders>
            <w:shd w:val="clear" w:color="000000" w:fill="E8E9E9"/>
            <w:noWrap/>
            <w:vAlign w:val="center"/>
            <w:hideMark/>
          </w:tcPr>
          <w:p w14:paraId="69ECFB28" w14:textId="096EDD26"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4,798.00 </w:t>
            </w:r>
          </w:p>
        </w:tc>
      </w:tr>
      <w:tr w:rsidR="0050726D" w:rsidRPr="008D15FB" w14:paraId="044083D4" w14:textId="77777777" w:rsidTr="0046181A">
        <w:trPr>
          <w:trHeight w:val="240"/>
        </w:trPr>
        <w:tc>
          <w:tcPr>
            <w:tcW w:w="1854" w:type="dxa"/>
            <w:tcBorders>
              <w:top w:val="nil"/>
              <w:left w:val="nil"/>
              <w:bottom w:val="nil"/>
              <w:right w:val="nil"/>
            </w:tcBorders>
            <w:shd w:val="clear" w:color="auto" w:fill="auto"/>
            <w:noWrap/>
            <w:vAlign w:val="center"/>
            <w:hideMark/>
          </w:tcPr>
          <w:p w14:paraId="31C5B4B0" w14:textId="77777777" w:rsidR="0050726D" w:rsidRPr="008D15FB" w:rsidRDefault="0050726D" w:rsidP="0050726D">
            <w:pPr>
              <w:spacing w:after="0" w:line="240" w:lineRule="auto"/>
              <w:rPr>
                <w:rFonts w:ascii="Arial" w:eastAsia="Times New Roman" w:hAnsi="Arial" w:cs="Arial"/>
                <w:color w:val="39414D"/>
                <w:sz w:val="16"/>
                <w:szCs w:val="16"/>
              </w:rPr>
            </w:pPr>
            <w:r w:rsidRPr="008D15FB">
              <w:rPr>
                <w:rFonts w:ascii="Arial" w:eastAsia="Times New Roman" w:hAnsi="Arial" w:cs="Arial"/>
                <w:color w:val="39414D"/>
                <w:sz w:val="16"/>
                <w:szCs w:val="16"/>
              </w:rPr>
              <w:t>Non-Duals</w:t>
            </w:r>
          </w:p>
        </w:tc>
        <w:tc>
          <w:tcPr>
            <w:tcW w:w="1584" w:type="dxa"/>
            <w:tcBorders>
              <w:top w:val="nil"/>
              <w:left w:val="nil"/>
              <w:bottom w:val="nil"/>
              <w:right w:val="nil"/>
            </w:tcBorders>
            <w:shd w:val="clear" w:color="auto" w:fill="auto"/>
            <w:noWrap/>
            <w:vAlign w:val="center"/>
            <w:hideMark/>
          </w:tcPr>
          <w:p w14:paraId="08B18E0C" w14:textId="7D269FAA"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5,901.31 </w:t>
            </w:r>
          </w:p>
        </w:tc>
        <w:tc>
          <w:tcPr>
            <w:tcW w:w="1584" w:type="dxa"/>
            <w:tcBorders>
              <w:top w:val="nil"/>
              <w:left w:val="nil"/>
              <w:bottom w:val="nil"/>
              <w:right w:val="nil"/>
            </w:tcBorders>
            <w:shd w:val="clear" w:color="auto" w:fill="auto"/>
            <w:noWrap/>
            <w:vAlign w:val="center"/>
            <w:hideMark/>
          </w:tcPr>
          <w:p w14:paraId="1EA30820" w14:textId="4DC84B0C" w:rsidR="0050726D" w:rsidRPr="00C948C4"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2.0% </w:t>
            </w:r>
          </w:p>
        </w:tc>
        <w:tc>
          <w:tcPr>
            <w:tcW w:w="1584" w:type="dxa"/>
            <w:gridSpan w:val="2"/>
            <w:tcBorders>
              <w:top w:val="nil"/>
              <w:left w:val="nil"/>
              <w:bottom w:val="nil"/>
              <w:right w:val="nil"/>
            </w:tcBorders>
            <w:shd w:val="clear" w:color="auto" w:fill="auto"/>
            <w:noWrap/>
            <w:vAlign w:val="center"/>
            <w:hideMark/>
          </w:tcPr>
          <w:p w14:paraId="6F7B7C14" w14:textId="17F3E2CE" w:rsidR="0050726D" w:rsidRPr="0050726D" w:rsidRDefault="0050726D" w:rsidP="0050726D">
            <w:pPr>
              <w:spacing w:after="0" w:line="240" w:lineRule="auto"/>
              <w:jc w:val="right"/>
              <w:rPr>
                <w:rFonts w:ascii="Arial" w:eastAsia="Times New Roman" w:hAnsi="Arial" w:cs="Arial"/>
                <w:color w:val="39414D"/>
                <w:sz w:val="16"/>
                <w:szCs w:val="16"/>
              </w:rPr>
            </w:pPr>
            <w:r w:rsidRPr="00150F98">
              <w:rPr>
                <w:rFonts w:ascii="Arial" w:hAnsi="Arial" w:cs="Arial"/>
                <w:color w:val="39414D"/>
                <w:sz w:val="16"/>
                <w:szCs w:val="16"/>
              </w:rPr>
              <w:t xml:space="preserve">5,783.00 </w:t>
            </w:r>
          </w:p>
        </w:tc>
      </w:tr>
    </w:tbl>
    <w:p w14:paraId="425EDAD1" w14:textId="77777777" w:rsidR="002C0ECD" w:rsidRPr="008569E5" w:rsidRDefault="002C0ECD" w:rsidP="002C0ECD">
      <w:pPr>
        <w:pStyle w:val="RRBullet1"/>
        <w:spacing w:after="0"/>
        <w:jc w:val="left"/>
        <w:rPr>
          <w:rFonts w:ascii="Arial" w:eastAsia="Times New Roman" w:hAnsi="Arial" w:cs="Arial"/>
          <w:color w:val="727A7D"/>
          <w:sz w:val="16"/>
          <w:szCs w:val="16"/>
        </w:rPr>
      </w:pPr>
      <w:r w:rsidRPr="008569E5">
        <w:rPr>
          <w:rFonts w:ascii="Arial" w:eastAsia="Times New Roman" w:hAnsi="Arial" w:cs="Arial"/>
          <w:color w:val="727A7D"/>
          <w:sz w:val="16"/>
          <w:szCs w:val="16"/>
        </w:rPr>
        <w:t xml:space="preserve">Notes: </w:t>
      </w:r>
    </w:p>
    <w:p w14:paraId="0672BA74" w14:textId="04489B58" w:rsidR="00E14138" w:rsidRPr="0046181A" w:rsidRDefault="002C0ECD" w:rsidP="008405A2">
      <w:pPr>
        <w:pStyle w:val="RRBody"/>
        <w:numPr>
          <w:ilvl w:val="0"/>
          <w:numId w:val="14"/>
        </w:numPr>
        <w:spacing w:after="0"/>
        <w:rPr>
          <w:rFonts w:ascii="Arial" w:eastAsia="Times New Roman" w:hAnsi="Arial" w:cs="Arial"/>
          <w:color w:val="727A7D"/>
          <w:sz w:val="16"/>
          <w:szCs w:val="16"/>
        </w:rPr>
      </w:pPr>
      <w:r w:rsidRPr="00CD674F">
        <w:rPr>
          <w:rFonts w:ascii="Arial" w:eastAsia="Times New Roman" w:hAnsi="Arial" w:cs="Arial"/>
          <w:color w:val="727A7D"/>
          <w:sz w:val="16"/>
          <w:szCs w:val="16"/>
        </w:rPr>
        <w:t xml:space="preserve">PACE </w:t>
      </w:r>
      <w:r>
        <w:rPr>
          <w:rFonts w:ascii="Arial" w:eastAsia="Times New Roman" w:hAnsi="Arial" w:cs="Arial"/>
          <w:color w:val="727A7D"/>
          <w:sz w:val="16"/>
          <w:szCs w:val="16"/>
        </w:rPr>
        <w:t xml:space="preserve">AWOPs and capitation </w:t>
      </w:r>
      <w:r w:rsidRPr="00CD674F">
        <w:rPr>
          <w:rFonts w:ascii="Arial" w:eastAsia="Times New Roman" w:hAnsi="Arial" w:cs="Arial"/>
          <w:color w:val="727A7D"/>
          <w:sz w:val="16"/>
          <w:szCs w:val="16"/>
        </w:rPr>
        <w:t>rate</w:t>
      </w:r>
      <w:r>
        <w:rPr>
          <w:rFonts w:ascii="Arial" w:eastAsia="Times New Roman" w:hAnsi="Arial" w:cs="Arial"/>
          <w:color w:val="727A7D"/>
          <w:sz w:val="16"/>
          <w:szCs w:val="16"/>
        </w:rPr>
        <w:t>s</w:t>
      </w:r>
      <w:r w:rsidRPr="00CD674F">
        <w:rPr>
          <w:rFonts w:ascii="Arial" w:eastAsia="Times New Roman" w:hAnsi="Arial" w:cs="Arial"/>
          <w:color w:val="727A7D"/>
          <w:sz w:val="16"/>
          <w:szCs w:val="16"/>
        </w:rPr>
        <w:t xml:space="preserve"> </w:t>
      </w:r>
      <w:r>
        <w:rPr>
          <w:rFonts w:ascii="Arial" w:eastAsia="Times New Roman" w:hAnsi="Arial" w:cs="Arial"/>
          <w:color w:val="727A7D"/>
          <w:sz w:val="16"/>
          <w:szCs w:val="16"/>
        </w:rPr>
        <w:t xml:space="preserve">are </w:t>
      </w:r>
      <w:r w:rsidRPr="00CD674F">
        <w:rPr>
          <w:rFonts w:ascii="Arial" w:eastAsia="Times New Roman" w:hAnsi="Arial" w:cs="Arial"/>
          <w:color w:val="727A7D"/>
          <w:sz w:val="16"/>
          <w:szCs w:val="16"/>
        </w:rPr>
        <w:t xml:space="preserve">gross of patient liability because </w:t>
      </w:r>
      <w:r>
        <w:rPr>
          <w:rFonts w:ascii="Arial" w:eastAsia="Times New Roman" w:hAnsi="Arial" w:cs="Arial"/>
          <w:color w:val="727A7D"/>
          <w:sz w:val="16"/>
          <w:szCs w:val="16"/>
        </w:rPr>
        <w:t xml:space="preserve">patient </w:t>
      </w:r>
      <w:r w:rsidRPr="00CD674F">
        <w:rPr>
          <w:rFonts w:ascii="Arial" w:eastAsia="Times New Roman" w:hAnsi="Arial" w:cs="Arial"/>
          <w:color w:val="727A7D"/>
          <w:sz w:val="16"/>
          <w:szCs w:val="16"/>
        </w:rPr>
        <w:t>liability amounts will be determined and administered on an enrollee-specific basis</w:t>
      </w:r>
      <w:r>
        <w:rPr>
          <w:rFonts w:ascii="Arial" w:eastAsia="Times New Roman" w:hAnsi="Arial" w:cs="Arial"/>
          <w:color w:val="727A7D"/>
          <w:sz w:val="16"/>
          <w:szCs w:val="16"/>
        </w:rPr>
        <w:t>.</w:t>
      </w:r>
      <w:r w:rsidRPr="0046181A" w:rsidDel="002C0ECD">
        <w:rPr>
          <w:rFonts w:ascii="Arial" w:eastAsia="Times New Roman" w:hAnsi="Arial" w:cs="Arial"/>
          <w:color w:val="727A7D"/>
          <w:sz w:val="16"/>
          <w:szCs w:val="16"/>
        </w:rPr>
        <w:t xml:space="preserve"> </w:t>
      </w:r>
    </w:p>
    <w:p w14:paraId="342ACF56" w14:textId="01B94224" w:rsidR="00C95EB0" w:rsidRPr="0046181A" w:rsidRDefault="00C95EB0" w:rsidP="008405A2">
      <w:pPr>
        <w:pStyle w:val="RRBody"/>
        <w:numPr>
          <w:ilvl w:val="0"/>
          <w:numId w:val="14"/>
        </w:numPr>
        <w:spacing w:after="0"/>
        <w:rPr>
          <w:rFonts w:ascii="Arial" w:eastAsia="Times New Roman" w:hAnsi="Arial" w:cs="Arial"/>
          <w:color w:val="727A7D"/>
          <w:sz w:val="16"/>
          <w:szCs w:val="16"/>
        </w:rPr>
      </w:pPr>
      <w:r w:rsidRPr="0046181A">
        <w:rPr>
          <w:rFonts w:ascii="Arial" w:eastAsia="Times New Roman" w:hAnsi="Arial" w:cs="Arial"/>
          <w:color w:val="727A7D"/>
          <w:sz w:val="16"/>
          <w:szCs w:val="16"/>
        </w:rPr>
        <w:t>PACE capitation rates are rounded to the nearest dollar</w:t>
      </w:r>
      <w:r>
        <w:rPr>
          <w:rFonts w:ascii="Arial" w:eastAsia="Times New Roman" w:hAnsi="Arial" w:cs="Arial"/>
          <w:color w:val="727A7D"/>
          <w:sz w:val="16"/>
          <w:szCs w:val="16"/>
        </w:rPr>
        <w:t>.</w:t>
      </w:r>
    </w:p>
    <w:p w14:paraId="12CE3C15" w14:textId="43E7EFCF" w:rsidR="008C085B" w:rsidRPr="002674AE" w:rsidRDefault="008C085B" w:rsidP="008C085B">
      <w:pPr>
        <w:tabs>
          <w:tab w:val="left" w:pos="360"/>
          <w:tab w:val="left" w:pos="720"/>
          <w:tab w:val="left" w:pos="1080"/>
          <w:tab w:val="left" w:pos="1440"/>
          <w:tab w:val="left" w:pos="1800"/>
        </w:tabs>
        <w:spacing w:after="0" w:line="240" w:lineRule="auto"/>
        <w:jc w:val="both"/>
        <w:rPr>
          <w:rFonts w:cs="Arial"/>
        </w:rPr>
      </w:pPr>
    </w:p>
    <w:p w14:paraId="27012DE3" w14:textId="6DFA89B3" w:rsidR="00DE3837" w:rsidRDefault="00DE3837" w:rsidP="00C87D6C">
      <w:pPr>
        <w:spacing w:after="120"/>
        <w:jc w:val="both"/>
        <w:rPr>
          <w:rFonts w:cs="Arial"/>
        </w:rPr>
      </w:pPr>
      <w:r>
        <w:t>T</w:t>
      </w:r>
      <w:r w:rsidRPr="00FF5436">
        <w:t xml:space="preserve">he Medicaid PACE </w:t>
      </w:r>
      <w:r>
        <w:t xml:space="preserve">capitation </w:t>
      </w:r>
      <w:r w:rsidRPr="00FF5436">
        <w:t xml:space="preserve">rates for SFY 2022 are less than the corresponding SFY 2022 AWOPs, as required by the PACE Medicaid rate requirements of 42 CFR §460.182. </w:t>
      </w:r>
      <w:r w:rsidR="00A0327C" w:rsidRPr="00A0327C">
        <w:t xml:space="preserve">The State does not have an incentive program for </w:t>
      </w:r>
      <w:r w:rsidR="00FC1B34">
        <w:t xml:space="preserve">the </w:t>
      </w:r>
      <w:r w:rsidR="00A0327C" w:rsidRPr="00A0327C">
        <w:t>PACE organization</w:t>
      </w:r>
      <w:r w:rsidR="00B62765">
        <w:t>.</w:t>
      </w:r>
    </w:p>
    <w:p w14:paraId="5DB607D6" w14:textId="62CDA01F" w:rsidR="008F339E" w:rsidRDefault="004604B9" w:rsidP="00C87D6C">
      <w:pPr>
        <w:spacing w:after="120"/>
        <w:jc w:val="both"/>
        <w:rPr>
          <w:rFonts w:cs="Arial"/>
        </w:rPr>
      </w:pPr>
      <w:r w:rsidRPr="00EF4DFC">
        <w:t xml:space="preserve">The SFY 2022 AWOPs and SFY 2022 PACE rates are based on the methodology as specified in set forth in 42 CFR §460.182 and have been further described in the PACE Guide released by CMS. It should be emphasized that capitation rates are a projection of future costs based on a set of assumptions under the methodology described herein. </w:t>
      </w:r>
      <w:r w:rsidRPr="00BA283A">
        <w:t xml:space="preserve">Differences between our projections and actual amounts depend on the extent to which future experience conforms to the </w:t>
      </w:r>
      <w:r w:rsidRPr="00EF4DFC">
        <w:t>assumptions underlying the PACE rate development</w:t>
      </w:r>
      <w:r w:rsidRPr="00BA283A">
        <w:t xml:space="preserve">. </w:t>
      </w:r>
    </w:p>
    <w:p w14:paraId="72B2507E" w14:textId="1BB4D069" w:rsidR="00CE2634" w:rsidRDefault="00CE2634" w:rsidP="00622097">
      <w:pPr>
        <w:jc w:val="both"/>
      </w:pPr>
    </w:p>
    <w:p w14:paraId="02AC04CB" w14:textId="1C409F83" w:rsidR="008C085B" w:rsidRDefault="008C085B">
      <w:pPr>
        <w:spacing w:line="264" w:lineRule="auto"/>
      </w:pPr>
      <w:r>
        <w:br w:type="page"/>
      </w:r>
    </w:p>
    <w:p w14:paraId="55522D3A" w14:textId="62D08F84" w:rsidR="00A254F5" w:rsidRDefault="00B6785A" w:rsidP="000B2662">
      <w:pPr>
        <w:pStyle w:val="Heading1"/>
      </w:pPr>
      <w:bookmarkStart w:id="22" w:name="_Toc8985087"/>
      <w:bookmarkStart w:id="23" w:name="_Toc91081158"/>
      <w:r>
        <w:lastRenderedPageBreak/>
        <w:t xml:space="preserve">VI. Data Reliance and </w:t>
      </w:r>
      <w:r w:rsidR="00A254F5">
        <w:t>Limitations</w:t>
      </w:r>
      <w:bookmarkEnd w:id="22"/>
      <w:bookmarkEnd w:id="23"/>
    </w:p>
    <w:p w14:paraId="4C9DF8F7" w14:textId="77777777" w:rsidR="005E3730" w:rsidRPr="00CB2F8A" w:rsidRDefault="005E3730" w:rsidP="008C085B">
      <w:pPr>
        <w:pStyle w:val="Subhead1"/>
      </w:pPr>
    </w:p>
    <w:p w14:paraId="6364EEF9" w14:textId="4F0835FB" w:rsidR="005E3730" w:rsidRDefault="005E3730" w:rsidP="00C87D6C">
      <w:pPr>
        <w:pStyle w:val="RRBody"/>
        <w:spacing w:after="120"/>
        <w:jc w:val="left"/>
      </w:pPr>
      <w:r w:rsidRPr="00CB2F8A">
        <w:t xml:space="preserve">The information contained in this report has been prepared for </w:t>
      </w:r>
      <w:r w:rsidRPr="006F6771">
        <w:t xml:space="preserve">the Rhode Island Executive Office of Health </w:t>
      </w:r>
      <w:r>
        <w:t>and</w:t>
      </w:r>
      <w:r w:rsidRPr="006F6771">
        <w:t xml:space="preserve"> Human Services (EOHHS)</w:t>
      </w:r>
      <w:r>
        <w:t xml:space="preserve"> </w:t>
      </w:r>
      <w:r w:rsidRPr="00CB2F8A">
        <w:t xml:space="preserve">to provide documentation of the methodology and data sources used for developing the </w:t>
      </w:r>
      <w:r>
        <w:t>state fiscal year (SFY</w:t>
      </w:r>
      <w:r w:rsidRPr="00CB2F8A">
        <w:t xml:space="preserve">) </w:t>
      </w:r>
      <w:r w:rsidR="00E50A35">
        <w:t>2022</w:t>
      </w:r>
      <w:r w:rsidR="00E50A35" w:rsidRPr="00CB2F8A">
        <w:t xml:space="preserve"> </w:t>
      </w:r>
      <w:r w:rsidR="004669B8">
        <w:t>PACE amount</w:t>
      </w:r>
      <w:r w:rsidR="00B66EA2">
        <w:t>s</w:t>
      </w:r>
      <w:r w:rsidR="004669B8">
        <w:t xml:space="preserve"> that would otherwise been paid (AWOP</w:t>
      </w:r>
      <w:r w:rsidR="00B66EA2">
        <w:t>s</w:t>
      </w:r>
      <w:r w:rsidR="004669B8">
        <w:t xml:space="preserve">) </w:t>
      </w:r>
      <w:r w:rsidR="0084475D">
        <w:t xml:space="preserve">and </w:t>
      </w:r>
      <w:r w:rsidR="00F7483C">
        <w:t xml:space="preserve">SFY 2022 PACE </w:t>
      </w:r>
      <w:r w:rsidRPr="00CB2F8A">
        <w:t>capitation rates</w:t>
      </w:r>
      <w:r>
        <w:t xml:space="preserve"> for the Rhode Island Medicaid </w:t>
      </w:r>
      <w:r w:rsidRPr="00CB2F8A">
        <w:t>program. The data and information presented may not be appropriate for any other purpose.</w:t>
      </w:r>
    </w:p>
    <w:p w14:paraId="3230BF18" w14:textId="1CCFD47D" w:rsidR="005E3730" w:rsidRPr="00CB2F8A" w:rsidRDefault="005E3730" w:rsidP="00C87D6C">
      <w:pPr>
        <w:pStyle w:val="RRBody"/>
        <w:spacing w:after="120"/>
        <w:jc w:val="left"/>
      </w:pPr>
      <w:r w:rsidRPr="00CB2F8A">
        <w:t xml:space="preserve">The information contained in this report, including the enclosures, has been prepared for </w:t>
      </w:r>
      <w:r>
        <w:t>EOHHS</w:t>
      </w:r>
      <w:r w:rsidRPr="00CB2F8A">
        <w:t xml:space="preserve"> and their consultants and advisors.  It is our understanding that the information contained in this report may be shared with </w:t>
      </w:r>
      <w:r w:rsidR="00FA78D8" w:rsidRPr="00FA78D8">
        <w:t>PACE Organization of Rhode Island</w:t>
      </w:r>
      <w:r w:rsidR="00FA78D8" w:rsidRPr="00FA78D8" w:rsidDel="00FA78D8">
        <w:t xml:space="preserve"> </w:t>
      </w:r>
      <w:r w:rsidR="00BA283A">
        <w:t>and the Centers for Medicare and Medicaid Services (CMS)</w:t>
      </w:r>
      <w:r w:rsidRPr="00CB2F8A">
        <w:t xml:space="preserve">. Any distribution of the information should be in its entirety. Any user of the data must possess a certain level of expertise in actuarial science and healthcare modeling so as not to misinterpret the information presented. </w:t>
      </w:r>
    </w:p>
    <w:p w14:paraId="131FC022" w14:textId="77777777" w:rsidR="005E3730" w:rsidRPr="00CB2F8A" w:rsidRDefault="005E3730" w:rsidP="00C87D6C">
      <w:pPr>
        <w:pStyle w:val="RRBody"/>
        <w:spacing w:after="120"/>
        <w:jc w:val="left"/>
      </w:pPr>
      <w:r w:rsidRPr="00CB2F8A">
        <w:t xml:space="preserve">Milliman makes no representations or warranties regarding the contents of this report to third parties. Likewise, third parties are instructed that they are to place no reliance upon this report prepared for </w:t>
      </w:r>
      <w:r>
        <w:t>EOHHS</w:t>
      </w:r>
      <w:r w:rsidRPr="00CB2F8A">
        <w:t xml:space="preserve"> by Milliman that would result in the creation of any duty or liability under any theory of law by Milliman or its employees to third parties.  Other parties receiving this report must rely upon their own experts in drawing conclusions about the capitation rates, assumptions, and trends.</w:t>
      </w:r>
    </w:p>
    <w:p w14:paraId="1761369B" w14:textId="029A6043" w:rsidR="008B5E70" w:rsidRPr="00F1669C" w:rsidRDefault="00D0628E" w:rsidP="00C87D6C">
      <w:pPr>
        <w:spacing w:after="120"/>
      </w:pPr>
      <w:r w:rsidRPr="002E5C82">
        <w:t xml:space="preserve">Milliman has developed certain models to estimate the values included in this correspondence. The intent of the models was to </w:t>
      </w:r>
      <w:r>
        <w:t xml:space="preserve">develop the SFY </w:t>
      </w:r>
      <w:r w:rsidR="00E50A35">
        <w:t xml:space="preserve">2022 </w:t>
      </w:r>
      <w:r w:rsidR="00BB741D">
        <w:t>PACE AWOP</w:t>
      </w:r>
      <w:r w:rsidR="00B66EA2">
        <w:t>s</w:t>
      </w:r>
      <w:r w:rsidR="00BB741D">
        <w:t xml:space="preserve"> and capitation rates</w:t>
      </w:r>
      <w:r w:rsidRPr="002E5C82">
        <w:t xml:space="preserve">. We have reviewed the models, including their inputs, calculations, and outputs for consistency, reasonableness, and appropriateness to the intended purpose and in compliance with generally accepted actuarial practice and relevant actuarial standards of practice (ASOP). The models rely on data and information as input to the models. We have relied upon certain data and information provided by EOHHS </w:t>
      </w:r>
      <w:r>
        <w:t xml:space="preserve">and the MCOs </w:t>
      </w:r>
      <w:r w:rsidRPr="002E5C82">
        <w:t xml:space="preserve">for this purpose and accepted it without audit. To the extent that the data and information provided is not accurate, or is not complete, the values provided in this correspondence may likewise be inaccurate or incomplete. Milliman’s data and information reliance includes </w:t>
      </w:r>
      <w:r>
        <w:t>the data sources outlined in the body of this report</w:t>
      </w:r>
      <w:r w:rsidRPr="002E5C82">
        <w:t>. The models, including all input, calculations, and output may not be appropriate for any other purpose</w:t>
      </w:r>
      <w:r w:rsidR="008B5E70" w:rsidRPr="00F1669C">
        <w:t>.</w:t>
      </w:r>
    </w:p>
    <w:p w14:paraId="25F06E6E" w14:textId="1B483A3C" w:rsidR="00806F3B" w:rsidRDefault="00EF4DFC" w:rsidP="00C87D6C">
      <w:pPr>
        <w:pStyle w:val="RRBody"/>
        <w:spacing w:after="120"/>
        <w:jc w:val="left"/>
      </w:pPr>
      <w:r w:rsidRPr="00EF4DFC">
        <w:t xml:space="preserve">The SFY 2022 AWOPs and SFY 2022 PACE rates are based on the methodology as specified in set forth in 42 CFR §460.182 and have been further described in the PACE Guide released by CMS. It should be emphasized that capitation rates are a projection of future costs based on a set of assumptions under the methodology described herein. </w:t>
      </w:r>
      <w:r w:rsidR="00806F3B" w:rsidRPr="00BA283A">
        <w:t xml:space="preserve">Differences between our projections and actual amounts depend on the extent to which future experience conforms to the </w:t>
      </w:r>
      <w:r w:rsidR="00806F3B" w:rsidRPr="00EF4DFC">
        <w:t>assumptions underlying the PACE rate development</w:t>
      </w:r>
      <w:r w:rsidR="00806F3B" w:rsidRPr="00BA283A">
        <w:t>. It is certain that actual experience will not conform exactly to the assumptions used in this analysis. Actual amounts will differ from projected amounts to the extent that actual experience deviates from expected experience</w:t>
      </w:r>
      <w:r w:rsidR="00806F3B">
        <w:t>.</w:t>
      </w:r>
    </w:p>
    <w:p w14:paraId="7859F2D7" w14:textId="004D906F" w:rsidR="00BA2DDB" w:rsidRPr="0084059A" w:rsidRDefault="00BA2DDB" w:rsidP="00C87D6C">
      <w:pPr>
        <w:pStyle w:val="RRBody"/>
        <w:spacing w:after="120"/>
        <w:jc w:val="left"/>
      </w:pPr>
      <w:r w:rsidRPr="0084059A">
        <w:t xml:space="preserve">At the time of this report, we acknowledge there is substantial uncertainty regarding the impact of the COVID-19 pandemic on future projections. It is possible that the COVID-19 pandemic could have a material impact on the projected enrollment and capitation rates presented in this report. </w:t>
      </w:r>
    </w:p>
    <w:p w14:paraId="1E3F8568" w14:textId="3C7F871C" w:rsidR="005E3730" w:rsidRPr="00CB2F8A" w:rsidRDefault="005E3730" w:rsidP="00C87D6C">
      <w:pPr>
        <w:pStyle w:val="RRBody"/>
        <w:spacing w:after="120"/>
        <w:jc w:val="left"/>
      </w:pPr>
      <w:r w:rsidRPr="00B9110E">
        <w:t xml:space="preserve">The services provided by Milliman to EOHHS were performed under the signed contract agreement between Milliman and EOHHS dated </w:t>
      </w:r>
      <w:r w:rsidR="00C948C4">
        <w:t>March 10</w:t>
      </w:r>
      <w:r w:rsidR="00BA2DDB">
        <w:t xml:space="preserve">, </w:t>
      </w:r>
      <w:r w:rsidR="00C948C4">
        <w:t>2022</w:t>
      </w:r>
      <w:r w:rsidRPr="00B9110E">
        <w:t xml:space="preserve">. </w:t>
      </w:r>
    </w:p>
    <w:p w14:paraId="069CEF27" w14:textId="164A625E" w:rsidR="00960F51" w:rsidRDefault="005E3730" w:rsidP="00C87D6C">
      <w:pPr>
        <w:pStyle w:val="RRBody"/>
        <w:spacing w:after="120"/>
        <w:jc w:val="left"/>
        <w:sectPr w:rsidR="00960F51" w:rsidSect="00987971">
          <w:headerReference w:type="even" r:id="rId22"/>
          <w:headerReference w:type="default" r:id="rId23"/>
          <w:footerReference w:type="default" r:id="rId24"/>
          <w:headerReference w:type="first" r:id="rId25"/>
          <w:footerReference w:type="first" r:id="rId26"/>
          <w:pgSz w:w="12240" w:h="15840" w:code="1"/>
          <w:pgMar w:top="1440" w:right="1440" w:bottom="1080" w:left="1440" w:header="720" w:footer="720" w:gutter="0"/>
          <w:pgNumType w:start="1"/>
          <w:cols w:space="720"/>
          <w:titlePg/>
          <w:docGrid w:linePitch="360"/>
        </w:sectPr>
      </w:pPr>
      <w:r w:rsidRPr="00CB2F8A">
        <w:t>Guidelines issued by the American Academy of Actuaries require actuaries to include their professional qualifications in all actuarial communications. The authors of this report are members of the American Academy of Actuaries and meet the qualification standards for performing the analyses contained herein.</w:t>
      </w:r>
    </w:p>
    <w:bookmarkStart w:id="24" w:name="_Toc91081159"/>
    <w:bookmarkStart w:id="25" w:name="_Toc8985089"/>
    <w:p w14:paraId="4E5E5745" w14:textId="329CD4AD" w:rsidR="00DB5F00" w:rsidRDefault="0049752E" w:rsidP="00DB5F00">
      <w:pPr>
        <w:pStyle w:val="Heading1"/>
        <w:jc w:val="center"/>
        <w:sectPr w:rsidR="00DB5F00" w:rsidSect="00F97655">
          <w:headerReference w:type="even" r:id="rId27"/>
          <w:headerReference w:type="default" r:id="rId28"/>
          <w:footerReference w:type="default" r:id="rId29"/>
          <w:headerReference w:type="first" r:id="rId30"/>
          <w:pgSz w:w="12240" w:h="15840" w:code="1"/>
          <w:pgMar w:top="1440" w:right="1440" w:bottom="1440" w:left="1440" w:header="720" w:footer="720" w:gutter="0"/>
          <w:cols w:space="720"/>
          <w:vAlign w:val="center"/>
          <w:titlePg/>
          <w:docGrid w:linePitch="360"/>
        </w:sectPr>
      </w:pPr>
      <w:r>
        <w:rPr>
          <w:noProof/>
        </w:rPr>
        <w:lastRenderedPageBreak/>
        <mc:AlternateContent>
          <mc:Choice Requires="wps">
            <w:drawing>
              <wp:anchor distT="0" distB="0" distL="114300" distR="114300" simplePos="0" relativeHeight="251659269" behindDoc="0" locked="0" layoutInCell="1" allowOverlap="1" wp14:anchorId="4597C37E" wp14:editId="65338F78">
                <wp:simplePos x="0" y="0"/>
                <wp:positionH relativeFrom="column">
                  <wp:posOffset>2800350</wp:posOffset>
                </wp:positionH>
                <wp:positionV relativeFrom="paragraph">
                  <wp:posOffset>8429625</wp:posOffset>
                </wp:positionV>
                <wp:extent cx="266700" cy="123825"/>
                <wp:effectExtent l="0" t="0" r="0" b="9525"/>
                <wp:wrapNone/>
                <wp:docPr id="5" name="Rectangle 5"/>
                <wp:cNvGraphicFramePr/>
                <a:graphic xmlns:a="http://schemas.openxmlformats.org/drawingml/2006/main">
                  <a:graphicData uri="http://schemas.microsoft.com/office/word/2010/wordprocessingShape">
                    <wps:wsp>
                      <wps:cNvSpPr/>
                      <wps:spPr>
                        <a:xfrm>
                          <a:off x="0" y="0"/>
                          <a:ext cx="266700"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CF16E0" id="Rectangle 5" o:spid="_x0000_s1026" style="position:absolute;margin-left:220.5pt;margin-top:663.75pt;width:21pt;height:9.75pt;z-index:2516592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" fillcolor="white [3212]" stroked="f" strokeweight="1pt"/>
            </w:pict>
          </mc:Fallback>
        </mc:AlternateContent>
      </w:r>
      <w:r w:rsidR="00DB5F00">
        <w:t xml:space="preserve">Appendix </w:t>
      </w:r>
      <w:r w:rsidR="003333DF">
        <w:t>1</w:t>
      </w:r>
      <w:r w:rsidR="00DB5F00">
        <w:t xml:space="preserve">: </w:t>
      </w:r>
      <w:r w:rsidR="008025D1">
        <w:t>CY 2019 Base Data Development</w:t>
      </w:r>
      <w:bookmarkEnd w:id="24"/>
    </w:p>
    <w:bookmarkStart w:id="26" w:name="_Toc91081160"/>
    <w:p w14:paraId="32D5B051" w14:textId="79443ED0" w:rsidR="00D629A2" w:rsidRDefault="0049752E" w:rsidP="009968A6">
      <w:pPr>
        <w:pStyle w:val="Heading1"/>
        <w:jc w:val="center"/>
        <w:sectPr w:rsidR="00D629A2" w:rsidSect="00F97655">
          <w:headerReference w:type="even" r:id="rId31"/>
          <w:headerReference w:type="default" r:id="rId32"/>
          <w:footerReference w:type="default" r:id="rId33"/>
          <w:headerReference w:type="first" r:id="rId34"/>
          <w:pgSz w:w="12240" w:h="15840" w:code="1"/>
          <w:pgMar w:top="1440" w:right="1440" w:bottom="1440" w:left="1440" w:header="720" w:footer="720" w:gutter="0"/>
          <w:cols w:space="720"/>
          <w:vAlign w:val="center"/>
          <w:titlePg/>
          <w:docGrid w:linePitch="360"/>
        </w:sectPr>
      </w:pPr>
      <w:r>
        <w:rPr>
          <w:noProof/>
        </w:rPr>
        <w:lastRenderedPageBreak/>
        <mc:AlternateContent>
          <mc:Choice Requires="wps">
            <w:drawing>
              <wp:anchor distT="0" distB="0" distL="114300" distR="114300" simplePos="0" relativeHeight="251660293" behindDoc="0" locked="0" layoutInCell="1" allowOverlap="1" wp14:anchorId="4A2A984A" wp14:editId="7E2CA94B">
                <wp:simplePos x="0" y="0"/>
                <wp:positionH relativeFrom="column">
                  <wp:posOffset>2886075</wp:posOffset>
                </wp:positionH>
                <wp:positionV relativeFrom="paragraph">
                  <wp:posOffset>8448675</wp:posOffset>
                </wp:positionV>
                <wp:extent cx="219075" cy="190500"/>
                <wp:effectExtent l="0" t="0" r="9525" b="0"/>
                <wp:wrapNone/>
                <wp:docPr id="9" name="Rectangle 9"/>
                <wp:cNvGraphicFramePr/>
                <a:graphic xmlns:a="http://schemas.openxmlformats.org/drawingml/2006/main">
                  <a:graphicData uri="http://schemas.microsoft.com/office/word/2010/wordprocessingShape">
                    <wps:wsp>
                      <wps:cNvSpPr/>
                      <wps:spPr>
                        <a:xfrm>
                          <a:off x="0" y="0"/>
                          <a:ext cx="219075" cy="190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F30DC2" id="Rectangle 9" o:spid="_x0000_s1026" style="position:absolute;margin-left:227.25pt;margin-top:665.25pt;width:17.25pt;height:15pt;z-index:2516602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" fillcolor="white [3212]" stroked="f" strokeweight="1pt"/>
            </w:pict>
          </mc:Fallback>
        </mc:AlternateContent>
      </w:r>
      <w:r w:rsidR="002E07B6">
        <w:t xml:space="preserve">Appendix </w:t>
      </w:r>
      <w:r w:rsidR="00805A9B">
        <w:t>2</w:t>
      </w:r>
      <w:r w:rsidR="002E07B6">
        <w:t xml:space="preserve">: </w:t>
      </w:r>
      <w:bookmarkEnd w:id="25"/>
      <w:r w:rsidR="008025D1">
        <w:t>SFY 2022 Projected Benefit Expense Development</w:t>
      </w:r>
      <w:bookmarkEnd w:id="26"/>
    </w:p>
    <w:bookmarkStart w:id="27" w:name="_Toc8985091"/>
    <w:bookmarkStart w:id="28" w:name="_Toc91081161"/>
    <w:p w14:paraId="276962E1" w14:textId="2B99757E" w:rsidR="005A641B" w:rsidRDefault="0049752E" w:rsidP="009968A6">
      <w:pPr>
        <w:pStyle w:val="Heading1"/>
        <w:jc w:val="center"/>
        <w:sectPr w:rsidR="005A641B" w:rsidSect="00F97655">
          <w:pgSz w:w="12240" w:h="15840" w:code="1"/>
          <w:pgMar w:top="1440" w:right="1440" w:bottom="1440" w:left="1440" w:header="720" w:footer="720" w:gutter="0"/>
          <w:cols w:space="720"/>
          <w:vAlign w:val="center"/>
          <w:titlePg/>
          <w:docGrid w:linePitch="360"/>
        </w:sectPr>
      </w:pPr>
      <w:r>
        <w:rPr>
          <w:noProof/>
        </w:rPr>
        <w:lastRenderedPageBreak/>
        <mc:AlternateContent>
          <mc:Choice Requires="wps">
            <w:drawing>
              <wp:anchor distT="0" distB="0" distL="114300" distR="114300" simplePos="0" relativeHeight="251661317" behindDoc="0" locked="0" layoutInCell="1" allowOverlap="1" wp14:anchorId="393D33D9" wp14:editId="7B3D894E">
                <wp:simplePos x="0" y="0"/>
                <wp:positionH relativeFrom="column">
                  <wp:posOffset>2914650</wp:posOffset>
                </wp:positionH>
                <wp:positionV relativeFrom="paragraph">
                  <wp:posOffset>8467725</wp:posOffset>
                </wp:positionV>
                <wp:extent cx="180975" cy="95250"/>
                <wp:effectExtent l="0" t="0" r="9525" b="0"/>
                <wp:wrapNone/>
                <wp:docPr id="10" name="Rectangle 10"/>
                <wp:cNvGraphicFramePr/>
                <a:graphic xmlns:a="http://schemas.openxmlformats.org/drawingml/2006/main">
                  <a:graphicData uri="http://schemas.microsoft.com/office/word/2010/wordprocessingShape">
                    <wps:wsp>
                      <wps:cNvSpPr/>
                      <wps:spPr>
                        <a:xfrm>
                          <a:off x="0" y="0"/>
                          <a:ext cx="180975" cy="95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619E1F" id="Rectangle 10" o:spid="_x0000_s1026" style="position:absolute;margin-left:229.5pt;margin-top:666.75pt;width:14.25pt;height:7.5pt;z-index:25166131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" fillcolor="white [3212]" stroked="f" strokeweight="1pt"/>
            </w:pict>
          </mc:Fallback>
        </mc:AlternateContent>
      </w:r>
      <w:r w:rsidR="005A641B">
        <w:t xml:space="preserve">Appendix </w:t>
      </w:r>
      <w:r w:rsidR="00FA4FA4">
        <w:t>3</w:t>
      </w:r>
      <w:r w:rsidR="005A641B">
        <w:t xml:space="preserve">: </w:t>
      </w:r>
      <w:bookmarkEnd w:id="27"/>
      <w:r w:rsidR="00523FA8">
        <w:t>Non-Dual HCBS Blending</w:t>
      </w:r>
      <w:bookmarkEnd w:id="28"/>
    </w:p>
    <w:bookmarkStart w:id="29" w:name="_Toc8985092"/>
    <w:bookmarkStart w:id="30" w:name="_Toc91081162"/>
    <w:p w14:paraId="110306A4" w14:textId="2E24FC33" w:rsidR="005A641B" w:rsidRDefault="0049752E" w:rsidP="009968A6">
      <w:pPr>
        <w:pStyle w:val="Heading1"/>
        <w:jc w:val="center"/>
        <w:sectPr w:rsidR="005A641B" w:rsidSect="00F97655">
          <w:pgSz w:w="12240" w:h="15840" w:code="1"/>
          <w:pgMar w:top="1440" w:right="1440" w:bottom="1440" w:left="1440" w:header="720" w:footer="720" w:gutter="0"/>
          <w:cols w:space="720"/>
          <w:vAlign w:val="center"/>
          <w:titlePg/>
          <w:docGrid w:linePitch="360"/>
        </w:sectPr>
      </w:pPr>
      <w:r>
        <w:rPr>
          <w:noProof/>
        </w:rPr>
        <w:lastRenderedPageBreak/>
        <mc:AlternateContent>
          <mc:Choice Requires="wps">
            <w:drawing>
              <wp:anchor distT="0" distB="0" distL="114300" distR="114300" simplePos="0" relativeHeight="251662341" behindDoc="0" locked="0" layoutInCell="1" allowOverlap="1" wp14:anchorId="5BEC0439" wp14:editId="2907349A">
                <wp:simplePos x="0" y="0"/>
                <wp:positionH relativeFrom="column">
                  <wp:posOffset>2886075</wp:posOffset>
                </wp:positionH>
                <wp:positionV relativeFrom="paragraph">
                  <wp:posOffset>8439150</wp:posOffset>
                </wp:positionV>
                <wp:extent cx="304800" cy="123825"/>
                <wp:effectExtent l="0" t="0" r="0" b="9525"/>
                <wp:wrapNone/>
                <wp:docPr id="11" name="Rectangle 11"/>
                <wp:cNvGraphicFramePr/>
                <a:graphic xmlns:a="http://schemas.openxmlformats.org/drawingml/2006/main">
                  <a:graphicData uri="http://schemas.microsoft.com/office/word/2010/wordprocessingShape">
                    <wps:wsp>
                      <wps:cNvSpPr/>
                      <wps:spPr>
                        <a:xfrm>
                          <a:off x="0" y="0"/>
                          <a:ext cx="304800" cy="123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B6935A" id="Rectangle 11" o:spid="_x0000_s1026" style="position:absolute;margin-left:227.25pt;margin-top:664.5pt;width:24pt;height:9.75pt;z-index:2516623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" fillcolor="white [3212]" stroked="f" strokeweight="1pt"/>
            </w:pict>
          </mc:Fallback>
        </mc:AlternateContent>
      </w:r>
      <w:r w:rsidR="00557670">
        <w:t xml:space="preserve">Appendix </w:t>
      </w:r>
      <w:r w:rsidR="00FA4FA4">
        <w:t>4</w:t>
      </w:r>
      <w:r w:rsidR="005A641B">
        <w:t xml:space="preserve">: </w:t>
      </w:r>
      <w:r w:rsidR="00D0556D">
        <w:t xml:space="preserve">SFY </w:t>
      </w:r>
      <w:r w:rsidR="00E50A35">
        <w:t xml:space="preserve">2022 </w:t>
      </w:r>
      <w:r w:rsidR="00FA4FA4">
        <w:t xml:space="preserve">AWOP and </w:t>
      </w:r>
      <w:r w:rsidR="00557670">
        <w:t>Capitation Rate Development</w:t>
      </w:r>
      <w:bookmarkEnd w:id="29"/>
      <w:bookmarkEnd w:id="30"/>
    </w:p>
    <w:p w14:paraId="755B823F" w14:textId="51966655" w:rsidR="00717A2D" w:rsidRDefault="00732862" w:rsidP="00210B59">
      <w:r>
        <w:rPr>
          <w:noProof/>
        </w:rPr>
        <w:lastRenderedPageBreak/>
        <w:drawing>
          <wp:anchor distT="0" distB="0" distL="114300" distR="114300" simplePos="0" relativeHeight="251658242" behindDoc="0" locked="1" layoutInCell="1" allowOverlap="1" wp14:anchorId="136313F2" wp14:editId="5B00D8F5">
            <wp:simplePos x="0" y="0"/>
            <wp:positionH relativeFrom="column">
              <wp:posOffset>-7620</wp:posOffset>
            </wp:positionH>
            <wp:positionV relativeFrom="page">
              <wp:posOffset>6951345</wp:posOffset>
            </wp:positionV>
            <wp:extent cx="1188720" cy="27432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88720" cy="274320"/>
                    </a:xfrm>
                    <a:prstGeom prst="rect">
                      <a:avLst/>
                    </a:prstGeom>
                    <a:noFill/>
                  </pic:spPr>
                </pic:pic>
              </a:graphicData>
            </a:graphic>
            <wp14:sizeRelH relativeFrom="page">
              <wp14:pctWidth>0</wp14:pctWidth>
            </wp14:sizeRelH>
            <wp14:sizeRelV relativeFrom="page">
              <wp14:pctHeight>0</wp14:pctHeight>
            </wp14:sizeRelV>
          </wp:anchor>
        </w:drawing>
      </w:r>
      <w:r w:rsidR="00121069">
        <w:rPr>
          <w:noProof/>
        </w:rPr>
        <mc:AlternateContent>
          <mc:Choice Requires="wps">
            <w:drawing>
              <wp:anchor distT="0" distB="0" distL="114300" distR="114300" simplePos="0" relativeHeight="251658241" behindDoc="0" locked="1" layoutInCell="1" allowOverlap="1" wp14:anchorId="4A900D60" wp14:editId="135E0048">
                <wp:simplePos x="0" y="0"/>
                <wp:positionH relativeFrom="margin">
                  <wp:posOffset>0</wp:posOffset>
                </wp:positionH>
                <wp:positionV relativeFrom="page">
                  <wp:posOffset>7219315</wp:posOffset>
                </wp:positionV>
                <wp:extent cx="3108960" cy="1341120"/>
                <wp:effectExtent l="0" t="0" r="15240" b="11430"/>
                <wp:wrapNone/>
                <wp:docPr id="26" name="Text Box 26"/>
                <wp:cNvGraphicFramePr/>
                <a:graphic xmlns:a="http://schemas.openxmlformats.org/drawingml/2006/main">
                  <a:graphicData uri="http://schemas.microsoft.com/office/word/2010/wordprocessingShape">
                    <wps:wsp>
                      <wps:cNvSpPr txBox="1"/>
                      <wps:spPr>
                        <a:xfrm>
                          <a:off x="0" y="0"/>
                          <a:ext cx="310896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02C1DE" w14:textId="77777777" w:rsidR="003B7A88" w:rsidRPr="004D2869" w:rsidRDefault="003B7A88"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1CD46590" w14:textId="77777777" w:rsidR="003B7A88" w:rsidRPr="00937776" w:rsidRDefault="00453A52" w:rsidP="00210B59">
                            <w:pPr>
                              <w:rPr>
                                <w:rStyle w:val="Hyperlink"/>
                                <w:sz w:val="20"/>
                              </w:rPr>
                            </w:pPr>
                            <w:hyperlink r:id="rId36" w:history="1">
                              <w:r w:rsidR="003B7A88" w:rsidRPr="00937776">
                                <w:rPr>
                                  <w:rStyle w:val="Hyperlink"/>
                                  <w:sz w:val="16"/>
                                </w:rPr>
                                <w:t>milliman.com</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00D60" id="_x0000_t202" coordsize="21600,21600" o:spt="202" path="m,l,21600r21600,l21600,xe">
                <v:stroke joinstyle="miter"/>
                <v:path gradientshapeok="t" o:connecttype="rect"/>
              </v:shapetype>
              <v:shape id="Text Box 26" o:spid="_x0000_s1026" type="#_x0000_t202" style="position:absolute;margin-left:0;margin-top:568.45pt;width:244.8pt;height:105.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" filled="f" stroked="f" strokeweight=".5pt">
                <v:textbox inset="0,0,0,0">
                  <w:txbxContent>
                    <w:p w14:paraId="7802C1DE" w14:textId="77777777" w:rsidR="003B7A88" w:rsidRPr="004D2869" w:rsidRDefault="003B7A88" w:rsidP="00210B59">
                      <w:pPr>
                        <w:pStyle w:val="RRLastPageBottomText"/>
                      </w:pPr>
                      <w:r w:rsidRPr="004D2869">
                        <w:t>Milliman is among the world’s largest providers of actuarial and related products and services. The firm has consulting practices in life insurance and financial services, property &amp; casualty insurance, healthcare, and employee benefits. Founded in 1947, Milliman is an independent firm with offices in major cities around the globe.</w:t>
                      </w:r>
                    </w:p>
                    <w:p w14:paraId="1CD46590" w14:textId="77777777" w:rsidR="003B7A88" w:rsidRPr="00937776" w:rsidRDefault="008405A2" w:rsidP="00210B59">
                      <w:pPr>
                        <w:rPr>
                          <w:rStyle w:val="Hyperlink"/>
                          <w:sz w:val="20"/>
                        </w:rPr>
                      </w:pPr>
                      <w:hyperlink r:id="rId41" w:history="1">
                        <w:r w:rsidR="003B7A88" w:rsidRPr="00937776">
                          <w:rPr>
                            <w:rStyle w:val="Hyperlink"/>
                            <w:sz w:val="16"/>
                          </w:rPr>
                          <w:t>milliman.com</w:t>
                        </w:r>
                      </w:hyperlink>
                    </w:p>
                  </w:txbxContent>
                </v:textbox>
                <w10:wrap anchorx="margin" anchory="page"/>
                <w10:anchorlock/>
              </v:shape>
            </w:pict>
          </mc:Fallback>
        </mc:AlternateContent>
      </w:r>
    </w:p>
    <w:p w14:paraId="11E0B0B6" w14:textId="728A4BD3" w:rsidR="007A73F9" w:rsidRPr="007A73F9" w:rsidRDefault="007A73F9" w:rsidP="007A73F9"/>
    <w:p w14:paraId="3E8BCE45" w14:textId="14750735" w:rsidR="007A73F9" w:rsidRPr="007A73F9" w:rsidRDefault="007A73F9" w:rsidP="007A73F9"/>
    <w:p w14:paraId="68A2436F" w14:textId="3401E898" w:rsidR="007A73F9" w:rsidRPr="007A73F9" w:rsidRDefault="007A73F9" w:rsidP="007A73F9"/>
    <w:p w14:paraId="4844DEF1" w14:textId="1529A795" w:rsidR="007A73F9" w:rsidRPr="007A73F9" w:rsidRDefault="007A73F9" w:rsidP="007A73F9"/>
    <w:p w14:paraId="7A0EC569" w14:textId="23B83586" w:rsidR="007A73F9" w:rsidRPr="007A73F9" w:rsidRDefault="007A73F9" w:rsidP="007A73F9"/>
    <w:p w14:paraId="6CEA0A34" w14:textId="69965364" w:rsidR="007A73F9" w:rsidRPr="007A73F9" w:rsidRDefault="007A73F9" w:rsidP="007A73F9"/>
    <w:p w14:paraId="470A0FC0" w14:textId="680B0C38" w:rsidR="007A73F9" w:rsidRPr="007A73F9" w:rsidRDefault="007A73F9" w:rsidP="007A73F9"/>
    <w:p w14:paraId="0AE0A786" w14:textId="678777B9" w:rsidR="007A73F9" w:rsidRPr="007A73F9" w:rsidRDefault="007A73F9" w:rsidP="007A73F9"/>
    <w:p w14:paraId="5308EF50" w14:textId="18D1BA9D" w:rsidR="007A73F9" w:rsidRPr="007A73F9" w:rsidRDefault="007A73F9" w:rsidP="007A73F9"/>
    <w:p w14:paraId="40F0D7C0" w14:textId="7291BBDC" w:rsidR="007A73F9" w:rsidRPr="007A73F9" w:rsidRDefault="007A73F9" w:rsidP="007A73F9"/>
    <w:p w14:paraId="5BE0E254" w14:textId="5D5790A6" w:rsidR="007A73F9" w:rsidRPr="007A73F9" w:rsidRDefault="007A73F9" w:rsidP="007A73F9"/>
    <w:p w14:paraId="03550BDF" w14:textId="70B51C23" w:rsidR="007A73F9" w:rsidRPr="007A73F9" w:rsidRDefault="007A73F9" w:rsidP="007A73F9"/>
    <w:p w14:paraId="6F055869" w14:textId="3B1DA211" w:rsidR="007A73F9" w:rsidRDefault="007A73F9" w:rsidP="007A73F9"/>
    <w:p w14:paraId="7ADF2BA2" w14:textId="5E99CE4D" w:rsidR="007A73F9" w:rsidRDefault="007A73F9" w:rsidP="007A73F9"/>
    <w:p w14:paraId="4D8C41E7" w14:textId="77777777" w:rsidR="007A73F9" w:rsidRPr="007A73F9" w:rsidRDefault="007A73F9" w:rsidP="007A73F9">
      <w:pPr>
        <w:jc w:val="center"/>
      </w:pPr>
    </w:p>
    <w:sectPr w:rsidR="007A73F9" w:rsidRPr="007A73F9" w:rsidSect="003871A8">
      <w:headerReference w:type="even" r:id="rId42"/>
      <w:headerReference w:type="default" r:id="rId43"/>
      <w:footerReference w:type="default" r:id="rId44"/>
      <w:headerReference w:type="first" r:id="rId4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95A55" w14:textId="77777777" w:rsidR="003B7A88" w:rsidRDefault="003B7A88" w:rsidP="00210B59">
      <w:r>
        <w:separator/>
      </w:r>
    </w:p>
  </w:endnote>
  <w:endnote w:type="continuationSeparator" w:id="0">
    <w:p w14:paraId="544BBC38" w14:textId="77777777" w:rsidR="003B7A88" w:rsidRDefault="003B7A88" w:rsidP="00210B59">
      <w:r>
        <w:continuationSeparator/>
      </w:r>
    </w:p>
  </w:endnote>
  <w:endnote w:type="continuationNotice" w:id="1">
    <w:p w14:paraId="78DCE0BD" w14:textId="77777777" w:rsidR="003B7A88" w:rsidRDefault="003B7A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E2AD" w14:textId="575FC938" w:rsidR="003B7A88" w:rsidRPr="00E76A3D" w:rsidRDefault="003B7A88" w:rsidP="00210B59">
    <w:pPr>
      <w:pStyle w:val="Footer"/>
    </w:pPr>
    <w:r w:rsidRPr="00E76A3D">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14C0E" w14:textId="3BC7FE6A" w:rsidR="003B7A88" w:rsidRPr="00DA66EB" w:rsidRDefault="003B7A88">
    <w:pPr>
      <w:pStyle w:val="Footer"/>
      <w:jc w:val="center"/>
      <w:rPr>
        <w:noProof/>
        <w:color w:val="727A7D" w:themeColor="accent3"/>
        <w:sz w:val="14"/>
      </w:rPr>
    </w:pPr>
  </w:p>
  <w:p w14:paraId="262C9346" w14:textId="2FD35C27" w:rsidR="003B7A88" w:rsidRDefault="003B7A88" w:rsidP="00743CE5">
    <w:pPr>
      <w:pStyle w:val="RRFooter"/>
    </w:pPr>
    <w:r w:rsidRPr="0017198F">
      <w:t xml:space="preserve">State Fiscal Year 2022 </w:t>
    </w:r>
    <w:r>
      <w:t>PACE AWOPs and Capitation Rates</w:t>
    </w:r>
    <w:r w:rsidRPr="0017198F">
      <w:t xml:space="preserve"> </w:t>
    </w:r>
    <w:r w:rsidRPr="004E3708" w:rsidDel="00B165CC">
      <w:t xml:space="preserve"> </w:t>
    </w:r>
    <w:r>
      <w:tab/>
    </w:r>
    <w:r>
      <w:tab/>
    </w:r>
    <w:r>
      <w:fldChar w:fldCharType="begin"/>
    </w:r>
    <w:r>
      <w:instrText xml:space="preserve"> DATE \@ "MMMM d, yyyy" </w:instrText>
    </w:r>
    <w:r>
      <w:fldChar w:fldCharType="separate"/>
    </w:r>
    <w:r w:rsidR="00453A52">
      <w:rPr>
        <w:noProof/>
      </w:rPr>
      <w:t>May 11, 2022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C2E96" w14:textId="1275A0C3" w:rsidR="003B7A88" w:rsidRPr="00DA66EB" w:rsidRDefault="003B7A88">
    <w:pPr>
      <w:pStyle w:val="Footer"/>
      <w:jc w:val="center"/>
      <w:rPr>
        <w:noProof/>
        <w:color w:val="727A7D" w:themeColor="accent3"/>
        <w:sz w:val="14"/>
      </w:rPr>
    </w:pPr>
  </w:p>
  <w:p w14:paraId="6CD3F31A" w14:textId="206D649F" w:rsidR="003B7A88" w:rsidRDefault="003B7A88" w:rsidP="00743CE5">
    <w:pPr>
      <w:pStyle w:val="RRFooter"/>
    </w:pPr>
    <w:r w:rsidRPr="0017198F">
      <w:t xml:space="preserve">State Fiscal Year 2022 </w:t>
    </w:r>
    <w:r>
      <w:t>PACE AWOPs and Capitation Rates</w:t>
    </w:r>
    <w:r w:rsidDel="00604F82">
      <w:t xml:space="preserve"> </w:t>
    </w:r>
    <w:r>
      <w:tab/>
    </w:r>
    <w:r>
      <w:fldChar w:fldCharType="begin"/>
    </w:r>
    <w:r>
      <w:instrText xml:space="preserve"> PAGE   \* MERGEFORMAT </w:instrText>
    </w:r>
    <w:r>
      <w:fldChar w:fldCharType="separate"/>
    </w:r>
    <w:r>
      <w:rPr>
        <w:noProof/>
      </w:rPr>
      <w:t>32</w:t>
    </w:r>
    <w:r>
      <w:rPr>
        <w:noProof/>
      </w:rPr>
      <w:fldChar w:fldCharType="end"/>
    </w:r>
    <w:r>
      <w:tab/>
    </w:r>
    <w:r>
      <w:fldChar w:fldCharType="begin"/>
    </w:r>
    <w:r>
      <w:instrText xml:space="preserve"> DATE \@ "MMMM d, yyyy" </w:instrText>
    </w:r>
    <w:r>
      <w:fldChar w:fldCharType="separate"/>
    </w:r>
    <w:r w:rsidR="00453A52">
      <w:rPr>
        <w:noProof/>
      </w:rPr>
      <w:t>May 11, 2022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0318E" w14:textId="1E39BB18" w:rsidR="003B7A88" w:rsidRDefault="003B7A88" w:rsidP="00210B59">
    <w:pPr>
      <w:pStyle w:val="RRFooter"/>
    </w:pPr>
    <w:r w:rsidRPr="0017198F">
      <w:t xml:space="preserve">State Fiscal Year 2022 </w:t>
    </w:r>
    <w:r>
      <w:t>PACE AWOPs and Capitation Rates</w:t>
    </w:r>
    <w:r w:rsidDel="00604F82">
      <w:t xml:space="preserve"> </w:t>
    </w:r>
    <w:r>
      <w:tab/>
    </w:r>
    <w:r>
      <w:fldChar w:fldCharType="begin"/>
    </w:r>
    <w:r>
      <w:instrText xml:space="preserve"> PAGE   \* MERGEFORMAT </w:instrText>
    </w:r>
    <w:r>
      <w:fldChar w:fldCharType="separate"/>
    </w:r>
    <w:r>
      <w:rPr>
        <w:noProof/>
      </w:rPr>
      <w:t>1</w:t>
    </w:r>
    <w:r>
      <w:rPr>
        <w:noProof/>
      </w:rPr>
      <w:fldChar w:fldCharType="end"/>
    </w:r>
    <w:r>
      <w:tab/>
    </w:r>
    <w:r>
      <w:fldChar w:fldCharType="begin"/>
    </w:r>
    <w:r>
      <w:instrText xml:space="preserve"> DATE \@ "MMMM d, yyyy" </w:instrText>
    </w:r>
    <w:r>
      <w:fldChar w:fldCharType="separate"/>
    </w:r>
    <w:r w:rsidR="00453A52">
      <w:rPr>
        <w:noProof/>
      </w:rPr>
      <w:t>May 11, 2022</w:t>
    </w:r>
    <w:r>
      <w:fldChar w:fldCharType="end"/>
    </w:r>
  </w:p>
  <w:p w14:paraId="11B9D673" w14:textId="42A0B621" w:rsidR="003B7A88" w:rsidRPr="00AA5A01" w:rsidRDefault="003B7A88" w:rsidP="00210B59">
    <w:pPr>
      <w:pStyle w:val="RRFooter"/>
    </w:pPr>
    <w:r>
      <w:tab/>
    </w: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14484" w14:textId="0DCB7F4B" w:rsidR="003B7A88" w:rsidRDefault="003B7A88" w:rsidP="00210B59">
    <w:pPr>
      <w:pStyle w:val="RRFooter"/>
    </w:pPr>
    <w:r>
      <w:t>State Fiscal Year 2022</w:t>
    </w:r>
    <w:r w:rsidRPr="00102B69">
      <w:t xml:space="preserve"> Capitation Rate </w:t>
    </w:r>
    <w:r>
      <w:t>Certification</w:t>
    </w:r>
    <w:r w:rsidRPr="004E3708" w:rsidDel="00B165CC">
      <w:t xml:space="preserve"> </w:t>
    </w:r>
    <w:r>
      <w:tab/>
    </w:r>
    <w:r>
      <w:tab/>
    </w:r>
    <w:r>
      <w:fldChar w:fldCharType="begin"/>
    </w:r>
    <w:r>
      <w:instrText xml:space="preserve"> DATE \@ "MMMM d, yyyy" </w:instrText>
    </w:r>
    <w:r>
      <w:fldChar w:fldCharType="separate"/>
    </w:r>
    <w:r w:rsidR="00453A52">
      <w:rPr>
        <w:noProof/>
      </w:rPr>
      <w:t>May 11, 2022</w:t>
    </w:r>
    <w:r>
      <w:fldChar w:fldCharType="end"/>
    </w:r>
  </w:p>
  <w:p w14:paraId="6DBE5BA3" w14:textId="77777777" w:rsidR="003B7A88" w:rsidRPr="00121069" w:rsidRDefault="003B7A88" w:rsidP="00210B59">
    <w:pPr>
      <w:pStyle w:val="RRFoote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19EF" w14:textId="2A9DEFEF" w:rsidR="003B7A88" w:rsidRDefault="003B7A88" w:rsidP="00210B59">
    <w:pPr>
      <w:pStyle w:val="RRFooter"/>
    </w:pPr>
    <w:r>
      <w:t>State Fiscal Year 2022</w:t>
    </w:r>
    <w:r w:rsidRPr="00102B69">
      <w:t xml:space="preserve"> Capitation Rate </w:t>
    </w:r>
    <w:r>
      <w:t>Certification</w:t>
    </w:r>
    <w:r w:rsidRPr="004E3708" w:rsidDel="00B165CC">
      <w:t xml:space="preserve"> </w:t>
    </w:r>
    <w:r>
      <w:tab/>
    </w:r>
    <w:r>
      <w:tab/>
    </w:r>
    <w:r>
      <w:fldChar w:fldCharType="begin"/>
    </w:r>
    <w:r>
      <w:instrText xml:space="preserve"> DATE \@ "MMMM d, yyyy" </w:instrText>
    </w:r>
    <w:r>
      <w:fldChar w:fldCharType="separate"/>
    </w:r>
    <w:r w:rsidR="00453A52">
      <w:rPr>
        <w:noProof/>
      </w:rPr>
      <w:t>May 11, 2022</w:t>
    </w:r>
    <w:r>
      <w:fldChar w:fldCharType="end"/>
    </w:r>
  </w:p>
  <w:p w14:paraId="59678F55" w14:textId="0C1D6AF4" w:rsidR="003B7A88" w:rsidRPr="00121069" w:rsidRDefault="003B7A88" w:rsidP="00210B59">
    <w:pPr>
      <w:pStyle w:val="RRFooter"/>
    </w:pPr>
    <w:r>
      <w:tab/>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68D7C" w14:textId="0E786C8D" w:rsidR="003B7A88" w:rsidRPr="002D0D28" w:rsidRDefault="003B7A88" w:rsidP="00210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DBCB" w14:textId="77777777" w:rsidR="003B7A88" w:rsidRPr="00D90323" w:rsidRDefault="003B7A88" w:rsidP="00210B59">
      <w:pPr>
        <w:pStyle w:val="Footer"/>
      </w:pPr>
    </w:p>
  </w:footnote>
  <w:footnote w:type="continuationSeparator" w:id="0">
    <w:p w14:paraId="5455725D" w14:textId="77777777" w:rsidR="003B7A88" w:rsidRDefault="003B7A88" w:rsidP="00210B59">
      <w:r>
        <w:continuationSeparator/>
      </w:r>
    </w:p>
  </w:footnote>
  <w:footnote w:type="continuationNotice" w:id="1">
    <w:p w14:paraId="46E53F15" w14:textId="77777777" w:rsidR="003B7A88" w:rsidRDefault="003B7A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680A9" w14:textId="1D1AF071" w:rsidR="00EF4A7A" w:rsidRDefault="00EF4A7A">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6D4C0" w14:textId="046BC2EF" w:rsidR="003B7A88" w:rsidRDefault="003B7A8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1BD22" w14:textId="3521F7DB" w:rsidR="003B7A88" w:rsidRDefault="003B7A88">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DF2E8" w14:textId="4209937C" w:rsidR="003B7A88" w:rsidRDefault="003B7A8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D4A67" w14:textId="570F7DBC" w:rsidR="003B7A88" w:rsidRDefault="003B7A88">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12238" w14:textId="085769BF" w:rsidR="003B7A88" w:rsidRDefault="003B7A8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5795B" w14:textId="732E6CC4" w:rsidR="003B7A88" w:rsidRDefault="003B7A88">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5BA03" w14:textId="05D6DE3B" w:rsidR="003B7A88" w:rsidRDefault="003B7A88">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7BFE0" w14:textId="1F1830B0" w:rsidR="003B7A88" w:rsidRPr="00121069" w:rsidRDefault="003B7A88" w:rsidP="00210B59">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8BC39" w14:textId="1C806CB3" w:rsidR="003B7A88" w:rsidRDefault="003B7A88" w:rsidP="00210B59">
    <w:pPr>
      <w:pStyle w:val="RRHeader"/>
    </w:pPr>
    <w:r w:rsidRPr="006C3AFC">
      <w:rPr>
        <w:color w:val="0A4977" w:themeColor="text2"/>
      </w:rPr>
      <w:t xml:space="preserve">Milliman </w:t>
    </w:r>
    <w:r>
      <w:t>Research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E9EC3" w14:textId="2D86D959" w:rsidR="003B7A88" w:rsidRDefault="003B7A88" w:rsidP="00210B59">
    <w:pPr>
      <w:pStyle w:val="Header"/>
    </w:pPr>
    <w:r>
      <w:rPr>
        <w:noProof/>
      </w:rPr>
      <w:drawing>
        <wp:anchor distT="0" distB="0" distL="114300" distR="114300" simplePos="0" relativeHeight="251657728" behindDoc="0" locked="1" layoutInCell="1" allowOverlap="1" wp14:anchorId="05822606" wp14:editId="6CF96B66">
          <wp:simplePos x="457200" y="274320"/>
          <wp:positionH relativeFrom="margin">
            <wp:align>right</wp:align>
          </wp:positionH>
          <wp:positionV relativeFrom="page">
            <wp:posOffset>2377440</wp:posOffset>
          </wp:positionV>
          <wp:extent cx="1746504" cy="429768"/>
          <wp:effectExtent l="0" t="0" r="635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L_Logo_WhiteKO.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6504" cy="42976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6704" behindDoc="1" locked="1" layoutInCell="1" allowOverlap="1" wp14:anchorId="379A233D" wp14:editId="2F46A651">
              <wp:simplePos x="0" y="0"/>
              <wp:positionH relativeFrom="page">
                <wp:align>left</wp:align>
              </wp:positionH>
              <wp:positionV relativeFrom="page">
                <wp:align>top</wp:align>
              </wp:positionV>
              <wp:extent cx="7764780" cy="10789920"/>
              <wp:effectExtent l="0" t="0" r="7620" b="0"/>
              <wp:wrapNone/>
              <wp:docPr id="3" name="Rectangle 3"/>
              <wp:cNvGraphicFramePr/>
              <a:graphic xmlns:a="http://schemas.openxmlformats.org/drawingml/2006/main">
                <a:graphicData uri="http://schemas.microsoft.com/office/word/2010/wordprocessingShape">
                  <wps:wsp>
                    <wps:cNvSpPr/>
                    <wps:spPr>
                      <a:xfrm>
                        <a:off x="0" y="0"/>
                        <a:ext cx="7764780" cy="1078992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765D3863" id="Rectangle 3" o:spid="_x0000_s1026" style="position:absolute;margin-left:0;margin-top:0;width:611.4pt;height:849.6pt;z-index:-251659776;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" fillcolor="#727a7d [3206]" stroked="f" strokeweight="1pt">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D2D3F" w14:textId="25E33469" w:rsidR="003B7A88" w:rsidRDefault="003B7A88" w:rsidP="00210B59">
    <w:pPr>
      <w:pStyle w:val="RRCoverResearchReport"/>
    </w:pPr>
  </w:p>
  <w:p w14:paraId="10CD9F75" w14:textId="77777777" w:rsidR="003B7A88" w:rsidRDefault="003B7A88" w:rsidP="00210B59">
    <w:pPr>
      <w:pStyle w:val="RRCoverResearchReport"/>
    </w:pPr>
    <w:r w:rsidRPr="001F1784">
      <w:rPr>
        <w:color w:val="0A4977" w:themeColor="text2"/>
      </w:rPr>
      <w:t>Milliman</w:t>
    </w:r>
    <w:r w:rsidRPr="003169DD">
      <w:t xml:space="preserve"> </w:t>
    </w:r>
    <w:r>
      <w:t>Client</w:t>
    </w:r>
    <w:r w:rsidRPr="003169DD">
      <w:t xml:space="preserve"> Report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D9CF6" w14:textId="06DE27ED" w:rsidR="003B7A88" w:rsidRDefault="003B7A8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331E6" w14:textId="13AE52B1" w:rsidR="003B7A88" w:rsidRPr="004E09DD" w:rsidRDefault="003B7A88" w:rsidP="009503CA">
    <w:pPr>
      <w:pStyle w:val="RRHeader2"/>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B06F2" w14:textId="294CEAF3" w:rsidR="003B7A88" w:rsidRDefault="003B7A88" w:rsidP="00B00F42">
    <w:pPr>
      <w:pStyle w:val="RRHeader"/>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911CF" w14:textId="20E3C879" w:rsidR="003B7A88" w:rsidRDefault="003B7A8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6AB5C" w14:textId="5D8E957C" w:rsidR="003B7A88" w:rsidRPr="004E09DD" w:rsidRDefault="003B7A88" w:rsidP="00622097">
    <w:pPr>
      <w:pStyle w:val="RRHeader2"/>
    </w:pPr>
    <w:r w:rsidRPr="001F1784">
      <w:rPr>
        <w:rFonts w:ascii="Arial" w:hAnsi="Arial" w:cs="Arial"/>
        <w:color w:val="0A4977" w:themeColor="text2"/>
      </w:rPr>
      <w:t>Milliman</w:t>
    </w:r>
    <w:r w:rsidRPr="001F1784">
      <w:rPr>
        <w:color w:val="0A4977" w:themeColor="text2"/>
      </w:rPr>
      <w:t xml:space="preserve"> </w:t>
    </w:r>
    <w:r>
      <w:rPr>
        <w:color w:val="39414D"/>
      </w:rPr>
      <w:t>Client</w:t>
    </w:r>
    <w:r w:rsidRPr="00075BFF">
      <w:rPr>
        <w:color w:val="39414D"/>
      </w:rPr>
      <w:t xml:space="preserve"> Report</w:t>
    </w:r>
  </w:p>
  <w:p w14:paraId="3E5FEE4D" w14:textId="07718E6B" w:rsidR="003B7A88" w:rsidRDefault="003B7A8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953B2" w14:textId="21A70E7E" w:rsidR="003B7A88" w:rsidRDefault="003B7A88" w:rsidP="00210B59">
    <w:pPr>
      <w:pStyle w:val="RRHeader"/>
    </w:pPr>
    <w:r w:rsidRPr="001F1784">
      <w:rPr>
        <w:rFonts w:ascii="Arial" w:hAnsi="Arial" w:cs="Arial"/>
        <w:color w:val="0A4977" w:themeColor="text2"/>
      </w:rPr>
      <w:t>Milliman</w:t>
    </w:r>
    <w:r w:rsidRPr="001F1784">
      <w:rPr>
        <w:color w:val="0A4977" w:themeColor="text2"/>
      </w:rPr>
      <w:t xml:space="preserve"> </w:t>
    </w:r>
    <w:r>
      <w:t>CLIENT</w:t>
    </w:r>
    <w:r w:rsidRPr="00075BFF">
      <w:t xml:space="preserve"> Report</w:t>
    </w:r>
  </w:p>
  <w:p w14:paraId="45CC8DE2" w14:textId="77777777" w:rsidR="003B7A88" w:rsidRDefault="003B7A88" w:rsidP="00210B59"/>
  <w:p w14:paraId="536BF61C" w14:textId="0A278039" w:rsidR="003B7A88" w:rsidRDefault="003B7A88" w:rsidP="00210B5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1974E054"/>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1" w15:restartNumberingAfterBreak="0">
    <w:nsid w:val="02CE3F18"/>
    <w:multiLevelType w:val="multilevel"/>
    <w:tmpl w:val="5DACF888"/>
    <w:lvl w:ilvl="0">
      <w:start w:val="1"/>
      <w:numFmt w:val="decimal"/>
      <w:pStyle w:val="RRNumberedSubhead1"/>
      <w:lvlText w:val="%1."/>
      <w:lvlJc w:val="left"/>
      <w:pPr>
        <w:ind w:left="360" w:hanging="360"/>
      </w:pPr>
      <w:rPr>
        <w:rFonts w:hint="default"/>
      </w:rPr>
    </w:lvl>
    <w:lvl w:ilvl="1">
      <w:start w:val="2"/>
      <w:numFmt w:val="decimal"/>
      <w:lvlRestart w:val="0"/>
      <w:lvlText w:val="%1.%2."/>
      <w:lvlJc w:val="left"/>
      <w:pPr>
        <w:ind w:left="792" w:hanging="432"/>
      </w:pPr>
      <w:rPr>
        <w:rFonts w:hint="default"/>
      </w:rPr>
    </w:lvl>
    <w:lvl w:ilvl="2">
      <w:start w:val="3"/>
      <w:numFmt w:val="decimal"/>
      <w:lvlRestart w:val="0"/>
      <w:lvlText w:val="%1.%2.%3."/>
      <w:lvlJc w:val="left"/>
      <w:pPr>
        <w:ind w:left="131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7B60AB"/>
    <w:multiLevelType w:val="hybridMultilevel"/>
    <w:tmpl w:val="0FFA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D3DA6"/>
    <w:multiLevelType w:val="hybridMultilevel"/>
    <w:tmpl w:val="3E663DA6"/>
    <w:lvl w:ilvl="0" w:tplc="94085FCA">
      <w:start w:val="1"/>
      <w:numFmt w:val="decimal"/>
      <w:pStyle w:val="RR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DC46DF"/>
    <w:multiLevelType w:val="multilevel"/>
    <w:tmpl w:val="DE2A75E0"/>
    <w:lvl w:ilvl="0">
      <w:start w:val="1"/>
      <w:numFmt w:val="decimal"/>
      <w:lvlText w:val="%1"/>
      <w:lvlJc w:val="left"/>
      <w:pPr>
        <w:ind w:left="360" w:hanging="360"/>
      </w:pPr>
      <w:rPr>
        <w:rFonts w:hint="default"/>
      </w:rPr>
    </w:lvl>
    <w:lvl w:ilvl="1">
      <w:start w:val="1"/>
      <w:numFmt w:val="decimal"/>
      <w:pStyle w:val="RRNumberedSubhead2"/>
      <w:lvlText w:val="%1.%2"/>
      <w:lvlJc w:val="left"/>
      <w:pPr>
        <w:ind w:left="720" w:hanging="360"/>
      </w:pPr>
      <w:rPr>
        <w:rFonts w:hint="default"/>
      </w:rPr>
    </w:lvl>
    <w:lvl w:ilvl="2">
      <w:start w:val="1"/>
      <w:numFmt w:val="decimal"/>
      <w:pStyle w:val="RRNumberedSubhead3"/>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2773FD"/>
    <w:multiLevelType w:val="hybridMultilevel"/>
    <w:tmpl w:val="8104086E"/>
    <w:lvl w:ilvl="0" w:tplc="AC5E3170">
      <w:start w:val="1"/>
      <w:numFmt w:val="lowerRoman"/>
      <w:pStyle w:val="RRNumberedRoman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1E602A"/>
    <w:multiLevelType w:val="hybridMultilevel"/>
    <w:tmpl w:val="CB481B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F8255F"/>
    <w:multiLevelType w:val="multilevel"/>
    <w:tmpl w:val="7E8EB64C"/>
    <w:lvl w:ilvl="0">
      <w:start w:val="1"/>
      <w:numFmt w:val="lowerRoman"/>
      <w:lvlText w:val="(%1)"/>
      <w:lvlJc w:val="left"/>
      <w:pPr>
        <w:tabs>
          <w:tab w:val="num" w:pos="360"/>
        </w:tabs>
        <w:ind w:left="1080" w:hanging="1080"/>
      </w:pPr>
      <w:rPr>
        <w:rFonts w:hint="default"/>
      </w:rPr>
    </w:lvl>
    <w:lvl w:ilvl="1">
      <w:start w:val="1"/>
      <w:numFmt w:val="upperLetter"/>
      <w:lvlText w:val="%2."/>
      <w:lvlJc w:val="left"/>
      <w:pPr>
        <w:tabs>
          <w:tab w:val="num" w:pos="360"/>
        </w:tabs>
        <w:ind w:left="1080" w:hanging="1080"/>
      </w:pPr>
      <w:rPr>
        <w:rFonts w:hint="default"/>
      </w:rPr>
    </w:lvl>
    <w:lvl w:ilvl="2">
      <w:start w:val="1"/>
      <w:numFmt w:val="lowerRoman"/>
      <w:pStyle w:val="Heading4"/>
      <w:lvlText w:val="%3."/>
      <w:lvlJc w:val="left"/>
      <w:pPr>
        <w:tabs>
          <w:tab w:val="num" w:pos="360"/>
        </w:tabs>
        <w:ind w:left="1080" w:hanging="1080"/>
      </w:pPr>
      <w:rPr>
        <w:rFonts w:hint="default"/>
        <w:sz w:val="22"/>
        <w:szCs w:val="22"/>
      </w:rPr>
    </w:lvl>
    <w:lvl w:ilvl="3">
      <w:start w:val="1"/>
      <w:numFmt w:val="lowerLetter"/>
      <w:pStyle w:val="Heading5"/>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DC13C8"/>
    <w:multiLevelType w:val="hybridMultilevel"/>
    <w:tmpl w:val="0FFA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C132EC"/>
    <w:multiLevelType w:val="hybridMultilevel"/>
    <w:tmpl w:val="0FFA2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416E0"/>
    <w:multiLevelType w:val="hybridMultilevel"/>
    <w:tmpl w:val="FFEE02F2"/>
    <w:lvl w:ilvl="0" w:tplc="48983C2E">
      <w:start w:val="1"/>
      <w:numFmt w:val="decimal"/>
      <w:pStyle w:val="RRNumberTable"/>
      <w:lvlText w:val="%1."/>
      <w:lvlJc w:val="left"/>
      <w:pPr>
        <w:ind w:left="720" w:hanging="360"/>
      </w:pPr>
      <w:rPr>
        <w:color w:val="727A7D" w:themeColor="accent3"/>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29A0363"/>
    <w:multiLevelType w:val="multilevel"/>
    <w:tmpl w:val="F78E84EC"/>
    <w:lvl w:ilvl="0">
      <w:start w:val="1"/>
      <w:numFmt w:val="decimal"/>
      <w:pStyle w:val="ListBullet"/>
      <w:lvlText w:val="%1."/>
      <w:lvlJc w:val="left"/>
      <w:pPr>
        <w:tabs>
          <w:tab w:val="num" w:pos="360"/>
        </w:tabs>
        <w:ind w:left="1080" w:hanging="1080"/>
      </w:pPr>
      <w:rPr>
        <w:rFonts w:hint="default"/>
      </w:rPr>
    </w:lvl>
    <w:lvl w:ilvl="1">
      <w:start w:val="1"/>
      <w:numFmt w:val="upperLetter"/>
      <w:lvlText w:val="%2."/>
      <w:lvlJc w:val="left"/>
      <w:pPr>
        <w:tabs>
          <w:tab w:val="num" w:pos="360"/>
        </w:tabs>
        <w:ind w:left="1080" w:hanging="1080"/>
      </w:pPr>
      <w:rPr>
        <w:rFonts w:hint="default"/>
      </w:rPr>
    </w:lvl>
    <w:lvl w:ilvl="2">
      <w:start w:val="1"/>
      <w:numFmt w:val="lowerRoman"/>
      <w:lvlText w:val="%3."/>
      <w:lvlJc w:val="left"/>
      <w:pPr>
        <w:tabs>
          <w:tab w:val="num" w:pos="360"/>
        </w:tabs>
        <w:ind w:left="1080" w:hanging="1080"/>
      </w:pPr>
      <w:rPr>
        <w:rFonts w:hint="default"/>
      </w:rPr>
    </w:lvl>
    <w:lvl w:ilvl="3">
      <w:start w:val="1"/>
      <w:numFmt w:val="lowerLetter"/>
      <w:lvlText w:val="(%4)"/>
      <w:lvlJc w:val="left"/>
      <w:pPr>
        <w:tabs>
          <w:tab w:val="num" w:pos="504"/>
        </w:tabs>
        <w:ind w:left="2880" w:hanging="273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486372F"/>
    <w:multiLevelType w:val="hybridMultilevel"/>
    <w:tmpl w:val="3FFE7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3B5DFE"/>
    <w:multiLevelType w:val="hybridMultilevel"/>
    <w:tmpl w:val="42C63C1E"/>
    <w:lvl w:ilvl="0" w:tplc="3C841C70">
      <w:start w:val="1"/>
      <w:numFmt w:val="bullet"/>
      <w:lvlText w:val=""/>
      <w:lvlJc w:val="left"/>
      <w:pPr>
        <w:ind w:left="360" w:hanging="360"/>
      </w:pPr>
      <w:rPr>
        <w:rFonts w:ascii="Wingdings 2" w:hAnsi="Wingdings 2" w:hint="default"/>
        <w:color w:val="727A7D" w:themeColor="accent3"/>
        <w:sz w:val="1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5032EC"/>
    <w:multiLevelType w:val="hybridMultilevel"/>
    <w:tmpl w:val="5B10DC68"/>
    <w:lvl w:ilvl="0" w:tplc="3C841C70">
      <w:start w:val="1"/>
      <w:numFmt w:val="bullet"/>
      <w:lvlText w:val=""/>
      <w:lvlJc w:val="left"/>
      <w:pPr>
        <w:ind w:left="360" w:hanging="360"/>
      </w:pPr>
      <w:rPr>
        <w:rFonts w:ascii="Wingdings 2" w:hAnsi="Wingdings 2" w:hint="default"/>
        <w:color w:val="727A7D" w:themeColor="accent3"/>
        <w:sz w:val="1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AE7F76"/>
    <w:multiLevelType w:val="hybridMultilevel"/>
    <w:tmpl w:val="DB806CEA"/>
    <w:lvl w:ilvl="0" w:tplc="B70E1BD0">
      <w:start w:val="1"/>
      <w:numFmt w:val="bullet"/>
      <w:pStyle w:val="RRBullet2"/>
      <w:lvlText w:val="−"/>
      <w:lvlJc w:val="left"/>
      <w:pPr>
        <w:ind w:left="540" w:hanging="360"/>
      </w:pPr>
      <w:rPr>
        <w:rFonts w:ascii="Arial" w:hAnsi="Arial" w:hint="default"/>
        <w:color w:val="727A7D" w:themeColor="accent3"/>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9A2856"/>
    <w:multiLevelType w:val="hybridMultilevel"/>
    <w:tmpl w:val="5E44C8B2"/>
    <w:lvl w:ilvl="0" w:tplc="52D06918">
      <w:start w:val="1"/>
      <w:numFmt w:val="lowerRoman"/>
      <w:pStyle w:val="Heading6"/>
      <w:lvlText w:val="(%1)"/>
      <w:lvlJc w:val="left"/>
      <w:pPr>
        <w:ind w:left="1152" w:hanging="360"/>
      </w:pPr>
      <w:rPr>
        <w:rFonts w:hint="default"/>
        <w:sz w:val="17"/>
        <w:szCs w:val="17"/>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7" w15:restartNumberingAfterBreak="0">
    <w:nsid w:val="73DB57F3"/>
    <w:multiLevelType w:val="hybridMultilevel"/>
    <w:tmpl w:val="34FAC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251E1D"/>
    <w:multiLevelType w:val="hybridMultilevel"/>
    <w:tmpl w:val="614885C2"/>
    <w:lvl w:ilvl="0" w:tplc="DBC81E92">
      <w:start w:val="1"/>
      <w:numFmt w:val="decimal"/>
      <w:pStyle w:val="RRNumber2"/>
      <w:lvlText w:val="%1."/>
      <w:lvlJc w:val="left"/>
      <w:pPr>
        <w:ind w:left="960" w:hanging="360"/>
      </w:pPr>
      <w:rPr>
        <w:rFonts w:hint="default"/>
        <w:sz w:val="16"/>
        <w:u w:color="727A7D" w:themeColor="accent3"/>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9" w15:restartNumberingAfterBreak="0">
    <w:nsid w:val="7D725F1A"/>
    <w:multiLevelType w:val="hybridMultilevel"/>
    <w:tmpl w:val="AE661A3C"/>
    <w:lvl w:ilvl="0" w:tplc="B6DA6356">
      <w:start w:val="1"/>
      <w:numFmt w:val="decimal"/>
      <w:lvlText w:val="%1."/>
      <w:lvlJc w:val="left"/>
      <w:pPr>
        <w:ind w:left="720" w:hanging="360"/>
      </w:pPr>
      <w:rPr>
        <w:color w:val="808080" w:themeColor="background1" w:themeShade="80"/>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B5349"/>
    <w:multiLevelType w:val="hybridMultilevel"/>
    <w:tmpl w:val="ADB0C86E"/>
    <w:lvl w:ilvl="0" w:tplc="AD5C1D9E">
      <w:start w:val="1"/>
      <w:numFmt w:val="decimal"/>
      <w:lvlText w:val="%1."/>
      <w:lvlJc w:val="left"/>
      <w:pPr>
        <w:ind w:left="720" w:hanging="360"/>
      </w:pPr>
      <w:rPr>
        <w:rFonts w:hint="default"/>
        <w:color w:val="808080" w:themeColor="background1"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5"/>
  </w:num>
  <w:num w:numId="3">
    <w:abstractNumId w:val="3"/>
  </w:num>
  <w:num w:numId="4">
    <w:abstractNumId w:val="1"/>
  </w:num>
  <w:num w:numId="5">
    <w:abstractNumId w:val="5"/>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num>
  <w:num w:numId="8">
    <w:abstractNumId w:val="4"/>
  </w:num>
  <w:num w:numId="9">
    <w:abstractNumId w:val="7"/>
  </w:num>
  <w:num w:numId="10">
    <w:abstractNumId w:val="0"/>
  </w:num>
  <w:num w:numId="11">
    <w:abstractNumId w:val="11"/>
  </w:num>
  <w:num w:numId="12">
    <w:abstractNumId w:val="16"/>
  </w:num>
  <w:num w:numId="13">
    <w:abstractNumId w:val="17"/>
  </w:num>
  <w:num w:numId="14">
    <w:abstractNumId w:val="20"/>
  </w:num>
  <w:num w:numId="15">
    <w:abstractNumId w:val="13"/>
  </w:num>
  <w:num w:numId="16">
    <w:abstractNumId w:val="9"/>
  </w:num>
  <w:num w:numId="17">
    <w:abstractNumId w:val="6"/>
  </w:num>
  <w:num w:numId="18">
    <w:abstractNumId w:val="2"/>
  </w:num>
  <w:num w:numId="19">
    <w:abstractNumId w:val="12"/>
  </w:num>
  <w:num w:numId="20">
    <w:abstractNumId w:val="8"/>
  </w:num>
  <w:num w:numId="21">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2"/>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57A"/>
    <w:rsid w:val="000000F4"/>
    <w:rsid w:val="00000574"/>
    <w:rsid w:val="0000089D"/>
    <w:rsid w:val="000013BC"/>
    <w:rsid w:val="000016F5"/>
    <w:rsid w:val="000018E8"/>
    <w:rsid w:val="00002852"/>
    <w:rsid w:val="00002A9A"/>
    <w:rsid w:val="00003216"/>
    <w:rsid w:val="00004020"/>
    <w:rsid w:val="000048E8"/>
    <w:rsid w:val="0000556D"/>
    <w:rsid w:val="00005C59"/>
    <w:rsid w:val="00005CA0"/>
    <w:rsid w:val="00005D65"/>
    <w:rsid w:val="00005F0A"/>
    <w:rsid w:val="000061BD"/>
    <w:rsid w:val="00006600"/>
    <w:rsid w:val="000067E5"/>
    <w:rsid w:val="0000683E"/>
    <w:rsid w:val="000102EB"/>
    <w:rsid w:val="00010A56"/>
    <w:rsid w:val="00010C28"/>
    <w:rsid w:val="000117DE"/>
    <w:rsid w:val="00011AC2"/>
    <w:rsid w:val="00011F92"/>
    <w:rsid w:val="000120CB"/>
    <w:rsid w:val="00012333"/>
    <w:rsid w:val="0001244F"/>
    <w:rsid w:val="00012C4B"/>
    <w:rsid w:val="00013033"/>
    <w:rsid w:val="00013385"/>
    <w:rsid w:val="00013454"/>
    <w:rsid w:val="00013FA1"/>
    <w:rsid w:val="00014201"/>
    <w:rsid w:val="0001420E"/>
    <w:rsid w:val="00015083"/>
    <w:rsid w:val="00015A13"/>
    <w:rsid w:val="00015F8F"/>
    <w:rsid w:val="0001624C"/>
    <w:rsid w:val="00020337"/>
    <w:rsid w:val="000203D7"/>
    <w:rsid w:val="0002123C"/>
    <w:rsid w:val="0002236A"/>
    <w:rsid w:val="00022769"/>
    <w:rsid w:val="00023356"/>
    <w:rsid w:val="000237EA"/>
    <w:rsid w:val="00023C81"/>
    <w:rsid w:val="00023E5A"/>
    <w:rsid w:val="00023F45"/>
    <w:rsid w:val="000241EC"/>
    <w:rsid w:val="0002427A"/>
    <w:rsid w:val="0002512A"/>
    <w:rsid w:val="000253ED"/>
    <w:rsid w:val="000260C4"/>
    <w:rsid w:val="00027641"/>
    <w:rsid w:val="0003230F"/>
    <w:rsid w:val="000330E4"/>
    <w:rsid w:val="0003336F"/>
    <w:rsid w:val="00033AE3"/>
    <w:rsid w:val="00034631"/>
    <w:rsid w:val="000349C0"/>
    <w:rsid w:val="00034B08"/>
    <w:rsid w:val="00034CD8"/>
    <w:rsid w:val="00035E95"/>
    <w:rsid w:val="000360CA"/>
    <w:rsid w:val="0003610C"/>
    <w:rsid w:val="00036973"/>
    <w:rsid w:val="00036C89"/>
    <w:rsid w:val="0003720A"/>
    <w:rsid w:val="000376A8"/>
    <w:rsid w:val="0003788B"/>
    <w:rsid w:val="0004086D"/>
    <w:rsid w:val="00040E22"/>
    <w:rsid w:val="00040FC8"/>
    <w:rsid w:val="00041418"/>
    <w:rsid w:val="00041FEB"/>
    <w:rsid w:val="00043814"/>
    <w:rsid w:val="00046438"/>
    <w:rsid w:val="0004690F"/>
    <w:rsid w:val="00047012"/>
    <w:rsid w:val="000470AB"/>
    <w:rsid w:val="000479DD"/>
    <w:rsid w:val="00047BB4"/>
    <w:rsid w:val="00050563"/>
    <w:rsid w:val="00050D82"/>
    <w:rsid w:val="000512D1"/>
    <w:rsid w:val="000514E6"/>
    <w:rsid w:val="00051772"/>
    <w:rsid w:val="00053417"/>
    <w:rsid w:val="0005498F"/>
    <w:rsid w:val="00054FBA"/>
    <w:rsid w:val="00057309"/>
    <w:rsid w:val="0005752F"/>
    <w:rsid w:val="0005766F"/>
    <w:rsid w:val="00057800"/>
    <w:rsid w:val="000604D7"/>
    <w:rsid w:val="00060635"/>
    <w:rsid w:val="000606A6"/>
    <w:rsid w:val="000620C8"/>
    <w:rsid w:val="00063050"/>
    <w:rsid w:val="00063793"/>
    <w:rsid w:val="00063FE2"/>
    <w:rsid w:val="00064C2F"/>
    <w:rsid w:val="00065B26"/>
    <w:rsid w:val="00066625"/>
    <w:rsid w:val="00067000"/>
    <w:rsid w:val="00067C9D"/>
    <w:rsid w:val="00071264"/>
    <w:rsid w:val="00071382"/>
    <w:rsid w:val="000720EB"/>
    <w:rsid w:val="00072C4C"/>
    <w:rsid w:val="000731E0"/>
    <w:rsid w:val="000740C6"/>
    <w:rsid w:val="0007416F"/>
    <w:rsid w:val="00074B1B"/>
    <w:rsid w:val="00075740"/>
    <w:rsid w:val="00075853"/>
    <w:rsid w:val="00075BFF"/>
    <w:rsid w:val="00077CBC"/>
    <w:rsid w:val="00077FBF"/>
    <w:rsid w:val="0008015E"/>
    <w:rsid w:val="0008019F"/>
    <w:rsid w:val="00080878"/>
    <w:rsid w:val="00080B8F"/>
    <w:rsid w:val="00080F89"/>
    <w:rsid w:val="000818A6"/>
    <w:rsid w:val="00081AC4"/>
    <w:rsid w:val="00081D7A"/>
    <w:rsid w:val="0008221E"/>
    <w:rsid w:val="00082714"/>
    <w:rsid w:val="00083078"/>
    <w:rsid w:val="00084133"/>
    <w:rsid w:val="00084331"/>
    <w:rsid w:val="000844D1"/>
    <w:rsid w:val="0008458E"/>
    <w:rsid w:val="00084CC9"/>
    <w:rsid w:val="00084FCD"/>
    <w:rsid w:val="00085954"/>
    <w:rsid w:val="00086238"/>
    <w:rsid w:val="00086E97"/>
    <w:rsid w:val="00087334"/>
    <w:rsid w:val="00087993"/>
    <w:rsid w:val="00087FB9"/>
    <w:rsid w:val="00090611"/>
    <w:rsid w:val="00091225"/>
    <w:rsid w:val="00091353"/>
    <w:rsid w:val="00091744"/>
    <w:rsid w:val="00091BBC"/>
    <w:rsid w:val="00091C57"/>
    <w:rsid w:val="00091DFB"/>
    <w:rsid w:val="000925BB"/>
    <w:rsid w:val="000926CE"/>
    <w:rsid w:val="0009270C"/>
    <w:rsid w:val="00092E22"/>
    <w:rsid w:val="00093CAB"/>
    <w:rsid w:val="00093F2D"/>
    <w:rsid w:val="0009463A"/>
    <w:rsid w:val="00094EDF"/>
    <w:rsid w:val="000972A3"/>
    <w:rsid w:val="00097A11"/>
    <w:rsid w:val="000A07CC"/>
    <w:rsid w:val="000A0931"/>
    <w:rsid w:val="000A0FC8"/>
    <w:rsid w:val="000A1418"/>
    <w:rsid w:val="000A1D1A"/>
    <w:rsid w:val="000A1FBE"/>
    <w:rsid w:val="000A36B8"/>
    <w:rsid w:val="000A3C9C"/>
    <w:rsid w:val="000A4118"/>
    <w:rsid w:val="000A44D9"/>
    <w:rsid w:val="000A45F7"/>
    <w:rsid w:val="000A54FE"/>
    <w:rsid w:val="000A6467"/>
    <w:rsid w:val="000A6AA9"/>
    <w:rsid w:val="000A6C0D"/>
    <w:rsid w:val="000A6E1A"/>
    <w:rsid w:val="000A7377"/>
    <w:rsid w:val="000B0E08"/>
    <w:rsid w:val="000B1406"/>
    <w:rsid w:val="000B2662"/>
    <w:rsid w:val="000B3138"/>
    <w:rsid w:val="000B3473"/>
    <w:rsid w:val="000B37CB"/>
    <w:rsid w:val="000B38AB"/>
    <w:rsid w:val="000B3A1A"/>
    <w:rsid w:val="000B3B0C"/>
    <w:rsid w:val="000B44FD"/>
    <w:rsid w:val="000B45DD"/>
    <w:rsid w:val="000B4AD4"/>
    <w:rsid w:val="000B5545"/>
    <w:rsid w:val="000C0041"/>
    <w:rsid w:val="000C0457"/>
    <w:rsid w:val="000C094F"/>
    <w:rsid w:val="000C0BCD"/>
    <w:rsid w:val="000C17D0"/>
    <w:rsid w:val="000C32DA"/>
    <w:rsid w:val="000C4FEE"/>
    <w:rsid w:val="000C53EB"/>
    <w:rsid w:val="000C5661"/>
    <w:rsid w:val="000C5FCF"/>
    <w:rsid w:val="000C660F"/>
    <w:rsid w:val="000C66D2"/>
    <w:rsid w:val="000C66F8"/>
    <w:rsid w:val="000C6E5D"/>
    <w:rsid w:val="000C6F7F"/>
    <w:rsid w:val="000C71F5"/>
    <w:rsid w:val="000C757E"/>
    <w:rsid w:val="000D03A2"/>
    <w:rsid w:val="000D05EC"/>
    <w:rsid w:val="000D123B"/>
    <w:rsid w:val="000D1773"/>
    <w:rsid w:val="000D2121"/>
    <w:rsid w:val="000D279C"/>
    <w:rsid w:val="000D2BCB"/>
    <w:rsid w:val="000D2E30"/>
    <w:rsid w:val="000D33CE"/>
    <w:rsid w:val="000D340A"/>
    <w:rsid w:val="000D3679"/>
    <w:rsid w:val="000D4134"/>
    <w:rsid w:val="000D45AD"/>
    <w:rsid w:val="000D53E0"/>
    <w:rsid w:val="000D5928"/>
    <w:rsid w:val="000D7BD3"/>
    <w:rsid w:val="000E00AF"/>
    <w:rsid w:val="000E11C4"/>
    <w:rsid w:val="000E22C1"/>
    <w:rsid w:val="000E3999"/>
    <w:rsid w:val="000E4412"/>
    <w:rsid w:val="000E448D"/>
    <w:rsid w:val="000E4C48"/>
    <w:rsid w:val="000E5478"/>
    <w:rsid w:val="000E5BF8"/>
    <w:rsid w:val="000E610E"/>
    <w:rsid w:val="000E7E31"/>
    <w:rsid w:val="000F0FB4"/>
    <w:rsid w:val="000F18D4"/>
    <w:rsid w:val="000F2037"/>
    <w:rsid w:val="000F2519"/>
    <w:rsid w:val="000F2AB9"/>
    <w:rsid w:val="000F3025"/>
    <w:rsid w:val="000F32C5"/>
    <w:rsid w:val="000F3D8D"/>
    <w:rsid w:val="000F3D8E"/>
    <w:rsid w:val="000F4069"/>
    <w:rsid w:val="000F6150"/>
    <w:rsid w:val="000F672E"/>
    <w:rsid w:val="000F7333"/>
    <w:rsid w:val="0010094B"/>
    <w:rsid w:val="00100B5D"/>
    <w:rsid w:val="00100C77"/>
    <w:rsid w:val="00100DEF"/>
    <w:rsid w:val="00101A48"/>
    <w:rsid w:val="00102021"/>
    <w:rsid w:val="00102133"/>
    <w:rsid w:val="00102873"/>
    <w:rsid w:val="00102E15"/>
    <w:rsid w:val="00102FB9"/>
    <w:rsid w:val="0010330B"/>
    <w:rsid w:val="001036DE"/>
    <w:rsid w:val="00103C4A"/>
    <w:rsid w:val="001052A4"/>
    <w:rsid w:val="00105569"/>
    <w:rsid w:val="001077B0"/>
    <w:rsid w:val="00110613"/>
    <w:rsid w:val="00112518"/>
    <w:rsid w:val="001126E5"/>
    <w:rsid w:val="001136C4"/>
    <w:rsid w:val="0011414A"/>
    <w:rsid w:val="0011440D"/>
    <w:rsid w:val="0011477C"/>
    <w:rsid w:val="001151A9"/>
    <w:rsid w:val="00115F73"/>
    <w:rsid w:val="001168C2"/>
    <w:rsid w:val="0011742D"/>
    <w:rsid w:val="001201FA"/>
    <w:rsid w:val="00120477"/>
    <w:rsid w:val="001205A2"/>
    <w:rsid w:val="001205C9"/>
    <w:rsid w:val="00120AFF"/>
    <w:rsid w:val="00121069"/>
    <w:rsid w:val="0012131E"/>
    <w:rsid w:val="00122E39"/>
    <w:rsid w:val="001230A1"/>
    <w:rsid w:val="001233AB"/>
    <w:rsid w:val="00124C6A"/>
    <w:rsid w:val="001252C5"/>
    <w:rsid w:val="001255F0"/>
    <w:rsid w:val="00125A1E"/>
    <w:rsid w:val="001263E7"/>
    <w:rsid w:val="00126486"/>
    <w:rsid w:val="001269F3"/>
    <w:rsid w:val="00126B54"/>
    <w:rsid w:val="0012732C"/>
    <w:rsid w:val="001276BF"/>
    <w:rsid w:val="001279A1"/>
    <w:rsid w:val="001305F0"/>
    <w:rsid w:val="00130FF5"/>
    <w:rsid w:val="001318CA"/>
    <w:rsid w:val="00131B55"/>
    <w:rsid w:val="00131CCC"/>
    <w:rsid w:val="00132066"/>
    <w:rsid w:val="00132632"/>
    <w:rsid w:val="00132695"/>
    <w:rsid w:val="001339A5"/>
    <w:rsid w:val="00133B2A"/>
    <w:rsid w:val="00133E8C"/>
    <w:rsid w:val="00134970"/>
    <w:rsid w:val="00134BFA"/>
    <w:rsid w:val="001352B7"/>
    <w:rsid w:val="00135832"/>
    <w:rsid w:val="00136AE5"/>
    <w:rsid w:val="00137084"/>
    <w:rsid w:val="00137270"/>
    <w:rsid w:val="0013747A"/>
    <w:rsid w:val="00140BA7"/>
    <w:rsid w:val="00141EC8"/>
    <w:rsid w:val="00142986"/>
    <w:rsid w:val="001431FE"/>
    <w:rsid w:val="00143FBE"/>
    <w:rsid w:val="00144842"/>
    <w:rsid w:val="00144D43"/>
    <w:rsid w:val="00144F79"/>
    <w:rsid w:val="001454AB"/>
    <w:rsid w:val="00145A6A"/>
    <w:rsid w:val="00145B1C"/>
    <w:rsid w:val="00146540"/>
    <w:rsid w:val="00146CFA"/>
    <w:rsid w:val="00147DFF"/>
    <w:rsid w:val="00150489"/>
    <w:rsid w:val="00150D65"/>
    <w:rsid w:val="00150F98"/>
    <w:rsid w:val="00151B5F"/>
    <w:rsid w:val="00152DA4"/>
    <w:rsid w:val="00153D55"/>
    <w:rsid w:val="00154312"/>
    <w:rsid w:val="00154AFC"/>
    <w:rsid w:val="00154BF4"/>
    <w:rsid w:val="00155322"/>
    <w:rsid w:val="0015693D"/>
    <w:rsid w:val="001569AF"/>
    <w:rsid w:val="0015704D"/>
    <w:rsid w:val="00157600"/>
    <w:rsid w:val="00160863"/>
    <w:rsid w:val="00160BFF"/>
    <w:rsid w:val="00160E28"/>
    <w:rsid w:val="00161DC5"/>
    <w:rsid w:val="001622D8"/>
    <w:rsid w:val="001629A4"/>
    <w:rsid w:val="00162DA0"/>
    <w:rsid w:val="00163576"/>
    <w:rsid w:val="001637C6"/>
    <w:rsid w:val="001644DA"/>
    <w:rsid w:val="001647F9"/>
    <w:rsid w:val="00164CE0"/>
    <w:rsid w:val="00164F76"/>
    <w:rsid w:val="00165507"/>
    <w:rsid w:val="001666E5"/>
    <w:rsid w:val="001667C4"/>
    <w:rsid w:val="00167363"/>
    <w:rsid w:val="0017062F"/>
    <w:rsid w:val="00170A8E"/>
    <w:rsid w:val="0017198F"/>
    <w:rsid w:val="00172A31"/>
    <w:rsid w:val="00173234"/>
    <w:rsid w:val="00173AB7"/>
    <w:rsid w:val="00173D3F"/>
    <w:rsid w:val="00173DB0"/>
    <w:rsid w:val="00173EF5"/>
    <w:rsid w:val="00174F50"/>
    <w:rsid w:val="00174F7C"/>
    <w:rsid w:val="001753CE"/>
    <w:rsid w:val="00175788"/>
    <w:rsid w:val="00175B9D"/>
    <w:rsid w:val="00176A16"/>
    <w:rsid w:val="00176DD6"/>
    <w:rsid w:val="00177271"/>
    <w:rsid w:val="00177657"/>
    <w:rsid w:val="00177D34"/>
    <w:rsid w:val="00177FE0"/>
    <w:rsid w:val="0018013D"/>
    <w:rsid w:val="00181900"/>
    <w:rsid w:val="00181F3D"/>
    <w:rsid w:val="00181FAD"/>
    <w:rsid w:val="0018234E"/>
    <w:rsid w:val="00182853"/>
    <w:rsid w:val="00182C0D"/>
    <w:rsid w:val="00182D20"/>
    <w:rsid w:val="00183726"/>
    <w:rsid w:val="0018414F"/>
    <w:rsid w:val="00184CBD"/>
    <w:rsid w:val="001855D8"/>
    <w:rsid w:val="00185E58"/>
    <w:rsid w:val="0018673B"/>
    <w:rsid w:val="00186753"/>
    <w:rsid w:val="00186784"/>
    <w:rsid w:val="00190C37"/>
    <w:rsid w:val="00190FC1"/>
    <w:rsid w:val="0019166E"/>
    <w:rsid w:val="00191F29"/>
    <w:rsid w:val="00193D99"/>
    <w:rsid w:val="00194D94"/>
    <w:rsid w:val="00196973"/>
    <w:rsid w:val="001972C2"/>
    <w:rsid w:val="00197A2E"/>
    <w:rsid w:val="00197F68"/>
    <w:rsid w:val="001A038E"/>
    <w:rsid w:val="001A12E8"/>
    <w:rsid w:val="001A13FC"/>
    <w:rsid w:val="001A1C19"/>
    <w:rsid w:val="001A1C4C"/>
    <w:rsid w:val="001A205B"/>
    <w:rsid w:val="001A2BD4"/>
    <w:rsid w:val="001A30DD"/>
    <w:rsid w:val="001A4494"/>
    <w:rsid w:val="001A50A5"/>
    <w:rsid w:val="001A6504"/>
    <w:rsid w:val="001A703F"/>
    <w:rsid w:val="001A7259"/>
    <w:rsid w:val="001A7B42"/>
    <w:rsid w:val="001B01AC"/>
    <w:rsid w:val="001B0777"/>
    <w:rsid w:val="001B0BA4"/>
    <w:rsid w:val="001B115E"/>
    <w:rsid w:val="001B1651"/>
    <w:rsid w:val="001B1BBB"/>
    <w:rsid w:val="001B1C84"/>
    <w:rsid w:val="001B2A88"/>
    <w:rsid w:val="001B2FCC"/>
    <w:rsid w:val="001B37EA"/>
    <w:rsid w:val="001B3E25"/>
    <w:rsid w:val="001B409F"/>
    <w:rsid w:val="001B47AC"/>
    <w:rsid w:val="001B4A3F"/>
    <w:rsid w:val="001B581C"/>
    <w:rsid w:val="001B5919"/>
    <w:rsid w:val="001B73D6"/>
    <w:rsid w:val="001B7845"/>
    <w:rsid w:val="001B78CA"/>
    <w:rsid w:val="001B79AA"/>
    <w:rsid w:val="001B7A35"/>
    <w:rsid w:val="001C0CD7"/>
    <w:rsid w:val="001C0FFA"/>
    <w:rsid w:val="001C13F5"/>
    <w:rsid w:val="001C14E5"/>
    <w:rsid w:val="001C2346"/>
    <w:rsid w:val="001C3AB5"/>
    <w:rsid w:val="001C5DE5"/>
    <w:rsid w:val="001C6836"/>
    <w:rsid w:val="001C6A05"/>
    <w:rsid w:val="001C7738"/>
    <w:rsid w:val="001D16B7"/>
    <w:rsid w:val="001D1A35"/>
    <w:rsid w:val="001D20EC"/>
    <w:rsid w:val="001D2AB9"/>
    <w:rsid w:val="001D3540"/>
    <w:rsid w:val="001D46A9"/>
    <w:rsid w:val="001D4E5E"/>
    <w:rsid w:val="001D503D"/>
    <w:rsid w:val="001D56BB"/>
    <w:rsid w:val="001D579B"/>
    <w:rsid w:val="001D58EE"/>
    <w:rsid w:val="001D654D"/>
    <w:rsid w:val="001D7230"/>
    <w:rsid w:val="001D7F4A"/>
    <w:rsid w:val="001E1238"/>
    <w:rsid w:val="001E1A70"/>
    <w:rsid w:val="001E21B5"/>
    <w:rsid w:val="001E2D9F"/>
    <w:rsid w:val="001E37D1"/>
    <w:rsid w:val="001E3A9E"/>
    <w:rsid w:val="001E3C64"/>
    <w:rsid w:val="001E46CF"/>
    <w:rsid w:val="001E5418"/>
    <w:rsid w:val="001E5F71"/>
    <w:rsid w:val="001E61A4"/>
    <w:rsid w:val="001E6850"/>
    <w:rsid w:val="001E6A8B"/>
    <w:rsid w:val="001E6F74"/>
    <w:rsid w:val="001E7169"/>
    <w:rsid w:val="001E71A8"/>
    <w:rsid w:val="001E72AE"/>
    <w:rsid w:val="001E72AF"/>
    <w:rsid w:val="001F0ED2"/>
    <w:rsid w:val="001F1784"/>
    <w:rsid w:val="001F2668"/>
    <w:rsid w:val="001F35BB"/>
    <w:rsid w:val="001F3D26"/>
    <w:rsid w:val="001F3DB1"/>
    <w:rsid w:val="001F601D"/>
    <w:rsid w:val="001F6236"/>
    <w:rsid w:val="001F64E5"/>
    <w:rsid w:val="001F71A1"/>
    <w:rsid w:val="001F76D1"/>
    <w:rsid w:val="001F790F"/>
    <w:rsid w:val="001F7D36"/>
    <w:rsid w:val="0020010E"/>
    <w:rsid w:val="002005E9"/>
    <w:rsid w:val="002010B6"/>
    <w:rsid w:val="00201478"/>
    <w:rsid w:val="00201EBF"/>
    <w:rsid w:val="0020258F"/>
    <w:rsid w:val="00205F38"/>
    <w:rsid w:val="002070FF"/>
    <w:rsid w:val="00207679"/>
    <w:rsid w:val="00207F3F"/>
    <w:rsid w:val="00210051"/>
    <w:rsid w:val="00210A9F"/>
    <w:rsid w:val="00210B59"/>
    <w:rsid w:val="002113F9"/>
    <w:rsid w:val="00211FFD"/>
    <w:rsid w:val="00212BAE"/>
    <w:rsid w:val="00212BC3"/>
    <w:rsid w:val="002139CC"/>
    <w:rsid w:val="00215EB0"/>
    <w:rsid w:val="00216370"/>
    <w:rsid w:val="00216978"/>
    <w:rsid w:val="002174D9"/>
    <w:rsid w:val="002177D1"/>
    <w:rsid w:val="002178B9"/>
    <w:rsid w:val="0022064D"/>
    <w:rsid w:val="0022106C"/>
    <w:rsid w:val="0022132B"/>
    <w:rsid w:val="002215B7"/>
    <w:rsid w:val="002235D1"/>
    <w:rsid w:val="00223888"/>
    <w:rsid w:val="00223977"/>
    <w:rsid w:val="00223B7C"/>
    <w:rsid w:val="0022541E"/>
    <w:rsid w:val="002258F5"/>
    <w:rsid w:val="00225CF1"/>
    <w:rsid w:val="0022663A"/>
    <w:rsid w:val="00226718"/>
    <w:rsid w:val="0022712E"/>
    <w:rsid w:val="00227C66"/>
    <w:rsid w:val="00230126"/>
    <w:rsid w:val="00230771"/>
    <w:rsid w:val="002310FE"/>
    <w:rsid w:val="002311D0"/>
    <w:rsid w:val="00231748"/>
    <w:rsid w:val="00232284"/>
    <w:rsid w:val="0023270B"/>
    <w:rsid w:val="002332F3"/>
    <w:rsid w:val="002343F2"/>
    <w:rsid w:val="00234467"/>
    <w:rsid w:val="00234C67"/>
    <w:rsid w:val="00235103"/>
    <w:rsid w:val="00235227"/>
    <w:rsid w:val="002352E4"/>
    <w:rsid w:val="00235E02"/>
    <w:rsid w:val="00236AC6"/>
    <w:rsid w:val="00236B13"/>
    <w:rsid w:val="002420CE"/>
    <w:rsid w:val="0024295E"/>
    <w:rsid w:val="002430D8"/>
    <w:rsid w:val="00243D0B"/>
    <w:rsid w:val="00244870"/>
    <w:rsid w:val="00245894"/>
    <w:rsid w:val="00245BAA"/>
    <w:rsid w:val="00246553"/>
    <w:rsid w:val="002466FA"/>
    <w:rsid w:val="00246993"/>
    <w:rsid w:val="00246AD2"/>
    <w:rsid w:val="0024757F"/>
    <w:rsid w:val="002475AB"/>
    <w:rsid w:val="00251033"/>
    <w:rsid w:val="00252A6C"/>
    <w:rsid w:val="002532CA"/>
    <w:rsid w:val="00255CE7"/>
    <w:rsid w:val="00255FE8"/>
    <w:rsid w:val="002560C0"/>
    <w:rsid w:val="002560C4"/>
    <w:rsid w:val="002564AB"/>
    <w:rsid w:val="00256528"/>
    <w:rsid w:val="002565D9"/>
    <w:rsid w:val="002577D2"/>
    <w:rsid w:val="00260856"/>
    <w:rsid w:val="00260B07"/>
    <w:rsid w:val="00261C0D"/>
    <w:rsid w:val="002626E4"/>
    <w:rsid w:val="002640CA"/>
    <w:rsid w:val="0026437E"/>
    <w:rsid w:val="00265380"/>
    <w:rsid w:val="00265FA8"/>
    <w:rsid w:val="00266015"/>
    <w:rsid w:val="0026670E"/>
    <w:rsid w:val="0027065D"/>
    <w:rsid w:val="00270A49"/>
    <w:rsid w:val="00270B88"/>
    <w:rsid w:val="0027101D"/>
    <w:rsid w:val="002718B6"/>
    <w:rsid w:val="00271B4B"/>
    <w:rsid w:val="00272E00"/>
    <w:rsid w:val="00273AFF"/>
    <w:rsid w:val="00275B3A"/>
    <w:rsid w:val="00275B76"/>
    <w:rsid w:val="00276A6E"/>
    <w:rsid w:val="00277570"/>
    <w:rsid w:val="00277F6C"/>
    <w:rsid w:val="002802EB"/>
    <w:rsid w:val="0028183E"/>
    <w:rsid w:val="00282680"/>
    <w:rsid w:val="002829E2"/>
    <w:rsid w:val="00282F6C"/>
    <w:rsid w:val="00282F74"/>
    <w:rsid w:val="00283D39"/>
    <w:rsid w:val="002845E4"/>
    <w:rsid w:val="00285D8C"/>
    <w:rsid w:val="00290325"/>
    <w:rsid w:val="00290D41"/>
    <w:rsid w:val="00291132"/>
    <w:rsid w:val="00291272"/>
    <w:rsid w:val="00292381"/>
    <w:rsid w:val="0029359D"/>
    <w:rsid w:val="002939C0"/>
    <w:rsid w:val="00293B75"/>
    <w:rsid w:val="00293C0B"/>
    <w:rsid w:val="00293C59"/>
    <w:rsid w:val="00293FD3"/>
    <w:rsid w:val="0029438D"/>
    <w:rsid w:val="00294D8A"/>
    <w:rsid w:val="002955D5"/>
    <w:rsid w:val="00295B46"/>
    <w:rsid w:val="00295D75"/>
    <w:rsid w:val="00295FB9"/>
    <w:rsid w:val="00296E2F"/>
    <w:rsid w:val="00297B76"/>
    <w:rsid w:val="002A0196"/>
    <w:rsid w:val="002A0414"/>
    <w:rsid w:val="002A068B"/>
    <w:rsid w:val="002A297D"/>
    <w:rsid w:val="002A3862"/>
    <w:rsid w:val="002A3BC9"/>
    <w:rsid w:val="002A4BF3"/>
    <w:rsid w:val="002A4D1F"/>
    <w:rsid w:val="002A5599"/>
    <w:rsid w:val="002A5C16"/>
    <w:rsid w:val="002A61DE"/>
    <w:rsid w:val="002A6C9C"/>
    <w:rsid w:val="002A745E"/>
    <w:rsid w:val="002A77B6"/>
    <w:rsid w:val="002B0448"/>
    <w:rsid w:val="002B0BF1"/>
    <w:rsid w:val="002B0DC3"/>
    <w:rsid w:val="002B1DAB"/>
    <w:rsid w:val="002B20A0"/>
    <w:rsid w:val="002B217C"/>
    <w:rsid w:val="002B22E6"/>
    <w:rsid w:val="002B272E"/>
    <w:rsid w:val="002B28C7"/>
    <w:rsid w:val="002B2B4A"/>
    <w:rsid w:val="002B4316"/>
    <w:rsid w:val="002B457C"/>
    <w:rsid w:val="002B48D5"/>
    <w:rsid w:val="002B4AAD"/>
    <w:rsid w:val="002B5D7E"/>
    <w:rsid w:val="002B60C1"/>
    <w:rsid w:val="002B679E"/>
    <w:rsid w:val="002B6C61"/>
    <w:rsid w:val="002B6CE2"/>
    <w:rsid w:val="002C0C25"/>
    <w:rsid w:val="002C0D08"/>
    <w:rsid w:val="002C0ECD"/>
    <w:rsid w:val="002C1B7E"/>
    <w:rsid w:val="002C1DA6"/>
    <w:rsid w:val="002C2071"/>
    <w:rsid w:val="002C257D"/>
    <w:rsid w:val="002C280A"/>
    <w:rsid w:val="002C3381"/>
    <w:rsid w:val="002C394A"/>
    <w:rsid w:val="002C3D38"/>
    <w:rsid w:val="002C3D48"/>
    <w:rsid w:val="002C4690"/>
    <w:rsid w:val="002C4811"/>
    <w:rsid w:val="002C4C80"/>
    <w:rsid w:val="002C5334"/>
    <w:rsid w:val="002C57BD"/>
    <w:rsid w:val="002C5E15"/>
    <w:rsid w:val="002C6E70"/>
    <w:rsid w:val="002C764F"/>
    <w:rsid w:val="002C7BAB"/>
    <w:rsid w:val="002C7D4E"/>
    <w:rsid w:val="002D04B7"/>
    <w:rsid w:val="002D0D28"/>
    <w:rsid w:val="002D0F6D"/>
    <w:rsid w:val="002D1142"/>
    <w:rsid w:val="002D2304"/>
    <w:rsid w:val="002D273D"/>
    <w:rsid w:val="002D35E8"/>
    <w:rsid w:val="002D369E"/>
    <w:rsid w:val="002D4CF4"/>
    <w:rsid w:val="002D5AEE"/>
    <w:rsid w:val="002D5B7A"/>
    <w:rsid w:val="002D6E90"/>
    <w:rsid w:val="002D702E"/>
    <w:rsid w:val="002D71E8"/>
    <w:rsid w:val="002D7A77"/>
    <w:rsid w:val="002D7C43"/>
    <w:rsid w:val="002D7F33"/>
    <w:rsid w:val="002E07B6"/>
    <w:rsid w:val="002E18CA"/>
    <w:rsid w:val="002E1BA3"/>
    <w:rsid w:val="002E1FD8"/>
    <w:rsid w:val="002E2003"/>
    <w:rsid w:val="002E2516"/>
    <w:rsid w:val="002E2B74"/>
    <w:rsid w:val="002E3202"/>
    <w:rsid w:val="002E33B8"/>
    <w:rsid w:val="002E3434"/>
    <w:rsid w:val="002E47B0"/>
    <w:rsid w:val="002E5700"/>
    <w:rsid w:val="002E6A56"/>
    <w:rsid w:val="002F02DB"/>
    <w:rsid w:val="002F0373"/>
    <w:rsid w:val="002F0401"/>
    <w:rsid w:val="002F0FE6"/>
    <w:rsid w:val="002F1502"/>
    <w:rsid w:val="002F17B1"/>
    <w:rsid w:val="002F1EE6"/>
    <w:rsid w:val="002F1EEB"/>
    <w:rsid w:val="002F28A2"/>
    <w:rsid w:val="002F32D2"/>
    <w:rsid w:val="002F3A0D"/>
    <w:rsid w:val="002F3A0F"/>
    <w:rsid w:val="002F3BBB"/>
    <w:rsid w:val="002F3BF9"/>
    <w:rsid w:val="002F3F70"/>
    <w:rsid w:val="002F4677"/>
    <w:rsid w:val="002F4B9F"/>
    <w:rsid w:val="002F5244"/>
    <w:rsid w:val="002F6BE5"/>
    <w:rsid w:val="002F6F30"/>
    <w:rsid w:val="002F724D"/>
    <w:rsid w:val="002F7B60"/>
    <w:rsid w:val="003003B4"/>
    <w:rsid w:val="003006EA"/>
    <w:rsid w:val="00300902"/>
    <w:rsid w:val="00300D91"/>
    <w:rsid w:val="003013E3"/>
    <w:rsid w:val="00301A49"/>
    <w:rsid w:val="00302BE6"/>
    <w:rsid w:val="00303C2B"/>
    <w:rsid w:val="00303D59"/>
    <w:rsid w:val="0030447B"/>
    <w:rsid w:val="003048F3"/>
    <w:rsid w:val="003048F7"/>
    <w:rsid w:val="00304B08"/>
    <w:rsid w:val="00304BA3"/>
    <w:rsid w:val="003054B6"/>
    <w:rsid w:val="0030655B"/>
    <w:rsid w:val="00310269"/>
    <w:rsid w:val="0031061A"/>
    <w:rsid w:val="0031086C"/>
    <w:rsid w:val="003110C4"/>
    <w:rsid w:val="0031143D"/>
    <w:rsid w:val="00311F9E"/>
    <w:rsid w:val="0031220B"/>
    <w:rsid w:val="0031275A"/>
    <w:rsid w:val="003127A3"/>
    <w:rsid w:val="00312AB1"/>
    <w:rsid w:val="00312CD1"/>
    <w:rsid w:val="003131F7"/>
    <w:rsid w:val="003134E1"/>
    <w:rsid w:val="00313597"/>
    <w:rsid w:val="003137FA"/>
    <w:rsid w:val="0031424F"/>
    <w:rsid w:val="00314450"/>
    <w:rsid w:val="003154CE"/>
    <w:rsid w:val="00315A1C"/>
    <w:rsid w:val="003169DD"/>
    <w:rsid w:val="0031702E"/>
    <w:rsid w:val="00317341"/>
    <w:rsid w:val="003174E3"/>
    <w:rsid w:val="00317B44"/>
    <w:rsid w:val="00317B89"/>
    <w:rsid w:val="00317C1E"/>
    <w:rsid w:val="00317F63"/>
    <w:rsid w:val="003204FF"/>
    <w:rsid w:val="0032051C"/>
    <w:rsid w:val="00320688"/>
    <w:rsid w:val="003212A9"/>
    <w:rsid w:val="003219A1"/>
    <w:rsid w:val="00321A40"/>
    <w:rsid w:val="00322878"/>
    <w:rsid w:val="00322926"/>
    <w:rsid w:val="003233FA"/>
    <w:rsid w:val="00323785"/>
    <w:rsid w:val="003238B2"/>
    <w:rsid w:val="00323AD8"/>
    <w:rsid w:val="00323EAE"/>
    <w:rsid w:val="003240D1"/>
    <w:rsid w:val="003247F4"/>
    <w:rsid w:val="00324F68"/>
    <w:rsid w:val="003250B5"/>
    <w:rsid w:val="00325451"/>
    <w:rsid w:val="0032658C"/>
    <w:rsid w:val="00326A35"/>
    <w:rsid w:val="003271B7"/>
    <w:rsid w:val="003274CB"/>
    <w:rsid w:val="00327F07"/>
    <w:rsid w:val="00330D80"/>
    <w:rsid w:val="00331539"/>
    <w:rsid w:val="0033297F"/>
    <w:rsid w:val="00332B9F"/>
    <w:rsid w:val="00332EB2"/>
    <w:rsid w:val="003333DF"/>
    <w:rsid w:val="003335A6"/>
    <w:rsid w:val="00333CDF"/>
    <w:rsid w:val="003345E7"/>
    <w:rsid w:val="0033484A"/>
    <w:rsid w:val="00335697"/>
    <w:rsid w:val="003368C8"/>
    <w:rsid w:val="00336BC3"/>
    <w:rsid w:val="00336BFC"/>
    <w:rsid w:val="00336E88"/>
    <w:rsid w:val="00336EF3"/>
    <w:rsid w:val="0033755D"/>
    <w:rsid w:val="00337564"/>
    <w:rsid w:val="00340CB5"/>
    <w:rsid w:val="00341F93"/>
    <w:rsid w:val="003421E1"/>
    <w:rsid w:val="00342615"/>
    <w:rsid w:val="003426B5"/>
    <w:rsid w:val="00342718"/>
    <w:rsid w:val="00342DA6"/>
    <w:rsid w:val="00342E1E"/>
    <w:rsid w:val="003435E8"/>
    <w:rsid w:val="003438C5"/>
    <w:rsid w:val="003439EA"/>
    <w:rsid w:val="0034412F"/>
    <w:rsid w:val="0034453B"/>
    <w:rsid w:val="00344823"/>
    <w:rsid w:val="00344E7F"/>
    <w:rsid w:val="003450E2"/>
    <w:rsid w:val="003455C5"/>
    <w:rsid w:val="00345898"/>
    <w:rsid w:val="0034654D"/>
    <w:rsid w:val="00347875"/>
    <w:rsid w:val="0034790F"/>
    <w:rsid w:val="00347F98"/>
    <w:rsid w:val="00350322"/>
    <w:rsid w:val="00350406"/>
    <w:rsid w:val="00350B7D"/>
    <w:rsid w:val="003511DA"/>
    <w:rsid w:val="003517B7"/>
    <w:rsid w:val="00351962"/>
    <w:rsid w:val="00352117"/>
    <w:rsid w:val="00352B31"/>
    <w:rsid w:val="00352FB8"/>
    <w:rsid w:val="00352FCF"/>
    <w:rsid w:val="00353341"/>
    <w:rsid w:val="00353359"/>
    <w:rsid w:val="003533B5"/>
    <w:rsid w:val="00353C89"/>
    <w:rsid w:val="00353FA9"/>
    <w:rsid w:val="003540D1"/>
    <w:rsid w:val="003541BD"/>
    <w:rsid w:val="00354CF6"/>
    <w:rsid w:val="00354FEC"/>
    <w:rsid w:val="00356105"/>
    <w:rsid w:val="00356C46"/>
    <w:rsid w:val="003570CD"/>
    <w:rsid w:val="003579EF"/>
    <w:rsid w:val="00357B5D"/>
    <w:rsid w:val="00357F7F"/>
    <w:rsid w:val="00361689"/>
    <w:rsid w:val="00361DBD"/>
    <w:rsid w:val="003626B0"/>
    <w:rsid w:val="0036289B"/>
    <w:rsid w:val="003628F2"/>
    <w:rsid w:val="00363239"/>
    <w:rsid w:val="00364618"/>
    <w:rsid w:val="003647A0"/>
    <w:rsid w:val="00365642"/>
    <w:rsid w:val="00365D8D"/>
    <w:rsid w:val="0036634E"/>
    <w:rsid w:val="003675A8"/>
    <w:rsid w:val="00367849"/>
    <w:rsid w:val="00370AD2"/>
    <w:rsid w:val="00370C3B"/>
    <w:rsid w:val="003710F2"/>
    <w:rsid w:val="00371FD4"/>
    <w:rsid w:val="00372688"/>
    <w:rsid w:val="003727F7"/>
    <w:rsid w:val="00372887"/>
    <w:rsid w:val="00373544"/>
    <w:rsid w:val="003738F1"/>
    <w:rsid w:val="00373ADE"/>
    <w:rsid w:val="0037462D"/>
    <w:rsid w:val="00374E2B"/>
    <w:rsid w:val="00375E5B"/>
    <w:rsid w:val="0037712A"/>
    <w:rsid w:val="003771D7"/>
    <w:rsid w:val="003777F1"/>
    <w:rsid w:val="00377BAF"/>
    <w:rsid w:val="00380C85"/>
    <w:rsid w:val="00380DC3"/>
    <w:rsid w:val="00381364"/>
    <w:rsid w:val="00381598"/>
    <w:rsid w:val="00382F2B"/>
    <w:rsid w:val="003832C1"/>
    <w:rsid w:val="00383EF4"/>
    <w:rsid w:val="00384054"/>
    <w:rsid w:val="00384EE9"/>
    <w:rsid w:val="00385703"/>
    <w:rsid w:val="00386DC8"/>
    <w:rsid w:val="003871A8"/>
    <w:rsid w:val="00387271"/>
    <w:rsid w:val="00390449"/>
    <w:rsid w:val="00390616"/>
    <w:rsid w:val="003910A0"/>
    <w:rsid w:val="0039130E"/>
    <w:rsid w:val="003918FD"/>
    <w:rsid w:val="00391928"/>
    <w:rsid w:val="00391B60"/>
    <w:rsid w:val="0039298D"/>
    <w:rsid w:val="00393113"/>
    <w:rsid w:val="0039409E"/>
    <w:rsid w:val="00394541"/>
    <w:rsid w:val="00394A4A"/>
    <w:rsid w:val="00395DAF"/>
    <w:rsid w:val="0039626C"/>
    <w:rsid w:val="0039754B"/>
    <w:rsid w:val="00397680"/>
    <w:rsid w:val="003976C1"/>
    <w:rsid w:val="00397F44"/>
    <w:rsid w:val="003A0928"/>
    <w:rsid w:val="003A20CD"/>
    <w:rsid w:val="003A29A6"/>
    <w:rsid w:val="003A378B"/>
    <w:rsid w:val="003A3DE6"/>
    <w:rsid w:val="003A454E"/>
    <w:rsid w:val="003A46D5"/>
    <w:rsid w:val="003A4C04"/>
    <w:rsid w:val="003A4CCB"/>
    <w:rsid w:val="003A5179"/>
    <w:rsid w:val="003A5B89"/>
    <w:rsid w:val="003A61C6"/>
    <w:rsid w:val="003B0516"/>
    <w:rsid w:val="003B0988"/>
    <w:rsid w:val="003B0F72"/>
    <w:rsid w:val="003B119C"/>
    <w:rsid w:val="003B1550"/>
    <w:rsid w:val="003B179A"/>
    <w:rsid w:val="003B19A8"/>
    <w:rsid w:val="003B1B23"/>
    <w:rsid w:val="003B24FC"/>
    <w:rsid w:val="003B2FD8"/>
    <w:rsid w:val="003B3180"/>
    <w:rsid w:val="003B3618"/>
    <w:rsid w:val="003B3926"/>
    <w:rsid w:val="003B3D92"/>
    <w:rsid w:val="003B3E2B"/>
    <w:rsid w:val="003B45BE"/>
    <w:rsid w:val="003B477D"/>
    <w:rsid w:val="003B5225"/>
    <w:rsid w:val="003B6809"/>
    <w:rsid w:val="003B6BF0"/>
    <w:rsid w:val="003B6E66"/>
    <w:rsid w:val="003B7A88"/>
    <w:rsid w:val="003C07FB"/>
    <w:rsid w:val="003C11EB"/>
    <w:rsid w:val="003C1358"/>
    <w:rsid w:val="003C15B5"/>
    <w:rsid w:val="003C17F1"/>
    <w:rsid w:val="003C1EA9"/>
    <w:rsid w:val="003C2631"/>
    <w:rsid w:val="003C34D5"/>
    <w:rsid w:val="003C3848"/>
    <w:rsid w:val="003C3982"/>
    <w:rsid w:val="003C39D1"/>
    <w:rsid w:val="003C5960"/>
    <w:rsid w:val="003C5DCB"/>
    <w:rsid w:val="003C625D"/>
    <w:rsid w:val="003C632D"/>
    <w:rsid w:val="003C71E4"/>
    <w:rsid w:val="003C74D9"/>
    <w:rsid w:val="003D034D"/>
    <w:rsid w:val="003D0644"/>
    <w:rsid w:val="003D127C"/>
    <w:rsid w:val="003D19DD"/>
    <w:rsid w:val="003D32EE"/>
    <w:rsid w:val="003D38DB"/>
    <w:rsid w:val="003D488E"/>
    <w:rsid w:val="003D4F77"/>
    <w:rsid w:val="003D575F"/>
    <w:rsid w:val="003D6061"/>
    <w:rsid w:val="003D7C96"/>
    <w:rsid w:val="003E0252"/>
    <w:rsid w:val="003E0ED5"/>
    <w:rsid w:val="003E10EC"/>
    <w:rsid w:val="003E2DE2"/>
    <w:rsid w:val="003E33D5"/>
    <w:rsid w:val="003E3BCD"/>
    <w:rsid w:val="003E3EC1"/>
    <w:rsid w:val="003E414C"/>
    <w:rsid w:val="003E4775"/>
    <w:rsid w:val="003E4B9D"/>
    <w:rsid w:val="003E547A"/>
    <w:rsid w:val="003E587F"/>
    <w:rsid w:val="003E6209"/>
    <w:rsid w:val="003E7BD1"/>
    <w:rsid w:val="003E7D0A"/>
    <w:rsid w:val="003F00A6"/>
    <w:rsid w:val="003F0267"/>
    <w:rsid w:val="003F0475"/>
    <w:rsid w:val="003F04DC"/>
    <w:rsid w:val="003F1256"/>
    <w:rsid w:val="003F13DB"/>
    <w:rsid w:val="003F24C1"/>
    <w:rsid w:val="003F2DBA"/>
    <w:rsid w:val="003F3237"/>
    <w:rsid w:val="003F39E1"/>
    <w:rsid w:val="003F4833"/>
    <w:rsid w:val="003F4F2C"/>
    <w:rsid w:val="003F523F"/>
    <w:rsid w:val="003F54B9"/>
    <w:rsid w:val="003F581E"/>
    <w:rsid w:val="003F5A5C"/>
    <w:rsid w:val="003F5A8D"/>
    <w:rsid w:val="003F5AF2"/>
    <w:rsid w:val="003F5F84"/>
    <w:rsid w:val="003F66D4"/>
    <w:rsid w:val="003F686C"/>
    <w:rsid w:val="003F6D76"/>
    <w:rsid w:val="0040049C"/>
    <w:rsid w:val="004018EE"/>
    <w:rsid w:val="00402038"/>
    <w:rsid w:val="004025D0"/>
    <w:rsid w:val="004029CB"/>
    <w:rsid w:val="0040312A"/>
    <w:rsid w:val="004042D7"/>
    <w:rsid w:val="004045E5"/>
    <w:rsid w:val="0040513D"/>
    <w:rsid w:val="00405299"/>
    <w:rsid w:val="00405659"/>
    <w:rsid w:val="0040616E"/>
    <w:rsid w:val="00406EB3"/>
    <w:rsid w:val="0040703E"/>
    <w:rsid w:val="0040753F"/>
    <w:rsid w:val="004076F4"/>
    <w:rsid w:val="00407AD1"/>
    <w:rsid w:val="00407ED3"/>
    <w:rsid w:val="00407EE8"/>
    <w:rsid w:val="0041012B"/>
    <w:rsid w:val="004103D6"/>
    <w:rsid w:val="0041046A"/>
    <w:rsid w:val="004114C5"/>
    <w:rsid w:val="0041195C"/>
    <w:rsid w:val="00411D7A"/>
    <w:rsid w:val="004121B6"/>
    <w:rsid w:val="004122DD"/>
    <w:rsid w:val="004126EB"/>
    <w:rsid w:val="00413D83"/>
    <w:rsid w:val="00414346"/>
    <w:rsid w:val="00414783"/>
    <w:rsid w:val="00414E5D"/>
    <w:rsid w:val="0041508B"/>
    <w:rsid w:val="00415925"/>
    <w:rsid w:val="00415E0E"/>
    <w:rsid w:val="00415ED4"/>
    <w:rsid w:val="0041608E"/>
    <w:rsid w:val="00416760"/>
    <w:rsid w:val="004168F8"/>
    <w:rsid w:val="0041694D"/>
    <w:rsid w:val="004208E1"/>
    <w:rsid w:val="00420F03"/>
    <w:rsid w:val="00421B31"/>
    <w:rsid w:val="00421E3E"/>
    <w:rsid w:val="0042248E"/>
    <w:rsid w:val="00422A2A"/>
    <w:rsid w:val="00423489"/>
    <w:rsid w:val="00423A9A"/>
    <w:rsid w:val="00423FC8"/>
    <w:rsid w:val="00424673"/>
    <w:rsid w:val="00424B03"/>
    <w:rsid w:val="00424DE3"/>
    <w:rsid w:val="004258B7"/>
    <w:rsid w:val="00425C5A"/>
    <w:rsid w:val="00425E73"/>
    <w:rsid w:val="00425E79"/>
    <w:rsid w:val="00426AF4"/>
    <w:rsid w:val="00426D8F"/>
    <w:rsid w:val="00426FAD"/>
    <w:rsid w:val="004273B4"/>
    <w:rsid w:val="004275A6"/>
    <w:rsid w:val="00430344"/>
    <w:rsid w:val="004309A1"/>
    <w:rsid w:val="00431358"/>
    <w:rsid w:val="00431A84"/>
    <w:rsid w:val="00431E3C"/>
    <w:rsid w:val="004324B2"/>
    <w:rsid w:val="00432AD9"/>
    <w:rsid w:val="00432E54"/>
    <w:rsid w:val="00434014"/>
    <w:rsid w:val="0043411B"/>
    <w:rsid w:val="00434581"/>
    <w:rsid w:val="004356B6"/>
    <w:rsid w:val="0044025B"/>
    <w:rsid w:val="004404B1"/>
    <w:rsid w:val="004404DC"/>
    <w:rsid w:val="004409F7"/>
    <w:rsid w:val="00440CB8"/>
    <w:rsid w:val="004414B9"/>
    <w:rsid w:val="004414F1"/>
    <w:rsid w:val="004419D7"/>
    <w:rsid w:val="00441FBF"/>
    <w:rsid w:val="00442723"/>
    <w:rsid w:val="0044318C"/>
    <w:rsid w:val="004431F0"/>
    <w:rsid w:val="004436CA"/>
    <w:rsid w:val="004438ED"/>
    <w:rsid w:val="00443E1F"/>
    <w:rsid w:val="00443F36"/>
    <w:rsid w:val="004441FA"/>
    <w:rsid w:val="00444626"/>
    <w:rsid w:val="004450F8"/>
    <w:rsid w:val="0044588E"/>
    <w:rsid w:val="00445896"/>
    <w:rsid w:val="0044680A"/>
    <w:rsid w:val="00447FA7"/>
    <w:rsid w:val="00450770"/>
    <w:rsid w:val="00450824"/>
    <w:rsid w:val="004511F9"/>
    <w:rsid w:val="004512EF"/>
    <w:rsid w:val="004527AE"/>
    <w:rsid w:val="00452A05"/>
    <w:rsid w:val="00452A23"/>
    <w:rsid w:val="00453341"/>
    <w:rsid w:val="00453A52"/>
    <w:rsid w:val="00453EF6"/>
    <w:rsid w:val="00455055"/>
    <w:rsid w:val="004557A9"/>
    <w:rsid w:val="00456104"/>
    <w:rsid w:val="00456286"/>
    <w:rsid w:val="00456321"/>
    <w:rsid w:val="00456F89"/>
    <w:rsid w:val="0045797E"/>
    <w:rsid w:val="00457CE2"/>
    <w:rsid w:val="004604B9"/>
    <w:rsid w:val="00460EBC"/>
    <w:rsid w:val="0046171D"/>
    <w:rsid w:val="0046181A"/>
    <w:rsid w:val="00461981"/>
    <w:rsid w:val="00461D58"/>
    <w:rsid w:val="00461F28"/>
    <w:rsid w:val="00462179"/>
    <w:rsid w:val="0046314A"/>
    <w:rsid w:val="004639F7"/>
    <w:rsid w:val="0046424A"/>
    <w:rsid w:val="00465E1B"/>
    <w:rsid w:val="004669B8"/>
    <w:rsid w:val="0046781B"/>
    <w:rsid w:val="00470062"/>
    <w:rsid w:val="0047149D"/>
    <w:rsid w:val="004722C5"/>
    <w:rsid w:val="0047290B"/>
    <w:rsid w:val="00472E99"/>
    <w:rsid w:val="004740BE"/>
    <w:rsid w:val="004746DD"/>
    <w:rsid w:val="004751B5"/>
    <w:rsid w:val="00475600"/>
    <w:rsid w:val="00475A96"/>
    <w:rsid w:val="0047602C"/>
    <w:rsid w:val="0047763D"/>
    <w:rsid w:val="00477861"/>
    <w:rsid w:val="00477D95"/>
    <w:rsid w:val="00477E17"/>
    <w:rsid w:val="00481DB3"/>
    <w:rsid w:val="00482773"/>
    <w:rsid w:val="004830D6"/>
    <w:rsid w:val="00483450"/>
    <w:rsid w:val="00484966"/>
    <w:rsid w:val="00484B7B"/>
    <w:rsid w:val="00484E3C"/>
    <w:rsid w:val="00485130"/>
    <w:rsid w:val="0048518F"/>
    <w:rsid w:val="00485468"/>
    <w:rsid w:val="00485FEB"/>
    <w:rsid w:val="004861A0"/>
    <w:rsid w:val="00486612"/>
    <w:rsid w:val="0048694E"/>
    <w:rsid w:val="00486B4E"/>
    <w:rsid w:val="00486DE5"/>
    <w:rsid w:val="00487468"/>
    <w:rsid w:val="0048780E"/>
    <w:rsid w:val="004901ED"/>
    <w:rsid w:val="00490B55"/>
    <w:rsid w:val="004914D3"/>
    <w:rsid w:val="00491ED0"/>
    <w:rsid w:val="00491F84"/>
    <w:rsid w:val="004920DF"/>
    <w:rsid w:val="00492CCE"/>
    <w:rsid w:val="00492CFA"/>
    <w:rsid w:val="004931C2"/>
    <w:rsid w:val="00493329"/>
    <w:rsid w:val="0049338B"/>
    <w:rsid w:val="00493405"/>
    <w:rsid w:val="0049386B"/>
    <w:rsid w:val="00493A2A"/>
    <w:rsid w:val="00493B4B"/>
    <w:rsid w:val="00493BF5"/>
    <w:rsid w:val="00494831"/>
    <w:rsid w:val="00495748"/>
    <w:rsid w:val="00496588"/>
    <w:rsid w:val="0049752E"/>
    <w:rsid w:val="004977BA"/>
    <w:rsid w:val="004A0986"/>
    <w:rsid w:val="004A0C32"/>
    <w:rsid w:val="004A13CF"/>
    <w:rsid w:val="004A2B37"/>
    <w:rsid w:val="004A4AB5"/>
    <w:rsid w:val="004A5151"/>
    <w:rsid w:val="004A5612"/>
    <w:rsid w:val="004A5ED9"/>
    <w:rsid w:val="004A700B"/>
    <w:rsid w:val="004B1E91"/>
    <w:rsid w:val="004B2106"/>
    <w:rsid w:val="004B2D22"/>
    <w:rsid w:val="004B42C2"/>
    <w:rsid w:val="004B4653"/>
    <w:rsid w:val="004B4DDE"/>
    <w:rsid w:val="004B4F2B"/>
    <w:rsid w:val="004B55E6"/>
    <w:rsid w:val="004B5737"/>
    <w:rsid w:val="004B5996"/>
    <w:rsid w:val="004B5D92"/>
    <w:rsid w:val="004B60E3"/>
    <w:rsid w:val="004B6111"/>
    <w:rsid w:val="004B62E1"/>
    <w:rsid w:val="004B6373"/>
    <w:rsid w:val="004B653D"/>
    <w:rsid w:val="004B6784"/>
    <w:rsid w:val="004B766E"/>
    <w:rsid w:val="004B789F"/>
    <w:rsid w:val="004C0553"/>
    <w:rsid w:val="004C13BB"/>
    <w:rsid w:val="004C230A"/>
    <w:rsid w:val="004C25C3"/>
    <w:rsid w:val="004C4CF3"/>
    <w:rsid w:val="004C4D51"/>
    <w:rsid w:val="004C53BB"/>
    <w:rsid w:val="004C5416"/>
    <w:rsid w:val="004C5750"/>
    <w:rsid w:val="004C5A85"/>
    <w:rsid w:val="004C5B97"/>
    <w:rsid w:val="004C6ECD"/>
    <w:rsid w:val="004C6F6E"/>
    <w:rsid w:val="004C7B3B"/>
    <w:rsid w:val="004D1D81"/>
    <w:rsid w:val="004D2086"/>
    <w:rsid w:val="004D2749"/>
    <w:rsid w:val="004D2869"/>
    <w:rsid w:val="004D31F0"/>
    <w:rsid w:val="004D37D3"/>
    <w:rsid w:val="004D3ADC"/>
    <w:rsid w:val="004D3B39"/>
    <w:rsid w:val="004D4295"/>
    <w:rsid w:val="004D4629"/>
    <w:rsid w:val="004D4C76"/>
    <w:rsid w:val="004D5199"/>
    <w:rsid w:val="004D7E59"/>
    <w:rsid w:val="004D7FEE"/>
    <w:rsid w:val="004E09DD"/>
    <w:rsid w:val="004E0AA0"/>
    <w:rsid w:val="004E12CC"/>
    <w:rsid w:val="004E1862"/>
    <w:rsid w:val="004E18A7"/>
    <w:rsid w:val="004E1D0E"/>
    <w:rsid w:val="004E3708"/>
    <w:rsid w:val="004E3C65"/>
    <w:rsid w:val="004E3EE6"/>
    <w:rsid w:val="004E43FD"/>
    <w:rsid w:val="004E4B53"/>
    <w:rsid w:val="004E5693"/>
    <w:rsid w:val="004E647E"/>
    <w:rsid w:val="004E79AE"/>
    <w:rsid w:val="004F1F82"/>
    <w:rsid w:val="004F210C"/>
    <w:rsid w:val="004F2523"/>
    <w:rsid w:val="004F4DC5"/>
    <w:rsid w:val="004F4FD0"/>
    <w:rsid w:val="004F5395"/>
    <w:rsid w:val="004F5845"/>
    <w:rsid w:val="004F5CC8"/>
    <w:rsid w:val="004F6B37"/>
    <w:rsid w:val="004F7347"/>
    <w:rsid w:val="004F7EBE"/>
    <w:rsid w:val="005019A5"/>
    <w:rsid w:val="00501E8F"/>
    <w:rsid w:val="0050233D"/>
    <w:rsid w:val="00502777"/>
    <w:rsid w:val="005037BB"/>
    <w:rsid w:val="005050C4"/>
    <w:rsid w:val="00505159"/>
    <w:rsid w:val="005055F5"/>
    <w:rsid w:val="005059C9"/>
    <w:rsid w:val="00505F03"/>
    <w:rsid w:val="00506048"/>
    <w:rsid w:val="005065FC"/>
    <w:rsid w:val="00506E30"/>
    <w:rsid w:val="0050726D"/>
    <w:rsid w:val="00507650"/>
    <w:rsid w:val="00507CC8"/>
    <w:rsid w:val="00507E26"/>
    <w:rsid w:val="00510106"/>
    <w:rsid w:val="0051018B"/>
    <w:rsid w:val="00510A26"/>
    <w:rsid w:val="0051103C"/>
    <w:rsid w:val="00512FB7"/>
    <w:rsid w:val="00513EE2"/>
    <w:rsid w:val="0051415F"/>
    <w:rsid w:val="005151BF"/>
    <w:rsid w:val="0051665F"/>
    <w:rsid w:val="0051718D"/>
    <w:rsid w:val="00520663"/>
    <w:rsid w:val="005207B4"/>
    <w:rsid w:val="0052084C"/>
    <w:rsid w:val="0052187B"/>
    <w:rsid w:val="00521885"/>
    <w:rsid w:val="00521B30"/>
    <w:rsid w:val="00521D14"/>
    <w:rsid w:val="00521F20"/>
    <w:rsid w:val="00522591"/>
    <w:rsid w:val="00522AC8"/>
    <w:rsid w:val="005237FA"/>
    <w:rsid w:val="00523FA8"/>
    <w:rsid w:val="00524517"/>
    <w:rsid w:val="0052579C"/>
    <w:rsid w:val="00525987"/>
    <w:rsid w:val="005261F2"/>
    <w:rsid w:val="00526536"/>
    <w:rsid w:val="00530625"/>
    <w:rsid w:val="00530642"/>
    <w:rsid w:val="00530CAE"/>
    <w:rsid w:val="005313A2"/>
    <w:rsid w:val="005318F4"/>
    <w:rsid w:val="00531BEC"/>
    <w:rsid w:val="0053247B"/>
    <w:rsid w:val="00533572"/>
    <w:rsid w:val="00533A8C"/>
    <w:rsid w:val="00533D4F"/>
    <w:rsid w:val="00533D87"/>
    <w:rsid w:val="005347A5"/>
    <w:rsid w:val="00534901"/>
    <w:rsid w:val="005350E9"/>
    <w:rsid w:val="005358C8"/>
    <w:rsid w:val="00536773"/>
    <w:rsid w:val="00536869"/>
    <w:rsid w:val="00536A8B"/>
    <w:rsid w:val="00536CC7"/>
    <w:rsid w:val="00536F73"/>
    <w:rsid w:val="0054027C"/>
    <w:rsid w:val="00541326"/>
    <w:rsid w:val="005413E1"/>
    <w:rsid w:val="005414CA"/>
    <w:rsid w:val="00541B4F"/>
    <w:rsid w:val="00541BF8"/>
    <w:rsid w:val="00541C09"/>
    <w:rsid w:val="00542F08"/>
    <w:rsid w:val="00543050"/>
    <w:rsid w:val="00543821"/>
    <w:rsid w:val="0054385C"/>
    <w:rsid w:val="00545E10"/>
    <w:rsid w:val="0054641C"/>
    <w:rsid w:val="00546848"/>
    <w:rsid w:val="00546B38"/>
    <w:rsid w:val="005472F7"/>
    <w:rsid w:val="00547B0C"/>
    <w:rsid w:val="00547C60"/>
    <w:rsid w:val="00547DB3"/>
    <w:rsid w:val="00547E15"/>
    <w:rsid w:val="00550415"/>
    <w:rsid w:val="00550FB9"/>
    <w:rsid w:val="00551CD4"/>
    <w:rsid w:val="00551D00"/>
    <w:rsid w:val="00551FC6"/>
    <w:rsid w:val="00553928"/>
    <w:rsid w:val="00553D0C"/>
    <w:rsid w:val="005541DE"/>
    <w:rsid w:val="00554257"/>
    <w:rsid w:val="00554271"/>
    <w:rsid w:val="00554B1C"/>
    <w:rsid w:val="00555460"/>
    <w:rsid w:val="00555958"/>
    <w:rsid w:val="005562B4"/>
    <w:rsid w:val="00556D33"/>
    <w:rsid w:val="00556E35"/>
    <w:rsid w:val="00556FF0"/>
    <w:rsid w:val="0055727C"/>
    <w:rsid w:val="00557670"/>
    <w:rsid w:val="0055788D"/>
    <w:rsid w:val="00557D78"/>
    <w:rsid w:val="00557E8B"/>
    <w:rsid w:val="00557EC0"/>
    <w:rsid w:val="00560172"/>
    <w:rsid w:val="005611CE"/>
    <w:rsid w:val="005616B9"/>
    <w:rsid w:val="00562515"/>
    <w:rsid w:val="0056368B"/>
    <w:rsid w:val="00563E66"/>
    <w:rsid w:val="00564322"/>
    <w:rsid w:val="00564BB5"/>
    <w:rsid w:val="00566200"/>
    <w:rsid w:val="005663ED"/>
    <w:rsid w:val="00567192"/>
    <w:rsid w:val="005672EB"/>
    <w:rsid w:val="00567782"/>
    <w:rsid w:val="00570161"/>
    <w:rsid w:val="005705EA"/>
    <w:rsid w:val="005717F4"/>
    <w:rsid w:val="00571E22"/>
    <w:rsid w:val="00571F67"/>
    <w:rsid w:val="005725BA"/>
    <w:rsid w:val="00572612"/>
    <w:rsid w:val="00572786"/>
    <w:rsid w:val="00572AF4"/>
    <w:rsid w:val="00572C38"/>
    <w:rsid w:val="00573340"/>
    <w:rsid w:val="00573356"/>
    <w:rsid w:val="0057378B"/>
    <w:rsid w:val="00573E12"/>
    <w:rsid w:val="00574D6C"/>
    <w:rsid w:val="00574E6F"/>
    <w:rsid w:val="00575465"/>
    <w:rsid w:val="00575606"/>
    <w:rsid w:val="00576F70"/>
    <w:rsid w:val="00577476"/>
    <w:rsid w:val="00580038"/>
    <w:rsid w:val="00580533"/>
    <w:rsid w:val="00580D0F"/>
    <w:rsid w:val="0058181A"/>
    <w:rsid w:val="005822CA"/>
    <w:rsid w:val="005831C7"/>
    <w:rsid w:val="00583752"/>
    <w:rsid w:val="005843A1"/>
    <w:rsid w:val="005843CA"/>
    <w:rsid w:val="00584F67"/>
    <w:rsid w:val="0058590B"/>
    <w:rsid w:val="005864D6"/>
    <w:rsid w:val="005865EF"/>
    <w:rsid w:val="005866D5"/>
    <w:rsid w:val="00586E5B"/>
    <w:rsid w:val="005870A7"/>
    <w:rsid w:val="00587B4A"/>
    <w:rsid w:val="00587C12"/>
    <w:rsid w:val="00587E8A"/>
    <w:rsid w:val="00587F86"/>
    <w:rsid w:val="00587FAB"/>
    <w:rsid w:val="005901A5"/>
    <w:rsid w:val="00591050"/>
    <w:rsid w:val="0059160D"/>
    <w:rsid w:val="005919A9"/>
    <w:rsid w:val="005927D7"/>
    <w:rsid w:val="00593603"/>
    <w:rsid w:val="00593795"/>
    <w:rsid w:val="005938AE"/>
    <w:rsid w:val="00593B32"/>
    <w:rsid w:val="00593BC5"/>
    <w:rsid w:val="00593F32"/>
    <w:rsid w:val="00594F95"/>
    <w:rsid w:val="00595C67"/>
    <w:rsid w:val="00596D4E"/>
    <w:rsid w:val="00596DD4"/>
    <w:rsid w:val="005972E8"/>
    <w:rsid w:val="005973CD"/>
    <w:rsid w:val="00597990"/>
    <w:rsid w:val="005A023A"/>
    <w:rsid w:val="005A15B5"/>
    <w:rsid w:val="005A2207"/>
    <w:rsid w:val="005A3340"/>
    <w:rsid w:val="005A3E3E"/>
    <w:rsid w:val="005A43C3"/>
    <w:rsid w:val="005A5148"/>
    <w:rsid w:val="005A536D"/>
    <w:rsid w:val="005A55B3"/>
    <w:rsid w:val="005A5C39"/>
    <w:rsid w:val="005A641B"/>
    <w:rsid w:val="005A6600"/>
    <w:rsid w:val="005A6B5C"/>
    <w:rsid w:val="005A7580"/>
    <w:rsid w:val="005A75C9"/>
    <w:rsid w:val="005B15A5"/>
    <w:rsid w:val="005B1683"/>
    <w:rsid w:val="005B1D59"/>
    <w:rsid w:val="005B1E10"/>
    <w:rsid w:val="005B1E37"/>
    <w:rsid w:val="005B2BAA"/>
    <w:rsid w:val="005B2DEE"/>
    <w:rsid w:val="005B305B"/>
    <w:rsid w:val="005B3467"/>
    <w:rsid w:val="005B42FB"/>
    <w:rsid w:val="005B4589"/>
    <w:rsid w:val="005B55F6"/>
    <w:rsid w:val="005B5A74"/>
    <w:rsid w:val="005B6A32"/>
    <w:rsid w:val="005B75C2"/>
    <w:rsid w:val="005B788E"/>
    <w:rsid w:val="005B7C82"/>
    <w:rsid w:val="005C00D2"/>
    <w:rsid w:val="005C01BB"/>
    <w:rsid w:val="005C02B7"/>
    <w:rsid w:val="005C0869"/>
    <w:rsid w:val="005C0EEC"/>
    <w:rsid w:val="005C1381"/>
    <w:rsid w:val="005C15FC"/>
    <w:rsid w:val="005C1A6A"/>
    <w:rsid w:val="005C274F"/>
    <w:rsid w:val="005C2C85"/>
    <w:rsid w:val="005C2FA9"/>
    <w:rsid w:val="005C504E"/>
    <w:rsid w:val="005C52F9"/>
    <w:rsid w:val="005C5A81"/>
    <w:rsid w:val="005C6967"/>
    <w:rsid w:val="005D2299"/>
    <w:rsid w:val="005D23D4"/>
    <w:rsid w:val="005D26BB"/>
    <w:rsid w:val="005D2741"/>
    <w:rsid w:val="005D2B55"/>
    <w:rsid w:val="005D2D01"/>
    <w:rsid w:val="005D32B3"/>
    <w:rsid w:val="005D3A9C"/>
    <w:rsid w:val="005D3C36"/>
    <w:rsid w:val="005D3CB3"/>
    <w:rsid w:val="005D4503"/>
    <w:rsid w:val="005D4F64"/>
    <w:rsid w:val="005D60EF"/>
    <w:rsid w:val="005D66CB"/>
    <w:rsid w:val="005D6E29"/>
    <w:rsid w:val="005D79B9"/>
    <w:rsid w:val="005E0703"/>
    <w:rsid w:val="005E1688"/>
    <w:rsid w:val="005E1876"/>
    <w:rsid w:val="005E2539"/>
    <w:rsid w:val="005E2565"/>
    <w:rsid w:val="005E261B"/>
    <w:rsid w:val="005E2E0C"/>
    <w:rsid w:val="005E3730"/>
    <w:rsid w:val="005E3D97"/>
    <w:rsid w:val="005E3E99"/>
    <w:rsid w:val="005E4434"/>
    <w:rsid w:val="005E4DAE"/>
    <w:rsid w:val="005E4EE8"/>
    <w:rsid w:val="005E5EC5"/>
    <w:rsid w:val="005E63FF"/>
    <w:rsid w:val="005E674D"/>
    <w:rsid w:val="005E7108"/>
    <w:rsid w:val="005E7157"/>
    <w:rsid w:val="005E7AEE"/>
    <w:rsid w:val="005F0D82"/>
    <w:rsid w:val="005F1783"/>
    <w:rsid w:val="005F1B6E"/>
    <w:rsid w:val="005F24FB"/>
    <w:rsid w:val="005F27A4"/>
    <w:rsid w:val="005F3B1E"/>
    <w:rsid w:val="005F3F4E"/>
    <w:rsid w:val="005F5B7E"/>
    <w:rsid w:val="005F7AD3"/>
    <w:rsid w:val="005F7AFB"/>
    <w:rsid w:val="00600131"/>
    <w:rsid w:val="00600403"/>
    <w:rsid w:val="006015FE"/>
    <w:rsid w:val="00601668"/>
    <w:rsid w:val="00601C12"/>
    <w:rsid w:val="00601EC6"/>
    <w:rsid w:val="00602264"/>
    <w:rsid w:val="00602902"/>
    <w:rsid w:val="006032E4"/>
    <w:rsid w:val="00603DE1"/>
    <w:rsid w:val="006049D7"/>
    <w:rsid w:val="00604A4A"/>
    <w:rsid w:val="00604F82"/>
    <w:rsid w:val="0060603E"/>
    <w:rsid w:val="006069D6"/>
    <w:rsid w:val="00606CE7"/>
    <w:rsid w:val="00607433"/>
    <w:rsid w:val="00607A07"/>
    <w:rsid w:val="00607A59"/>
    <w:rsid w:val="006107FC"/>
    <w:rsid w:val="0061094D"/>
    <w:rsid w:val="00610CEE"/>
    <w:rsid w:val="00610E90"/>
    <w:rsid w:val="006110D2"/>
    <w:rsid w:val="00612380"/>
    <w:rsid w:val="00612A67"/>
    <w:rsid w:val="00612D30"/>
    <w:rsid w:val="006132F8"/>
    <w:rsid w:val="00613AC8"/>
    <w:rsid w:val="0061470E"/>
    <w:rsid w:val="00615AC2"/>
    <w:rsid w:val="00615DCB"/>
    <w:rsid w:val="00615E2D"/>
    <w:rsid w:val="0061628D"/>
    <w:rsid w:val="006167E8"/>
    <w:rsid w:val="00616819"/>
    <w:rsid w:val="00616AD3"/>
    <w:rsid w:val="00617126"/>
    <w:rsid w:val="00620046"/>
    <w:rsid w:val="00620081"/>
    <w:rsid w:val="00620258"/>
    <w:rsid w:val="006209CB"/>
    <w:rsid w:val="00620F44"/>
    <w:rsid w:val="00621661"/>
    <w:rsid w:val="00621830"/>
    <w:rsid w:val="00622097"/>
    <w:rsid w:val="00622217"/>
    <w:rsid w:val="006222ED"/>
    <w:rsid w:val="00622D64"/>
    <w:rsid w:val="00622E17"/>
    <w:rsid w:val="006238CE"/>
    <w:rsid w:val="00624272"/>
    <w:rsid w:val="00624B43"/>
    <w:rsid w:val="00625169"/>
    <w:rsid w:val="00625727"/>
    <w:rsid w:val="00625ED2"/>
    <w:rsid w:val="0062608F"/>
    <w:rsid w:val="006260B9"/>
    <w:rsid w:val="00626F38"/>
    <w:rsid w:val="00627A51"/>
    <w:rsid w:val="0063034B"/>
    <w:rsid w:val="00630645"/>
    <w:rsid w:val="00630B09"/>
    <w:rsid w:val="006311B2"/>
    <w:rsid w:val="00631400"/>
    <w:rsid w:val="00631DAB"/>
    <w:rsid w:val="00631EB7"/>
    <w:rsid w:val="0063331A"/>
    <w:rsid w:val="00633D64"/>
    <w:rsid w:val="00635564"/>
    <w:rsid w:val="0063561A"/>
    <w:rsid w:val="00635C16"/>
    <w:rsid w:val="006367DD"/>
    <w:rsid w:val="0063749B"/>
    <w:rsid w:val="0063759A"/>
    <w:rsid w:val="00637960"/>
    <w:rsid w:val="00640302"/>
    <w:rsid w:val="00640C5F"/>
    <w:rsid w:val="006423CC"/>
    <w:rsid w:val="0064325A"/>
    <w:rsid w:val="00643851"/>
    <w:rsid w:val="006439F5"/>
    <w:rsid w:val="00644581"/>
    <w:rsid w:val="00644696"/>
    <w:rsid w:val="00644A61"/>
    <w:rsid w:val="00645350"/>
    <w:rsid w:val="006458FB"/>
    <w:rsid w:val="00646085"/>
    <w:rsid w:val="006468EE"/>
    <w:rsid w:val="0064757A"/>
    <w:rsid w:val="00647DE7"/>
    <w:rsid w:val="00653CE1"/>
    <w:rsid w:val="006543AD"/>
    <w:rsid w:val="00654851"/>
    <w:rsid w:val="00654876"/>
    <w:rsid w:val="00654C6C"/>
    <w:rsid w:val="006557D5"/>
    <w:rsid w:val="00656600"/>
    <w:rsid w:val="00656D22"/>
    <w:rsid w:val="00660970"/>
    <w:rsid w:val="006609BB"/>
    <w:rsid w:val="00662A7B"/>
    <w:rsid w:val="00662BDA"/>
    <w:rsid w:val="00662DC2"/>
    <w:rsid w:val="00662FD6"/>
    <w:rsid w:val="00663DD4"/>
    <w:rsid w:val="00664039"/>
    <w:rsid w:val="0066435A"/>
    <w:rsid w:val="00664EA5"/>
    <w:rsid w:val="00664EC8"/>
    <w:rsid w:val="00665259"/>
    <w:rsid w:val="00667841"/>
    <w:rsid w:val="00667CCF"/>
    <w:rsid w:val="00667F24"/>
    <w:rsid w:val="006708F0"/>
    <w:rsid w:val="00670E25"/>
    <w:rsid w:val="00670E78"/>
    <w:rsid w:val="00671983"/>
    <w:rsid w:val="00671A3C"/>
    <w:rsid w:val="006726FA"/>
    <w:rsid w:val="00672811"/>
    <w:rsid w:val="00672CDE"/>
    <w:rsid w:val="00672DE7"/>
    <w:rsid w:val="00674399"/>
    <w:rsid w:val="00674406"/>
    <w:rsid w:val="006749FC"/>
    <w:rsid w:val="00674A77"/>
    <w:rsid w:val="00674F80"/>
    <w:rsid w:val="00675252"/>
    <w:rsid w:val="0067533A"/>
    <w:rsid w:val="0067563D"/>
    <w:rsid w:val="00676271"/>
    <w:rsid w:val="006763CA"/>
    <w:rsid w:val="006779F4"/>
    <w:rsid w:val="00677ED7"/>
    <w:rsid w:val="00677FA6"/>
    <w:rsid w:val="006802D1"/>
    <w:rsid w:val="00680366"/>
    <w:rsid w:val="00680A2D"/>
    <w:rsid w:val="00680F73"/>
    <w:rsid w:val="00681529"/>
    <w:rsid w:val="00681BFE"/>
    <w:rsid w:val="0068292A"/>
    <w:rsid w:val="00682D8E"/>
    <w:rsid w:val="00683422"/>
    <w:rsid w:val="00683F12"/>
    <w:rsid w:val="00684125"/>
    <w:rsid w:val="00684C80"/>
    <w:rsid w:val="00684CF8"/>
    <w:rsid w:val="00684DF0"/>
    <w:rsid w:val="00686A52"/>
    <w:rsid w:val="00686BA2"/>
    <w:rsid w:val="00686D21"/>
    <w:rsid w:val="00687030"/>
    <w:rsid w:val="00687157"/>
    <w:rsid w:val="006902FD"/>
    <w:rsid w:val="00690F8F"/>
    <w:rsid w:val="00691394"/>
    <w:rsid w:val="00691737"/>
    <w:rsid w:val="00692049"/>
    <w:rsid w:val="006928C7"/>
    <w:rsid w:val="00692C5B"/>
    <w:rsid w:val="00692CAD"/>
    <w:rsid w:val="0069314A"/>
    <w:rsid w:val="00693636"/>
    <w:rsid w:val="0069431D"/>
    <w:rsid w:val="006947C3"/>
    <w:rsid w:val="00694C42"/>
    <w:rsid w:val="006958BB"/>
    <w:rsid w:val="00695CC9"/>
    <w:rsid w:val="006961F6"/>
    <w:rsid w:val="0069667F"/>
    <w:rsid w:val="00696E64"/>
    <w:rsid w:val="00696ED5"/>
    <w:rsid w:val="00697592"/>
    <w:rsid w:val="00697711"/>
    <w:rsid w:val="00697CB4"/>
    <w:rsid w:val="00697D31"/>
    <w:rsid w:val="00697F0D"/>
    <w:rsid w:val="006A004F"/>
    <w:rsid w:val="006A0DA8"/>
    <w:rsid w:val="006A2160"/>
    <w:rsid w:val="006A23B5"/>
    <w:rsid w:val="006A2AEE"/>
    <w:rsid w:val="006A3555"/>
    <w:rsid w:val="006A371C"/>
    <w:rsid w:val="006A3882"/>
    <w:rsid w:val="006A4FE7"/>
    <w:rsid w:val="006A5368"/>
    <w:rsid w:val="006A5439"/>
    <w:rsid w:val="006A57D8"/>
    <w:rsid w:val="006A71B2"/>
    <w:rsid w:val="006A75FA"/>
    <w:rsid w:val="006A7898"/>
    <w:rsid w:val="006B1611"/>
    <w:rsid w:val="006B1D0B"/>
    <w:rsid w:val="006B293A"/>
    <w:rsid w:val="006B2FA5"/>
    <w:rsid w:val="006B3212"/>
    <w:rsid w:val="006B408A"/>
    <w:rsid w:val="006B441B"/>
    <w:rsid w:val="006B4BF0"/>
    <w:rsid w:val="006B5225"/>
    <w:rsid w:val="006B55A9"/>
    <w:rsid w:val="006B5A48"/>
    <w:rsid w:val="006B610B"/>
    <w:rsid w:val="006B6736"/>
    <w:rsid w:val="006B6835"/>
    <w:rsid w:val="006B686B"/>
    <w:rsid w:val="006C0336"/>
    <w:rsid w:val="006C0722"/>
    <w:rsid w:val="006C0D1F"/>
    <w:rsid w:val="006C0D5C"/>
    <w:rsid w:val="006C10B6"/>
    <w:rsid w:val="006C1E55"/>
    <w:rsid w:val="006C3A36"/>
    <w:rsid w:val="006C3AFC"/>
    <w:rsid w:val="006C3B1F"/>
    <w:rsid w:val="006C3BA9"/>
    <w:rsid w:val="006C5468"/>
    <w:rsid w:val="006C59E1"/>
    <w:rsid w:val="006C5F0F"/>
    <w:rsid w:val="006C6706"/>
    <w:rsid w:val="006C6FA9"/>
    <w:rsid w:val="006C7DF8"/>
    <w:rsid w:val="006D03D9"/>
    <w:rsid w:val="006D0830"/>
    <w:rsid w:val="006D08AC"/>
    <w:rsid w:val="006D08BB"/>
    <w:rsid w:val="006D0A09"/>
    <w:rsid w:val="006D0E62"/>
    <w:rsid w:val="006D1229"/>
    <w:rsid w:val="006D219F"/>
    <w:rsid w:val="006D3DA0"/>
    <w:rsid w:val="006D3DEB"/>
    <w:rsid w:val="006D4109"/>
    <w:rsid w:val="006D4C7A"/>
    <w:rsid w:val="006D4CF5"/>
    <w:rsid w:val="006D56D3"/>
    <w:rsid w:val="006D5B1E"/>
    <w:rsid w:val="006D5C35"/>
    <w:rsid w:val="006D64A7"/>
    <w:rsid w:val="006D656C"/>
    <w:rsid w:val="006D6E69"/>
    <w:rsid w:val="006D75B9"/>
    <w:rsid w:val="006E0869"/>
    <w:rsid w:val="006E0D24"/>
    <w:rsid w:val="006E207B"/>
    <w:rsid w:val="006E278A"/>
    <w:rsid w:val="006E2951"/>
    <w:rsid w:val="006E40FB"/>
    <w:rsid w:val="006E44D1"/>
    <w:rsid w:val="006E46CA"/>
    <w:rsid w:val="006E4830"/>
    <w:rsid w:val="006E487F"/>
    <w:rsid w:val="006E4CA8"/>
    <w:rsid w:val="006E4D51"/>
    <w:rsid w:val="006E4DF5"/>
    <w:rsid w:val="006E570D"/>
    <w:rsid w:val="006E582E"/>
    <w:rsid w:val="006E6109"/>
    <w:rsid w:val="006E6778"/>
    <w:rsid w:val="006E6CED"/>
    <w:rsid w:val="006E7CEF"/>
    <w:rsid w:val="006E7E14"/>
    <w:rsid w:val="006F0161"/>
    <w:rsid w:val="006F0F74"/>
    <w:rsid w:val="006F1227"/>
    <w:rsid w:val="006F1782"/>
    <w:rsid w:val="006F2D77"/>
    <w:rsid w:val="006F2DF4"/>
    <w:rsid w:val="006F492D"/>
    <w:rsid w:val="006F5914"/>
    <w:rsid w:val="006F59E2"/>
    <w:rsid w:val="006F5DD9"/>
    <w:rsid w:val="006F5E8A"/>
    <w:rsid w:val="006F6145"/>
    <w:rsid w:val="006F68EC"/>
    <w:rsid w:val="006F6CED"/>
    <w:rsid w:val="006F71C6"/>
    <w:rsid w:val="006F7DC9"/>
    <w:rsid w:val="00701BE1"/>
    <w:rsid w:val="00701D18"/>
    <w:rsid w:val="00702408"/>
    <w:rsid w:val="00702857"/>
    <w:rsid w:val="00702B43"/>
    <w:rsid w:val="0070312E"/>
    <w:rsid w:val="00703A2B"/>
    <w:rsid w:val="00704535"/>
    <w:rsid w:val="00704804"/>
    <w:rsid w:val="00705098"/>
    <w:rsid w:val="00706438"/>
    <w:rsid w:val="00706BA7"/>
    <w:rsid w:val="00706E72"/>
    <w:rsid w:val="00706EA9"/>
    <w:rsid w:val="00707199"/>
    <w:rsid w:val="007071E0"/>
    <w:rsid w:val="00707379"/>
    <w:rsid w:val="0070739F"/>
    <w:rsid w:val="00707578"/>
    <w:rsid w:val="007075E3"/>
    <w:rsid w:val="007100DE"/>
    <w:rsid w:val="007103EA"/>
    <w:rsid w:val="00711186"/>
    <w:rsid w:val="00711653"/>
    <w:rsid w:val="00711CE9"/>
    <w:rsid w:val="00712542"/>
    <w:rsid w:val="0071285A"/>
    <w:rsid w:val="00713928"/>
    <w:rsid w:val="007147A5"/>
    <w:rsid w:val="0071481D"/>
    <w:rsid w:val="00715302"/>
    <w:rsid w:val="00715BE3"/>
    <w:rsid w:val="007160BA"/>
    <w:rsid w:val="00717289"/>
    <w:rsid w:val="007174C3"/>
    <w:rsid w:val="00717A2D"/>
    <w:rsid w:val="00717D8D"/>
    <w:rsid w:val="0072097C"/>
    <w:rsid w:val="00720B12"/>
    <w:rsid w:val="007217A7"/>
    <w:rsid w:val="00722598"/>
    <w:rsid w:val="007230D6"/>
    <w:rsid w:val="00723B9F"/>
    <w:rsid w:val="00724B6D"/>
    <w:rsid w:val="00724DF6"/>
    <w:rsid w:val="00725233"/>
    <w:rsid w:val="00725A3D"/>
    <w:rsid w:val="00725D45"/>
    <w:rsid w:val="00726407"/>
    <w:rsid w:val="00726C23"/>
    <w:rsid w:val="00726C53"/>
    <w:rsid w:val="00730885"/>
    <w:rsid w:val="00731E52"/>
    <w:rsid w:val="00731ECB"/>
    <w:rsid w:val="00732092"/>
    <w:rsid w:val="007322FF"/>
    <w:rsid w:val="0073269F"/>
    <w:rsid w:val="00732862"/>
    <w:rsid w:val="0073289B"/>
    <w:rsid w:val="00733A8A"/>
    <w:rsid w:val="00733B8F"/>
    <w:rsid w:val="007340B7"/>
    <w:rsid w:val="00734748"/>
    <w:rsid w:val="00734AA0"/>
    <w:rsid w:val="00734E09"/>
    <w:rsid w:val="00735481"/>
    <w:rsid w:val="00735EC1"/>
    <w:rsid w:val="00737029"/>
    <w:rsid w:val="00737BBF"/>
    <w:rsid w:val="00737CD8"/>
    <w:rsid w:val="007406A3"/>
    <w:rsid w:val="0074081C"/>
    <w:rsid w:val="00740F46"/>
    <w:rsid w:val="007410BD"/>
    <w:rsid w:val="00741686"/>
    <w:rsid w:val="007417A6"/>
    <w:rsid w:val="00741821"/>
    <w:rsid w:val="00741B22"/>
    <w:rsid w:val="00741F8D"/>
    <w:rsid w:val="00742262"/>
    <w:rsid w:val="0074398C"/>
    <w:rsid w:val="00743CE5"/>
    <w:rsid w:val="00744313"/>
    <w:rsid w:val="0074456B"/>
    <w:rsid w:val="0074684E"/>
    <w:rsid w:val="007469DE"/>
    <w:rsid w:val="00746DE8"/>
    <w:rsid w:val="00746F4C"/>
    <w:rsid w:val="0074737D"/>
    <w:rsid w:val="0074742E"/>
    <w:rsid w:val="00747894"/>
    <w:rsid w:val="0074799F"/>
    <w:rsid w:val="00747BCE"/>
    <w:rsid w:val="00747BE0"/>
    <w:rsid w:val="007504D3"/>
    <w:rsid w:val="00750B33"/>
    <w:rsid w:val="00750D11"/>
    <w:rsid w:val="00750D35"/>
    <w:rsid w:val="007523EA"/>
    <w:rsid w:val="007533EB"/>
    <w:rsid w:val="0075382E"/>
    <w:rsid w:val="0075399F"/>
    <w:rsid w:val="00753FFC"/>
    <w:rsid w:val="0075409F"/>
    <w:rsid w:val="0075417F"/>
    <w:rsid w:val="007556C7"/>
    <w:rsid w:val="00755FC8"/>
    <w:rsid w:val="00756DBB"/>
    <w:rsid w:val="007609FA"/>
    <w:rsid w:val="00760E83"/>
    <w:rsid w:val="007613B6"/>
    <w:rsid w:val="00761866"/>
    <w:rsid w:val="00764881"/>
    <w:rsid w:val="00764FB8"/>
    <w:rsid w:val="007656F6"/>
    <w:rsid w:val="00766D98"/>
    <w:rsid w:val="00767560"/>
    <w:rsid w:val="00770CF3"/>
    <w:rsid w:val="0077110F"/>
    <w:rsid w:val="00771741"/>
    <w:rsid w:val="0077192A"/>
    <w:rsid w:val="00771E2B"/>
    <w:rsid w:val="00772A4D"/>
    <w:rsid w:val="00772C72"/>
    <w:rsid w:val="00773475"/>
    <w:rsid w:val="007739FD"/>
    <w:rsid w:val="00773A19"/>
    <w:rsid w:val="00773D0C"/>
    <w:rsid w:val="00773DF0"/>
    <w:rsid w:val="00773F7E"/>
    <w:rsid w:val="00774223"/>
    <w:rsid w:val="0077422E"/>
    <w:rsid w:val="00775005"/>
    <w:rsid w:val="0077568B"/>
    <w:rsid w:val="00776C73"/>
    <w:rsid w:val="00776FCC"/>
    <w:rsid w:val="00777130"/>
    <w:rsid w:val="00777952"/>
    <w:rsid w:val="0078062D"/>
    <w:rsid w:val="00781909"/>
    <w:rsid w:val="00782109"/>
    <w:rsid w:val="007821CB"/>
    <w:rsid w:val="007822CB"/>
    <w:rsid w:val="007824AB"/>
    <w:rsid w:val="00782548"/>
    <w:rsid w:val="007827A0"/>
    <w:rsid w:val="00782D7D"/>
    <w:rsid w:val="007830E9"/>
    <w:rsid w:val="00783A97"/>
    <w:rsid w:val="00783FED"/>
    <w:rsid w:val="0078505D"/>
    <w:rsid w:val="0078508E"/>
    <w:rsid w:val="00785728"/>
    <w:rsid w:val="00785A21"/>
    <w:rsid w:val="0078663E"/>
    <w:rsid w:val="00786B3F"/>
    <w:rsid w:val="00786E95"/>
    <w:rsid w:val="00787747"/>
    <w:rsid w:val="007877E9"/>
    <w:rsid w:val="00787EA9"/>
    <w:rsid w:val="00787F69"/>
    <w:rsid w:val="0079033E"/>
    <w:rsid w:val="007905A9"/>
    <w:rsid w:val="00790980"/>
    <w:rsid w:val="00791462"/>
    <w:rsid w:val="00791680"/>
    <w:rsid w:val="00791825"/>
    <w:rsid w:val="00791A17"/>
    <w:rsid w:val="00792C16"/>
    <w:rsid w:val="00793DD7"/>
    <w:rsid w:val="007944E3"/>
    <w:rsid w:val="007955CE"/>
    <w:rsid w:val="00795DAA"/>
    <w:rsid w:val="00795E6E"/>
    <w:rsid w:val="00796F0E"/>
    <w:rsid w:val="007A0381"/>
    <w:rsid w:val="007A0895"/>
    <w:rsid w:val="007A08E0"/>
    <w:rsid w:val="007A0A64"/>
    <w:rsid w:val="007A154C"/>
    <w:rsid w:val="007A169C"/>
    <w:rsid w:val="007A1BDB"/>
    <w:rsid w:val="007A449F"/>
    <w:rsid w:val="007A4511"/>
    <w:rsid w:val="007A46B4"/>
    <w:rsid w:val="007A5885"/>
    <w:rsid w:val="007A5AB8"/>
    <w:rsid w:val="007A5CE4"/>
    <w:rsid w:val="007A6022"/>
    <w:rsid w:val="007A66C3"/>
    <w:rsid w:val="007A67D5"/>
    <w:rsid w:val="007A681A"/>
    <w:rsid w:val="007A6BC0"/>
    <w:rsid w:val="007A73F9"/>
    <w:rsid w:val="007A7483"/>
    <w:rsid w:val="007B1014"/>
    <w:rsid w:val="007B13F1"/>
    <w:rsid w:val="007B19F5"/>
    <w:rsid w:val="007B1DBF"/>
    <w:rsid w:val="007B2A70"/>
    <w:rsid w:val="007B2C40"/>
    <w:rsid w:val="007B399D"/>
    <w:rsid w:val="007B4091"/>
    <w:rsid w:val="007B40AA"/>
    <w:rsid w:val="007B40CD"/>
    <w:rsid w:val="007B495C"/>
    <w:rsid w:val="007B4C20"/>
    <w:rsid w:val="007B4D73"/>
    <w:rsid w:val="007B536F"/>
    <w:rsid w:val="007B546C"/>
    <w:rsid w:val="007B5C25"/>
    <w:rsid w:val="007B5D16"/>
    <w:rsid w:val="007B5F72"/>
    <w:rsid w:val="007B6DFF"/>
    <w:rsid w:val="007B6E63"/>
    <w:rsid w:val="007C06FB"/>
    <w:rsid w:val="007C1676"/>
    <w:rsid w:val="007C2287"/>
    <w:rsid w:val="007C2BF1"/>
    <w:rsid w:val="007C2EA0"/>
    <w:rsid w:val="007C3877"/>
    <w:rsid w:val="007C3926"/>
    <w:rsid w:val="007C5181"/>
    <w:rsid w:val="007C6183"/>
    <w:rsid w:val="007C6A2F"/>
    <w:rsid w:val="007C7A9B"/>
    <w:rsid w:val="007D0712"/>
    <w:rsid w:val="007D14A6"/>
    <w:rsid w:val="007D24B4"/>
    <w:rsid w:val="007D3A0C"/>
    <w:rsid w:val="007D3CF9"/>
    <w:rsid w:val="007D4733"/>
    <w:rsid w:val="007D4986"/>
    <w:rsid w:val="007D5020"/>
    <w:rsid w:val="007D54B4"/>
    <w:rsid w:val="007D6ABA"/>
    <w:rsid w:val="007D6EB5"/>
    <w:rsid w:val="007D7339"/>
    <w:rsid w:val="007D7918"/>
    <w:rsid w:val="007D7AFF"/>
    <w:rsid w:val="007D7EEA"/>
    <w:rsid w:val="007E0277"/>
    <w:rsid w:val="007E04B3"/>
    <w:rsid w:val="007E08AC"/>
    <w:rsid w:val="007E0DDF"/>
    <w:rsid w:val="007E15CE"/>
    <w:rsid w:val="007E2F97"/>
    <w:rsid w:val="007E3810"/>
    <w:rsid w:val="007E3D1F"/>
    <w:rsid w:val="007E3D74"/>
    <w:rsid w:val="007E4267"/>
    <w:rsid w:val="007E50B7"/>
    <w:rsid w:val="007E6A80"/>
    <w:rsid w:val="007E6B39"/>
    <w:rsid w:val="007E7640"/>
    <w:rsid w:val="007E7A21"/>
    <w:rsid w:val="007E7B7F"/>
    <w:rsid w:val="007E7CD9"/>
    <w:rsid w:val="007E7E96"/>
    <w:rsid w:val="007F043B"/>
    <w:rsid w:val="007F044F"/>
    <w:rsid w:val="007F150B"/>
    <w:rsid w:val="007F1512"/>
    <w:rsid w:val="007F1BE2"/>
    <w:rsid w:val="007F2C41"/>
    <w:rsid w:val="007F3607"/>
    <w:rsid w:val="007F4A74"/>
    <w:rsid w:val="007F585A"/>
    <w:rsid w:val="007F592D"/>
    <w:rsid w:val="007F5CF4"/>
    <w:rsid w:val="007F5F56"/>
    <w:rsid w:val="007F6C0B"/>
    <w:rsid w:val="00800D22"/>
    <w:rsid w:val="008013FB"/>
    <w:rsid w:val="0080147E"/>
    <w:rsid w:val="00801692"/>
    <w:rsid w:val="00801D32"/>
    <w:rsid w:val="00801E17"/>
    <w:rsid w:val="00801EF2"/>
    <w:rsid w:val="00802253"/>
    <w:rsid w:val="0080227C"/>
    <w:rsid w:val="0080228A"/>
    <w:rsid w:val="0080235B"/>
    <w:rsid w:val="008023E0"/>
    <w:rsid w:val="008025D1"/>
    <w:rsid w:val="008035DF"/>
    <w:rsid w:val="00803915"/>
    <w:rsid w:val="00803CFC"/>
    <w:rsid w:val="008041A1"/>
    <w:rsid w:val="008051D8"/>
    <w:rsid w:val="00805A9B"/>
    <w:rsid w:val="00805CB3"/>
    <w:rsid w:val="00805D5E"/>
    <w:rsid w:val="008061C4"/>
    <w:rsid w:val="0080630C"/>
    <w:rsid w:val="008065FD"/>
    <w:rsid w:val="00806720"/>
    <w:rsid w:val="00806E9D"/>
    <w:rsid w:val="00806F3B"/>
    <w:rsid w:val="008077F7"/>
    <w:rsid w:val="008079CF"/>
    <w:rsid w:val="0081013D"/>
    <w:rsid w:val="008101C7"/>
    <w:rsid w:val="008105B3"/>
    <w:rsid w:val="00810681"/>
    <w:rsid w:val="00810AA0"/>
    <w:rsid w:val="00810BEA"/>
    <w:rsid w:val="00811B41"/>
    <w:rsid w:val="008124FF"/>
    <w:rsid w:val="00812AFE"/>
    <w:rsid w:val="0081321B"/>
    <w:rsid w:val="008139F7"/>
    <w:rsid w:val="00813C05"/>
    <w:rsid w:val="00813EA9"/>
    <w:rsid w:val="0081468C"/>
    <w:rsid w:val="00814911"/>
    <w:rsid w:val="00814B99"/>
    <w:rsid w:val="00815805"/>
    <w:rsid w:val="00816000"/>
    <w:rsid w:val="008168D2"/>
    <w:rsid w:val="00816BFF"/>
    <w:rsid w:val="00816DEC"/>
    <w:rsid w:val="00817BFD"/>
    <w:rsid w:val="00820370"/>
    <w:rsid w:val="0082078C"/>
    <w:rsid w:val="00822C75"/>
    <w:rsid w:val="0082454E"/>
    <w:rsid w:val="008248D7"/>
    <w:rsid w:val="00825752"/>
    <w:rsid w:val="00825C31"/>
    <w:rsid w:val="008261B7"/>
    <w:rsid w:val="008265BE"/>
    <w:rsid w:val="00826E07"/>
    <w:rsid w:val="00827757"/>
    <w:rsid w:val="00827E8B"/>
    <w:rsid w:val="00831656"/>
    <w:rsid w:val="0083290B"/>
    <w:rsid w:val="00832CD0"/>
    <w:rsid w:val="008335E4"/>
    <w:rsid w:val="00833858"/>
    <w:rsid w:val="00834FC8"/>
    <w:rsid w:val="00835D39"/>
    <w:rsid w:val="0083619D"/>
    <w:rsid w:val="008403E8"/>
    <w:rsid w:val="008405A2"/>
    <w:rsid w:val="0084061E"/>
    <w:rsid w:val="00840891"/>
    <w:rsid w:val="00841DBC"/>
    <w:rsid w:val="00841E41"/>
    <w:rsid w:val="00842064"/>
    <w:rsid w:val="0084228F"/>
    <w:rsid w:val="00842437"/>
    <w:rsid w:val="00842664"/>
    <w:rsid w:val="00842780"/>
    <w:rsid w:val="0084338C"/>
    <w:rsid w:val="0084475D"/>
    <w:rsid w:val="00844EA4"/>
    <w:rsid w:val="00845028"/>
    <w:rsid w:val="00845175"/>
    <w:rsid w:val="008459E9"/>
    <w:rsid w:val="0084644C"/>
    <w:rsid w:val="00847862"/>
    <w:rsid w:val="008478B5"/>
    <w:rsid w:val="0085011E"/>
    <w:rsid w:val="008507B6"/>
    <w:rsid w:val="00852325"/>
    <w:rsid w:val="008532FA"/>
    <w:rsid w:val="008541C7"/>
    <w:rsid w:val="00855225"/>
    <w:rsid w:val="00855775"/>
    <w:rsid w:val="00855B02"/>
    <w:rsid w:val="00855BA4"/>
    <w:rsid w:val="00856599"/>
    <w:rsid w:val="008569E5"/>
    <w:rsid w:val="00857361"/>
    <w:rsid w:val="008573DD"/>
    <w:rsid w:val="00857D54"/>
    <w:rsid w:val="00861CFA"/>
    <w:rsid w:val="00862FC8"/>
    <w:rsid w:val="0086341A"/>
    <w:rsid w:val="0086410D"/>
    <w:rsid w:val="008645E0"/>
    <w:rsid w:val="00864759"/>
    <w:rsid w:val="0086569B"/>
    <w:rsid w:val="00865EAB"/>
    <w:rsid w:val="008669FC"/>
    <w:rsid w:val="00866B07"/>
    <w:rsid w:val="00866C9C"/>
    <w:rsid w:val="00870C68"/>
    <w:rsid w:val="00871AB1"/>
    <w:rsid w:val="00871E07"/>
    <w:rsid w:val="0087278C"/>
    <w:rsid w:val="008730E3"/>
    <w:rsid w:val="008731B8"/>
    <w:rsid w:val="00873D31"/>
    <w:rsid w:val="00873D41"/>
    <w:rsid w:val="008749A1"/>
    <w:rsid w:val="00874AAA"/>
    <w:rsid w:val="0088012E"/>
    <w:rsid w:val="00880934"/>
    <w:rsid w:val="008809A0"/>
    <w:rsid w:val="00880A78"/>
    <w:rsid w:val="00882E40"/>
    <w:rsid w:val="00883B06"/>
    <w:rsid w:val="00884548"/>
    <w:rsid w:val="0088454E"/>
    <w:rsid w:val="00884BB4"/>
    <w:rsid w:val="0088530E"/>
    <w:rsid w:val="008853D8"/>
    <w:rsid w:val="008861E8"/>
    <w:rsid w:val="00886B3B"/>
    <w:rsid w:val="008871D4"/>
    <w:rsid w:val="008873D1"/>
    <w:rsid w:val="00887697"/>
    <w:rsid w:val="00890A10"/>
    <w:rsid w:val="00890C74"/>
    <w:rsid w:val="008911E9"/>
    <w:rsid w:val="00891623"/>
    <w:rsid w:val="00891B62"/>
    <w:rsid w:val="00892274"/>
    <w:rsid w:val="0089248D"/>
    <w:rsid w:val="008934CB"/>
    <w:rsid w:val="00893669"/>
    <w:rsid w:val="00894C19"/>
    <w:rsid w:val="00895DD9"/>
    <w:rsid w:val="00895F8C"/>
    <w:rsid w:val="00896341"/>
    <w:rsid w:val="008966D2"/>
    <w:rsid w:val="008968D6"/>
    <w:rsid w:val="0089700C"/>
    <w:rsid w:val="008971D8"/>
    <w:rsid w:val="00897453"/>
    <w:rsid w:val="0089768E"/>
    <w:rsid w:val="00897E55"/>
    <w:rsid w:val="008A0A6C"/>
    <w:rsid w:val="008A10A8"/>
    <w:rsid w:val="008A1264"/>
    <w:rsid w:val="008A15C7"/>
    <w:rsid w:val="008A1F33"/>
    <w:rsid w:val="008A2469"/>
    <w:rsid w:val="008A2AC9"/>
    <w:rsid w:val="008A2DC7"/>
    <w:rsid w:val="008A2F63"/>
    <w:rsid w:val="008A37DE"/>
    <w:rsid w:val="008A3909"/>
    <w:rsid w:val="008A3FED"/>
    <w:rsid w:val="008A453B"/>
    <w:rsid w:val="008A49E7"/>
    <w:rsid w:val="008A512D"/>
    <w:rsid w:val="008A5216"/>
    <w:rsid w:val="008A5675"/>
    <w:rsid w:val="008A6078"/>
    <w:rsid w:val="008A7193"/>
    <w:rsid w:val="008A7EFA"/>
    <w:rsid w:val="008B10D9"/>
    <w:rsid w:val="008B1CBB"/>
    <w:rsid w:val="008B2857"/>
    <w:rsid w:val="008B2A4F"/>
    <w:rsid w:val="008B2B3E"/>
    <w:rsid w:val="008B2E6A"/>
    <w:rsid w:val="008B346C"/>
    <w:rsid w:val="008B34B5"/>
    <w:rsid w:val="008B4E6B"/>
    <w:rsid w:val="008B5E70"/>
    <w:rsid w:val="008B6514"/>
    <w:rsid w:val="008B6FAF"/>
    <w:rsid w:val="008B7164"/>
    <w:rsid w:val="008B774D"/>
    <w:rsid w:val="008B7908"/>
    <w:rsid w:val="008C02A4"/>
    <w:rsid w:val="008C0414"/>
    <w:rsid w:val="008C055F"/>
    <w:rsid w:val="008C085B"/>
    <w:rsid w:val="008C2B64"/>
    <w:rsid w:val="008C3911"/>
    <w:rsid w:val="008C44F9"/>
    <w:rsid w:val="008C4E1E"/>
    <w:rsid w:val="008C6529"/>
    <w:rsid w:val="008C7A47"/>
    <w:rsid w:val="008C7B53"/>
    <w:rsid w:val="008D0691"/>
    <w:rsid w:val="008D0838"/>
    <w:rsid w:val="008D0C96"/>
    <w:rsid w:val="008D15FB"/>
    <w:rsid w:val="008D18AC"/>
    <w:rsid w:val="008D1DC1"/>
    <w:rsid w:val="008D2561"/>
    <w:rsid w:val="008D2DE5"/>
    <w:rsid w:val="008D3251"/>
    <w:rsid w:val="008D3543"/>
    <w:rsid w:val="008D3D08"/>
    <w:rsid w:val="008D41D4"/>
    <w:rsid w:val="008D4BE1"/>
    <w:rsid w:val="008D5F09"/>
    <w:rsid w:val="008D6D12"/>
    <w:rsid w:val="008D6DF4"/>
    <w:rsid w:val="008D7887"/>
    <w:rsid w:val="008D78E5"/>
    <w:rsid w:val="008D7D96"/>
    <w:rsid w:val="008D7DD9"/>
    <w:rsid w:val="008E049E"/>
    <w:rsid w:val="008E09F2"/>
    <w:rsid w:val="008E1119"/>
    <w:rsid w:val="008E129A"/>
    <w:rsid w:val="008E1A20"/>
    <w:rsid w:val="008E1E2E"/>
    <w:rsid w:val="008E20F0"/>
    <w:rsid w:val="008E2B44"/>
    <w:rsid w:val="008E2C13"/>
    <w:rsid w:val="008E30AE"/>
    <w:rsid w:val="008E3204"/>
    <w:rsid w:val="008E3C25"/>
    <w:rsid w:val="008E437D"/>
    <w:rsid w:val="008E4CFC"/>
    <w:rsid w:val="008E5443"/>
    <w:rsid w:val="008E62BF"/>
    <w:rsid w:val="008E6492"/>
    <w:rsid w:val="008E6501"/>
    <w:rsid w:val="008E6F86"/>
    <w:rsid w:val="008E7813"/>
    <w:rsid w:val="008E7B74"/>
    <w:rsid w:val="008E7C17"/>
    <w:rsid w:val="008E7DEE"/>
    <w:rsid w:val="008F100D"/>
    <w:rsid w:val="008F1742"/>
    <w:rsid w:val="008F293C"/>
    <w:rsid w:val="008F2BC6"/>
    <w:rsid w:val="008F2F91"/>
    <w:rsid w:val="008F318D"/>
    <w:rsid w:val="008F321B"/>
    <w:rsid w:val="008F339E"/>
    <w:rsid w:val="008F4601"/>
    <w:rsid w:val="008F6295"/>
    <w:rsid w:val="008F6477"/>
    <w:rsid w:val="008F6A1B"/>
    <w:rsid w:val="008F6AC7"/>
    <w:rsid w:val="008F740D"/>
    <w:rsid w:val="008F79E4"/>
    <w:rsid w:val="008F7BA1"/>
    <w:rsid w:val="008F7D1D"/>
    <w:rsid w:val="0090071F"/>
    <w:rsid w:val="00900AC2"/>
    <w:rsid w:val="00900D22"/>
    <w:rsid w:val="00901082"/>
    <w:rsid w:val="0090180B"/>
    <w:rsid w:val="009020E9"/>
    <w:rsid w:val="00902632"/>
    <w:rsid w:val="0090357A"/>
    <w:rsid w:val="009039AC"/>
    <w:rsid w:val="009040BB"/>
    <w:rsid w:val="009054D4"/>
    <w:rsid w:val="009067BC"/>
    <w:rsid w:val="009076AC"/>
    <w:rsid w:val="00907850"/>
    <w:rsid w:val="00907B95"/>
    <w:rsid w:val="00907D2E"/>
    <w:rsid w:val="00907F85"/>
    <w:rsid w:val="009101A1"/>
    <w:rsid w:val="00910644"/>
    <w:rsid w:val="009107B8"/>
    <w:rsid w:val="009109ED"/>
    <w:rsid w:val="00910B9F"/>
    <w:rsid w:val="0091155F"/>
    <w:rsid w:val="0091217B"/>
    <w:rsid w:val="0091244C"/>
    <w:rsid w:val="00912504"/>
    <w:rsid w:val="009126E4"/>
    <w:rsid w:val="00913353"/>
    <w:rsid w:val="009143CD"/>
    <w:rsid w:val="009147D8"/>
    <w:rsid w:val="00914953"/>
    <w:rsid w:val="00914F0F"/>
    <w:rsid w:val="00915219"/>
    <w:rsid w:val="00915AB3"/>
    <w:rsid w:val="00916066"/>
    <w:rsid w:val="00916238"/>
    <w:rsid w:val="009169F9"/>
    <w:rsid w:val="00917EF8"/>
    <w:rsid w:val="0092024B"/>
    <w:rsid w:val="00920444"/>
    <w:rsid w:val="00920467"/>
    <w:rsid w:val="00920921"/>
    <w:rsid w:val="00920DCA"/>
    <w:rsid w:val="00921587"/>
    <w:rsid w:val="009219DB"/>
    <w:rsid w:val="00921AA6"/>
    <w:rsid w:val="0092200F"/>
    <w:rsid w:val="009225A0"/>
    <w:rsid w:val="00922831"/>
    <w:rsid w:val="00922FA5"/>
    <w:rsid w:val="00923BBF"/>
    <w:rsid w:val="0092425C"/>
    <w:rsid w:val="0092449D"/>
    <w:rsid w:val="00924811"/>
    <w:rsid w:val="00925E5F"/>
    <w:rsid w:val="009268DD"/>
    <w:rsid w:val="00927255"/>
    <w:rsid w:val="0092781B"/>
    <w:rsid w:val="00930E35"/>
    <w:rsid w:val="009311E2"/>
    <w:rsid w:val="00931B8F"/>
    <w:rsid w:val="009327C2"/>
    <w:rsid w:val="009329B5"/>
    <w:rsid w:val="00932A82"/>
    <w:rsid w:val="00934094"/>
    <w:rsid w:val="00934D3E"/>
    <w:rsid w:val="00934EF8"/>
    <w:rsid w:val="00934FE1"/>
    <w:rsid w:val="00935326"/>
    <w:rsid w:val="00935457"/>
    <w:rsid w:val="0093594E"/>
    <w:rsid w:val="0093601B"/>
    <w:rsid w:val="009365F3"/>
    <w:rsid w:val="00936C5A"/>
    <w:rsid w:val="00936C7D"/>
    <w:rsid w:val="00936F4A"/>
    <w:rsid w:val="009370C2"/>
    <w:rsid w:val="00937776"/>
    <w:rsid w:val="009401D6"/>
    <w:rsid w:val="00940622"/>
    <w:rsid w:val="00941792"/>
    <w:rsid w:val="00941BEC"/>
    <w:rsid w:val="00941CA1"/>
    <w:rsid w:val="00941DD0"/>
    <w:rsid w:val="00942120"/>
    <w:rsid w:val="009422F7"/>
    <w:rsid w:val="00942813"/>
    <w:rsid w:val="00943152"/>
    <w:rsid w:val="009437E3"/>
    <w:rsid w:val="00944979"/>
    <w:rsid w:val="00944F6A"/>
    <w:rsid w:val="00945A25"/>
    <w:rsid w:val="00945B81"/>
    <w:rsid w:val="00945C1B"/>
    <w:rsid w:val="00946530"/>
    <w:rsid w:val="009466DE"/>
    <w:rsid w:val="00946BB5"/>
    <w:rsid w:val="00946FB2"/>
    <w:rsid w:val="00947263"/>
    <w:rsid w:val="009476DF"/>
    <w:rsid w:val="00947E4F"/>
    <w:rsid w:val="009503CA"/>
    <w:rsid w:val="00950B91"/>
    <w:rsid w:val="009513AC"/>
    <w:rsid w:val="009519D5"/>
    <w:rsid w:val="00951F67"/>
    <w:rsid w:val="00952E61"/>
    <w:rsid w:val="00953F19"/>
    <w:rsid w:val="0095421C"/>
    <w:rsid w:val="009554AD"/>
    <w:rsid w:val="009554E2"/>
    <w:rsid w:val="009554E4"/>
    <w:rsid w:val="00955645"/>
    <w:rsid w:val="009556E1"/>
    <w:rsid w:val="00955771"/>
    <w:rsid w:val="00955856"/>
    <w:rsid w:val="00956457"/>
    <w:rsid w:val="0095687F"/>
    <w:rsid w:val="0095741D"/>
    <w:rsid w:val="00957E6E"/>
    <w:rsid w:val="00957E96"/>
    <w:rsid w:val="009600F7"/>
    <w:rsid w:val="009608D4"/>
    <w:rsid w:val="00960F51"/>
    <w:rsid w:val="00961EF8"/>
    <w:rsid w:val="00961F80"/>
    <w:rsid w:val="009636A0"/>
    <w:rsid w:val="00963E70"/>
    <w:rsid w:val="00964234"/>
    <w:rsid w:val="0096449E"/>
    <w:rsid w:val="009647A7"/>
    <w:rsid w:val="009649AD"/>
    <w:rsid w:val="00964BA3"/>
    <w:rsid w:val="00965246"/>
    <w:rsid w:val="009653A4"/>
    <w:rsid w:val="00965E97"/>
    <w:rsid w:val="00966217"/>
    <w:rsid w:val="00967481"/>
    <w:rsid w:val="00967869"/>
    <w:rsid w:val="00967CFD"/>
    <w:rsid w:val="00967D71"/>
    <w:rsid w:val="00970A92"/>
    <w:rsid w:val="00970DB7"/>
    <w:rsid w:val="00970EA6"/>
    <w:rsid w:val="00971089"/>
    <w:rsid w:val="0097198A"/>
    <w:rsid w:val="00971EAB"/>
    <w:rsid w:val="009720C4"/>
    <w:rsid w:val="00973DC4"/>
    <w:rsid w:val="009754E6"/>
    <w:rsid w:val="00975C5D"/>
    <w:rsid w:val="00976219"/>
    <w:rsid w:val="009766FD"/>
    <w:rsid w:val="0097672F"/>
    <w:rsid w:val="00976A68"/>
    <w:rsid w:val="00976EC0"/>
    <w:rsid w:val="00977DF1"/>
    <w:rsid w:val="00977E1F"/>
    <w:rsid w:val="00977F8D"/>
    <w:rsid w:val="009805B6"/>
    <w:rsid w:val="009809D8"/>
    <w:rsid w:val="00980BB0"/>
    <w:rsid w:val="009811D2"/>
    <w:rsid w:val="00981D77"/>
    <w:rsid w:val="00981DEA"/>
    <w:rsid w:val="00982CDA"/>
    <w:rsid w:val="009840BC"/>
    <w:rsid w:val="009845D5"/>
    <w:rsid w:val="00984A2A"/>
    <w:rsid w:val="00984C97"/>
    <w:rsid w:val="00984D6C"/>
    <w:rsid w:val="009853AA"/>
    <w:rsid w:val="0098558A"/>
    <w:rsid w:val="00985F46"/>
    <w:rsid w:val="0098721E"/>
    <w:rsid w:val="009872C3"/>
    <w:rsid w:val="00987405"/>
    <w:rsid w:val="00987971"/>
    <w:rsid w:val="00987D75"/>
    <w:rsid w:val="00987F49"/>
    <w:rsid w:val="009909AC"/>
    <w:rsid w:val="00991B9F"/>
    <w:rsid w:val="0099270A"/>
    <w:rsid w:val="00993C21"/>
    <w:rsid w:val="00994430"/>
    <w:rsid w:val="00994B7E"/>
    <w:rsid w:val="00994F99"/>
    <w:rsid w:val="00995040"/>
    <w:rsid w:val="00995BA5"/>
    <w:rsid w:val="009968A6"/>
    <w:rsid w:val="009969CB"/>
    <w:rsid w:val="00996A96"/>
    <w:rsid w:val="009978F0"/>
    <w:rsid w:val="009A0192"/>
    <w:rsid w:val="009A0196"/>
    <w:rsid w:val="009A04CE"/>
    <w:rsid w:val="009A04EA"/>
    <w:rsid w:val="009A095B"/>
    <w:rsid w:val="009A0BFB"/>
    <w:rsid w:val="009A0CC2"/>
    <w:rsid w:val="009A0E0E"/>
    <w:rsid w:val="009A1169"/>
    <w:rsid w:val="009A1799"/>
    <w:rsid w:val="009A33C9"/>
    <w:rsid w:val="009A3FE9"/>
    <w:rsid w:val="009A4608"/>
    <w:rsid w:val="009A464E"/>
    <w:rsid w:val="009A6F03"/>
    <w:rsid w:val="009B069E"/>
    <w:rsid w:val="009B11B2"/>
    <w:rsid w:val="009B135A"/>
    <w:rsid w:val="009B1944"/>
    <w:rsid w:val="009B2207"/>
    <w:rsid w:val="009B2C2B"/>
    <w:rsid w:val="009B43D6"/>
    <w:rsid w:val="009B4443"/>
    <w:rsid w:val="009B4452"/>
    <w:rsid w:val="009B4608"/>
    <w:rsid w:val="009B4FB8"/>
    <w:rsid w:val="009B5111"/>
    <w:rsid w:val="009B51C2"/>
    <w:rsid w:val="009B57F9"/>
    <w:rsid w:val="009B6675"/>
    <w:rsid w:val="009B6BFB"/>
    <w:rsid w:val="009B6C89"/>
    <w:rsid w:val="009B70BA"/>
    <w:rsid w:val="009B770B"/>
    <w:rsid w:val="009C0677"/>
    <w:rsid w:val="009C0DDE"/>
    <w:rsid w:val="009C1799"/>
    <w:rsid w:val="009C1DCA"/>
    <w:rsid w:val="009C3057"/>
    <w:rsid w:val="009C334F"/>
    <w:rsid w:val="009C4050"/>
    <w:rsid w:val="009C48D6"/>
    <w:rsid w:val="009C4C59"/>
    <w:rsid w:val="009C4C70"/>
    <w:rsid w:val="009C5417"/>
    <w:rsid w:val="009C5D5D"/>
    <w:rsid w:val="009C7CBD"/>
    <w:rsid w:val="009D0012"/>
    <w:rsid w:val="009D08B1"/>
    <w:rsid w:val="009D1162"/>
    <w:rsid w:val="009D1372"/>
    <w:rsid w:val="009D1F0D"/>
    <w:rsid w:val="009D2022"/>
    <w:rsid w:val="009D2310"/>
    <w:rsid w:val="009D2452"/>
    <w:rsid w:val="009D267A"/>
    <w:rsid w:val="009D27B1"/>
    <w:rsid w:val="009D2FBA"/>
    <w:rsid w:val="009D32F6"/>
    <w:rsid w:val="009D3300"/>
    <w:rsid w:val="009D3B14"/>
    <w:rsid w:val="009D5CA5"/>
    <w:rsid w:val="009D6A41"/>
    <w:rsid w:val="009D7149"/>
    <w:rsid w:val="009D7A52"/>
    <w:rsid w:val="009E0534"/>
    <w:rsid w:val="009E06A6"/>
    <w:rsid w:val="009E10FB"/>
    <w:rsid w:val="009E1D7E"/>
    <w:rsid w:val="009E20AC"/>
    <w:rsid w:val="009E2850"/>
    <w:rsid w:val="009E2B01"/>
    <w:rsid w:val="009E2DC1"/>
    <w:rsid w:val="009E3E4C"/>
    <w:rsid w:val="009E46D0"/>
    <w:rsid w:val="009E5AE1"/>
    <w:rsid w:val="009E61D1"/>
    <w:rsid w:val="009E64A4"/>
    <w:rsid w:val="009E6B9E"/>
    <w:rsid w:val="009E6D9D"/>
    <w:rsid w:val="009E70D8"/>
    <w:rsid w:val="009E7219"/>
    <w:rsid w:val="009E72E2"/>
    <w:rsid w:val="009E7803"/>
    <w:rsid w:val="009E78C6"/>
    <w:rsid w:val="009E7AD1"/>
    <w:rsid w:val="009E7DDD"/>
    <w:rsid w:val="009F01C9"/>
    <w:rsid w:val="009F0460"/>
    <w:rsid w:val="009F08E3"/>
    <w:rsid w:val="009F17C5"/>
    <w:rsid w:val="009F1985"/>
    <w:rsid w:val="009F2091"/>
    <w:rsid w:val="009F2388"/>
    <w:rsid w:val="009F2859"/>
    <w:rsid w:val="009F3D3F"/>
    <w:rsid w:val="009F4AC0"/>
    <w:rsid w:val="009F514E"/>
    <w:rsid w:val="009F5732"/>
    <w:rsid w:val="009F661B"/>
    <w:rsid w:val="009F69D6"/>
    <w:rsid w:val="009F7386"/>
    <w:rsid w:val="009F79F9"/>
    <w:rsid w:val="00A017F2"/>
    <w:rsid w:val="00A01DC9"/>
    <w:rsid w:val="00A020D2"/>
    <w:rsid w:val="00A02328"/>
    <w:rsid w:val="00A0270F"/>
    <w:rsid w:val="00A02BF2"/>
    <w:rsid w:val="00A0327C"/>
    <w:rsid w:val="00A03438"/>
    <w:rsid w:val="00A03B77"/>
    <w:rsid w:val="00A03FDB"/>
    <w:rsid w:val="00A04C13"/>
    <w:rsid w:val="00A04F95"/>
    <w:rsid w:val="00A05177"/>
    <w:rsid w:val="00A05634"/>
    <w:rsid w:val="00A05996"/>
    <w:rsid w:val="00A05B9C"/>
    <w:rsid w:val="00A0698A"/>
    <w:rsid w:val="00A108FF"/>
    <w:rsid w:val="00A10FD0"/>
    <w:rsid w:val="00A11620"/>
    <w:rsid w:val="00A124F4"/>
    <w:rsid w:val="00A12B8E"/>
    <w:rsid w:val="00A13B01"/>
    <w:rsid w:val="00A1439C"/>
    <w:rsid w:val="00A14951"/>
    <w:rsid w:val="00A14D2F"/>
    <w:rsid w:val="00A14ECD"/>
    <w:rsid w:val="00A16023"/>
    <w:rsid w:val="00A16959"/>
    <w:rsid w:val="00A1798A"/>
    <w:rsid w:val="00A2061A"/>
    <w:rsid w:val="00A20740"/>
    <w:rsid w:val="00A2077A"/>
    <w:rsid w:val="00A208A9"/>
    <w:rsid w:val="00A20C2E"/>
    <w:rsid w:val="00A20E5E"/>
    <w:rsid w:val="00A20EDD"/>
    <w:rsid w:val="00A2104E"/>
    <w:rsid w:val="00A21260"/>
    <w:rsid w:val="00A222C1"/>
    <w:rsid w:val="00A222F6"/>
    <w:rsid w:val="00A22F0A"/>
    <w:rsid w:val="00A2344A"/>
    <w:rsid w:val="00A23657"/>
    <w:rsid w:val="00A23792"/>
    <w:rsid w:val="00A23F10"/>
    <w:rsid w:val="00A2406E"/>
    <w:rsid w:val="00A24451"/>
    <w:rsid w:val="00A2494E"/>
    <w:rsid w:val="00A25123"/>
    <w:rsid w:val="00A254F5"/>
    <w:rsid w:val="00A25591"/>
    <w:rsid w:val="00A256C5"/>
    <w:rsid w:val="00A25877"/>
    <w:rsid w:val="00A260B9"/>
    <w:rsid w:val="00A263E9"/>
    <w:rsid w:val="00A26956"/>
    <w:rsid w:val="00A26A8B"/>
    <w:rsid w:val="00A30D5D"/>
    <w:rsid w:val="00A31E2B"/>
    <w:rsid w:val="00A33E65"/>
    <w:rsid w:val="00A3429B"/>
    <w:rsid w:val="00A34483"/>
    <w:rsid w:val="00A34A30"/>
    <w:rsid w:val="00A34ECD"/>
    <w:rsid w:val="00A35911"/>
    <w:rsid w:val="00A370AA"/>
    <w:rsid w:val="00A371B9"/>
    <w:rsid w:val="00A37263"/>
    <w:rsid w:val="00A3764B"/>
    <w:rsid w:val="00A37739"/>
    <w:rsid w:val="00A37DF0"/>
    <w:rsid w:val="00A40617"/>
    <w:rsid w:val="00A40C9A"/>
    <w:rsid w:val="00A41D3D"/>
    <w:rsid w:val="00A4222A"/>
    <w:rsid w:val="00A42330"/>
    <w:rsid w:val="00A42AC5"/>
    <w:rsid w:val="00A42C34"/>
    <w:rsid w:val="00A43227"/>
    <w:rsid w:val="00A43632"/>
    <w:rsid w:val="00A43640"/>
    <w:rsid w:val="00A43B30"/>
    <w:rsid w:val="00A44713"/>
    <w:rsid w:val="00A44C25"/>
    <w:rsid w:val="00A44F5E"/>
    <w:rsid w:val="00A45536"/>
    <w:rsid w:val="00A460A8"/>
    <w:rsid w:val="00A464EE"/>
    <w:rsid w:val="00A46E9D"/>
    <w:rsid w:val="00A47361"/>
    <w:rsid w:val="00A47C44"/>
    <w:rsid w:val="00A50289"/>
    <w:rsid w:val="00A50D76"/>
    <w:rsid w:val="00A510C4"/>
    <w:rsid w:val="00A51E3E"/>
    <w:rsid w:val="00A52100"/>
    <w:rsid w:val="00A52B2B"/>
    <w:rsid w:val="00A52EED"/>
    <w:rsid w:val="00A549AA"/>
    <w:rsid w:val="00A54E1D"/>
    <w:rsid w:val="00A55832"/>
    <w:rsid w:val="00A558B4"/>
    <w:rsid w:val="00A55C0D"/>
    <w:rsid w:val="00A56B45"/>
    <w:rsid w:val="00A5721A"/>
    <w:rsid w:val="00A579DD"/>
    <w:rsid w:val="00A60084"/>
    <w:rsid w:val="00A60275"/>
    <w:rsid w:val="00A60497"/>
    <w:rsid w:val="00A612DA"/>
    <w:rsid w:val="00A61318"/>
    <w:rsid w:val="00A61DEF"/>
    <w:rsid w:val="00A62B6B"/>
    <w:rsid w:val="00A638BC"/>
    <w:rsid w:val="00A638F3"/>
    <w:rsid w:val="00A640A2"/>
    <w:rsid w:val="00A64FA9"/>
    <w:rsid w:val="00A6501E"/>
    <w:rsid w:val="00A66C00"/>
    <w:rsid w:val="00A67C51"/>
    <w:rsid w:val="00A67F27"/>
    <w:rsid w:val="00A70506"/>
    <w:rsid w:val="00A70B0D"/>
    <w:rsid w:val="00A70E54"/>
    <w:rsid w:val="00A73166"/>
    <w:rsid w:val="00A74E47"/>
    <w:rsid w:val="00A75791"/>
    <w:rsid w:val="00A75A34"/>
    <w:rsid w:val="00A75D30"/>
    <w:rsid w:val="00A76363"/>
    <w:rsid w:val="00A76AE8"/>
    <w:rsid w:val="00A76E2A"/>
    <w:rsid w:val="00A801C8"/>
    <w:rsid w:val="00A80231"/>
    <w:rsid w:val="00A80D32"/>
    <w:rsid w:val="00A819CC"/>
    <w:rsid w:val="00A81F54"/>
    <w:rsid w:val="00A82728"/>
    <w:rsid w:val="00A83CBE"/>
    <w:rsid w:val="00A83E79"/>
    <w:rsid w:val="00A840BD"/>
    <w:rsid w:val="00A84E00"/>
    <w:rsid w:val="00A84E22"/>
    <w:rsid w:val="00A85996"/>
    <w:rsid w:val="00A85AA0"/>
    <w:rsid w:val="00A86A96"/>
    <w:rsid w:val="00A86C3B"/>
    <w:rsid w:val="00A86DFA"/>
    <w:rsid w:val="00A875D7"/>
    <w:rsid w:val="00A87CAB"/>
    <w:rsid w:val="00A87CE2"/>
    <w:rsid w:val="00A90EC8"/>
    <w:rsid w:val="00A9169D"/>
    <w:rsid w:val="00A92333"/>
    <w:rsid w:val="00A92475"/>
    <w:rsid w:val="00A925AC"/>
    <w:rsid w:val="00A92A0B"/>
    <w:rsid w:val="00A930A5"/>
    <w:rsid w:val="00A940D2"/>
    <w:rsid w:val="00A94519"/>
    <w:rsid w:val="00A95802"/>
    <w:rsid w:val="00A95DF4"/>
    <w:rsid w:val="00A96516"/>
    <w:rsid w:val="00A96C9C"/>
    <w:rsid w:val="00A96FBC"/>
    <w:rsid w:val="00A979EC"/>
    <w:rsid w:val="00A97AAB"/>
    <w:rsid w:val="00AA106F"/>
    <w:rsid w:val="00AA1B83"/>
    <w:rsid w:val="00AA23AE"/>
    <w:rsid w:val="00AA29D5"/>
    <w:rsid w:val="00AA2ABC"/>
    <w:rsid w:val="00AA3430"/>
    <w:rsid w:val="00AA4508"/>
    <w:rsid w:val="00AA4C73"/>
    <w:rsid w:val="00AA5A01"/>
    <w:rsid w:val="00AA5A18"/>
    <w:rsid w:val="00AA5B72"/>
    <w:rsid w:val="00AA6229"/>
    <w:rsid w:val="00AA63FE"/>
    <w:rsid w:val="00AA698A"/>
    <w:rsid w:val="00AA69A9"/>
    <w:rsid w:val="00AA7045"/>
    <w:rsid w:val="00AA7396"/>
    <w:rsid w:val="00AA7DFA"/>
    <w:rsid w:val="00AB2FF7"/>
    <w:rsid w:val="00AB30CC"/>
    <w:rsid w:val="00AB3134"/>
    <w:rsid w:val="00AB3270"/>
    <w:rsid w:val="00AB3CA5"/>
    <w:rsid w:val="00AB488F"/>
    <w:rsid w:val="00AB4BC6"/>
    <w:rsid w:val="00AB524E"/>
    <w:rsid w:val="00AB5BC9"/>
    <w:rsid w:val="00AB5F03"/>
    <w:rsid w:val="00AB67D1"/>
    <w:rsid w:val="00AB6CAD"/>
    <w:rsid w:val="00AB6F91"/>
    <w:rsid w:val="00AB70D5"/>
    <w:rsid w:val="00AC07A0"/>
    <w:rsid w:val="00AC0B26"/>
    <w:rsid w:val="00AC17B1"/>
    <w:rsid w:val="00AC1CE6"/>
    <w:rsid w:val="00AC2543"/>
    <w:rsid w:val="00AC2C03"/>
    <w:rsid w:val="00AC2E65"/>
    <w:rsid w:val="00AC3A5F"/>
    <w:rsid w:val="00AC40D3"/>
    <w:rsid w:val="00AC411B"/>
    <w:rsid w:val="00AC48E4"/>
    <w:rsid w:val="00AC5017"/>
    <w:rsid w:val="00AC517A"/>
    <w:rsid w:val="00AC522B"/>
    <w:rsid w:val="00AC6A12"/>
    <w:rsid w:val="00AC6BFF"/>
    <w:rsid w:val="00AC7729"/>
    <w:rsid w:val="00AC7FC5"/>
    <w:rsid w:val="00AD1C5A"/>
    <w:rsid w:val="00AD2CB6"/>
    <w:rsid w:val="00AD2EC7"/>
    <w:rsid w:val="00AD3122"/>
    <w:rsid w:val="00AD3883"/>
    <w:rsid w:val="00AD5657"/>
    <w:rsid w:val="00AD56A1"/>
    <w:rsid w:val="00AD5DC2"/>
    <w:rsid w:val="00AD5E2F"/>
    <w:rsid w:val="00AD61CD"/>
    <w:rsid w:val="00AD6220"/>
    <w:rsid w:val="00AD6305"/>
    <w:rsid w:val="00AD69C7"/>
    <w:rsid w:val="00AD6EB7"/>
    <w:rsid w:val="00AD79E7"/>
    <w:rsid w:val="00AD7D62"/>
    <w:rsid w:val="00AD7F85"/>
    <w:rsid w:val="00AE1EA7"/>
    <w:rsid w:val="00AE2394"/>
    <w:rsid w:val="00AE2561"/>
    <w:rsid w:val="00AE3F80"/>
    <w:rsid w:val="00AE5D10"/>
    <w:rsid w:val="00AE6A31"/>
    <w:rsid w:val="00AE6F4B"/>
    <w:rsid w:val="00AE7B5A"/>
    <w:rsid w:val="00AE7C85"/>
    <w:rsid w:val="00AF0058"/>
    <w:rsid w:val="00AF12F9"/>
    <w:rsid w:val="00AF13FE"/>
    <w:rsid w:val="00AF1E52"/>
    <w:rsid w:val="00AF297C"/>
    <w:rsid w:val="00AF2FAF"/>
    <w:rsid w:val="00AF2FE6"/>
    <w:rsid w:val="00AF32F8"/>
    <w:rsid w:val="00AF3763"/>
    <w:rsid w:val="00AF4E30"/>
    <w:rsid w:val="00AF54A3"/>
    <w:rsid w:val="00AF5A1C"/>
    <w:rsid w:val="00AF5DF4"/>
    <w:rsid w:val="00AF6646"/>
    <w:rsid w:val="00AF714F"/>
    <w:rsid w:val="00AF7248"/>
    <w:rsid w:val="00AF7385"/>
    <w:rsid w:val="00B001DA"/>
    <w:rsid w:val="00B00547"/>
    <w:rsid w:val="00B00F42"/>
    <w:rsid w:val="00B01E60"/>
    <w:rsid w:val="00B01EFD"/>
    <w:rsid w:val="00B0332D"/>
    <w:rsid w:val="00B04E41"/>
    <w:rsid w:val="00B05424"/>
    <w:rsid w:val="00B05695"/>
    <w:rsid w:val="00B05B9B"/>
    <w:rsid w:val="00B06709"/>
    <w:rsid w:val="00B06E4A"/>
    <w:rsid w:val="00B07539"/>
    <w:rsid w:val="00B079A6"/>
    <w:rsid w:val="00B079B3"/>
    <w:rsid w:val="00B07DB9"/>
    <w:rsid w:val="00B10643"/>
    <w:rsid w:val="00B1085F"/>
    <w:rsid w:val="00B10F4E"/>
    <w:rsid w:val="00B121F4"/>
    <w:rsid w:val="00B132DE"/>
    <w:rsid w:val="00B13327"/>
    <w:rsid w:val="00B14CC6"/>
    <w:rsid w:val="00B16255"/>
    <w:rsid w:val="00B165CC"/>
    <w:rsid w:val="00B16A62"/>
    <w:rsid w:val="00B16A87"/>
    <w:rsid w:val="00B16C3A"/>
    <w:rsid w:val="00B16E41"/>
    <w:rsid w:val="00B20175"/>
    <w:rsid w:val="00B20335"/>
    <w:rsid w:val="00B20DF2"/>
    <w:rsid w:val="00B21387"/>
    <w:rsid w:val="00B21420"/>
    <w:rsid w:val="00B214AD"/>
    <w:rsid w:val="00B21D20"/>
    <w:rsid w:val="00B21EB0"/>
    <w:rsid w:val="00B21FEE"/>
    <w:rsid w:val="00B221F9"/>
    <w:rsid w:val="00B22492"/>
    <w:rsid w:val="00B22947"/>
    <w:rsid w:val="00B235AF"/>
    <w:rsid w:val="00B2400F"/>
    <w:rsid w:val="00B2409B"/>
    <w:rsid w:val="00B24416"/>
    <w:rsid w:val="00B24524"/>
    <w:rsid w:val="00B24B81"/>
    <w:rsid w:val="00B24C35"/>
    <w:rsid w:val="00B25009"/>
    <w:rsid w:val="00B25399"/>
    <w:rsid w:val="00B25D11"/>
    <w:rsid w:val="00B26F84"/>
    <w:rsid w:val="00B27193"/>
    <w:rsid w:val="00B27B19"/>
    <w:rsid w:val="00B30522"/>
    <w:rsid w:val="00B30841"/>
    <w:rsid w:val="00B3106E"/>
    <w:rsid w:val="00B31BD1"/>
    <w:rsid w:val="00B31FE5"/>
    <w:rsid w:val="00B32721"/>
    <w:rsid w:val="00B33A0F"/>
    <w:rsid w:val="00B33AA7"/>
    <w:rsid w:val="00B33B3E"/>
    <w:rsid w:val="00B33D60"/>
    <w:rsid w:val="00B3460F"/>
    <w:rsid w:val="00B34C72"/>
    <w:rsid w:val="00B358AB"/>
    <w:rsid w:val="00B35AF6"/>
    <w:rsid w:val="00B3674F"/>
    <w:rsid w:val="00B376FA"/>
    <w:rsid w:val="00B37D9E"/>
    <w:rsid w:val="00B40010"/>
    <w:rsid w:val="00B4044A"/>
    <w:rsid w:val="00B40818"/>
    <w:rsid w:val="00B40D56"/>
    <w:rsid w:val="00B40E79"/>
    <w:rsid w:val="00B41AE8"/>
    <w:rsid w:val="00B425F9"/>
    <w:rsid w:val="00B426F8"/>
    <w:rsid w:val="00B429E5"/>
    <w:rsid w:val="00B44943"/>
    <w:rsid w:val="00B4652A"/>
    <w:rsid w:val="00B46C24"/>
    <w:rsid w:val="00B46C87"/>
    <w:rsid w:val="00B46E14"/>
    <w:rsid w:val="00B50679"/>
    <w:rsid w:val="00B5074B"/>
    <w:rsid w:val="00B50BDB"/>
    <w:rsid w:val="00B5132B"/>
    <w:rsid w:val="00B513F3"/>
    <w:rsid w:val="00B5148B"/>
    <w:rsid w:val="00B52345"/>
    <w:rsid w:val="00B5294A"/>
    <w:rsid w:val="00B52EB3"/>
    <w:rsid w:val="00B53DBD"/>
    <w:rsid w:val="00B541A7"/>
    <w:rsid w:val="00B541DC"/>
    <w:rsid w:val="00B54AEA"/>
    <w:rsid w:val="00B54EA5"/>
    <w:rsid w:val="00B550A5"/>
    <w:rsid w:val="00B55C9C"/>
    <w:rsid w:val="00B560EE"/>
    <w:rsid w:val="00B5621E"/>
    <w:rsid w:val="00B564D9"/>
    <w:rsid w:val="00B56FC4"/>
    <w:rsid w:val="00B5730A"/>
    <w:rsid w:val="00B5736A"/>
    <w:rsid w:val="00B57425"/>
    <w:rsid w:val="00B57931"/>
    <w:rsid w:val="00B57B99"/>
    <w:rsid w:val="00B602EE"/>
    <w:rsid w:val="00B6064E"/>
    <w:rsid w:val="00B617D0"/>
    <w:rsid w:val="00B61A23"/>
    <w:rsid w:val="00B61D72"/>
    <w:rsid w:val="00B61D86"/>
    <w:rsid w:val="00B61FD7"/>
    <w:rsid w:val="00B62765"/>
    <w:rsid w:val="00B64543"/>
    <w:rsid w:val="00B64EF7"/>
    <w:rsid w:val="00B66080"/>
    <w:rsid w:val="00B66EA2"/>
    <w:rsid w:val="00B670DC"/>
    <w:rsid w:val="00B67242"/>
    <w:rsid w:val="00B6785A"/>
    <w:rsid w:val="00B678CD"/>
    <w:rsid w:val="00B67C0D"/>
    <w:rsid w:val="00B702EB"/>
    <w:rsid w:val="00B7048C"/>
    <w:rsid w:val="00B70DC4"/>
    <w:rsid w:val="00B7108E"/>
    <w:rsid w:val="00B718C1"/>
    <w:rsid w:val="00B7191B"/>
    <w:rsid w:val="00B72253"/>
    <w:rsid w:val="00B72B50"/>
    <w:rsid w:val="00B72C20"/>
    <w:rsid w:val="00B72D07"/>
    <w:rsid w:val="00B73395"/>
    <w:rsid w:val="00B74236"/>
    <w:rsid w:val="00B747C7"/>
    <w:rsid w:val="00B74AFD"/>
    <w:rsid w:val="00B750CA"/>
    <w:rsid w:val="00B75E2E"/>
    <w:rsid w:val="00B76656"/>
    <w:rsid w:val="00B77233"/>
    <w:rsid w:val="00B81A7A"/>
    <w:rsid w:val="00B81F0C"/>
    <w:rsid w:val="00B82BF7"/>
    <w:rsid w:val="00B83791"/>
    <w:rsid w:val="00B83BA2"/>
    <w:rsid w:val="00B83DDF"/>
    <w:rsid w:val="00B83DE7"/>
    <w:rsid w:val="00B83DED"/>
    <w:rsid w:val="00B84787"/>
    <w:rsid w:val="00B855A4"/>
    <w:rsid w:val="00B85B84"/>
    <w:rsid w:val="00B85D61"/>
    <w:rsid w:val="00B860F6"/>
    <w:rsid w:val="00B8624A"/>
    <w:rsid w:val="00B86FF8"/>
    <w:rsid w:val="00B8719B"/>
    <w:rsid w:val="00B8748C"/>
    <w:rsid w:val="00B879B9"/>
    <w:rsid w:val="00B87AA0"/>
    <w:rsid w:val="00B87C08"/>
    <w:rsid w:val="00B87DCC"/>
    <w:rsid w:val="00B90E75"/>
    <w:rsid w:val="00B90FC5"/>
    <w:rsid w:val="00B914E7"/>
    <w:rsid w:val="00B91B90"/>
    <w:rsid w:val="00B91C3E"/>
    <w:rsid w:val="00B920F7"/>
    <w:rsid w:val="00B92565"/>
    <w:rsid w:val="00B92939"/>
    <w:rsid w:val="00B93425"/>
    <w:rsid w:val="00B934CD"/>
    <w:rsid w:val="00B93549"/>
    <w:rsid w:val="00B938F0"/>
    <w:rsid w:val="00B93AC2"/>
    <w:rsid w:val="00B93D4B"/>
    <w:rsid w:val="00B93FA3"/>
    <w:rsid w:val="00B94281"/>
    <w:rsid w:val="00B944C9"/>
    <w:rsid w:val="00B94E69"/>
    <w:rsid w:val="00B968F3"/>
    <w:rsid w:val="00B974C2"/>
    <w:rsid w:val="00B97C76"/>
    <w:rsid w:val="00B97E16"/>
    <w:rsid w:val="00B97EEF"/>
    <w:rsid w:val="00BA046F"/>
    <w:rsid w:val="00BA0F8F"/>
    <w:rsid w:val="00BA283A"/>
    <w:rsid w:val="00BA2A52"/>
    <w:rsid w:val="00BA2DB0"/>
    <w:rsid w:val="00BA2DDB"/>
    <w:rsid w:val="00BA3656"/>
    <w:rsid w:val="00BA3F94"/>
    <w:rsid w:val="00BA40DA"/>
    <w:rsid w:val="00BA456D"/>
    <w:rsid w:val="00BA4A52"/>
    <w:rsid w:val="00BA4D75"/>
    <w:rsid w:val="00BA595A"/>
    <w:rsid w:val="00BA5D8C"/>
    <w:rsid w:val="00BA692E"/>
    <w:rsid w:val="00BA6AD0"/>
    <w:rsid w:val="00BA6D24"/>
    <w:rsid w:val="00BB22E4"/>
    <w:rsid w:val="00BB23F3"/>
    <w:rsid w:val="00BB289A"/>
    <w:rsid w:val="00BB29E9"/>
    <w:rsid w:val="00BB30A1"/>
    <w:rsid w:val="00BB38AC"/>
    <w:rsid w:val="00BB4166"/>
    <w:rsid w:val="00BB478D"/>
    <w:rsid w:val="00BB5AC2"/>
    <w:rsid w:val="00BB5B40"/>
    <w:rsid w:val="00BB6197"/>
    <w:rsid w:val="00BB6D27"/>
    <w:rsid w:val="00BB6EC5"/>
    <w:rsid w:val="00BB7394"/>
    <w:rsid w:val="00BB741D"/>
    <w:rsid w:val="00BB7CC5"/>
    <w:rsid w:val="00BB7F1A"/>
    <w:rsid w:val="00BB7F79"/>
    <w:rsid w:val="00BC03D2"/>
    <w:rsid w:val="00BC04DD"/>
    <w:rsid w:val="00BC0572"/>
    <w:rsid w:val="00BC0A61"/>
    <w:rsid w:val="00BC0F4E"/>
    <w:rsid w:val="00BC1BD2"/>
    <w:rsid w:val="00BC1E95"/>
    <w:rsid w:val="00BC2204"/>
    <w:rsid w:val="00BC2B42"/>
    <w:rsid w:val="00BC2C7B"/>
    <w:rsid w:val="00BC2FEE"/>
    <w:rsid w:val="00BC3E0C"/>
    <w:rsid w:val="00BC40AB"/>
    <w:rsid w:val="00BC5584"/>
    <w:rsid w:val="00BC61C6"/>
    <w:rsid w:val="00BC69B1"/>
    <w:rsid w:val="00BC6AE0"/>
    <w:rsid w:val="00BC7D9B"/>
    <w:rsid w:val="00BD117B"/>
    <w:rsid w:val="00BD15AE"/>
    <w:rsid w:val="00BD1E9E"/>
    <w:rsid w:val="00BD26B4"/>
    <w:rsid w:val="00BD3153"/>
    <w:rsid w:val="00BD36B0"/>
    <w:rsid w:val="00BD5312"/>
    <w:rsid w:val="00BD5924"/>
    <w:rsid w:val="00BD5DCE"/>
    <w:rsid w:val="00BD6628"/>
    <w:rsid w:val="00BD6802"/>
    <w:rsid w:val="00BD6B6C"/>
    <w:rsid w:val="00BD73F0"/>
    <w:rsid w:val="00BD75CE"/>
    <w:rsid w:val="00BD7DDB"/>
    <w:rsid w:val="00BE0311"/>
    <w:rsid w:val="00BE0A38"/>
    <w:rsid w:val="00BE0BF7"/>
    <w:rsid w:val="00BE1760"/>
    <w:rsid w:val="00BE18E2"/>
    <w:rsid w:val="00BE1FC9"/>
    <w:rsid w:val="00BE2200"/>
    <w:rsid w:val="00BE23BE"/>
    <w:rsid w:val="00BE23FD"/>
    <w:rsid w:val="00BE3BAC"/>
    <w:rsid w:val="00BE3C2B"/>
    <w:rsid w:val="00BE48B5"/>
    <w:rsid w:val="00BE5BE7"/>
    <w:rsid w:val="00BE5D44"/>
    <w:rsid w:val="00BE5E82"/>
    <w:rsid w:val="00BE6D22"/>
    <w:rsid w:val="00BE7BD0"/>
    <w:rsid w:val="00BE7F99"/>
    <w:rsid w:val="00BF02B4"/>
    <w:rsid w:val="00BF0547"/>
    <w:rsid w:val="00BF077D"/>
    <w:rsid w:val="00BF0A5A"/>
    <w:rsid w:val="00BF11F9"/>
    <w:rsid w:val="00BF138D"/>
    <w:rsid w:val="00BF13C3"/>
    <w:rsid w:val="00BF151A"/>
    <w:rsid w:val="00BF162B"/>
    <w:rsid w:val="00BF27C3"/>
    <w:rsid w:val="00BF3018"/>
    <w:rsid w:val="00BF3291"/>
    <w:rsid w:val="00BF335E"/>
    <w:rsid w:val="00BF3771"/>
    <w:rsid w:val="00BF42F6"/>
    <w:rsid w:val="00BF444E"/>
    <w:rsid w:val="00BF50F2"/>
    <w:rsid w:val="00BF6055"/>
    <w:rsid w:val="00BF6215"/>
    <w:rsid w:val="00BF68B5"/>
    <w:rsid w:val="00BF7448"/>
    <w:rsid w:val="00BF75A3"/>
    <w:rsid w:val="00BF7CD8"/>
    <w:rsid w:val="00C00074"/>
    <w:rsid w:val="00C0011B"/>
    <w:rsid w:val="00C02E30"/>
    <w:rsid w:val="00C03797"/>
    <w:rsid w:val="00C04D9D"/>
    <w:rsid w:val="00C05B60"/>
    <w:rsid w:val="00C05B72"/>
    <w:rsid w:val="00C05D90"/>
    <w:rsid w:val="00C05E3E"/>
    <w:rsid w:val="00C0620A"/>
    <w:rsid w:val="00C0686B"/>
    <w:rsid w:val="00C06950"/>
    <w:rsid w:val="00C074BC"/>
    <w:rsid w:val="00C078EB"/>
    <w:rsid w:val="00C07983"/>
    <w:rsid w:val="00C106FC"/>
    <w:rsid w:val="00C10819"/>
    <w:rsid w:val="00C10D7C"/>
    <w:rsid w:val="00C111CB"/>
    <w:rsid w:val="00C111D2"/>
    <w:rsid w:val="00C11223"/>
    <w:rsid w:val="00C112AE"/>
    <w:rsid w:val="00C11716"/>
    <w:rsid w:val="00C11809"/>
    <w:rsid w:val="00C119FE"/>
    <w:rsid w:val="00C12C3A"/>
    <w:rsid w:val="00C13E94"/>
    <w:rsid w:val="00C13FD7"/>
    <w:rsid w:val="00C15CAA"/>
    <w:rsid w:val="00C15E4E"/>
    <w:rsid w:val="00C16EEE"/>
    <w:rsid w:val="00C16F5B"/>
    <w:rsid w:val="00C17766"/>
    <w:rsid w:val="00C17CCC"/>
    <w:rsid w:val="00C17E56"/>
    <w:rsid w:val="00C20303"/>
    <w:rsid w:val="00C20406"/>
    <w:rsid w:val="00C2116D"/>
    <w:rsid w:val="00C21EA8"/>
    <w:rsid w:val="00C2267E"/>
    <w:rsid w:val="00C2295F"/>
    <w:rsid w:val="00C248C9"/>
    <w:rsid w:val="00C249D1"/>
    <w:rsid w:val="00C2501E"/>
    <w:rsid w:val="00C25D88"/>
    <w:rsid w:val="00C26113"/>
    <w:rsid w:val="00C262A3"/>
    <w:rsid w:val="00C26705"/>
    <w:rsid w:val="00C26F41"/>
    <w:rsid w:val="00C270E8"/>
    <w:rsid w:val="00C27226"/>
    <w:rsid w:val="00C27881"/>
    <w:rsid w:val="00C30754"/>
    <w:rsid w:val="00C30E53"/>
    <w:rsid w:val="00C3164A"/>
    <w:rsid w:val="00C31C08"/>
    <w:rsid w:val="00C32699"/>
    <w:rsid w:val="00C32F9D"/>
    <w:rsid w:val="00C333F6"/>
    <w:rsid w:val="00C337D0"/>
    <w:rsid w:val="00C33EE1"/>
    <w:rsid w:val="00C34714"/>
    <w:rsid w:val="00C34B72"/>
    <w:rsid w:val="00C34FE9"/>
    <w:rsid w:val="00C35322"/>
    <w:rsid w:val="00C356F5"/>
    <w:rsid w:val="00C35F92"/>
    <w:rsid w:val="00C3606C"/>
    <w:rsid w:val="00C36372"/>
    <w:rsid w:val="00C37793"/>
    <w:rsid w:val="00C377B8"/>
    <w:rsid w:val="00C400F7"/>
    <w:rsid w:val="00C40517"/>
    <w:rsid w:val="00C4072E"/>
    <w:rsid w:val="00C40D57"/>
    <w:rsid w:val="00C4117D"/>
    <w:rsid w:val="00C41606"/>
    <w:rsid w:val="00C41E97"/>
    <w:rsid w:val="00C41EDB"/>
    <w:rsid w:val="00C4204C"/>
    <w:rsid w:val="00C43467"/>
    <w:rsid w:val="00C4349B"/>
    <w:rsid w:val="00C4495C"/>
    <w:rsid w:val="00C44E73"/>
    <w:rsid w:val="00C45126"/>
    <w:rsid w:val="00C4542D"/>
    <w:rsid w:val="00C4579A"/>
    <w:rsid w:val="00C45A9F"/>
    <w:rsid w:val="00C45B36"/>
    <w:rsid w:val="00C46565"/>
    <w:rsid w:val="00C46E45"/>
    <w:rsid w:val="00C47293"/>
    <w:rsid w:val="00C50181"/>
    <w:rsid w:val="00C5080D"/>
    <w:rsid w:val="00C51185"/>
    <w:rsid w:val="00C51340"/>
    <w:rsid w:val="00C51669"/>
    <w:rsid w:val="00C523F7"/>
    <w:rsid w:val="00C52642"/>
    <w:rsid w:val="00C52B6F"/>
    <w:rsid w:val="00C52C6F"/>
    <w:rsid w:val="00C52DB1"/>
    <w:rsid w:val="00C5321E"/>
    <w:rsid w:val="00C53B17"/>
    <w:rsid w:val="00C53DEA"/>
    <w:rsid w:val="00C53E81"/>
    <w:rsid w:val="00C54E6A"/>
    <w:rsid w:val="00C55937"/>
    <w:rsid w:val="00C55A39"/>
    <w:rsid w:val="00C55F1A"/>
    <w:rsid w:val="00C5670C"/>
    <w:rsid w:val="00C56EC2"/>
    <w:rsid w:val="00C57793"/>
    <w:rsid w:val="00C57C2E"/>
    <w:rsid w:val="00C600FB"/>
    <w:rsid w:val="00C60385"/>
    <w:rsid w:val="00C60AA5"/>
    <w:rsid w:val="00C60CFC"/>
    <w:rsid w:val="00C60E0E"/>
    <w:rsid w:val="00C60E1E"/>
    <w:rsid w:val="00C61442"/>
    <w:rsid w:val="00C61743"/>
    <w:rsid w:val="00C61CB6"/>
    <w:rsid w:val="00C62D27"/>
    <w:rsid w:val="00C6393F"/>
    <w:rsid w:val="00C66BAE"/>
    <w:rsid w:val="00C673D4"/>
    <w:rsid w:val="00C67500"/>
    <w:rsid w:val="00C6767E"/>
    <w:rsid w:val="00C6773C"/>
    <w:rsid w:val="00C67BBF"/>
    <w:rsid w:val="00C70A40"/>
    <w:rsid w:val="00C716A6"/>
    <w:rsid w:val="00C72632"/>
    <w:rsid w:val="00C7358E"/>
    <w:rsid w:val="00C735DB"/>
    <w:rsid w:val="00C74192"/>
    <w:rsid w:val="00C744F9"/>
    <w:rsid w:val="00C74A33"/>
    <w:rsid w:val="00C74B0D"/>
    <w:rsid w:val="00C74DCC"/>
    <w:rsid w:val="00C758E2"/>
    <w:rsid w:val="00C76E4A"/>
    <w:rsid w:val="00C76FE5"/>
    <w:rsid w:val="00C774A0"/>
    <w:rsid w:val="00C7783E"/>
    <w:rsid w:val="00C77AB5"/>
    <w:rsid w:val="00C77C8E"/>
    <w:rsid w:val="00C802C7"/>
    <w:rsid w:val="00C80655"/>
    <w:rsid w:val="00C80700"/>
    <w:rsid w:val="00C80757"/>
    <w:rsid w:val="00C809B8"/>
    <w:rsid w:val="00C82E3D"/>
    <w:rsid w:val="00C8355A"/>
    <w:rsid w:val="00C837F7"/>
    <w:rsid w:val="00C8383A"/>
    <w:rsid w:val="00C851D7"/>
    <w:rsid w:val="00C854D1"/>
    <w:rsid w:val="00C85719"/>
    <w:rsid w:val="00C858F9"/>
    <w:rsid w:val="00C85B36"/>
    <w:rsid w:val="00C85FC6"/>
    <w:rsid w:val="00C8609D"/>
    <w:rsid w:val="00C8625D"/>
    <w:rsid w:val="00C86E07"/>
    <w:rsid w:val="00C87D6C"/>
    <w:rsid w:val="00C90CAB"/>
    <w:rsid w:val="00C90D1C"/>
    <w:rsid w:val="00C90D76"/>
    <w:rsid w:val="00C9109D"/>
    <w:rsid w:val="00C91210"/>
    <w:rsid w:val="00C91CD4"/>
    <w:rsid w:val="00C924E0"/>
    <w:rsid w:val="00C9317D"/>
    <w:rsid w:val="00C93267"/>
    <w:rsid w:val="00C93468"/>
    <w:rsid w:val="00C938E2"/>
    <w:rsid w:val="00C93E4D"/>
    <w:rsid w:val="00C941CF"/>
    <w:rsid w:val="00C948C4"/>
    <w:rsid w:val="00C94FE3"/>
    <w:rsid w:val="00C95EB0"/>
    <w:rsid w:val="00C9603B"/>
    <w:rsid w:val="00C96AF7"/>
    <w:rsid w:val="00C97490"/>
    <w:rsid w:val="00C976CE"/>
    <w:rsid w:val="00C977F0"/>
    <w:rsid w:val="00C97D90"/>
    <w:rsid w:val="00CA058A"/>
    <w:rsid w:val="00CA0BB1"/>
    <w:rsid w:val="00CA3BA7"/>
    <w:rsid w:val="00CA3F49"/>
    <w:rsid w:val="00CA4F92"/>
    <w:rsid w:val="00CA55E4"/>
    <w:rsid w:val="00CA5928"/>
    <w:rsid w:val="00CA5F36"/>
    <w:rsid w:val="00CA7074"/>
    <w:rsid w:val="00CA712E"/>
    <w:rsid w:val="00CA751D"/>
    <w:rsid w:val="00CA7B6F"/>
    <w:rsid w:val="00CB0716"/>
    <w:rsid w:val="00CB0728"/>
    <w:rsid w:val="00CB07B0"/>
    <w:rsid w:val="00CB0D6A"/>
    <w:rsid w:val="00CB0E85"/>
    <w:rsid w:val="00CB0FA7"/>
    <w:rsid w:val="00CB17A7"/>
    <w:rsid w:val="00CB1A09"/>
    <w:rsid w:val="00CB1B12"/>
    <w:rsid w:val="00CB3583"/>
    <w:rsid w:val="00CB415E"/>
    <w:rsid w:val="00CB42B6"/>
    <w:rsid w:val="00CB49D1"/>
    <w:rsid w:val="00CB4D75"/>
    <w:rsid w:val="00CB569C"/>
    <w:rsid w:val="00CB645C"/>
    <w:rsid w:val="00CB6589"/>
    <w:rsid w:val="00CB7876"/>
    <w:rsid w:val="00CC024B"/>
    <w:rsid w:val="00CC1031"/>
    <w:rsid w:val="00CC14E4"/>
    <w:rsid w:val="00CC175F"/>
    <w:rsid w:val="00CC1BF0"/>
    <w:rsid w:val="00CC1E67"/>
    <w:rsid w:val="00CC1EAD"/>
    <w:rsid w:val="00CC2367"/>
    <w:rsid w:val="00CC2386"/>
    <w:rsid w:val="00CC250A"/>
    <w:rsid w:val="00CC26CE"/>
    <w:rsid w:val="00CC29B5"/>
    <w:rsid w:val="00CC3082"/>
    <w:rsid w:val="00CC34A9"/>
    <w:rsid w:val="00CC4EE2"/>
    <w:rsid w:val="00CC4F38"/>
    <w:rsid w:val="00CC53D0"/>
    <w:rsid w:val="00CC6212"/>
    <w:rsid w:val="00CC6C24"/>
    <w:rsid w:val="00CC6DCE"/>
    <w:rsid w:val="00CC739E"/>
    <w:rsid w:val="00CD03C2"/>
    <w:rsid w:val="00CD067C"/>
    <w:rsid w:val="00CD1333"/>
    <w:rsid w:val="00CD182D"/>
    <w:rsid w:val="00CD1ABE"/>
    <w:rsid w:val="00CD23BB"/>
    <w:rsid w:val="00CD24BD"/>
    <w:rsid w:val="00CD3112"/>
    <w:rsid w:val="00CD32B9"/>
    <w:rsid w:val="00CD33DE"/>
    <w:rsid w:val="00CD3BD4"/>
    <w:rsid w:val="00CD629C"/>
    <w:rsid w:val="00CD634D"/>
    <w:rsid w:val="00CD6891"/>
    <w:rsid w:val="00CD6DBE"/>
    <w:rsid w:val="00CD79DC"/>
    <w:rsid w:val="00CD7D54"/>
    <w:rsid w:val="00CE0410"/>
    <w:rsid w:val="00CE10A8"/>
    <w:rsid w:val="00CE116E"/>
    <w:rsid w:val="00CE11E4"/>
    <w:rsid w:val="00CE19B2"/>
    <w:rsid w:val="00CE1DFD"/>
    <w:rsid w:val="00CE2046"/>
    <w:rsid w:val="00CE2634"/>
    <w:rsid w:val="00CE2C40"/>
    <w:rsid w:val="00CE2E3E"/>
    <w:rsid w:val="00CE360E"/>
    <w:rsid w:val="00CE3DFA"/>
    <w:rsid w:val="00CE3F98"/>
    <w:rsid w:val="00CE4001"/>
    <w:rsid w:val="00CE4383"/>
    <w:rsid w:val="00CE464E"/>
    <w:rsid w:val="00CE4B19"/>
    <w:rsid w:val="00CE52C5"/>
    <w:rsid w:val="00CE5C1A"/>
    <w:rsid w:val="00CE6C60"/>
    <w:rsid w:val="00CE751D"/>
    <w:rsid w:val="00CE78E6"/>
    <w:rsid w:val="00CF01D7"/>
    <w:rsid w:val="00CF0B4D"/>
    <w:rsid w:val="00CF0BDB"/>
    <w:rsid w:val="00CF0BE9"/>
    <w:rsid w:val="00CF269F"/>
    <w:rsid w:val="00CF388F"/>
    <w:rsid w:val="00CF444E"/>
    <w:rsid w:val="00CF51C7"/>
    <w:rsid w:val="00CF5C8D"/>
    <w:rsid w:val="00CF5DEF"/>
    <w:rsid w:val="00CF6008"/>
    <w:rsid w:val="00CF629E"/>
    <w:rsid w:val="00CF6D0F"/>
    <w:rsid w:val="00CF7E42"/>
    <w:rsid w:val="00CF7F31"/>
    <w:rsid w:val="00D00602"/>
    <w:rsid w:val="00D0084D"/>
    <w:rsid w:val="00D00EE3"/>
    <w:rsid w:val="00D01AC8"/>
    <w:rsid w:val="00D01B4E"/>
    <w:rsid w:val="00D01FC6"/>
    <w:rsid w:val="00D0230E"/>
    <w:rsid w:val="00D02603"/>
    <w:rsid w:val="00D02DA5"/>
    <w:rsid w:val="00D03660"/>
    <w:rsid w:val="00D0379C"/>
    <w:rsid w:val="00D037B3"/>
    <w:rsid w:val="00D03DCA"/>
    <w:rsid w:val="00D040C3"/>
    <w:rsid w:val="00D0556D"/>
    <w:rsid w:val="00D05708"/>
    <w:rsid w:val="00D059A4"/>
    <w:rsid w:val="00D05F5F"/>
    <w:rsid w:val="00D0628E"/>
    <w:rsid w:val="00D077A5"/>
    <w:rsid w:val="00D10A1E"/>
    <w:rsid w:val="00D10A52"/>
    <w:rsid w:val="00D110B7"/>
    <w:rsid w:val="00D1166B"/>
    <w:rsid w:val="00D118F3"/>
    <w:rsid w:val="00D12322"/>
    <w:rsid w:val="00D1268A"/>
    <w:rsid w:val="00D12CAE"/>
    <w:rsid w:val="00D13062"/>
    <w:rsid w:val="00D1335A"/>
    <w:rsid w:val="00D13943"/>
    <w:rsid w:val="00D13CAC"/>
    <w:rsid w:val="00D13EAF"/>
    <w:rsid w:val="00D145D6"/>
    <w:rsid w:val="00D155B9"/>
    <w:rsid w:val="00D1585E"/>
    <w:rsid w:val="00D15C5F"/>
    <w:rsid w:val="00D16785"/>
    <w:rsid w:val="00D16EF6"/>
    <w:rsid w:val="00D17181"/>
    <w:rsid w:val="00D176F1"/>
    <w:rsid w:val="00D204F7"/>
    <w:rsid w:val="00D2221A"/>
    <w:rsid w:val="00D2329F"/>
    <w:rsid w:val="00D25645"/>
    <w:rsid w:val="00D2581B"/>
    <w:rsid w:val="00D268A5"/>
    <w:rsid w:val="00D3099C"/>
    <w:rsid w:val="00D30D86"/>
    <w:rsid w:val="00D31CFC"/>
    <w:rsid w:val="00D32442"/>
    <w:rsid w:val="00D32709"/>
    <w:rsid w:val="00D3279E"/>
    <w:rsid w:val="00D32F74"/>
    <w:rsid w:val="00D33D63"/>
    <w:rsid w:val="00D33F4F"/>
    <w:rsid w:val="00D34EC4"/>
    <w:rsid w:val="00D350A2"/>
    <w:rsid w:val="00D3546D"/>
    <w:rsid w:val="00D356F6"/>
    <w:rsid w:val="00D35EA4"/>
    <w:rsid w:val="00D367D3"/>
    <w:rsid w:val="00D368E8"/>
    <w:rsid w:val="00D37FD8"/>
    <w:rsid w:val="00D37FEC"/>
    <w:rsid w:val="00D40DA6"/>
    <w:rsid w:val="00D41452"/>
    <w:rsid w:val="00D41B99"/>
    <w:rsid w:val="00D41E92"/>
    <w:rsid w:val="00D4225C"/>
    <w:rsid w:val="00D42D15"/>
    <w:rsid w:val="00D43614"/>
    <w:rsid w:val="00D43FD3"/>
    <w:rsid w:val="00D4560B"/>
    <w:rsid w:val="00D45BEB"/>
    <w:rsid w:val="00D46456"/>
    <w:rsid w:val="00D4742A"/>
    <w:rsid w:val="00D474AF"/>
    <w:rsid w:val="00D47AF0"/>
    <w:rsid w:val="00D503F7"/>
    <w:rsid w:val="00D50659"/>
    <w:rsid w:val="00D50CDC"/>
    <w:rsid w:val="00D50D6B"/>
    <w:rsid w:val="00D50DBF"/>
    <w:rsid w:val="00D513F9"/>
    <w:rsid w:val="00D51583"/>
    <w:rsid w:val="00D51955"/>
    <w:rsid w:val="00D51A4C"/>
    <w:rsid w:val="00D51E7D"/>
    <w:rsid w:val="00D54177"/>
    <w:rsid w:val="00D5475C"/>
    <w:rsid w:val="00D55184"/>
    <w:rsid w:val="00D5551C"/>
    <w:rsid w:val="00D55FAE"/>
    <w:rsid w:val="00D56444"/>
    <w:rsid w:val="00D56825"/>
    <w:rsid w:val="00D57885"/>
    <w:rsid w:val="00D57886"/>
    <w:rsid w:val="00D57C5B"/>
    <w:rsid w:val="00D60667"/>
    <w:rsid w:val="00D629A2"/>
    <w:rsid w:val="00D63096"/>
    <w:rsid w:val="00D63F68"/>
    <w:rsid w:val="00D643AF"/>
    <w:rsid w:val="00D64602"/>
    <w:rsid w:val="00D64A66"/>
    <w:rsid w:val="00D65334"/>
    <w:rsid w:val="00D654F4"/>
    <w:rsid w:val="00D659C0"/>
    <w:rsid w:val="00D65AD7"/>
    <w:rsid w:val="00D65D2B"/>
    <w:rsid w:val="00D6645B"/>
    <w:rsid w:val="00D66EAB"/>
    <w:rsid w:val="00D67063"/>
    <w:rsid w:val="00D70532"/>
    <w:rsid w:val="00D705D5"/>
    <w:rsid w:val="00D70F4A"/>
    <w:rsid w:val="00D71D07"/>
    <w:rsid w:val="00D728C5"/>
    <w:rsid w:val="00D728EE"/>
    <w:rsid w:val="00D72A1E"/>
    <w:rsid w:val="00D72A98"/>
    <w:rsid w:val="00D73F12"/>
    <w:rsid w:val="00D74844"/>
    <w:rsid w:val="00D7496D"/>
    <w:rsid w:val="00D74BC0"/>
    <w:rsid w:val="00D74FED"/>
    <w:rsid w:val="00D75198"/>
    <w:rsid w:val="00D759DA"/>
    <w:rsid w:val="00D762B9"/>
    <w:rsid w:val="00D765FA"/>
    <w:rsid w:val="00D77208"/>
    <w:rsid w:val="00D806D1"/>
    <w:rsid w:val="00D80737"/>
    <w:rsid w:val="00D809D2"/>
    <w:rsid w:val="00D80F84"/>
    <w:rsid w:val="00D80F89"/>
    <w:rsid w:val="00D81A72"/>
    <w:rsid w:val="00D82367"/>
    <w:rsid w:val="00D832AA"/>
    <w:rsid w:val="00D836AE"/>
    <w:rsid w:val="00D8381A"/>
    <w:rsid w:val="00D84146"/>
    <w:rsid w:val="00D84976"/>
    <w:rsid w:val="00D849A7"/>
    <w:rsid w:val="00D84B67"/>
    <w:rsid w:val="00D84E66"/>
    <w:rsid w:val="00D85EAE"/>
    <w:rsid w:val="00D8682D"/>
    <w:rsid w:val="00D86BEC"/>
    <w:rsid w:val="00D86C37"/>
    <w:rsid w:val="00D86EA7"/>
    <w:rsid w:val="00D8739E"/>
    <w:rsid w:val="00D874AB"/>
    <w:rsid w:val="00D874DE"/>
    <w:rsid w:val="00D8785A"/>
    <w:rsid w:val="00D87886"/>
    <w:rsid w:val="00D9006D"/>
    <w:rsid w:val="00D90323"/>
    <w:rsid w:val="00D9081D"/>
    <w:rsid w:val="00D90E05"/>
    <w:rsid w:val="00D91DB2"/>
    <w:rsid w:val="00D93358"/>
    <w:rsid w:val="00D93512"/>
    <w:rsid w:val="00D944B0"/>
    <w:rsid w:val="00D947A4"/>
    <w:rsid w:val="00D949BD"/>
    <w:rsid w:val="00D94C32"/>
    <w:rsid w:val="00D94FD6"/>
    <w:rsid w:val="00D95AC8"/>
    <w:rsid w:val="00D96AA6"/>
    <w:rsid w:val="00D97363"/>
    <w:rsid w:val="00D97EDC"/>
    <w:rsid w:val="00DA1551"/>
    <w:rsid w:val="00DA16F1"/>
    <w:rsid w:val="00DA223D"/>
    <w:rsid w:val="00DA2854"/>
    <w:rsid w:val="00DA38E1"/>
    <w:rsid w:val="00DA3CC4"/>
    <w:rsid w:val="00DA4510"/>
    <w:rsid w:val="00DA47EA"/>
    <w:rsid w:val="00DA5397"/>
    <w:rsid w:val="00DA5838"/>
    <w:rsid w:val="00DA5ECC"/>
    <w:rsid w:val="00DA62EE"/>
    <w:rsid w:val="00DA66EB"/>
    <w:rsid w:val="00DA68EC"/>
    <w:rsid w:val="00DA752F"/>
    <w:rsid w:val="00DA77A3"/>
    <w:rsid w:val="00DA79CD"/>
    <w:rsid w:val="00DA7B05"/>
    <w:rsid w:val="00DA7E4B"/>
    <w:rsid w:val="00DB093D"/>
    <w:rsid w:val="00DB0BB7"/>
    <w:rsid w:val="00DB1361"/>
    <w:rsid w:val="00DB2536"/>
    <w:rsid w:val="00DB2659"/>
    <w:rsid w:val="00DB2966"/>
    <w:rsid w:val="00DB29B6"/>
    <w:rsid w:val="00DB29E7"/>
    <w:rsid w:val="00DB32B4"/>
    <w:rsid w:val="00DB3E78"/>
    <w:rsid w:val="00DB433E"/>
    <w:rsid w:val="00DB46F3"/>
    <w:rsid w:val="00DB537E"/>
    <w:rsid w:val="00DB53AA"/>
    <w:rsid w:val="00DB5668"/>
    <w:rsid w:val="00DB5859"/>
    <w:rsid w:val="00DB5F00"/>
    <w:rsid w:val="00DB64C1"/>
    <w:rsid w:val="00DB686F"/>
    <w:rsid w:val="00DB7C48"/>
    <w:rsid w:val="00DB7D0C"/>
    <w:rsid w:val="00DC05C9"/>
    <w:rsid w:val="00DC0B54"/>
    <w:rsid w:val="00DC0CA5"/>
    <w:rsid w:val="00DC157B"/>
    <w:rsid w:val="00DC1631"/>
    <w:rsid w:val="00DC2023"/>
    <w:rsid w:val="00DC209E"/>
    <w:rsid w:val="00DC222C"/>
    <w:rsid w:val="00DC2683"/>
    <w:rsid w:val="00DC2A41"/>
    <w:rsid w:val="00DC302A"/>
    <w:rsid w:val="00DC316B"/>
    <w:rsid w:val="00DC342E"/>
    <w:rsid w:val="00DC3BF7"/>
    <w:rsid w:val="00DC45B7"/>
    <w:rsid w:val="00DC4964"/>
    <w:rsid w:val="00DC6530"/>
    <w:rsid w:val="00DC6B88"/>
    <w:rsid w:val="00DC6CC0"/>
    <w:rsid w:val="00DC70D7"/>
    <w:rsid w:val="00DC7268"/>
    <w:rsid w:val="00DC73DF"/>
    <w:rsid w:val="00DC79F8"/>
    <w:rsid w:val="00DD0F45"/>
    <w:rsid w:val="00DD1996"/>
    <w:rsid w:val="00DD1CD0"/>
    <w:rsid w:val="00DD24CD"/>
    <w:rsid w:val="00DD26B4"/>
    <w:rsid w:val="00DD280C"/>
    <w:rsid w:val="00DD3116"/>
    <w:rsid w:val="00DD34E3"/>
    <w:rsid w:val="00DD4342"/>
    <w:rsid w:val="00DD4DAE"/>
    <w:rsid w:val="00DD51B5"/>
    <w:rsid w:val="00DD5F14"/>
    <w:rsid w:val="00DD693B"/>
    <w:rsid w:val="00DD6963"/>
    <w:rsid w:val="00DD6A67"/>
    <w:rsid w:val="00DE00F5"/>
    <w:rsid w:val="00DE015B"/>
    <w:rsid w:val="00DE05C6"/>
    <w:rsid w:val="00DE0859"/>
    <w:rsid w:val="00DE128D"/>
    <w:rsid w:val="00DE1ED8"/>
    <w:rsid w:val="00DE21DE"/>
    <w:rsid w:val="00DE2651"/>
    <w:rsid w:val="00DE2AC6"/>
    <w:rsid w:val="00DE326F"/>
    <w:rsid w:val="00DE3665"/>
    <w:rsid w:val="00DE3837"/>
    <w:rsid w:val="00DE3B82"/>
    <w:rsid w:val="00DE4139"/>
    <w:rsid w:val="00DE43B7"/>
    <w:rsid w:val="00DE489C"/>
    <w:rsid w:val="00DE48C1"/>
    <w:rsid w:val="00DE5CF4"/>
    <w:rsid w:val="00DE5F07"/>
    <w:rsid w:val="00DE7948"/>
    <w:rsid w:val="00DE7A3C"/>
    <w:rsid w:val="00DE7B9D"/>
    <w:rsid w:val="00DF1776"/>
    <w:rsid w:val="00DF240D"/>
    <w:rsid w:val="00DF3ED7"/>
    <w:rsid w:val="00DF4408"/>
    <w:rsid w:val="00DF4729"/>
    <w:rsid w:val="00DF5450"/>
    <w:rsid w:val="00DF5ED5"/>
    <w:rsid w:val="00DF5FED"/>
    <w:rsid w:val="00DF661E"/>
    <w:rsid w:val="00DF696E"/>
    <w:rsid w:val="00DF6B0C"/>
    <w:rsid w:val="00DF73B0"/>
    <w:rsid w:val="00DF74A0"/>
    <w:rsid w:val="00DF7D65"/>
    <w:rsid w:val="00E0000C"/>
    <w:rsid w:val="00E00038"/>
    <w:rsid w:val="00E00D8E"/>
    <w:rsid w:val="00E00EE2"/>
    <w:rsid w:val="00E011BE"/>
    <w:rsid w:val="00E0158E"/>
    <w:rsid w:val="00E02D87"/>
    <w:rsid w:val="00E04D5A"/>
    <w:rsid w:val="00E0500C"/>
    <w:rsid w:val="00E05069"/>
    <w:rsid w:val="00E065E8"/>
    <w:rsid w:val="00E078ED"/>
    <w:rsid w:val="00E07C03"/>
    <w:rsid w:val="00E11D0D"/>
    <w:rsid w:val="00E11D0E"/>
    <w:rsid w:val="00E11D14"/>
    <w:rsid w:val="00E1222C"/>
    <w:rsid w:val="00E1295D"/>
    <w:rsid w:val="00E12ED0"/>
    <w:rsid w:val="00E1300E"/>
    <w:rsid w:val="00E132B6"/>
    <w:rsid w:val="00E132CD"/>
    <w:rsid w:val="00E13568"/>
    <w:rsid w:val="00E13B57"/>
    <w:rsid w:val="00E13D2E"/>
    <w:rsid w:val="00E14052"/>
    <w:rsid w:val="00E14138"/>
    <w:rsid w:val="00E144CC"/>
    <w:rsid w:val="00E14FBB"/>
    <w:rsid w:val="00E156AD"/>
    <w:rsid w:val="00E15992"/>
    <w:rsid w:val="00E16C59"/>
    <w:rsid w:val="00E172A3"/>
    <w:rsid w:val="00E1764C"/>
    <w:rsid w:val="00E17DEE"/>
    <w:rsid w:val="00E17ECD"/>
    <w:rsid w:val="00E17F0B"/>
    <w:rsid w:val="00E17F30"/>
    <w:rsid w:val="00E20077"/>
    <w:rsid w:val="00E203F4"/>
    <w:rsid w:val="00E2056A"/>
    <w:rsid w:val="00E215AC"/>
    <w:rsid w:val="00E219DB"/>
    <w:rsid w:val="00E22457"/>
    <w:rsid w:val="00E2298F"/>
    <w:rsid w:val="00E233BD"/>
    <w:rsid w:val="00E2340C"/>
    <w:rsid w:val="00E23B37"/>
    <w:rsid w:val="00E2431B"/>
    <w:rsid w:val="00E24351"/>
    <w:rsid w:val="00E24AF1"/>
    <w:rsid w:val="00E24D21"/>
    <w:rsid w:val="00E24DCF"/>
    <w:rsid w:val="00E24FF2"/>
    <w:rsid w:val="00E2545E"/>
    <w:rsid w:val="00E2552C"/>
    <w:rsid w:val="00E263EF"/>
    <w:rsid w:val="00E30087"/>
    <w:rsid w:val="00E30B75"/>
    <w:rsid w:val="00E30DA5"/>
    <w:rsid w:val="00E32720"/>
    <w:rsid w:val="00E3284A"/>
    <w:rsid w:val="00E33047"/>
    <w:rsid w:val="00E332EE"/>
    <w:rsid w:val="00E33BF6"/>
    <w:rsid w:val="00E33D15"/>
    <w:rsid w:val="00E34407"/>
    <w:rsid w:val="00E34CC9"/>
    <w:rsid w:val="00E34EFE"/>
    <w:rsid w:val="00E35A62"/>
    <w:rsid w:val="00E35B0E"/>
    <w:rsid w:val="00E35D8D"/>
    <w:rsid w:val="00E35F2A"/>
    <w:rsid w:val="00E35FCC"/>
    <w:rsid w:val="00E36E79"/>
    <w:rsid w:val="00E3719A"/>
    <w:rsid w:val="00E3726B"/>
    <w:rsid w:val="00E400E4"/>
    <w:rsid w:val="00E40C6B"/>
    <w:rsid w:val="00E417F3"/>
    <w:rsid w:val="00E41958"/>
    <w:rsid w:val="00E41F2B"/>
    <w:rsid w:val="00E4278E"/>
    <w:rsid w:val="00E428DA"/>
    <w:rsid w:val="00E43296"/>
    <w:rsid w:val="00E43B1D"/>
    <w:rsid w:val="00E45446"/>
    <w:rsid w:val="00E4563C"/>
    <w:rsid w:val="00E4671F"/>
    <w:rsid w:val="00E46B94"/>
    <w:rsid w:val="00E46F6C"/>
    <w:rsid w:val="00E47712"/>
    <w:rsid w:val="00E479F1"/>
    <w:rsid w:val="00E47C5B"/>
    <w:rsid w:val="00E47CEC"/>
    <w:rsid w:val="00E47E62"/>
    <w:rsid w:val="00E47FC4"/>
    <w:rsid w:val="00E502C4"/>
    <w:rsid w:val="00E50329"/>
    <w:rsid w:val="00E505C4"/>
    <w:rsid w:val="00E50A35"/>
    <w:rsid w:val="00E50ECA"/>
    <w:rsid w:val="00E512C1"/>
    <w:rsid w:val="00E51E6F"/>
    <w:rsid w:val="00E54087"/>
    <w:rsid w:val="00E5449E"/>
    <w:rsid w:val="00E54692"/>
    <w:rsid w:val="00E54A46"/>
    <w:rsid w:val="00E54F84"/>
    <w:rsid w:val="00E56AB8"/>
    <w:rsid w:val="00E56B9D"/>
    <w:rsid w:val="00E56E7A"/>
    <w:rsid w:val="00E570F7"/>
    <w:rsid w:val="00E603CB"/>
    <w:rsid w:val="00E60663"/>
    <w:rsid w:val="00E60924"/>
    <w:rsid w:val="00E62854"/>
    <w:rsid w:val="00E63A8B"/>
    <w:rsid w:val="00E63CD2"/>
    <w:rsid w:val="00E64776"/>
    <w:rsid w:val="00E654D7"/>
    <w:rsid w:val="00E66598"/>
    <w:rsid w:val="00E665ED"/>
    <w:rsid w:val="00E67733"/>
    <w:rsid w:val="00E67890"/>
    <w:rsid w:val="00E67FBB"/>
    <w:rsid w:val="00E70D34"/>
    <w:rsid w:val="00E715E5"/>
    <w:rsid w:val="00E71DD7"/>
    <w:rsid w:val="00E7235E"/>
    <w:rsid w:val="00E732FA"/>
    <w:rsid w:val="00E738E4"/>
    <w:rsid w:val="00E74352"/>
    <w:rsid w:val="00E743C0"/>
    <w:rsid w:val="00E74DFC"/>
    <w:rsid w:val="00E75F91"/>
    <w:rsid w:val="00E76A3D"/>
    <w:rsid w:val="00E773F8"/>
    <w:rsid w:val="00E7758E"/>
    <w:rsid w:val="00E776DB"/>
    <w:rsid w:val="00E77D5D"/>
    <w:rsid w:val="00E77D75"/>
    <w:rsid w:val="00E77DE9"/>
    <w:rsid w:val="00E809A0"/>
    <w:rsid w:val="00E817EB"/>
    <w:rsid w:val="00E81C57"/>
    <w:rsid w:val="00E826F3"/>
    <w:rsid w:val="00E827BA"/>
    <w:rsid w:val="00E84ED2"/>
    <w:rsid w:val="00E85010"/>
    <w:rsid w:val="00E86127"/>
    <w:rsid w:val="00E86758"/>
    <w:rsid w:val="00E86763"/>
    <w:rsid w:val="00E86A44"/>
    <w:rsid w:val="00E87926"/>
    <w:rsid w:val="00E87ADE"/>
    <w:rsid w:val="00E87C8C"/>
    <w:rsid w:val="00E901B9"/>
    <w:rsid w:val="00E9023A"/>
    <w:rsid w:val="00E90746"/>
    <w:rsid w:val="00E90DFC"/>
    <w:rsid w:val="00E91251"/>
    <w:rsid w:val="00E91752"/>
    <w:rsid w:val="00E929A7"/>
    <w:rsid w:val="00E93674"/>
    <w:rsid w:val="00E952A0"/>
    <w:rsid w:val="00E9677D"/>
    <w:rsid w:val="00E969DB"/>
    <w:rsid w:val="00E96FCC"/>
    <w:rsid w:val="00E97CA2"/>
    <w:rsid w:val="00EA1988"/>
    <w:rsid w:val="00EA1AC7"/>
    <w:rsid w:val="00EA2254"/>
    <w:rsid w:val="00EA24FC"/>
    <w:rsid w:val="00EA2511"/>
    <w:rsid w:val="00EA3DA4"/>
    <w:rsid w:val="00EA3E75"/>
    <w:rsid w:val="00EA3E78"/>
    <w:rsid w:val="00EA495D"/>
    <w:rsid w:val="00EA4E08"/>
    <w:rsid w:val="00EA4EC4"/>
    <w:rsid w:val="00EA4EFE"/>
    <w:rsid w:val="00EA50A6"/>
    <w:rsid w:val="00EA5EAC"/>
    <w:rsid w:val="00EA7F11"/>
    <w:rsid w:val="00EB02AA"/>
    <w:rsid w:val="00EB0664"/>
    <w:rsid w:val="00EB0CA2"/>
    <w:rsid w:val="00EB0E9C"/>
    <w:rsid w:val="00EB108E"/>
    <w:rsid w:val="00EB1DD3"/>
    <w:rsid w:val="00EB20E0"/>
    <w:rsid w:val="00EB2E87"/>
    <w:rsid w:val="00EB30BC"/>
    <w:rsid w:val="00EB31C9"/>
    <w:rsid w:val="00EB34C4"/>
    <w:rsid w:val="00EB4107"/>
    <w:rsid w:val="00EB42A5"/>
    <w:rsid w:val="00EB44FD"/>
    <w:rsid w:val="00EB4967"/>
    <w:rsid w:val="00EB5200"/>
    <w:rsid w:val="00EB643F"/>
    <w:rsid w:val="00EB6851"/>
    <w:rsid w:val="00EB6C0F"/>
    <w:rsid w:val="00EC0028"/>
    <w:rsid w:val="00EC0533"/>
    <w:rsid w:val="00EC07B0"/>
    <w:rsid w:val="00EC09CC"/>
    <w:rsid w:val="00EC0C4E"/>
    <w:rsid w:val="00EC15FF"/>
    <w:rsid w:val="00EC1631"/>
    <w:rsid w:val="00EC1DB0"/>
    <w:rsid w:val="00EC4679"/>
    <w:rsid w:val="00EC5754"/>
    <w:rsid w:val="00EC65FF"/>
    <w:rsid w:val="00EC677F"/>
    <w:rsid w:val="00EC6E2B"/>
    <w:rsid w:val="00EC7901"/>
    <w:rsid w:val="00EC7D76"/>
    <w:rsid w:val="00EC7EF8"/>
    <w:rsid w:val="00ED0297"/>
    <w:rsid w:val="00ED03B4"/>
    <w:rsid w:val="00ED0A12"/>
    <w:rsid w:val="00ED233A"/>
    <w:rsid w:val="00ED27BF"/>
    <w:rsid w:val="00ED292E"/>
    <w:rsid w:val="00ED2B8B"/>
    <w:rsid w:val="00ED3F5E"/>
    <w:rsid w:val="00ED4798"/>
    <w:rsid w:val="00ED4FC0"/>
    <w:rsid w:val="00ED54DC"/>
    <w:rsid w:val="00ED6202"/>
    <w:rsid w:val="00ED67D0"/>
    <w:rsid w:val="00ED6F05"/>
    <w:rsid w:val="00ED731F"/>
    <w:rsid w:val="00ED78E6"/>
    <w:rsid w:val="00ED7AD7"/>
    <w:rsid w:val="00ED7E5C"/>
    <w:rsid w:val="00EE0691"/>
    <w:rsid w:val="00EE1084"/>
    <w:rsid w:val="00EE29EA"/>
    <w:rsid w:val="00EE2E78"/>
    <w:rsid w:val="00EE2F5C"/>
    <w:rsid w:val="00EE37B7"/>
    <w:rsid w:val="00EE42E6"/>
    <w:rsid w:val="00EE482A"/>
    <w:rsid w:val="00EE4AAB"/>
    <w:rsid w:val="00EE4ACB"/>
    <w:rsid w:val="00EE4F11"/>
    <w:rsid w:val="00EE5092"/>
    <w:rsid w:val="00EE512B"/>
    <w:rsid w:val="00EE5F35"/>
    <w:rsid w:val="00EE66FB"/>
    <w:rsid w:val="00EE69C5"/>
    <w:rsid w:val="00EE6C6A"/>
    <w:rsid w:val="00EE7459"/>
    <w:rsid w:val="00EE7B25"/>
    <w:rsid w:val="00EF01F8"/>
    <w:rsid w:val="00EF045A"/>
    <w:rsid w:val="00EF0470"/>
    <w:rsid w:val="00EF14A0"/>
    <w:rsid w:val="00EF1936"/>
    <w:rsid w:val="00EF232C"/>
    <w:rsid w:val="00EF25CE"/>
    <w:rsid w:val="00EF2761"/>
    <w:rsid w:val="00EF2D52"/>
    <w:rsid w:val="00EF2E16"/>
    <w:rsid w:val="00EF2E6D"/>
    <w:rsid w:val="00EF3BEE"/>
    <w:rsid w:val="00EF4A7A"/>
    <w:rsid w:val="00EF4DFC"/>
    <w:rsid w:val="00EF510C"/>
    <w:rsid w:val="00EF5BC7"/>
    <w:rsid w:val="00EF6EC7"/>
    <w:rsid w:val="00EF70F7"/>
    <w:rsid w:val="00EF7BD5"/>
    <w:rsid w:val="00EF7F8D"/>
    <w:rsid w:val="00F00065"/>
    <w:rsid w:val="00F007A2"/>
    <w:rsid w:val="00F008CF"/>
    <w:rsid w:val="00F0096C"/>
    <w:rsid w:val="00F0174C"/>
    <w:rsid w:val="00F01753"/>
    <w:rsid w:val="00F01FF3"/>
    <w:rsid w:val="00F020B9"/>
    <w:rsid w:val="00F035F1"/>
    <w:rsid w:val="00F0369A"/>
    <w:rsid w:val="00F04DD4"/>
    <w:rsid w:val="00F04F73"/>
    <w:rsid w:val="00F05124"/>
    <w:rsid w:val="00F0532C"/>
    <w:rsid w:val="00F05FAC"/>
    <w:rsid w:val="00F068F6"/>
    <w:rsid w:val="00F074C6"/>
    <w:rsid w:val="00F077BD"/>
    <w:rsid w:val="00F07FD2"/>
    <w:rsid w:val="00F10085"/>
    <w:rsid w:val="00F10A57"/>
    <w:rsid w:val="00F11B03"/>
    <w:rsid w:val="00F11D1B"/>
    <w:rsid w:val="00F11DFE"/>
    <w:rsid w:val="00F12049"/>
    <w:rsid w:val="00F1262C"/>
    <w:rsid w:val="00F12A5F"/>
    <w:rsid w:val="00F12D12"/>
    <w:rsid w:val="00F13259"/>
    <w:rsid w:val="00F13CE0"/>
    <w:rsid w:val="00F13E40"/>
    <w:rsid w:val="00F140A2"/>
    <w:rsid w:val="00F145C9"/>
    <w:rsid w:val="00F14C8A"/>
    <w:rsid w:val="00F156DB"/>
    <w:rsid w:val="00F15FA3"/>
    <w:rsid w:val="00F16CCA"/>
    <w:rsid w:val="00F1716F"/>
    <w:rsid w:val="00F17828"/>
    <w:rsid w:val="00F178FC"/>
    <w:rsid w:val="00F1796A"/>
    <w:rsid w:val="00F20EE7"/>
    <w:rsid w:val="00F22477"/>
    <w:rsid w:val="00F22D22"/>
    <w:rsid w:val="00F230DB"/>
    <w:rsid w:val="00F23103"/>
    <w:rsid w:val="00F2331D"/>
    <w:rsid w:val="00F2336C"/>
    <w:rsid w:val="00F24224"/>
    <w:rsid w:val="00F244D2"/>
    <w:rsid w:val="00F2470A"/>
    <w:rsid w:val="00F25111"/>
    <w:rsid w:val="00F25282"/>
    <w:rsid w:val="00F25619"/>
    <w:rsid w:val="00F2665D"/>
    <w:rsid w:val="00F26734"/>
    <w:rsid w:val="00F271FC"/>
    <w:rsid w:val="00F27217"/>
    <w:rsid w:val="00F30566"/>
    <w:rsid w:val="00F32527"/>
    <w:rsid w:val="00F32691"/>
    <w:rsid w:val="00F32852"/>
    <w:rsid w:val="00F32CAD"/>
    <w:rsid w:val="00F32DD7"/>
    <w:rsid w:val="00F33289"/>
    <w:rsid w:val="00F33BCC"/>
    <w:rsid w:val="00F33E24"/>
    <w:rsid w:val="00F34A38"/>
    <w:rsid w:val="00F3560B"/>
    <w:rsid w:val="00F356E3"/>
    <w:rsid w:val="00F3595A"/>
    <w:rsid w:val="00F35AD5"/>
    <w:rsid w:val="00F361AB"/>
    <w:rsid w:val="00F36DD2"/>
    <w:rsid w:val="00F37240"/>
    <w:rsid w:val="00F3754B"/>
    <w:rsid w:val="00F37935"/>
    <w:rsid w:val="00F3796C"/>
    <w:rsid w:val="00F37D69"/>
    <w:rsid w:val="00F37EEE"/>
    <w:rsid w:val="00F400D3"/>
    <w:rsid w:val="00F40128"/>
    <w:rsid w:val="00F40637"/>
    <w:rsid w:val="00F40858"/>
    <w:rsid w:val="00F40C84"/>
    <w:rsid w:val="00F42430"/>
    <w:rsid w:val="00F43282"/>
    <w:rsid w:val="00F43569"/>
    <w:rsid w:val="00F43E0A"/>
    <w:rsid w:val="00F44043"/>
    <w:rsid w:val="00F44A76"/>
    <w:rsid w:val="00F45BE4"/>
    <w:rsid w:val="00F464F6"/>
    <w:rsid w:val="00F47755"/>
    <w:rsid w:val="00F47A4C"/>
    <w:rsid w:val="00F5015A"/>
    <w:rsid w:val="00F504AC"/>
    <w:rsid w:val="00F5052C"/>
    <w:rsid w:val="00F506FA"/>
    <w:rsid w:val="00F509F9"/>
    <w:rsid w:val="00F50BCE"/>
    <w:rsid w:val="00F5138A"/>
    <w:rsid w:val="00F51DA6"/>
    <w:rsid w:val="00F530B1"/>
    <w:rsid w:val="00F530D8"/>
    <w:rsid w:val="00F532CE"/>
    <w:rsid w:val="00F5385D"/>
    <w:rsid w:val="00F5428E"/>
    <w:rsid w:val="00F546AD"/>
    <w:rsid w:val="00F551BF"/>
    <w:rsid w:val="00F5584E"/>
    <w:rsid w:val="00F55C52"/>
    <w:rsid w:val="00F55C98"/>
    <w:rsid w:val="00F56232"/>
    <w:rsid w:val="00F568B6"/>
    <w:rsid w:val="00F56C63"/>
    <w:rsid w:val="00F56FC8"/>
    <w:rsid w:val="00F57083"/>
    <w:rsid w:val="00F57753"/>
    <w:rsid w:val="00F5777C"/>
    <w:rsid w:val="00F60102"/>
    <w:rsid w:val="00F60167"/>
    <w:rsid w:val="00F60A29"/>
    <w:rsid w:val="00F62335"/>
    <w:rsid w:val="00F62C77"/>
    <w:rsid w:val="00F63AAD"/>
    <w:rsid w:val="00F643A6"/>
    <w:rsid w:val="00F64410"/>
    <w:rsid w:val="00F648C2"/>
    <w:rsid w:val="00F64CC3"/>
    <w:rsid w:val="00F659F4"/>
    <w:rsid w:val="00F65FCD"/>
    <w:rsid w:val="00F67633"/>
    <w:rsid w:val="00F678C0"/>
    <w:rsid w:val="00F67B93"/>
    <w:rsid w:val="00F700B8"/>
    <w:rsid w:val="00F705A4"/>
    <w:rsid w:val="00F707FE"/>
    <w:rsid w:val="00F72E5D"/>
    <w:rsid w:val="00F730A1"/>
    <w:rsid w:val="00F73CF1"/>
    <w:rsid w:val="00F73F0C"/>
    <w:rsid w:val="00F74655"/>
    <w:rsid w:val="00F7483C"/>
    <w:rsid w:val="00F7530D"/>
    <w:rsid w:val="00F75442"/>
    <w:rsid w:val="00F755E5"/>
    <w:rsid w:val="00F75FB5"/>
    <w:rsid w:val="00F77E2A"/>
    <w:rsid w:val="00F80B59"/>
    <w:rsid w:val="00F80FF1"/>
    <w:rsid w:val="00F814AD"/>
    <w:rsid w:val="00F81567"/>
    <w:rsid w:val="00F8170F"/>
    <w:rsid w:val="00F8171F"/>
    <w:rsid w:val="00F82C81"/>
    <w:rsid w:val="00F834E8"/>
    <w:rsid w:val="00F83856"/>
    <w:rsid w:val="00F83FAD"/>
    <w:rsid w:val="00F84C08"/>
    <w:rsid w:val="00F84E66"/>
    <w:rsid w:val="00F84F4B"/>
    <w:rsid w:val="00F85C5E"/>
    <w:rsid w:val="00F87A67"/>
    <w:rsid w:val="00F90051"/>
    <w:rsid w:val="00F905A9"/>
    <w:rsid w:val="00F905EF"/>
    <w:rsid w:val="00F910AE"/>
    <w:rsid w:val="00F91602"/>
    <w:rsid w:val="00F91CFF"/>
    <w:rsid w:val="00F92107"/>
    <w:rsid w:val="00F9330D"/>
    <w:rsid w:val="00F948FB"/>
    <w:rsid w:val="00F949C2"/>
    <w:rsid w:val="00F94C4F"/>
    <w:rsid w:val="00F975D0"/>
    <w:rsid w:val="00F97655"/>
    <w:rsid w:val="00F976A2"/>
    <w:rsid w:val="00FA0318"/>
    <w:rsid w:val="00FA0974"/>
    <w:rsid w:val="00FA0E04"/>
    <w:rsid w:val="00FA1EE2"/>
    <w:rsid w:val="00FA2224"/>
    <w:rsid w:val="00FA22E5"/>
    <w:rsid w:val="00FA2449"/>
    <w:rsid w:val="00FA2A38"/>
    <w:rsid w:val="00FA2BCB"/>
    <w:rsid w:val="00FA2E55"/>
    <w:rsid w:val="00FA363F"/>
    <w:rsid w:val="00FA4156"/>
    <w:rsid w:val="00FA42FB"/>
    <w:rsid w:val="00FA4598"/>
    <w:rsid w:val="00FA46A8"/>
    <w:rsid w:val="00FA4F50"/>
    <w:rsid w:val="00FA4FA4"/>
    <w:rsid w:val="00FA51E2"/>
    <w:rsid w:val="00FA5257"/>
    <w:rsid w:val="00FA5944"/>
    <w:rsid w:val="00FA6802"/>
    <w:rsid w:val="00FA6856"/>
    <w:rsid w:val="00FA78D8"/>
    <w:rsid w:val="00FA78F7"/>
    <w:rsid w:val="00FA7E06"/>
    <w:rsid w:val="00FB0713"/>
    <w:rsid w:val="00FB0C25"/>
    <w:rsid w:val="00FB2630"/>
    <w:rsid w:val="00FB2708"/>
    <w:rsid w:val="00FB27B7"/>
    <w:rsid w:val="00FB2896"/>
    <w:rsid w:val="00FB2BE8"/>
    <w:rsid w:val="00FB2C46"/>
    <w:rsid w:val="00FB305C"/>
    <w:rsid w:val="00FB403A"/>
    <w:rsid w:val="00FB582F"/>
    <w:rsid w:val="00FB6775"/>
    <w:rsid w:val="00FB68F4"/>
    <w:rsid w:val="00FB6C4E"/>
    <w:rsid w:val="00FB7811"/>
    <w:rsid w:val="00FB7A29"/>
    <w:rsid w:val="00FB7B37"/>
    <w:rsid w:val="00FC0B7C"/>
    <w:rsid w:val="00FC0CF0"/>
    <w:rsid w:val="00FC16FA"/>
    <w:rsid w:val="00FC1B34"/>
    <w:rsid w:val="00FC1B52"/>
    <w:rsid w:val="00FC1CDA"/>
    <w:rsid w:val="00FC275A"/>
    <w:rsid w:val="00FC41DA"/>
    <w:rsid w:val="00FC4603"/>
    <w:rsid w:val="00FC4827"/>
    <w:rsid w:val="00FC4E5D"/>
    <w:rsid w:val="00FC5947"/>
    <w:rsid w:val="00FC6431"/>
    <w:rsid w:val="00FC6433"/>
    <w:rsid w:val="00FC7062"/>
    <w:rsid w:val="00FC74C1"/>
    <w:rsid w:val="00FC7555"/>
    <w:rsid w:val="00FC75ED"/>
    <w:rsid w:val="00FC788E"/>
    <w:rsid w:val="00FC7C23"/>
    <w:rsid w:val="00FC7E33"/>
    <w:rsid w:val="00FD00D5"/>
    <w:rsid w:val="00FD0600"/>
    <w:rsid w:val="00FD0745"/>
    <w:rsid w:val="00FD10C0"/>
    <w:rsid w:val="00FD1D74"/>
    <w:rsid w:val="00FD1EA5"/>
    <w:rsid w:val="00FD21C0"/>
    <w:rsid w:val="00FD2256"/>
    <w:rsid w:val="00FD2B8C"/>
    <w:rsid w:val="00FD3AF4"/>
    <w:rsid w:val="00FD3E51"/>
    <w:rsid w:val="00FD3ECA"/>
    <w:rsid w:val="00FD44B9"/>
    <w:rsid w:val="00FD4E90"/>
    <w:rsid w:val="00FD4FCF"/>
    <w:rsid w:val="00FD5367"/>
    <w:rsid w:val="00FD5520"/>
    <w:rsid w:val="00FD55C0"/>
    <w:rsid w:val="00FD5FD2"/>
    <w:rsid w:val="00FD7E4A"/>
    <w:rsid w:val="00FD7FEF"/>
    <w:rsid w:val="00FE0A2B"/>
    <w:rsid w:val="00FE0BFD"/>
    <w:rsid w:val="00FE0DB4"/>
    <w:rsid w:val="00FE2A0F"/>
    <w:rsid w:val="00FE2B00"/>
    <w:rsid w:val="00FE34BF"/>
    <w:rsid w:val="00FE368D"/>
    <w:rsid w:val="00FE3A3B"/>
    <w:rsid w:val="00FE48CC"/>
    <w:rsid w:val="00FE4F97"/>
    <w:rsid w:val="00FE51F8"/>
    <w:rsid w:val="00FE5495"/>
    <w:rsid w:val="00FE5C9A"/>
    <w:rsid w:val="00FE5F51"/>
    <w:rsid w:val="00FF0015"/>
    <w:rsid w:val="00FF01B5"/>
    <w:rsid w:val="00FF0B5F"/>
    <w:rsid w:val="00FF0C50"/>
    <w:rsid w:val="00FF10C3"/>
    <w:rsid w:val="00FF1C93"/>
    <w:rsid w:val="00FF1D1F"/>
    <w:rsid w:val="00FF1E17"/>
    <w:rsid w:val="00FF1F59"/>
    <w:rsid w:val="00FF2745"/>
    <w:rsid w:val="00FF3A20"/>
    <w:rsid w:val="00FF41DF"/>
    <w:rsid w:val="00FF4676"/>
    <w:rsid w:val="00FF4943"/>
    <w:rsid w:val="00FF4A0A"/>
    <w:rsid w:val="00FF4E5A"/>
    <w:rsid w:val="00FF5436"/>
    <w:rsid w:val="00FF57AB"/>
    <w:rsid w:val="00FF678F"/>
    <w:rsid w:val="00FF6FC5"/>
    <w:rsid w:val="00FF7CE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2"/>
    <o:shapelayout v:ext="edit">
      <o:idmap v:ext="edit" data="1"/>
    </o:shapelayout>
  </w:shapeDefaults>
  <w:decimalSymbol w:val="."/>
  <w:listSeparator w:val=","/>
  <w14:docId w14:val="60517271"/>
  <w14:discardImageEditingData/>
  <w15:chartTrackingRefBased/>
  <w15:docId w15:val="{97968ECF-5A22-47F4-BE98-BC3421E4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59"/>
    <w:pPr>
      <w:spacing w:after="200" w:line="276" w:lineRule="auto"/>
    </w:pPr>
    <w:rPr>
      <w:sz w:val="18"/>
    </w:rPr>
  </w:style>
  <w:style w:type="paragraph" w:styleId="Heading1">
    <w:name w:val="heading 1"/>
    <w:basedOn w:val="MCHeading1"/>
    <w:next w:val="Normal"/>
    <w:link w:val="Heading1Char"/>
    <w:uiPriority w:val="9"/>
    <w:qFormat/>
    <w:rsid w:val="000B2662"/>
    <w:pPr>
      <w:jc w:val="left"/>
      <w:outlineLvl w:val="0"/>
    </w:pPr>
  </w:style>
  <w:style w:type="paragraph" w:styleId="Heading2">
    <w:name w:val="heading 2"/>
    <w:basedOn w:val="Heading1"/>
    <w:next w:val="Normal"/>
    <w:link w:val="Heading2Char"/>
    <w:uiPriority w:val="9"/>
    <w:unhideWhenUsed/>
    <w:qFormat/>
    <w:rsid w:val="00C758E2"/>
    <w:pPr>
      <w:outlineLvl w:val="1"/>
    </w:pPr>
  </w:style>
  <w:style w:type="paragraph" w:styleId="Heading3">
    <w:name w:val="heading 3"/>
    <w:basedOn w:val="Subhead1"/>
    <w:next w:val="Normal"/>
    <w:link w:val="Heading3Char"/>
    <w:uiPriority w:val="9"/>
    <w:unhideWhenUsed/>
    <w:qFormat/>
    <w:rsid w:val="0022663A"/>
    <w:pPr>
      <w:outlineLvl w:val="2"/>
    </w:pPr>
    <w:rPr>
      <w:caps w:val="0"/>
    </w:rPr>
  </w:style>
  <w:style w:type="paragraph" w:styleId="Heading4">
    <w:name w:val="heading 4"/>
    <w:basedOn w:val="RRSubhead3"/>
    <w:next w:val="Normal"/>
    <w:link w:val="Heading4Char"/>
    <w:uiPriority w:val="9"/>
    <w:unhideWhenUsed/>
    <w:qFormat/>
    <w:rsid w:val="00210B59"/>
    <w:pPr>
      <w:numPr>
        <w:ilvl w:val="2"/>
        <w:numId w:val="9"/>
      </w:numPr>
      <w:spacing w:after="120" w:line="288" w:lineRule="auto"/>
      <w:jc w:val="both"/>
      <w:outlineLvl w:val="3"/>
    </w:pPr>
    <w:rPr>
      <w:sz w:val="22"/>
    </w:rPr>
  </w:style>
  <w:style w:type="paragraph" w:styleId="Heading5">
    <w:name w:val="heading 5"/>
    <w:basedOn w:val="Normal"/>
    <w:next w:val="Normal"/>
    <w:link w:val="Heading5Char"/>
    <w:uiPriority w:val="9"/>
    <w:unhideWhenUsed/>
    <w:qFormat/>
    <w:rsid w:val="00210B59"/>
    <w:pPr>
      <w:numPr>
        <w:ilvl w:val="3"/>
        <w:numId w:val="9"/>
      </w:numPr>
      <w:outlineLvl w:val="4"/>
    </w:pPr>
    <w:rPr>
      <w:rFonts w:cstheme="minorHAnsi"/>
      <w:b/>
      <w:color w:val="555B5D" w:themeColor="accent3" w:themeShade="BF"/>
      <w:sz w:val="20"/>
      <w:szCs w:val="20"/>
    </w:rPr>
  </w:style>
  <w:style w:type="paragraph" w:styleId="Heading6">
    <w:name w:val="heading 6"/>
    <w:basedOn w:val="Normal"/>
    <w:next w:val="Normal"/>
    <w:link w:val="Heading6Char"/>
    <w:uiPriority w:val="9"/>
    <w:unhideWhenUsed/>
    <w:qFormat/>
    <w:rsid w:val="001B409F"/>
    <w:pPr>
      <w:numPr>
        <w:numId w:val="12"/>
      </w:numPr>
      <w:outlineLvl w:val="5"/>
    </w:pPr>
    <w:rPr>
      <w:rFonts w:cstheme="minorHAnsi"/>
      <w:b/>
      <w:color w:val="073658" w:themeColor="text2" w:themeShade="BF"/>
      <w:szCs w:val="18"/>
    </w:rPr>
  </w:style>
  <w:style w:type="paragraph" w:styleId="Heading7">
    <w:name w:val="heading 7"/>
    <w:basedOn w:val="Normal"/>
    <w:next w:val="Normal"/>
    <w:link w:val="Heading7Char"/>
    <w:uiPriority w:val="9"/>
    <w:semiHidden/>
    <w:unhideWhenUsed/>
    <w:qFormat/>
    <w:rsid w:val="00B01E6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01E6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01E6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Heading1">
    <w:name w:val="MC Heading 1"/>
    <w:basedOn w:val="RRSubhead1"/>
    <w:link w:val="MCHeading1Char"/>
    <w:rsid w:val="00210B59"/>
    <w:rPr>
      <w:rFonts w:asciiTheme="majorHAnsi" w:hAnsiTheme="majorHAnsi" w:cstheme="majorHAnsi"/>
    </w:rPr>
  </w:style>
  <w:style w:type="paragraph" w:customStyle="1" w:styleId="RRSubhead1">
    <w:name w:val="RR Subhead 1"/>
    <w:basedOn w:val="RRBody"/>
    <w:next w:val="RRBody"/>
    <w:link w:val="RRSubhead1Char"/>
    <w:rsid w:val="007504D3"/>
    <w:pPr>
      <w:keepNext/>
      <w:spacing w:before="120" w:after="60"/>
    </w:pPr>
    <w:rPr>
      <w:color w:val="0081E3" w:themeColor="accent4"/>
      <w:sz w:val="30"/>
    </w:rPr>
  </w:style>
  <w:style w:type="paragraph" w:customStyle="1" w:styleId="RRBody">
    <w:name w:val="RR Body"/>
    <w:basedOn w:val="Normal"/>
    <w:link w:val="RRBodyChar"/>
    <w:qFormat/>
    <w:rsid w:val="00FF5436"/>
    <w:pPr>
      <w:spacing w:after="240"/>
      <w:jc w:val="both"/>
    </w:pPr>
  </w:style>
  <w:style w:type="character" w:customStyle="1" w:styleId="RRBodyChar">
    <w:name w:val="RR Body Char"/>
    <w:basedOn w:val="DefaultParagraphFont"/>
    <w:link w:val="RRBody"/>
    <w:rsid w:val="00FF5436"/>
    <w:rPr>
      <w:sz w:val="18"/>
    </w:rPr>
  </w:style>
  <w:style w:type="character" w:customStyle="1" w:styleId="RRSubhead1Char">
    <w:name w:val="RR Subhead 1 Char"/>
    <w:basedOn w:val="RRBodyChar"/>
    <w:link w:val="RRSubhead1"/>
    <w:rsid w:val="00210B59"/>
    <w:rPr>
      <w:color w:val="0081E3" w:themeColor="accent4"/>
      <w:sz w:val="30"/>
    </w:rPr>
  </w:style>
  <w:style w:type="character" w:customStyle="1" w:styleId="MCHeading1Char">
    <w:name w:val="MC Heading 1 Char"/>
    <w:basedOn w:val="RRSubhead1Char"/>
    <w:link w:val="MCHeading1"/>
    <w:rsid w:val="00210B59"/>
    <w:rPr>
      <w:rFonts w:asciiTheme="majorHAnsi" w:hAnsiTheme="majorHAnsi" w:cstheme="majorHAnsi"/>
      <w:color w:val="0081E3" w:themeColor="accent4"/>
      <w:sz w:val="30"/>
    </w:rPr>
  </w:style>
  <w:style w:type="character" w:customStyle="1" w:styleId="Heading1Char">
    <w:name w:val="Heading 1 Char"/>
    <w:basedOn w:val="DefaultParagraphFont"/>
    <w:link w:val="Heading1"/>
    <w:uiPriority w:val="9"/>
    <w:rsid w:val="000B2662"/>
    <w:rPr>
      <w:rFonts w:asciiTheme="majorHAnsi" w:hAnsiTheme="majorHAnsi" w:cstheme="majorHAnsi"/>
      <w:color w:val="0081E3" w:themeColor="accent4"/>
      <w:sz w:val="30"/>
    </w:rPr>
  </w:style>
  <w:style w:type="character" w:customStyle="1" w:styleId="Heading2Char">
    <w:name w:val="Heading 2 Char"/>
    <w:basedOn w:val="DefaultParagraphFont"/>
    <w:link w:val="Heading2"/>
    <w:uiPriority w:val="9"/>
    <w:rsid w:val="00C758E2"/>
    <w:rPr>
      <w:rFonts w:asciiTheme="majorHAnsi" w:hAnsiTheme="majorHAnsi" w:cstheme="majorHAnsi"/>
      <w:color w:val="0081E3" w:themeColor="accent4"/>
      <w:sz w:val="30"/>
    </w:rPr>
  </w:style>
  <w:style w:type="paragraph" w:customStyle="1" w:styleId="Subhead1">
    <w:name w:val="Subhead 1"/>
    <w:basedOn w:val="Normal"/>
    <w:next w:val="RRBody"/>
    <w:qFormat/>
    <w:rsid w:val="008C085B"/>
    <w:pPr>
      <w:keepNext/>
      <w:spacing w:after="0" w:line="240" w:lineRule="auto"/>
    </w:pPr>
    <w:rPr>
      <w:b/>
      <w:caps/>
      <w:color w:val="0A4977" w:themeColor="text2"/>
      <w:sz w:val="20"/>
      <w:szCs w:val="22"/>
    </w:rPr>
  </w:style>
  <w:style w:type="character" w:customStyle="1" w:styleId="Heading3Char">
    <w:name w:val="Heading 3 Char"/>
    <w:basedOn w:val="DefaultParagraphFont"/>
    <w:link w:val="Heading3"/>
    <w:uiPriority w:val="9"/>
    <w:rsid w:val="0022663A"/>
    <w:rPr>
      <w:b/>
      <w:color w:val="0A4977" w:themeColor="text2"/>
      <w:sz w:val="20"/>
      <w:szCs w:val="22"/>
    </w:rPr>
  </w:style>
  <w:style w:type="paragraph" w:customStyle="1" w:styleId="RRSubhead3">
    <w:name w:val="RR Subhead 3"/>
    <w:basedOn w:val="Normal"/>
    <w:next w:val="RRBody"/>
    <w:rsid w:val="007504D3"/>
    <w:pPr>
      <w:keepNext/>
      <w:spacing w:after="0"/>
    </w:pPr>
    <w:rPr>
      <w:color w:val="0A4977" w:themeColor="text2"/>
    </w:rPr>
  </w:style>
  <w:style w:type="character" w:customStyle="1" w:styleId="Heading4Char">
    <w:name w:val="Heading 4 Char"/>
    <w:basedOn w:val="DefaultParagraphFont"/>
    <w:link w:val="Heading4"/>
    <w:uiPriority w:val="9"/>
    <w:rsid w:val="00210B59"/>
    <w:rPr>
      <w:color w:val="0A4977" w:themeColor="text2"/>
      <w:sz w:val="22"/>
    </w:rPr>
  </w:style>
  <w:style w:type="character" w:customStyle="1" w:styleId="Heading5Char">
    <w:name w:val="Heading 5 Char"/>
    <w:basedOn w:val="DefaultParagraphFont"/>
    <w:link w:val="Heading5"/>
    <w:uiPriority w:val="9"/>
    <w:rsid w:val="00210B59"/>
    <w:rPr>
      <w:rFonts w:cstheme="minorHAnsi"/>
      <w:b/>
      <w:color w:val="555B5D" w:themeColor="accent3" w:themeShade="BF"/>
      <w:sz w:val="20"/>
      <w:szCs w:val="20"/>
    </w:rPr>
  </w:style>
  <w:style w:type="character" w:customStyle="1" w:styleId="Heading6Char">
    <w:name w:val="Heading 6 Char"/>
    <w:basedOn w:val="DefaultParagraphFont"/>
    <w:link w:val="Heading6"/>
    <w:uiPriority w:val="9"/>
    <w:rsid w:val="001B409F"/>
    <w:rPr>
      <w:rFonts w:cstheme="minorHAnsi"/>
      <w:b/>
      <w:color w:val="073658" w:themeColor="text2" w:themeShade="BF"/>
      <w:sz w:val="18"/>
      <w:szCs w:val="18"/>
    </w:rPr>
  </w:style>
  <w:style w:type="character" w:customStyle="1" w:styleId="Heading7Char">
    <w:name w:val="Heading 7 Char"/>
    <w:basedOn w:val="DefaultParagraphFont"/>
    <w:link w:val="Heading7"/>
    <w:uiPriority w:val="9"/>
    <w:semiHidden/>
    <w:rsid w:val="00B01E6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01E6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01E60"/>
    <w:rPr>
      <w:rFonts w:asciiTheme="majorHAnsi" w:eastAsiaTheme="majorEastAsia" w:hAnsiTheme="majorHAnsi" w:cstheme="majorBidi"/>
      <w:i/>
      <w:iCs/>
      <w:smallCaps/>
      <w:color w:val="595959" w:themeColor="text1" w:themeTint="A6"/>
    </w:rPr>
  </w:style>
  <w:style w:type="paragraph" w:customStyle="1" w:styleId="RRCoverResearchReport">
    <w:name w:val="RR Cover Research Report"/>
    <w:basedOn w:val="Normal"/>
    <w:qFormat/>
    <w:rsid w:val="003C07FB"/>
    <w:pPr>
      <w:spacing w:after="0"/>
    </w:pPr>
    <w:rPr>
      <w:rFonts w:asciiTheme="majorHAnsi" w:hAnsiTheme="majorHAnsi"/>
      <w:caps/>
      <w:color w:val="727A7D" w:themeColor="accent3"/>
    </w:rPr>
  </w:style>
  <w:style w:type="paragraph" w:customStyle="1" w:styleId="RRCoverTitle">
    <w:name w:val="RR Cover Title"/>
    <w:basedOn w:val="Normal"/>
    <w:rsid w:val="007504D3"/>
    <w:pPr>
      <w:ind w:right="2520"/>
    </w:pPr>
    <w:rPr>
      <w:rFonts w:asciiTheme="majorHAnsi" w:hAnsiTheme="majorHAnsi"/>
      <w:color w:val="0081E3" w:themeColor="accent4"/>
      <w:sz w:val="60"/>
    </w:rPr>
  </w:style>
  <w:style w:type="paragraph" w:customStyle="1" w:styleId="RRCoverSubtitle">
    <w:name w:val="RR Cover Subtitle"/>
    <w:basedOn w:val="Normal"/>
    <w:qFormat/>
    <w:rsid w:val="007504D3"/>
    <w:pPr>
      <w:spacing w:before="120"/>
    </w:pPr>
    <w:rPr>
      <w:rFonts w:asciiTheme="majorHAnsi" w:hAnsiTheme="majorHAnsi"/>
      <w:color w:val="727A7D" w:themeColor="accent3"/>
      <w:sz w:val="32"/>
    </w:rPr>
  </w:style>
  <w:style w:type="paragraph" w:customStyle="1" w:styleId="RRCoverDate">
    <w:name w:val="RR Cover Date"/>
    <w:basedOn w:val="Normal"/>
    <w:rsid w:val="007504D3"/>
    <w:pPr>
      <w:spacing w:before="240" w:after="360"/>
    </w:pPr>
    <w:rPr>
      <w:color w:val="727A7D" w:themeColor="accent3"/>
    </w:rPr>
  </w:style>
  <w:style w:type="paragraph" w:customStyle="1" w:styleId="RRCoverAuthor">
    <w:name w:val="RR Cover Author"/>
    <w:basedOn w:val="Normal"/>
    <w:qFormat/>
    <w:rsid w:val="003C07FB"/>
    <w:pPr>
      <w:tabs>
        <w:tab w:val="left" w:pos="5040"/>
      </w:tabs>
      <w:spacing w:after="0"/>
    </w:pPr>
    <w:rPr>
      <w:color w:val="727A7D" w:themeColor="accent3"/>
    </w:rPr>
  </w:style>
  <w:style w:type="paragraph" w:customStyle="1" w:styleId="RRObject">
    <w:name w:val="RR Object"/>
    <w:basedOn w:val="Normal"/>
    <w:rsid w:val="00C7783E"/>
    <w:pPr>
      <w:spacing w:before="240" w:line="240" w:lineRule="auto"/>
    </w:pPr>
  </w:style>
  <w:style w:type="paragraph" w:styleId="Header">
    <w:name w:val="header"/>
    <w:basedOn w:val="Normal"/>
    <w:link w:val="HeaderChar"/>
    <w:uiPriority w:val="99"/>
    <w:unhideWhenUsed/>
    <w:rsid w:val="00610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0E90"/>
  </w:style>
  <w:style w:type="paragraph" w:styleId="Footer">
    <w:name w:val="footer"/>
    <w:basedOn w:val="Normal"/>
    <w:link w:val="FooterChar"/>
    <w:uiPriority w:val="99"/>
    <w:unhideWhenUsed/>
    <w:rsid w:val="00610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0E90"/>
  </w:style>
  <w:style w:type="paragraph" w:customStyle="1" w:styleId="RRHeader">
    <w:name w:val="RR Header"/>
    <w:basedOn w:val="Header"/>
    <w:qFormat/>
    <w:rsid w:val="00A925AC"/>
    <w:pPr>
      <w:spacing w:line="252" w:lineRule="auto"/>
    </w:pPr>
    <w:rPr>
      <w:caps/>
      <w:color w:val="C6C9CA" w:themeColor="accent2"/>
      <w:sz w:val="14"/>
    </w:rPr>
  </w:style>
  <w:style w:type="paragraph" w:customStyle="1" w:styleId="RRTOCHeader">
    <w:name w:val="RR TOC Header"/>
    <w:basedOn w:val="Normal"/>
    <w:rsid w:val="006C3AFC"/>
    <w:pPr>
      <w:spacing w:before="220" w:after="115" w:line="240" w:lineRule="auto"/>
    </w:pPr>
    <w:rPr>
      <w:color w:val="0A4977" w:themeColor="text2"/>
      <w:sz w:val="28"/>
    </w:rPr>
  </w:style>
  <w:style w:type="paragraph" w:customStyle="1" w:styleId="RRHeader2">
    <w:name w:val="RR Header 2"/>
    <w:basedOn w:val="RRHeader"/>
    <w:qFormat/>
    <w:rsid w:val="004E09DD"/>
    <w:pPr>
      <w:tabs>
        <w:tab w:val="clear" w:pos="4680"/>
        <w:tab w:val="clear" w:pos="9360"/>
      </w:tabs>
      <w:ind w:left="-720" w:right="-513"/>
    </w:pPr>
  </w:style>
  <w:style w:type="paragraph" w:customStyle="1" w:styleId="RRFooter">
    <w:name w:val="RR Footer"/>
    <w:basedOn w:val="Footer"/>
    <w:qFormat/>
    <w:rsid w:val="002B1DAB"/>
    <w:pPr>
      <w:pBdr>
        <w:top w:val="single" w:sz="4" w:space="6" w:color="E8E9E9" w:themeColor="accent2" w:themeTint="66"/>
      </w:pBdr>
      <w:spacing w:line="276" w:lineRule="auto"/>
      <w:ind w:left="-720" w:right="-720"/>
    </w:pPr>
    <w:rPr>
      <w:color w:val="727A7D" w:themeColor="accent3"/>
      <w:sz w:val="14"/>
    </w:rPr>
  </w:style>
  <w:style w:type="paragraph" w:customStyle="1" w:styleId="RRIndent1">
    <w:name w:val="RR Indent 1"/>
    <w:basedOn w:val="RRBody"/>
    <w:qFormat/>
    <w:rsid w:val="007504D3"/>
    <w:pPr>
      <w:ind w:left="245"/>
    </w:pPr>
  </w:style>
  <w:style w:type="paragraph" w:customStyle="1" w:styleId="RRIndent2">
    <w:name w:val="RR Indent 2"/>
    <w:basedOn w:val="RRBody"/>
    <w:rsid w:val="007504D3"/>
    <w:pPr>
      <w:ind w:left="360"/>
    </w:pPr>
  </w:style>
  <w:style w:type="paragraph" w:customStyle="1" w:styleId="RRBullet1">
    <w:name w:val="RR Bullet 1"/>
    <w:basedOn w:val="RRBody"/>
    <w:rsid w:val="007504D3"/>
    <w:pPr>
      <w:spacing w:after="60"/>
    </w:pPr>
  </w:style>
  <w:style w:type="paragraph" w:customStyle="1" w:styleId="RRBullet2">
    <w:name w:val="RR Bullet 2"/>
    <w:basedOn w:val="RRBullet1"/>
    <w:rsid w:val="007504D3"/>
    <w:pPr>
      <w:numPr>
        <w:numId w:val="2"/>
      </w:numPr>
      <w:ind w:left="432" w:hanging="216"/>
    </w:pPr>
  </w:style>
  <w:style w:type="paragraph" w:customStyle="1" w:styleId="RRNumber">
    <w:name w:val="RR Number"/>
    <w:basedOn w:val="RRBody"/>
    <w:qFormat/>
    <w:rsid w:val="007504D3"/>
    <w:pPr>
      <w:numPr>
        <w:numId w:val="3"/>
      </w:numPr>
      <w:ind w:left="360"/>
    </w:pPr>
  </w:style>
  <w:style w:type="paragraph" w:customStyle="1" w:styleId="RRNumber2">
    <w:name w:val="RR Number 2"/>
    <w:basedOn w:val="RRNumber"/>
    <w:rsid w:val="007504D3"/>
    <w:pPr>
      <w:numPr>
        <w:numId w:val="7"/>
      </w:numPr>
      <w:ind w:left="720" w:hanging="288"/>
    </w:pPr>
  </w:style>
  <w:style w:type="paragraph" w:customStyle="1" w:styleId="RRNumberedSubhead1">
    <w:name w:val="RR Numbered Subhead 1"/>
    <w:basedOn w:val="RRSubhead1"/>
    <w:next w:val="RRNumberedBody"/>
    <w:rsid w:val="007504D3"/>
    <w:pPr>
      <w:numPr>
        <w:numId w:val="4"/>
      </w:numPr>
    </w:pPr>
  </w:style>
  <w:style w:type="paragraph" w:customStyle="1" w:styleId="RRNumberedBody">
    <w:name w:val="RR Numbered Body"/>
    <w:basedOn w:val="RRBody"/>
    <w:rsid w:val="007504D3"/>
    <w:pPr>
      <w:ind w:left="360"/>
    </w:pPr>
  </w:style>
  <w:style w:type="paragraph" w:customStyle="1" w:styleId="RRNumberedBullet1">
    <w:name w:val="RR Numbered Bullet 1"/>
    <w:basedOn w:val="RRBullet1"/>
    <w:qFormat/>
    <w:rsid w:val="009422F7"/>
  </w:style>
  <w:style w:type="paragraph" w:customStyle="1" w:styleId="RRNumberedSubhead2">
    <w:name w:val="RR Numbered Subhead 2"/>
    <w:basedOn w:val="Subhead1"/>
    <w:next w:val="RRNumberedBody"/>
    <w:qFormat/>
    <w:rsid w:val="007504D3"/>
    <w:pPr>
      <w:numPr>
        <w:ilvl w:val="1"/>
        <w:numId w:val="8"/>
      </w:numPr>
    </w:pPr>
  </w:style>
  <w:style w:type="paragraph" w:customStyle="1" w:styleId="RRNumberedRoman1">
    <w:name w:val="RR Numbered Roman 1"/>
    <w:basedOn w:val="RRNumberedBody"/>
    <w:rsid w:val="007504D3"/>
    <w:pPr>
      <w:numPr>
        <w:numId w:val="5"/>
      </w:numPr>
      <w:ind w:left="720"/>
    </w:pPr>
  </w:style>
  <w:style w:type="paragraph" w:customStyle="1" w:styleId="RRNumberedIndent2">
    <w:name w:val="RR Numbered Indent 2"/>
    <w:basedOn w:val="RRIndent2"/>
    <w:rsid w:val="007504D3"/>
    <w:pPr>
      <w:ind w:left="1008"/>
    </w:pPr>
  </w:style>
  <w:style w:type="paragraph" w:customStyle="1" w:styleId="RRNumberedSubhead3">
    <w:name w:val="RR Numbered Subhead 3"/>
    <w:basedOn w:val="RRSubhead3"/>
    <w:next w:val="RRNumberedIndent2"/>
    <w:qFormat/>
    <w:rsid w:val="007504D3"/>
    <w:pPr>
      <w:numPr>
        <w:ilvl w:val="2"/>
        <w:numId w:val="8"/>
      </w:numPr>
    </w:pPr>
  </w:style>
  <w:style w:type="paragraph" w:styleId="FootnoteText">
    <w:name w:val="footnote text"/>
    <w:basedOn w:val="RRFootnote"/>
    <w:link w:val="FootnoteTextChar"/>
    <w:unhideWhenUsed/>
    <w:rsid w:val="006B610B"/>
    <w:pPr>
      <w:spacing w:after="0" w:line="240" w:lineRule="auto"/>
    </w:pPr>
    <w:rPr>
      <w:sz w:val="20"/>
      <w:szCs w:val="20"/>
    </w:rPr>
  </w:style>
  <w:style w:type="paragraph" w:customStyle="1" w:styleId="RRFootnote">
    <w:name w:val="RR Footnote"/>
    <w:basedOn w:val="RRBody"/>
    <w:rsid w:val="00EB1DD3"/>
    <w:pPr>
      <w:spacing w:after="20"/>
      <w:ind w:left="475" w:hanging="475"/>
    </w:pPr>
    <w:rPr>
      <w:color w:val="727A7D" w:themeColor="accent3"/>
      <w:sz w:val="14"/>
    </w:rPr>
  </w:style>
  <w:style w:type="character" w:customStyle="1" w:styleId="FootnoteTextChar">
    <w:name w:val="Footnote Text Char"/>
    <w:basedOn w:val="DefaultParagraphFont"/>
    <w:link w:val="FootnoteText"/>
    <w:rsid w:val="00935457"/>
    <w:rPr>
      <w:color w:val="C6C9CA" w:themeColor="accent2"/>
      <w:sz w:val="20"/>
      <w:szCs w:val="20"/>
    </w:rPr>
  </w:style>
  <w:style w:type="character" w:styleId="FootnoteReference">
    <w:name w:val="footnote reference"/>
    <w:basedOn w:val="DefaultParagraphFont"/>
    <w:semiHidden/>
    <w:unhideWhenUsed/>
    <w:rsid w:val="006B610B"/>
    <w:rPr>
      <w:vertAlign w:val="superscript"/>
    </w:rPr>
  </w:style>
  <w:style w:type="paragraph" w:customStyle="1" w:styleId="RRTableHeading">
    <w:name w:val="RR Table Heading"/>
    <w:rsid w:val="007504D3"/>
    <w:pPr>
      <w:spacing w:after="0" w:line="288" w:lineRule="auto"/>
    </w:pPr>
    <w:rPr>
      <w:rFonts w:asciiTheme="majorHAnsi" w:hAnsiTheme="majorHAnsi"/>
      <w:b/>
      <w:caps/>
      <w:color w:val="39414D" w:themeColor="background2"/>
      <w:sz w:val="14"/>
    </w:rPr>
  </w:style>
  <w:style w:type="table" w:styleId="TableGrid">
    <w:name w:val="Table Grid"/>
    <w:basedOn w:val="TableNormal"/>
    <w:uiPriority w:val="39"/>
    <w:rsid w:val="00A61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RTableBody">
    <w:name w:val="RR Table Body"/>
    <w:basedOn w:val="RRTableHeading"/>
    <w:rsid w:val="00967481"/>
    <w:pPr>
      <w:spacing w:before="60" w:after="60" w:line="264" w:lineRule="auto"/>
    </w:pPr>
    <w:rPr>
      <w:b w:val="0"/>
    </w:rPr>
  </w:style>
  <w:style w:type="paragraph" w:customStyle="1" w:styleId="RRExhibitHeading">
    <w:name w:val="RR Exhibit Heading"/>
    <w:next w:val="RRBody"/>
    <w:rsid w:val="007504D3"/>
    <w:pPr>
      <w:keepNext/>
      <w:pBdr>
        <w:top w:val="single" w:sz="4" w:space="9" w:color="E8E9E9" w:themeColor="accent2" w:themeTint="66"/>
      </w:pBdr>
      <w:tabs>
        <w:tab w:val="left" w:pos="900"/>
      </w:tabs>
      <w:spacing w:before="240" w:after="60" w:line="276" w:lineRule="auto"/>
    </w:pPr>
    <w:rPr>
      <w:rFonts w:asciiTheme="majorHAnsi" w:hAnsiTheme="majorHAnsi"/>
      <w:b/>
      <w:caps/>
      <w:color w:val="0081E3" w:themeColor="accent4"/>
      <w:sz w:val="14"/>
    </w:rPr>
  </w:style>
  <w:style w:type="paragraph" w:customStyle="1" w:styleId="RRExhibitFootnote">
    <w:name w:val="RR Exhibit Footnote"/>
    <w:rsid w:val="006749FC"/>
    <w:pPr>
      <w:spacing w:before="120" w:after="200" w:line="276" w:lineRule="auto"/>
    </w:pPr>
    <w:rPr>
      <w:color w:val="727A7D"/>
      <w:sz w:val="13"/>
    </w:rPr>
  </w:style>
  <w:style w:type="paragraph" w:customStyle="1" w:styleId="RRExhibitHeadingTopLine">
    <w:name w:val="RR Exhibit Heading Top Line"/>
    <w:basedOn w:val="Normal"/>
    <w:rsid w:val="00BC0572"/>
    <w:pPr>
      <w:keepNext/>
      <w:pBdr>
        <w:top w:val="single" w:sz="4" w:space="9" w:color="E8E9E9" w:themeColor="accent2" w:themeTint="66"/>
      </w:pBdr>
      <w:tabs>
        <w:tab w:val="left" w:pos="900"/>
      </w:tabs>
      <w:spacing w:after="60" w:line="252" w:lineRule="auto"/>
    </w:pPr>
    <w:rPr>
      <w:rFonts w:asciiTheme="majorHAnsi" w:hAnsiTheme="majorHAnsi"/>
      <w:b/>
      <w:caps/>
      <w:color w:val="0081E3" w:themeColor="accent4"/>
      <w:sz w:val="14"/>
    </w:rPr>
  </w:style>
  <w:style w:type="paragraph" w:customStyle="1" w:styleId="RRNumberTable">
    <w:name w:val="RR Number Table"/>
    <w:basedOn w:val="Normal"/>
    <w:rsid w:val="00BD15AE"/>
    <w:pPr>
      <w:numPr>
        <w:numId w:val="6"/>
      </w:numPr>
      <w:ind w:hanging="720"/>
    </w:pPr>
    <w:rPr>
      <w:color w:val="727A7D" w:themeColor="accent3"/>
    </w:rPr>
  </w:style>
  <w:style w:type="paragraph" w:customStyle="1" w:styleId="RRCalloutBox">
    <w:name w:val="RR Callout Box"/>
    <w:basedOn w:val="Normal"/>
    <w:rsid w:val="006749FC"/>
    <w:pPr>
      <w:spacing w:before="60" w:after="180"/>
      <w:ind w:left="360" w:right="720"/>
    </w:pPr>
    <w:rPr>
      <w:color w:val="FFFFFF" w:themeColor="background1"/>
      <w:sz w:val="28"/>
    </w:rPr>
  </w:style>
  <w:style w:type="paragraph" w:customStyle="1" w:styleId="RRCalloutBlue">
    <w:name w:val="RR Callout Blue"/>
    <w:rsid w:val="006749FC"/>
    <w:pPr>
      <w:spacing w:before="60" w:after="180" w:line="276" w:lineRule="auto"/>
    </w:pPr>
    <w:rPr>
      <w:color w:val="0081E3" w:themeColor="accent4"/>
      <w:sz w:val="28"/>
    </w:rPr>
  </w:style>
  <w:style w:type="paragraph" w:customStyle="1" w:styleId="RRCalloutSlate">
    <w:name w:val="RR Callout Slate"/>
    <w:basedOn w:val="RRCalloutBlue"/>
    <w:rsid w:val="006749FC"/>
    <w:rPr>
      <w:color w:val="727A7D" w:themeColor="accent3"/>
    </w:rPr>
  </w:style>
  <w:style w:type="paragraph" w:customStyle="1" w:styleId="RRCalloutSmall">
    <w:name w:val="RR Callout Small"/>
    <w:basedOn w:val="RRCalloutBlue"/>
    <w:rsid w:val="00BD15AE"/>
    <w:pPr>
      <w:spacing w:after="120"/>
    </w:pPr>
    <w:rPr>
      <w:color w:val="727A7D" w:themeColor="accent3"/>
      <w:sz w:val="20"/>
    </w:rPr>
  </w:style>
  <w:style w:type="paragraph" w:customStyle="1" w:styleId="RRCalloutSmallMBlue">
    <w:name w:val="RR Callout Small MBlue"/>
    <w:basedOn w:val="RRCalloutSmall"/>
    <w:qFormat/>
    <w:rsid w:val="006749FC"/>
    <w:rPr>
      <w:color w:val="0A4977" w:themeColor="text2"/>
    </w:rPr>
  </w:style>
  <w:style w:type="paragraph" w:customStyle="1" w:styleId="RRCalloutSmallVibrantBlue">
    <w:name w:val="RR Callout Small Vibrant Blue"/>
    <w:basedOn w:val="RRCalloutSmall"/>
    <w:rsid w:val="006749FC"/>
    <w:rPr>
      <w:color w:val="0081E3" w:themeColor="accent4"/>
    </w:rPr>
  </w:style>
  <w:style w:type="paragraph" w:customStyle="1" w:styleId="RRSidebar">
    <w:name w:val="RR Sidebar"/>
    <w:rsid w:val="006749FC"/>
    <w:pPr>
      <w:pBdr>
        <w:top w:val="single" w:sz="4" w:space="6" w:color="E8E9E9" w:themeColor="accent2" w:themeTint="66"/>
      </w:pBdr>
      <w:spacing w:before="200" w:after="200" w:line="276" w:lineRule="auto"/>
    </w:pPr>
    <w:rPr>
      <w:color w:val="0A4977" w:themeColor="text2"/>
    </w:rPr>
  </w:style>
  <w:style w:type="paragraph" w:customStyle="1" w:styleId="RRLeftandRightSidebar">
    <w:name w:val="RR Left and Right Sidebar"/>
    <w:basedOn w:val="Normal"/>
    <w:rsid w:val="00BD15AE"/>
    <w:pPr>
      <w:pBdr>
        <w:top w:val="single" w:sz="4" w:space="6" w:color="E8E9E9" w:themeColor="accent2" w:themeTint="66"/>
      </w:pBdr>
      <w:spacing w:before="60"/>
    </w:pPr>
    <w:rPr>
      <w:color w:val="0A4977" w:themeColor="text2"/>
    </w:rPr>
  </w:style>
  <w:style w:type="character" w:styleId="Hyperlink">
    <w:name w:val="Hyperlink"/>
    <w:basedOn w:val="DefaultParagraphFont"/>
    <w:uiPriority w:val="99"/>
    <w:unhideWhenUsed/>
    <w:rsid w:val="00755FC8"/>
    <w:rPr>
      <w:color w:val="0081E3" w:themeColor="hyperlink"/>
      <w:u w:val="none"/>
    </w:rPr>
  </w:style>
  <w:style w:type="paragraph" w:customStyle="1" w:styleId="RRTOCDescription">
    <w:name w:val="RR TOC Description"/>
    <w:basedOn w:val="RRBody"/>
    <w:rsid w:val="001F1784"/>
    <w:pPr>
      <w:spacing w:before="60" w:after="0"/>
      <w:ind w:left="240" w:right="720"/>
    </w:pPr>
    <w:rPr>
      <w:color w:val="727A7D" w:themeColor="accent3"/>
    </w:rPr>
  </w:style>
  <w:style w:type="paragraph" w:styleId="TOC1">
    <w:name w:val="toc 1"/>
    <w:basedOn w:val="Normal"/>
    <w:next w:val="Normal"/>
    <w:autoRedefine/>
    <w:uiPriority w:val="39"/>
    <w:unhideWhenUsed/>
    <w:rsid w:val="007944E3"/>
    <w:pPr>
      <w:tabs>
        <w:tab w:val="right" w:leader="dot" w:pos="9360"/>
      </w:tabs>
      <w:spacing w:after="0" w:line="480" w:lineRule="auto"/>
    </w:pPr>
    <w:rPr>
      <w:b/>
      <w:caps/>
    </w:rPr>
  </w:style>
  <w:style w:type="paragraph" w:styleId="TOC2">
    <w:name w:val="toc 2"/>
    <w:basedOn w:val="TOC1"/>
    <w:next w:val="Normal"/>
    <w:autoRedefine/>
    <w:uiPriority w:val="39"/>
    <w:unhideWhenUsed/>
    <w:rsid w:val="00557670"/>
    <w:pPr>
      <w:tabs>
        <w:tab w:val="left" w:pos="720"/>
      </w:tabs>
      <w:spacing w:before="120" w:line="276" w:lineRule="auto"/>
      <w:ind w:left="245" w:right="43"/>
    </w:pPr>
    <w:rPr>
      <w:b w:val="0"/>
      <w:color w:val="727A7D" w:themeColor="accent3"/>
    </w:rPr>
  </w:style>
  <w:style w:type="paragraph" w:styleId="TOC3">
    <w:name w:val="toc 3"/>
    <w:basedOn w:val="TOC2"/>
    <w:next w:val="Normal"/>
    <w:autoRedefine/>
    <w:uiPriority w:val="39"/>
    <w:unhideWhenUsed/>
    <w:rsid w:val="007944E3"/>
    <w:pPr>
      <w:tabs>
        <w:tab w:val="left" w:pos="1080"/>
      </w:tabs>
      <w:spacing w:before="0" w:line="240" w:lineRule="auto"/>
      <w:ind w:left="720" w:right="0"/>
    </w:pPr>
    <w:rPr>
      <w:caps w:val="0"/>
    </w:rPr>
  </w:style>
  <w:style w:type="paragraph" w:customStyle="1" w:styleId="RRLastPageBottomText">
    <w:name w:val="RR Last Page Bottom Text"/>
    <w:basedOn w:val="Normal"/>
    <w:rsid w:val="002B1DAB"/>
    <w:rPr>
      <w:color w:val="727A7D" w:themeColor="accent3"/>
      <w:sz w:val="16"/>
    </w:rPr>
  </w:style>
  <w:style w:type="paragraph" w:customStyle="1" w:styleId="RRCalloutSmallSlate">
    <w:name w:val="RR Callout Small Slate"/>
    <w:basedOn w:val="RRCalloutSmall"/>
    <w:rsid w:val="00530642"/>
  </w:style>
  <w:style w:type="paragraph" w:styleId="BalloonText">
    <w:name w:val="Balloon Text"/>
    <w:basedOn w:val="Normal"/>
    <w:link w:val="BalloonTextChar"/>
    <w:uiPriority w:val="99"/>
    <w:semiHidden/>
    <w:unhideWhenUsed/>
    <w:rsid w:val="00F530B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530B1"/>
    <w:rPr>
      <w:rFonts w:ascii="Segoe UI" w:hAnsi="Segoe UI" w:cs="Segoe UI"/>
      <w:sz w:val="18"/>
      <w:szCs w:val="18"/>
    </w:rPr>
  </w:style>
  <w:style w:type="paragraph" w:customStyle="1" w:styleId="RRCopyrightText">
    <w:name w:val="RR Copyright Text"/>
    <w:basedOn w:val="Normal"/>
    <w:rsid w:val="005E674D"/>
    <w:pPr>
      <w:spacing w:after="0"/>
    </w:pPr>
    <w:rPr>
      <w:color w:val="727A7D" w:themeColor="accent3"/>
      <w:sz w:val="12"/>
      <w:szCs w:val="12"/>
    </w:rPr>
  </w:style>
  <w:style w:type="paragraph" w:customStyle="1" w:styleId="RRContactHeading">
    <w:name w:val="RR Contact Heading"/>
    <w:basedOn w:val="Normal"/>
    <w:rsid w:val="005E674D"/>
    <w:pPr>
      <w:spacing w:before="115" w:after="0" w:line="250" w:lineRule="auto"/>
    </w:pPr>
    <w:rPr>
      <w:b/>
      <w:color w:val="727A7D" w:themeColor="accent3"/>
      <w:sz w:val="16"/>
      <w:szCs w:val="16"/>
    </w:rPr>
  </w:style>
  <w:style w:type="paragraph" w:customStyle="1" w:styleId="RRContactName">
    <w:name w:val="RR Contact Name"/>
    <w:basedOn w:val="Normal"/>
    <w:rsid w:val="005E674D"/>
    <w:pPr>
      <w:spacing w:before="115" w:after="0" w:line="250" w:lineRule="auto"/>
    </w:pPr>
    <w:rPr>
      <w:b/>
      <w:color w:val="727A7D" w:themeColor="accent3"/>
      <w:sz w:val="16"/>
      <w:szCs w:val="16"/>
    </w:rPr>
  </w:style>
  <w:style w:type="paragraph" w:customStyle="1" w:styleId="CalloutSlate-Backpage">
    <w:name w:val="Callout Slate - Backpage"/>
    <w:basedOn w:val="RRCalloutSlate"/>
    <w:rsid w:val="00547DB3"/>
    <w:pPr>
      <w:ind w:right="4230"/>
    </w:pPr>
  </w:style>
  <w:style w:type="paragraph" w:styleId="ListParagraph">
    <w:name w:val="List Paragraph"/>
    <w:basedOn w:val="Normal"/>
    <w:uiPriority w:val="34"/>
    <w:qFormat/>
    <w:rsid w:val="006A4FE7"/>
    <w:pPr>
      <w:ind w:left="720"/>
      <w:contextualSpacing/>
    </w:pPr>
  </w:style>
  <w:style w:type="paragraph" w:customStyle="1" w:styleId="ReportCoverPrepare">
    <w:name w:val="Report Cover Prepare"/>
    <w:basedOn w:val="Normal"/>
    <w:next w:val="Normal"/>
    <w:rsid w:val="00A254F5"/>
    <w:pPr>
      <w:spacing w:after="0" w:line="252" w:lineRule="auto"/>
    </w:pPr>
    <w:rPr>
      <w:rFonts w:ascii="Arial" w:eastAsia="Times New Roman" w:hAnsi="Arial" w:cs="Times New Roman"/>
      <w:color w:val="0E68AB" w:themeColor="text2" w:themeTint="D9"/>
      <w:szCs w:val="18"/>
    </w:rPr>
  </w:style>
  <w:style w:type="paragraph" w:styleId="TOC5">
    <w:name w:val="toc 5"/>
    <w:basedOn w:val="Normal"/>
    <w:next w:val="Normal"/>
    <w:autoRedefine/>
    <w:uiPriority w:val="39"/>
    <w:unhideWhenUsed/>
    <w:rsid w:val="00CE2634"/>
    <w:pPr>
      <w:spacing w:after="100"/>
      <w:ind w:left="880"/>
    </w:pPr>
  </w:style>
  <w:style w:type="character" w:styleId="CommentReference">
    <w:name w:val="annotation reference"/>
    <w:basedOn w:val="DefaultParagraphFont"/>
    <w:uiPriority w:val="99"/>
    <w:semiHidden/>
    <w:unhideWhenUsed/>
    <w:rsid w:val="00CE2634"/>
    <w:rPr>
      <w:sz w:val="16"/>
      <w:szCs w:val="16"/>
    </w:rPr>
  </w:style>
  <w:style w:type="paragraph" w:styleId="CommentText">
    <w:name w:val="annotation text"/>
    <w:basedOn w:val="Normal"/>
    <w:link w:val="CommentTextChar"/>
    <w:uiPriority w:val="99"/>
    <w:unhideWhenUsed/>
    <w:rsid w:val="00CE2634"/>
    <w:pPr>
      <w:spacing w:after="180" w:line="240" w:lineRule="auto"/>
    </w:pPr>
    <w:rPr>
      <w:rFonts w:ascii="Arial" w:eastAsia="Times New Roman" w:hAnsi="Arial" w:cs="Times New Roman"/>
      <w:color w:val="0E68AB" w:themeColor="text2" w:themeTint="D9"/>
      <w:sz w:val="20"/>
      <w:szCs w:val="20"/>
    </w:rPr>
  </w:style>
  <w:style w:type="character" w:customStyle="1" w:styleId="CommentTextChar">
    <w:name w:val="Comment Text Char"/>
    <w:basedOn w:val="DefaultParagraphFont"/>
    <w:link w:val="CommentText"/>
    <w:uiPriority w:val="99"/>
    <w:rsid w:val="00CE2634"/>
    <w:rPr>
      <w:rFonts w:ascii="Arial" w:eastAsia="Times New Roman" w:hAnsi="Arial" w:cs="Times New Roman"/>
      <w:color w:val="0E68AB" w:themeColor="text2" w:themeTint="D9"/>
      <w:sz w:val="20"/>
      <w:szCs w:val="20"/>
    </w:rPr>
  </w:style>
  <w:style w:type="paragraph" w:styleId="ListBullet2">
    <w:name w:val="List Bullet 2"/>
    <w:basedOn w:val="ListBullet"/>
    <w:rsid w:val="005A641B"/>
    <w:pPr>
      <w:numPr>
        <w:numId w:val="10"/>
      </w:numPr>
      <w:tabs>
        <w:tab w:val="clear" w:pos="547"/>
        <w:tab w:val="left" w:pos="432"/>
      </w:tabs>
      <w:spacing w:after="240" w:line="252" w:lineRule="auto"/>
      <w:ind w:left="540"/>
    </w:pPr>
    <w:rPr>
      <w:rFonts w:ascii="Arial" w:eastAsia="Times New Roman" w:hAnsi="Arial" w:cs="Times New Roman"/>
      <w:color w:val="0E68AB" w:themeColor="text2" w:themeTint="D9"/>
      <w:szCs w:val="18"/>
    </w:rPr>
  </w:style>
  <w:style w:type="paragraph" w:styleId="ListBullet">
    <w:name w:val="List Bullet"/>
    <w:basedOn w:val="Normal"/>
    <w:uiPriority w:val="99"/>
    <w:semiHidden/>
    <w:unhideWhenUsed/>
    <w:rsid w:val="005A641B"/>
    <w:pPr>
      <w:numPr>
        <w:numId w:val="11"/>
      </w:numPr>
      <w:ind w:left="0" w:firstLine="0"/>
      <w:contextualSpacing/>
    </w:pPr>
  </w:style>
  <w:style w:type="paragraph" w:customStyle="1" w:styleId="TableTitleText">
    <w:name w:val="Table Title Text"/>
    <w:basedOn w:val="Normal"/>
    <w:rsid w:val="005A641B"/>
    <w:pPr>
      <w:spacing w:before="60" w:after="180" w:line="252" w:lineRule="auto"/>
    </w:pPr>
    <w:rPr>
      <w:rFonts w:ascii="Arial" w:eastAsia="Arial Unicode MS" w:hAnsi="Arial" w:cs="Times New Roman"/>
      <w:color w:val="FFFFFF" w:themeColor="background1"/>
      <w:szCs w:val="24"/>
    </w:rPr>
  </w:style>
  <w:style w:type="paragraph" w:customStyle="1" w:styleId="TableText">
    <w:name w:val="Table Text"/>
    <w:basedOn w:val="Normal"/>
    <w:rsid w:val="005A641B"/>
    <w:pPr>
      <w:spacing w:before="60" w:line="252" w:lineRule="auto"/>
    </w:pPr>
    <w:rPr>
      <w:rFonts w:ascii="Arial" w:eastAsia="Times New Roman" w:hAnsi="Arial" w:cs="Times New Roman"/>
      <w:color w:val="0E68AB" w:themeColor="text2" w:themeTint="D9"/>
      <w:szCs w:val="18"/>
      <w:lang w:val="pt-BR"/>
    </w:rPr>
  </w:style>
  <w:style w:type="paragraph" w:customStyle="1" w:styleId="SectionHeadTopofPage">
    <w:name w:val="Section Head Top of Page"/>
    <w:basedOn w:val="Normal"/>
    <w:next w:val="Normal"/>
    <w:qFormat/>
    <w:rsid w:val="002E1FD8"/>
    <w:pPr>
      <w:keepNext/>
      <w:spacing w:before="480" w:after="240"/>
      <w:outlineLvl w:val="0"/>
    </w:pPr>
    <w:rPr>
      <w:rFonts w:ascii="Arial" w:eastAsia="Calibri" w:hAnsi="Arial" w:cs="Times New Roman"/>
      <w:b/>
      <w:caps/>
      <w:color w:val="000000" w:themeColor="text1"/>
      <w:sz w:val="28"/>
      <w:szCs w:val="32"/>
    </w:rPr>
  </w:style>
  <w:style w:type="paragraph" w:styleId="CommentSubject">
    <w:name w:val="annotation subject"/>
    <w:basedOn w:val="CommentText"/>
    <w:next w:val="CommentText"/>
    <w:link w:val="CommentSubjectChar"/>
    <w:uiPriority w:val="99"/>
    <w:semiHidden/>
    <w:unhideWhenUsed/>
    <w:rsid w:val="000514E6"/>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0514E6"/>
    <w:rPr>
      <w:rFonts w:ascii="Arial" w:eastAsia="Times New Roman" w:hAnsi="Arial" w:cs="Times New Roman"/>
      <w:b/>
      <w:bCs/>
      <w:color w:val="0E68AB" w:themeColor="text2" w:themeTint="D9"/>
      <w:sz w:val="20"/>
      <w:szCs w:val="20"/>
    </w:rPr>
  </w:style>
  <w:style w:type="paragraph" w:styleId="TOC4">
    <w:name w:val="toc 4"/>
    <w:basedOn w:val="Normal"/>
    <w:next w:val="Normal"/>
    <w:autoRedefine/>
    <w:uiPriority w:val="39"/>
    <w:unhideWhenUsed/>
    <w:rsid w:val="00B165CC"/>
    <w:pPr>
      <w:tabs>
        <w:tab w:val="left" w:pos="1787"/>
        <w:tab w:val="right" w:leader="dot" w:pos="9350"/>
      </w:tabs>
      <w:spacing w:after="100"/>
      <w:ind w:left="1440"/>
    </w:pPr>
  </w:style>
  <w:style w:type="paragraph" w:styleId="TOC6">
    <w:name w:val="toc 6"/>
    <w:basedOn w:val="Normal"/>
    <w:next w:val="Normal"/>
    <w:autoRedefine/>
    <w:uiPriority w:val="39"/>
    <w:unhideWhenUsed/>
    <w:rsid w:val="008139F7"/>
    <w:pPr>
      <w:spacing w:after="100"/>
      <w:ind w:left="1100"/>
    </w:pPr>
  </w:style>
  <w:style w:type="paragraph" w:styleId="TOC7">
    <w:name w:val="toc 7"/>
    <w:basedOn w:val="Normal"/>
    <w:next w:val="Normal"/>
    <w:autoRedefine/>
    <w:uiPriority w:val="39"/>
    <w:unhideWhenUsed/>
    <w:rsid w:val="008139F7"/>
    <w:pPr>
      <w:spacing w:after="100"/>
      <w:ind w:left="1320"/>
    </w:pPr>
  </w:style>
  <w:style w:type="paragraph" w:styleId="TOC8">
    <w:name w:val="toc 8"/>
    <w:basedOn w:val="Normal"/>
    <w:next w:val="Normal"/>
    <w:autoRedefine/>
    <w:uiPriority w:val="39"/>
    <w:unhideWhenUsed/>
    <w:rsid w:val="008139F7"/>
    <w:pPr>
      <w:spacing w:after="100"/>
      <w:ind w:left="1540"/>
    </w:pPr>
  </w:style>
  <w:style w:type="paragraph" w:styleId="TOC9">
    <w:name w:val="toc 9"/>
    <w:basedOn w:val="Normal"/>
    <w:next w:val="Normal"/>
    <w:autoRedefine/>
    <w:uiPriority w:val="39"/>
    <w:unhideWhenUsed/>
    <w:rsid w:val="008139F7"/>
    <w:pPr>
      <w:spacing w:after="100"/>
      <w:ind w:left="1760"/>
    </w:pPr>
  </w:style>
  <w:style w:type="paragraph" w:styleId="NormalWeb">
    <w:name w:val="Normal (Web)"/>
    <w:basedOn w:val="Normal"/>
    <w:uiPriority w:val="99"/>
    <w:semiHidden/>
    <w:unhideWhenUsed/>
    <w:rsid w:val="00A55832"/>
    <w:pPr>
      <w:spacing w:before="100" w:beforeAutospacing="1" w:after="100" w:afterAutospacing="1" w:line="240" w:lineRule="auto"/>
    </w:pPr>
    <w:rPr>
      <w:rFonts w:ascii="Times New Roman" w:hAnsi="Times New Roman" w:cs="Times New Roman"/>
      <w:sz w:val="24"/>
      <w:szCs w:val="24"/>
    </w:rPr>
  </w:style>
  <w:style w:type="paragraph" w:customStyle="1" w:styleId="NormalHangingIndent">
    <w:name w:val="Normal Hanging Indent"/>
    <w:basedOn w:val="Normal"/>
    <w:rsid w:val="00B22947"/>
    <w:pPr>
      <w:spacing w:after="240" w:line="252" w:lineRule="auto"/>
      <w:ind w:left="2880" w:hanging="2880"/>
      <w:contextualSpacing/>
    </w:pPr>
    <w:rPr>
      <w:rFonts w:ascii="Arial" w:eastAsia="Times New Roman" w:hAnsi="Arial" w:cs="Times New Roman"/>
      <w:color w:val="0E68AB" w:themeColor="text2" w:themeTint="D9"/>
      <w:szCs w:val="18"/>
    </w:rPr>
  </w:style>
  <w:style w:type="character" w:styleId="FollowedHyperlink">
    <w:name w:val="FollowedHyperlink"/>
    <w:basedOn w:val="DefaultParagraphFont"/>
    <w:uiPriority w:val="99"/>
    <w:semiHidden/>
    <w:unhideWhenUsed/>
    <w:rsid w:val="007B6E63"/>
    <w:rPr>
      <w:color w:val="0081E3" w:themeColor="followedHyperlink"/>
      <w:u w:val="single"/>
    </w:rPr>
  </w:style>
  <w:style w:type="paragraph" w:styleId="Caption">
    <w:name w:val="caption"/>
    <w:basedOn w:val="Normal"/>
    <w:next w:val="Normal"/>
    <w:uiPriority w:val="35"/>
    <w:semiHidden/>
    <w:unhideWhenUsed/>
    <w:qFormat/>
    <w:rsid w:val="00B01E6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01E60"/>
    <w:pPr>
      <w:spacing w:after="0" w:line="240" w:lineRule="auto"/>
      <w:contextualSpacing/>
    </w:pPr>
    <w:rPr>
      <w:rFonts w:asciiTheme="majorHAnsi" w:eastAsiaTheme="majorEastAsia" w:hAnsiTheme="majorHAnsi" w:cstheme="majorBidi"/>
      <w:color w:val="68825A" w:themeColor="accent1" w:themeShade="BF"/>
      <w:spacing w:val="-7"/>
      <w:sz w:val="80"/>
      <w:szCs w:val="80"/>
    </w:rPr>
  </w:style>
  <w:style w:type="character" w:customStyle="1" w:styleId="TitleChar">
    <w:name w:val="Title Char"/>
    <w:basedOn w:val="DefaultParagraphFont"/>
    <w:link w:val="Title"/>
    <w:uiPriority w:val="10"/>
    <w:rsid w:val="00B01E60"/>
    <w:rPr>
      <w:rFonts w:asciiTheme="majorHAnsi" w:eastAsiaTheme="majorEastAsia" w:hAnsiTheme="majorHAnsi" w:cstheme="majorBidi"/>
      <w:color w:val="68825A" w:themeColor="accent1" w:themeShade="BF"/>
      <w:spacing w:val="-7"/>
      <w:sz w:val="80"/>
      <w:szCs w:val="80"/>
    </w:rPr>
  </w:style>
  <w:style w:type="paragraph" w:styleId="Subtitle">
    <w:name w:val="Subtitle"/>
    <w:basedOn w:val="Normal"/>
    <w:next w:val="Normal"/>
    <w:link w:val="SubtitleChar"/>
    <w:uiPriority w:val="11"/>
    <w:qFormat/>
    <w:rsid w:val="00B01E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01E60"/>
    <w:rPr>
      <w:rFonts w:asciiTheme="majorHAnsi" w:eastAsiaTheme="majorEastAsia" w:hAnsiTheme="majorHAnsi" w:cstheme="majorBidi"/>
      <w:color w:val="404040" w:themeColor="text1" w:themeTint="BF"/>
      <w:sz w:val="30"/>
      <w:szCs w:val="30"/>
    </w:rPr>
  </w:style>
  <w:style w:type="character" w:styleId="Strong">
    <w:name w:val="Strong"/>
    <w:aliases w:val="Subheader 2"/>
    <w:basedOn w:val="DefaultParagraphFont"/>
    <w:uiPriority w:val="22"/>
    <w:qFormat/>
    <w:rsid w:val="008C085B"/>
    <w:rPr>
      <w:b/>
      <w:bCs/>
      <w:color w:val="0A4977" w:themeColor="text2"/>
      <w:sz w:val="20"/>
      <w:szCs w:val="22"/>
    </w:rPr>
  </w:style>
  <w:style w:type="character" w:styleId="Emphasis">
    <w:name w:val="Emphasis"/>
    <w:basedOn w:val="DefaultParagraphFont"/>
    <w:uiPriority w:val="20"/>
    <w:qFormat/>
    <w:rsid w:val="00B01E60"/>
    <w:rPr>
      <w:i/>
      <w:iCs/>
    </w:rPr>
  </w:style>
  <w:style w:type="paragraph" w:styleId="NoSpacing">
    <w:name w:val="No Spacing"/>
    <w:uiPriority w:val="1"/>
    <w:qFormat/>
    <w:rsid w:val="00B01E60"/>
    <w:pPr>
      <w:spacing w:after="0" w:line="240" w:lineRule="auto"/>
    </w:pPr>
  </w:style>
  <w:style w:type="paragraph" w:styleId="Quote">
    <w:name w:val="Quote"/>
    <w:basedOn w:val="Normal"/>
    <w:next w:val="Normal"/>
    <w:link w:val="QuoteChar"/>
    <w:uiPriority w:val="29"/>
    <w:qFormat/>
    <w:rsid w:val="00B01E6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01E60"/>
    <w:rPr>
      <w:i/>
      <w:iCs/>
    </w:rPr>
  </w:style>
  <w:style w:type="paragraph" w:styleId="IntenseQuote">
    <w:name w:val="Intense Quote"/>
    <w:basedOn w:val="Normal"/>
    <w:next w:val="Normal"/>
    <w:link w:val="IntenseQuoteChar"/>
    <w:uiPriority w:val="30"/>
    <w:qFormat/>
    <w:rsid w:val="00B01E60"/>
    <w:pPr>
      <w:spacing w:before="100" w:beforeAutospacing="1" w:after="240"/>
      <w:ind w:left="864" w:right="864"/>
      <w:jc w:val="center"/>
    </w:pPr>
    <w:rPr>
      <w:rFonts w:asciiTheme="majorHAnsi" w:eastAsiaTheme="majorEastAsia" w:hAnsiTheme="majorHAnsi" w:cstheme="majorBidi"/>
      <w:color w:val="8EA780" w:themeColor="accent1"/>
      <w:sz w:val="28"/>
      <w:szCs w:val="28"/>
    </w:rPr>
  </w:style>
  <w:style w:type="character" w:customStyle="1" w:styleId="IntenseQuoteChar">
    <w:name w:val="Intense Quote Char"/>
    <w:basedOn w:val="DefaultParagraphFont"/>
    <w:link w:val="IntenseQuote"/>
    <w:uiPriority w:val="30"/>
    <w:rsid w:val="00B01E60"/>
    <w:rPr>
      <w:rFonts w:asciiTheme="majorHAnsi" w:eastAsiaTheme="majorEastAsia" w:hAnsiTheme="majorHAnsi" w:cstheme="majorBidi"/>
      <w:color w:val="8EA780" w:themeColor="accent1"/>
      <w:sz w:val="28"/>
      <w:szCs w:val="28"/>
    </w:rPr>
  </w:style>
  <w:style w:type="character" w:styleId="SubtleEmphasis">
    <w:name w:val="Subtle Emphasis"/>
    <w:basedOn w:val="DefaultParagraphFont"/>
    <w:uiPriority w:val="19"/>
    <w:qFormat/>
    <w:rsid w:val="00B01E60"/>
    <w:rPr>
      <w:i/>
      <w:iCs/>
      <w:color w:val="595959" w:themeColor="text1" w:themeTint="A6"/>
    </w:rPr>
  </w:style>
  <w:style w:type="character" w:styleId="IntenseEmphasis">
    <w:name w:val="Intense Emphasis"/>
    <w:basedOn w:val="DefaultParagraphFont"/>
    <w:uiPriority w:val="21"/>
    <w:qFormat/>
    <w:rsid w:val="00B01E60"/>
    <w:rPr>
      <w:b/>
      <w:bCs/>
      <w:i/>
      <w:iCs/>
    </w:rPr>
  </w:style>
  <w:style w:type="character" w:styleId="SubtleReference">
    <w:name w:val="Subtle Reference"/>
    <w:basedOn w:val="DefaultParagraphFont"/>
    <w:uiPriority w:val="31"/>
    <w:qFormat/>
    <w:rsid w:val="00B01E60"/>
    <w:rPr>
      <w:smallCaps/>
      <w:color w:val="404040" w:themeColor="text1" w:themeTint="BF"/>
    </w:rPr>
  </w:style>
  <w:style w:type="character" w:styleId="IntenseReference">
    <w:name w:val="Intense Reference"/>
    <w:basedOn w:val="DefaultParagraphFont"/>
    <w:uiPriority w:val="32"/>
    <w:qFormat/>
    <w:rsid w:val="00B01E60"/>
    <w:rPr>
      <w:b/>
      <w:bCs/>
      <w:smallCaps/>
      <w:u w:val="single"/>
    </w:rPr>
  </w:style>
  <w:style w:type="character" w:styleId="BookTitle">
    <w:name w:val="Book Title"/>
    <w:basedOn w:val="DefaultParagraphFont"/>
    <w:uiPriority w:val="33"/>
    <w:qFormat/>
    <w:rsid w:val="00B01E60"/>
    <w:rPr>
      <w:b/>
      <w:bCs/>
      <w:smallCaps/>
    </w:rPr>
  </w:style>
  <w:style w:type="paragraph" w:styleId="TOCHeading">
    <w:name w:val="TOC Heading"/>
    <w:basedOn w:val="Heading1"/>
    <w:next w:val="Normal"/>
    <w:uiPriority w:val="39"/>
    <w:unhideWhenUsed/>
    <w:qFormat/>
    <w:rsid w:val="00B01E60"/>
    <w:pPr>
      <w:outlineLvl w:val="9"/>
    </w:pPr>
  </w:style>
  <w:style w:type="character" w:customStyle="1" w:styleId="UnresolvedMention1">
    <w:name w:val="Unresolved Mention1"/>
    <w:basedOn w:val="DefaultParagraphFont"/>
    <w:uiPriority w:val="99"/>
    <w:semiHidden/>
    <w:unhideWhenUsed/>
    <w:rsid w:val="00375E5B"/>
    <w:rPr>
      <w:color w:val="605E5C"/>
      <w:shd w:val="clear" w:color="auto" w:fill="E1DFDD"/>
    </w:rPr>
  </w:style>
  <w:style w:type="paragraph" w:styleId="Revision">
    <w:name w:val="Revision"/>
    <w:hidden/>
    <w:uiPriority w:val="99"/>
    <w:semiHidden/>
    <w:rsid w:val="00312CD1"/>
    <w:pPr>
      <w:spacing w:after="0" w:line="240" w:lineRule="auto"/>
    </w:pPr>
    <w:rPr>
      <w:sz w:val="18"/>
    </w:rPr>
  </w:style>
  <w:style w:type="character" w:customStyle="1" w:styleId="UnresolvedMention2">
    <w:name w:val="Unresolved Mention2"/>
    <w:basedOn w:val="DefaultParagraphFont"/>
    <w:uiPriority w:val="99"/>
    <w:semiHidden/>
    <w:unhideWhenUsed/>
    <w:rsid w:val="001A12E8"/>
    <w:rPr>
      <w:color w:val="605E5C"/>
      <w:shd w:val="clear" w:color="auto" w:fill="E1DFDD"/>
    </w:rPr>
  </w:style>
  <w:style w:type="character" w:customStyle="1" w:styleId="UnresolvedMention3">
    <w:name w:val="Unresolved Mention3"/>
    <w:basedOn w:val="DefaultParagraphFont"/>
    <w:uiPriority w:val="99"/>
    <w:semiHidden/>
    <w:unhideWhenUsed/>
    <w:rsid w:val="0019166E"/>
    <w:rPr>
      <w:color w:val="605E5C"/>
      <w:shd w:val="clear" w:color="auto" w:fill="E1DFDD"/>
    </w:rPr>
  </w:style>
  <w:style w:type="character" w:customStyle="1" w:styleId="UnresolvedMention4">
    <w:name w:val="Unresolved Mention4"/>
    <w:basedOn w:val="DefaultParagraphFont"/>
    <w:uiPriority w:val="99"/>
    <w:semiHidden/>
    <w:unhideWhenUsed/>
    <w:rsid w:val="001C6A05"/>
    <w:rPr>
      <w:color w:val="605E5C"/>
      <w:shd w:val="clear" w:color="auto" w:fill="E1DFDD"/>
    </w:rPr>
  </w:style>
  <w:style w:type="character" w:customStyle="1" w:styleId="UnresolvedMention5">
    <w:name w:val="Unresolved Mention5"/>
    <w:basedOn w:val="DefaultParagraphFont"/>
    <w:uiPriority w:val="99"/>
    <w:semiHidden/>
    <w:unhideWhenUsed/>
    <w:rsid w:val="007D54B4"/>
    <w:rPr>
      <w:color w:val="605E5C"/>
      <w:shd w:val="clear" w:color="auto" w:fill="E1DFDD"/>
    </w:rPr>
  </w:style>
  <w:style w:type="character" w:customStyle="1" w:styleId="UnresolvedMention6">
    <w:name w:val="Unresolved Mention6"/>
    <w:basedOn w:val="DefaultParagraphFont"/>
    <w:uiPriority w:val="99"/>
    <w:semiHidden/>
    <w:unhideWhenUsed/>
    <w:rsid w:val="00890A10"/>
    <w:rPr>
      <w:color w:val="605E5C"/>
      <w:shd w:val="clear" w:color="auto" w:fill="E1DFDD"/>
    </w:rPr>
  </w:style>
  <w:style w:type="character" w:customStyle="1" w:styleId="UnresolvedMention7">
    <w:name w:val="Unresolved Mention7"/>
    <w:basedOn w:val="DefaultParagraphFont"/>
    <w:uiPriority w:val="99"/>
    <w:semiHidden/>
    <w:unhideWhenUsed/>
    <w:rsid w:val="005E3D97"/>
    <w:rPr>
      <w:color w:val="605E5C"/>
      <w:shd w:val="clear" w:color="auto" w:fill="E1DFDD"/>
    </w:rPr>
  </w:style>
  <w:style w:type="character" w:styleId="UnresolvedMention">
    <w:name w:val="Unresolved Mention"/>
    <w:basedOn w:val="DefaultParagraphFont"/>
    <w:uiPriority w:val="99"/>
    <w:unhideWhenUsed/>
    <w:rsid w:val="00317341"/>
    <w:rPr>
      <w:color w:val="605E5C"/>
      <w:shd w:val="clear" w:color="auto" w:fill="E1DFDD"/>
    </w:rPr>
  </w:style>
  <w:style w:type="character" w:styleId="Mention">
    <w:name w:val="Mention"/>
    <w:basedOn w:val="DefaultParagraphFont"/>
    <w:uiPriority w:val="99"/>
    <w:unhideWhenUsed/>
    <w:rsid w:val="0031734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9825">
      <w:bodyDiv w:val="1"/>
      <w:marLeft w:val="0"/>
      <w:marRight w:val="0"/>
      <w:marTop w:val="0"/>
      <w:marBottom w:val="0"/>
      <w:divBdr>
        <w:top w:val="none" w:sz="0" w:space="0" w:color="auto"/>
        <w:left w:val="none" w:sz="0" w:space="0" w:color="auto"/>
        <w:bottom w:val="none" w:sz="0" w:space="0" w:color="auto"/>
        <w:right w:val="none" w:sz="0" w:space="0" w:color="auto"/>
      </w:divBdr>
    </w:div>
    <w:div w:id="23794484">
      <w:bodyDiv w:val="1"/>
      <w:marLeft w:val="0"/>
      <w:marRight w:val="0"/>
      <w:marTop w:val="0"/>
      <w:marBottom w:val="0"/>
      <w:divBdr>
        <w:top w:val="none" w:sz="0" w:space="0" w:color="auto"/>
        <w:left w:val="none" w:sz="0" w:space="0" w:color="auto"/>
        <w:bottom w:val="none" w:sz="0" w:space="0" w:color="auto"/>
        <w:right w:val="none" w:sz="0" w:space="0" w:color="auto"/>
      </w:divBdr>
    </w:div>
    <w:div w:id="43413672">
      <w:bodyDiv w:val="1"/>
      <w:marLeft w:val="0"/>
      <w:marRight w:val="0"/>
      <w:marTop w:val="0"/>
      <w:marBottom w:val="0"/>
      <w:divBdr>
        <w:top w:val="none" w:sz="0" w:space="0" w:color="auto"/>
        <w:left w:val="none" w:sz="0" w:space="0" w:color="auto"/>
        <w:bottom w:val="none" w:sz="0" w:space="0" w:color="auto"/>
        <w:right w:val="none" w:sz="0" w:space="0" w:color="auto"/>
      </w:divBdr>
    </w:div>
    <w:div w:id="46539910">
      <w:bodyDiv w:val="1"/>
      <w:marLeft w:val="0"/>
      <w:marRight w:val="0"/>
      <w:marTop w:val="0"/>
      <w:marBottom w:val="0"/>
      <w:divBdr>
        <w:top w:val="none" w:sz="0" w:space="0" w:color="auto"/>
        <w:left w:val="none" w:sz="0" w:space="0" w:color="auto"/>
        <w:bottom w:val="none" w:sz="0" w:space="0" w:color="auto"/>
        <w:right w:val="none" w:sz="0" w:space="0" w:color="auto"/>
      </w:divBdr>
    </w:div>
    <w:div w:id="49622996">
      <w:bodyDiv w:val="1"/>
      <w:marLeft w:val="0"/>
      <w:marRight w:val="0"/>
      <w:marTop w:val="0"/>
      <w:marBottom w:val="0"/>
      <w:divBdr>
        <w:top w:val="none" w:sz="0" w:space="0" w:color="auto"/>
        <w:left w:val="none" w:sz="0" w:space="0" w:color="auto"/>
        <w:bottom w:val="none" w:sz="0" w:space="0" w:color="auto"/>
        <w:right w:val="none" w:sz="0" w:space="0" w:color="auto"/>
      </w:divBdr>
      <w:divsChild>
        <w:div w:id="118112344">
          <w:marLeft w:val="0"/>
          <w:marRight w:val="0"/>
          <w:marTop w:val="0"/>
          <w:marBottom w:val="0"/>
          <w:divBdr>
            <w:top w:val="none" w:sz="0" w:space="0" w:color="auto"/>
            <w:left w:val="none" w:sz="0" w:space="0" w:color="auto"/>
            <w:bottom w:val="none" w:sz="0" w:space="0" w:color="auto"/>
            <w:right w:val="none" w:sz="0" w:space="0" w:color="auto"/>
          </w:divBdr>
        </w:div>
      </w:divsChild>
    </w:div>
    <w:div w:id="51462889">
      <w:bodyDiv w:val="1"/>
      <w:marLeft w:val="0"/>
      <w:marRight w:val="0"/>
      <w:marTop w:val="0"/>
      <w:marBottom w:val="0"/>
      <w:divBdr>
        <w:top w:val="none" w:sz="0" w:space="0" w:color="auto"/>
        <w:left w:val="none" w:sz="0" w:space="0" w:color="auto"/>
        <w:bottom w:val="none" w:sz="0" w:space="0" w:color="auto"/>
        <w:right w:val="none" w:sz="0" w:space="0" w:color="auto"/>
      </w:divBdr>
    </w:div>
    <w:div w:id="53241069">
      <w:bodyDiv w:val="1"/>
      <w:marLeft w:val="0"/>
      <w:marRight w:val="0"/>
      <w:marTop w:val="0"/>
      <w:marBottom w:val="0"/>
      <w:divBdr>
        <w:top w:val="none" w:sz="0" w:space="0" w:color="auto"/>
        <w:left w:val="none" w:sz="0" w:space="0" w:color="auto"/>
        <w:bottom w:val="none" w:sz="0" w:space="0" w:color="auto"/>
        <w:right w:val="none" w:sz="0" w:space="0" w:color="auto"/>
      </w:divBdr>
    </w:div>
    <w:div w:id="55470333">
      <w:bodyDiv w:val="1"/>
      <w:marLeft w:val="0"/>
      <w:marRight w:val="0"/>
      <w:marTop w:val="0"/>
      <w:marBottom w:val="0"/>
      <w:divBdr>
        <w:top w:val="none" w:sz="0" w:space="0" w:color="auto"/>
        <w:left w:val="none" w:sz="0" w:space="0" w:color="auto"/>
        <w:bottom w:val="none" w:sz="0" w:space="0" w:color="auto"/>
        <w:right w:val="none" w:sz="0" w:space="0" w:color="auto"/>
      </w:divBdr>
    </w:div>
    <w:div w:id="125701159">
      <w:bodyDiv w:val="1"/>
      <w:marLeft w:val="0"/>
      <w:marRight w:val="0"/>
      <w:marTop w:val="0"/>
      <w:marBottom w:val="0"/>
      <w:divBdr>
        <w:top w:val="none" w:sz="0" w:space="0" w:color="auto"/>
        <w:left w:val="none" w:sz="0" w:space="0" w:color="auto"/>
        <w:bottom w:val="none" w:sz="0" w:space="0" w:color="auto"/>
        <w:right w:val="none" w:sz="0" w:space="0" w:color="auto"/>
      </w:divBdr>
    </w:div>
    <w:div w:id="132604948">
      <w:bodyDiv w:val="1"/>
      <w:marLeft w:val="0"/>
      <w:marRight w:val="0"/>
      <w:marTop w:val="0"/>
      <w:marBottom w:val="0"/>
      <w:divBdr>
        <w:top w:val="none" w:sz="0" w:space="0" w:color="auto"/>
        <w:left w:val="none" w:sz="0" w:space="0" w:color="auto"/>
        <w:bottom w:val="none" w:sz="0" w:space="0" w:color="auto"/>
        <w:right w:val="none" w:sz="0" w:space="0" w:color="auto"/>
      </w:divBdr>
    </w:div>
    <w:div w:id="139739331">
      <w:bodyDiv w:val="1"/>
      <w:marLeft w:val="0"/>
      <w:marRight w:val="0"/>
      <w:marTop w:val="0"/>
      <w:marBottom w:val="0"/>
      <w:divBdr>
        <w:top w:val="none" w:sz="0" w:space="0" w:color="auto"/>
        <w:left w:val="none" w:sz="0" w:space="0" w:color="auto"/>
        <w:bottom w:val="none" w:sz="0" w:space="0" w:color="auto"/>
        <w:right w:val="none" w:sz="0" w:space="0" w:color="auto"/>
      </w:divBdr>
      <w:divsChild>
        <w:div w:id="1733773491">
          <w:marLeft w:val="0"/>
          <w:marRight w:val="0"/>
          <w:marTop w:val="0"/>
          <w:marBottom w:val="0"/>
          <w:divBdr>
            <w:top w:val="none" w:sz="0" w:space="0" w:color="auto"/>
            <w:left w:val="none" w:sz="0" w:space="0" w:color="auto"/>
            <w:bottom w:val="none" w:sz="0" w:space="0" w:color="auto"/>
            <w:right w:val="none" w:sz="0" w:space="0" w:color="auto"/>
          </w:divBdr>
        </w:div>
      </w:divsChild>
    </w:div>
    <w:div w:id="182522714">
      <w:bodyDiv w:val="1"/>
      <w:marLeft w:val="0"/>
      <w:marRight w:val="0"/>
      <w:marTop w:val="0"/>
      <w:marBottom w:val="0"/>
      <w:divBdr>
        <w:top w:val="none" w:sz="0" w:space="0" w:color="auto"/>
        <w:left w:val="none" w:sz="0" w:space="0" w:color="auto"/>
        <w:bottom w:val="none" w:sz="0" w:space="0" w:color="auto"/>
        <w:right w:val="none" w:sz="0" w:space="0" w:color="auto"/>
      </w:divBdr>
    </w:div>
    <w:div w:id="199633426">
      <w:bodyDiv w:val="1"/>
      <w:marLeft w:val="0"/>
      <w:marRight w:val="0"/>
      <w:marTop w:val="0"/>
      <w:marBottom w:val="0"/>
      <w:divBdr>
        <w:top w:val="none" w:sz="0" w:space="0" w:color="auto"/>
        <w:left w:val="none" w:sz="0" w:space="0" w:color="auto"/>
        <w:bottom w:val="none" w:sz="0" w:space="0" w:color="auto"/>
        <w:right w:val="none" w:sz="0" w:space="0" w:color="auto"/>
      </w:divBdr>
    </w:div>
    <w:div w:id="202331027">
      <w:bodyDiv w:val="1"/>
      <w:marLeft w:val="0"/>
      <w:marRight w:val="0"/>
      <w:marTop w:val="0"/>
      <w:marBottom w:val="0"/>
      <w:divBdr>
        <w:top w:val="none" w:sz="0" w:space="0" w:color="auto"/>
        <w:left w:val="none" w:sz="0" w:space="0" w:color="auto"/>
        <w:bottom w:val="none" w:sz="0" w:space="0" w:color="auto"/>
        <w:right w:val="none" w:sz="0" w:space="0" w:color="auto"/>
      </w:divBdr>
    </w:div>
    <w:div w:id="205260585">
      <w:bodyDiv w:val="1"/>
      <w:marLeft w:val="0"/>
      <w:marRight w:val="0"/>
      <w:marTop w:val="0"/>
      <w:marBottom w:val="0"/>
      <w:divBdr>
        <w:top w:val="none" w:sz="0" w:space="0" w:color="auto"/>
        <w:left w:val="none" w:sz="0" w:space="0" w:color="auto"/>
        <w:bottom w:val="none" w:sz="0" w:space="0" w:color="auto"/>
        <w:right w:val="none" w:sz="0" w:space="0" w:color="auto"/>
      </w:divBdr>
    </w:div>
    <w:div w:id="245238049">
      <w:bodyDiv w:val="1"/>
      <w:marLeft w:val="0"/>
      <w:marRight w:val="0"/>
      <w:marTop w:val="0"/>
      <w:marBottom w:val="0"/>
      <w:divBdr>
        <w:top w:val="none" w:sz="0" w:space="0" w:color="auto"/>
        <w:left w:val="none" w:sz="0" w:space="0" w:color="auto"/>
        <w:bottom w:val="none" w:sz="0" w:space="0" w:color="auto"/>
        <w:right w:val="none" w:sz="0" w:space="0" w:color="auto"/>
      </w:divBdr>
    </w:div>
    <w:div w:id="245772993">
      <w:bodyDiv w:val="1"/>
      <w:marLeft w:val="0"/>
      <w:marRight w:val="0"/>
      <w:marTop w:val="0"/>
      <w:marBottom w:val="0"/>
      <w:divBdr>
        <w:top w:val="none" w:sz="0" w:space="0" w:color="auto"/>
        <w:left w:val="none" w:sz="0" w:space="0" w:color="auto"/>
        <w:bottom w:val="none" w:sz="0" w:space="0" w:color="auto"/>
        <w:right w:val="none" w:sz="0" w:space="0" w:color="auto"/>
      </w:divBdr>
    </w:div>
    <w:div w:id="247736021">
      <w:bodyDiv w:val="1"/>
      <w:marLeft w:val="0"/>
      <w:marRight w:val="0"/>
      <w:marTop w:val="0"/>
      <w:marBottom w:val="0"/>
      <w:divBdr>
        <w:top w:val="none" w:sz="0" w:space="0" w:color="auto"/>
        <w:left w:val="none" w:sz="0" w:space="0" w:color="auto"/>
        <w:bottom w:val="none" w:sz="0" w:space="0" w:color="auto"/>
        <w:right w:val="none" w:sz="0" w:space="0" w:color="auto"/>
      </w:divBdr>
    </w:div>
    <w:div w:id="255788943">
      <w:bodyDiv w:val="1"/>
      <w:marLeft w:val="0"/>
      <w:marRight w:val="0"/>
      <w:marTop w:val="0"/>
      <w:marBottom w:val="0"/>
      <w:divBdr>
        <w:top w:val="none" w:sz="0" w:space="0" w:color="auto"/>
        <w:left w:val="none" w:sz="0" w:space="0" w:color="auto"/>
        <w:bottom w:val="none" w:sz="0" w:space="0" w:color="auto"/>
        <w:right w:val="none" w:sz="0" w:space="0" w:color="auto"/>
      </w:divBdr>
    </w:div>
    <w:div w:id="261452391">
      <w:bodyDiv w:val="1"/>
      <w:marLeft w:val="0"/>
      <w:marRight w:val="0"/>
      <w:marTop w:val="0"/>
      <w:marBottom w:val="0"/>
      <w:divBdr>
        <w:top w:val="none" w:sz="0" w:space="0" w:color="auto"/>
        <w:left w:val="none" w:sz="0" w:space="0" w:color="auto"/>
        <w:bottom w:val="none" w:sz="0" w:space="0" w:color="auto"/>
        <w:right w:val="none" w:sz="0" w:space="0" w:color="auto"/>
      </w:divBdr>
    </w:div>
    <w:div w:id="267809982">
      <w:bodyDiv w:val="1"/>
      <w:marLeft w:val="0"/>
      <w:marRight w:val="0"/>
      <w:marTop w:val="0"/>
      <w:marBottom w:val="0"/>
      <w:divBdr>
        <w:top w:val="none" w:sz="0" w:space="0" w:color="auto"/>
        <w:left w:val="none" w:sz="0" w:space="0" w:color="auto"/>
        <w:bottom w:val="none" w:sz="0" w:space="0" w:color="auto"/>
        <w:right w:val="none" w:sz="0" w:space="0" w:color="auto"/>
      </w:divBdr>
    </w:div>
    <w:div w:id="291064225">
      <w:bodyDiv w:val="1"/>
      <w:marLeft w:val="0"/>
      <w:marRight w:val="0"/>
      <w:marTop w:val="0"/>
      <w:marBottom w:val="0"/>
      <w:divBdr>
        <w:top w:val="none" w:sz="0" w:space="0" w:color="auto"/>
        <w:left w:val="none" w:sz="0" w:space="0" w:color="auto"/>
        <w:bottom w:val="none" w:sz="0" w:space="0" w:color="auto"/>
        <w:right w:val="none" w:sz="0" w:space="0" w:color="auto"/>
      </w:divBdr>
    </w:div>
    <w:div w:id="291520878">
      <w:bodyDiv w:val="1"/>
      <w:marLeft w:val="0"/>
      <w:marRight w:val="0"/>
      <w:marTop w:val="0"/>
      <w:marBottom w:val="0"/>
      <w:divBdr>
        <w:top w:val="none" w:sz="0" w:space="0" w:color="auto"/>
        <w:left w:val="none" w:sz="0" w:space="0" w:color="auto"/>
        <w:bottom w:val="none" w:sz="0" w:space="0" w:color="auto"/>
        <w:right w:val="none" w:sz="0" w:space="0" w:color="auto"/>
      </w:divBdr>
    </w:div>
    <w:div w:id="297300903">
      <w:bodyDiv w:val="1"/>
      <w:marLeft w:val="0"/>
      <w:marRight w:val="0"/>
      <w:marTop w:val="0"/>
      <w:marBottom w:val="0"/>
      <w:divBdr>
        <w:top w:val="none" w:sz="0" w:space="0" w:color="auto"/>
        <w:left w:val="none" w:sz="0" w:space="0" w:color="auto"/>
        <w:bottom w:val="none" w:sz="0" w:space="0" w:color="auto"/>
        <w:right w:val="none" w:sz="0" w:space="0" w:color="auto"/>
      </w:divBdr>
    </w:div>
    <w:div w:id="313024126">
      <w:bodyDiv w:val="1"/>
      <w:marLeft w:val="0"/>
      <w:marRight w:val="0"/>
      <w:marTop w:val="0"/>
      <w:marBottom w:val="0"/>
      <w:divBdr>
        <w:top w:val="none" w:sz="0" w:space="0" w:color="auto"/>
        <w:left w:val="none" w:sz="0" w:space="0" w:color="auto"/>
        <w:bottom w:val="none" w:sz="0" w:space="0" w:color="auto"/>
        <w:right w:val="none" w:sz="0" w:space="0" w:color="auto"/>
      </w:divBdr>
    </w:div>
    <w:div w:id="321855652">
      <w:bodyDiv w:val="1"/>
      <w:marLeft w:val="0"/>
      <w:marRight w:val="0"/>
      <w:marTop w:val="0"/>
      <w:marBottom w:val="0"/>
      <w:divBdr>
        <w:top w:val="none" w:sz="0" w:space="0" w:color="auto"/>
        <w:left w:val="none" w:sz="0" w:space="0" w:color="auto"/>
        <w:bottom w:val="none" w:sz="0" w:space="0" w:color="auto"/>
        <w:right w:val="none" w:sz="0" w:space="0" w:color="auto"/>
      </w:divBdr>
    </w:div>
    <w:div w:id="330059597">
      <w:bodyDiv w:val="1"/>
      <w:marLeft w:val="0"/>
      <w:marRight w:val="0"/>
      <w:marTop w:val="0"/>
      <w:marBottom w:val="0"/>
      <w:divBdr>
        <w:top w:val="none" w:sz="0" w:space="0" w:color="auto"/>
        <w:left w:val="none" w:sz="0" w:space="0" w:color="auto"/>
        <w:bottom w:val="none" w:sz="0" w:space="0" w:color="auto"/>
        <w:right w:val="none" w:sz="0" w:space="0" w:color="auto"/>
      </w:divBdr>
    </w:div>
    <w:div w:id="332073279">
      <w:bodyDiv w:val="1"/>
      <w:marLeft w:val="0"/>
      <w:marRight w:val="0"/>
      <w:marTop w:val="0"/>
      <w:marBottom w:val="0"/>
      <w:divBdr>
        <w:top w:val="none" w:sz="0" w:space="0" w:color="auto"/>
        <w:left w:val="none" w:sz="0" w:space="0" w:color="auto"/>
        <w:bottom w:val="none" w:sz="0" w:space="0" w:color="auto"/>
        <w:right w:val="none" w:sz="0" w:space="0" w:color="auto"/>
      </w:divBdr>
    </w:div>
    <w:div w:id="335808986">
      <w:bodyDiv w:val="1"/>
      <w:marLeft w:val="0"/>
      <w:marRight w:val="0"/>
      <w:marTop w:val="0"/>
      <w:marBottom w:val="0"/>
      <w:divBdr>
        <w:top w:val="none" w:sz="0" w:space="0" w:color="auto"/>
        <w:left w:val="none" w:sz="0" w:space="0" w:color="auto"/>
        <w:bottom w:val="none" w:sz="0" w:space="0" w:color="auto"/>
        <w:right w:val="none" w:sz="0" w:space="0" w:color="auto"/>
      </w:divBdr>
    </w:div>
    <w:div w:id="341517692">
      <w:bodyDiv w:val="1"/>
      <w:marLeft w:val="0"/>
      <w:marRight w:val="0"/>
      <w:marTop w:val="0"/>
      <w:marBottom w:val="0"/>
      <w:divBdr>
        <w:top w:val="none" w:sz="0" w:space="0" w:color="auto"/>
        <w:left w:val="none" w:sz="0" w:space="0" w:color="auto"/>
        <w:bottom w:val="none" w:sz="0" w:space="0" w:color="auto"/>
        <w:right w:val="none" w:sz="0" w:space="0" w:color="auto"/>
      </w:divBdr>
    </w:div>
    <w:div w:id="346444783">
      <w:bodyDiv w:val="1"/>
      <w:marLeft w:val="0"/>
      <w:marRight w:val="0"/>
      <w:marTop w:val="0"/>
      <w:marBottom w:val="0"/>
      <w:divBdr>
        <w:top w:val="none" w:sz="0" w:space="0" w:color="auto"/>
        <w:left w:val="none" w:sz="0" w:space="0" w:color="auto"/>
        <w:bottom w:val="none" w:sz="0" w:space="0" w:color="auto"/>
        <w:right w:val="none" w:sz="0" w:space="0" w:color="auto"/>
      </w:divBdr>
    </w:div>
    <w:div w:id="367343449">
      <w:bodyDiv w:val="1"/>
      <w:marLeft w:val="0"/>
      <w:marRight w:val="0"/>
      <w:marTop w:val="0"/>
      <w:marBottom w:val="0"/>
      <w:divBdr>
        <w:top w:val="none" w:sz="0" w:space="0" w:color="auto"/>
        <w:left w:val="none" w:sz="0" w:space="0" w:color="auto"/>
        <w:bottom w:val="none" w:sz="0" w:space="0" w:color="auto"/>
        <w:right w:val="none" w:sz="0" w:space="0" w:color="auto"/>
      </w:divBdr>
    </w:div>
    <w:div w:id="372268479">
      <w:bodyDiv w:val="1"/>
      <w:marLeft w:val="0"/>
      <w:marRight w:val="0"/>
      <w:marTop w:val="0"/>
      <w:marBottom w:val="0"/>
      <w:divBdr>
        <w:top w:val="none" w:sz="0" w:space="0" w:color="auto"/>
        <w:left w:val="none" w:sz="0" w:space="0" w:color="auto"/>
        <w:bottom w:val="none" w:sz="0" w:space="0" w:color="auto"/>
        <w:right w:val="none" w:sz="0" w:space="0" w:color="auto"/>
      </w:divBdr>
    </w:div>
    <w:div w:id="397243840">
      <w:bodyDiv w:val="1"/>
      <w:marLeft w:val="0"/>
      <w:marRight w:val="0"/>
      <w:marTop w:val="0"/>
      <w:marBottom w:val="0"/>
      <w:divBdr>
        <w:top w:val="none" w:sz="0" w:space="0" w:color="auto"/>
        <w:left w:val="none" w:sz="0" w:space="0" w:color="auto"/>
        <w:bottom w:val="none" w:sz="0" w:space="0" w:color="auto"/>
        <w:right w:val="none" w:sz="0" w:space="0" w:color="auto"/>
      </w:divBdr>
    </w:div>
    <w:div w:id="445855012">
      <w:bodyDiv w:val="1"/>
      <w:marLeft w:val="0"/>
      <w:marRight w:val="0"/>
      <w:marTop w:val="0"/>
      <w:marBottom w:val="0"/>
      <w:divBdr>
        <w:top w:val="none" w:sz="0" w:space="0" w:color="auto"/>
        <w:left w:val="none" w:sz="0" w:space="0" w:color="auto"/>
        <w:bottom w:val="none" w:sz="0" w:space="0" w:color="auto"/>
        <w:right w:val="none" w:sz="0" w:space="0" w:color="auto"/>
      </w:divBdr>
    </w:div>
    <w:div w:id="452405500">
      <w:bodyDiv w:val="1"/>
      <w:marLeft w:val="0"/>
      <w:marRight w:val="0"/>
      <w:marTop w:val="0"/>
      <w:marBottom w:val="0"/>
      <w:divBdr>
        <w:top w:val="none" w:sz="0" w:space="0" w:color="auto"/>
        <w:left w:val="none" w:sz="0" w:space="0" w:color="auto"/>
        <w:bottom w:val="none" w:sz="0" w:space="0" w:color="auto"/>
        <w:right w:val="none" w:sz="0" w:space="0" w:color="auto"/>
      </w:divBdr>
    </w:div>
    <w:div w:id="455953986">
      <w:bodyDiv w:val="1"/>
      <w:marLeft w:val="0"/>
      <w:marRight w:val="0"/>
      <w:marTop w:val="0"/>
      <w:marBottom w:val="0"/>
      <w:divBdr>
        <w:top w:val="none" w:sz="0" w:space="0" w:color="auto"/>
        <w:left w:val="none" w:sz="0" w:space="0" w:color="auto"/>
        <w:bottom w:val="none" w:sz="0" w:space="0" w:color="auto"/>
        <w:right w:val="none" w:sz="0" w:space="0" w:color="auto"/>
      </w:divBdr>
    </w:div>
    <w:div w:id="496459333">
      <w:bodyDiv w:val="1"/>
      <w:marLeft w:val="0"/>
      <w:marRight w:val="0"/>
      <w:marTop w:val="0"/>
      <w:marBottom w:val="0"/>
      <w:divBdr>
        <w:top w:val="none" w:sz="0" w:space="0" w:color="auto"/>
        <w:left w:val="none" w:sz="0" w:space="0" w:color="auto"/>
        <w:bottom w:val="none" w:sz="0" w:space="0" w:color="auto"/>
        <w:right w:val="none" w:sz="0" w:space="0" w:color="auto"/>
      </w:divBdr>
      <w:divsChild>
        <w:div w:id="1415665918">
          <w:marLeft w:val="0"/>
          <w:marRight w:val="0"/>
          <w:marTop w:val="0"/>
          <w:marBottom w:val="0"/>
          <w:divBdr>
            <w:top w:val="none" w:sz="0" w:space="0" w:color="auto"/>
            <w:left w:val="none" w:sz="0" w:space="0" w:color="auto"/>
            <w:bottom w:val="none" w:sz="0" w:space="0" w:color="auto"/>
            <w:right w:val="none" w:sz="0" w:space="0" w:color="auto"/>
          </w:divBdr>
        </w:div>
      </w:divsChild>
    </w:div>
    <w:div w:id="524565643">
      <w:bodyDiv w:val="1"/>
      <w:marLeft w:val="0"/>
      <w:marRight w:val="0"/>
      <w:marTop w:val="0"/>
      <w:marBottom w:val="0"/>
      <w:divBdr>
        <w:top w:val="none" w:sz="0" w:space="0" w:color="auto"/>
        <w:left w:val="none" w:sz="0" w:space="0" w:color="auto"/>
        <w:bottom w:val="none" w:sz="0" w:space="0" w:color="auto"/>
        <w:right w:val="none" w:sz="0" w:space="0" w:color="auto"/>
      </w:divBdr>
    </w:div>
    <w:div w:id="548806701">
      <w:bodyDiv w:val="1"/>
      <w:marLeft w:val="0"/>
      <w:marRight w:val="0"/>
      <w:marTop w:val="0"/>
      <w:marBottom w:val="0"/>
      <w:divBdr>
        <w:top w:val="none" w:sz="0" w:space="0" w:color="auto"/>
        <w:left w:val="none" w:sz="0" w:space="0" w:color="auto"/>
        <w:bottom w:val="none" w:sz="0" w:space="0" w:color="auto"/>
        <w:right w:val="none" w:sz="0" w:space="0" w:color="auto"/>
      </w:divBdr>
    </w:div>
    <w:div w:id="552733214">
      <w:bodyDiv w:val="1"/>
      <w:marLeft w:val="0"/>
      <w:marRight w:val="0"/>
      <w:marTop w:val="0"/>
      <w:marBottom w:val="0"/>
      <w:divBdr>
        <w:top w:val="none" w:sz="0" w:space="0" w:color="auto"/>
        <w:left w:val="none" w:sz="0" w:space="0" w:color="auto"/>
        <w:bottom w:val="none" w:sz="0" w:space="0" w:color="auto"/>
        <w:right w:val="none" w:sz="0" w:space="0" w:color="auto"/>
      </w:divBdr>
    </w:div>
    <w:div w:id="565336143">
      <w:bodyDiv w:val="1"/>
      <w:marLeft w:val="0"/>
      <w:marRight w:val="0"/>
      <w:marTop w:val="0"/>
      <w:marBottom w:val="0"/>
      <w:divBdr>
        <w:top w:val="none" w:sz="0" w:space="0" w:color="auto"/>
        <w:left w:val="none" w:sz="0" w:space="0" w:color="auto"/>
        <w:bottom w:val="none" w:sz="0" w:space="0" w:color="auto"/>
        <w:right w:val="none" w:sz="0" w:space="0" w:color="auto"/>
      </w:divBdr>
    </w:div>
    <w:div w:id="568464218">
      <w:bodyDiv w:val="1"/>
      <w:marLeft w:val="0"/>
      <w:marRight w:val="0"/>
      <w:marTop w:val="0"/>
      <w:marBottom w:val="0"/>
      <w:divBdr>
        <w:top w:val="none" w:sz="0" w:space="0" w:color="auto"/>
        <w:left w:val="none" w:sz="0" w:space="0" w:color="auto"/>
        <w:bottom w:val="none" w:sz="0" w:space="0" w:color="auto"/>
        <w:right w:val="none" w:sz="0" w:space="0" w:color="auto"/>
      </w:divBdr>
    </w:div>
    <w:div w:id="580137747">
      <w:bodyDiv w:val="1"/>
      <w:marLeft w:val="0"/>
      <w:marRight w:val="0"/>
      <w:marTop w:val="0"/>
      <w:marBottom w:val="0"/>
      <w:divBdr>
        <w:top w:val="none" w:sz="0" w:space="0" w:color="auto"/>
        <w:left w:val="none" w:sz="0" w:space="0" w:color="auto"/>
        <w:bottom w:val="none" w:sz="0" w:space="0" w:color="auto"/>
        <w:right w:val="none" w:sz="0" w:space="0" w:color="auto"/>
      </w:divBdr>
    </w:div>
    <w:div w:id="584847424">
      <w:bodyDiv w:val="1"/>
      <w:marLeft w:val="0"/>
      <w:marRight w:val="0"/>
      <w:marTop w:val="0"/>
      <w:marBottom w:val="0"/>
      <w:divBdr>
        <w:top w:val="none" w:sz="0" w:space="0" w:color="auto"/>
        <w:left w:val="none" w:sz="0" w:space="0" w:color="auto"/>
        <w:bottom w:val="none" w:sz="0" w:space="0" w:color="auto"/>
        <w:right w:val="none" w:sz="0" w:space="0" w:color="auto"/>
      </w:divBdr>
    </w:div>
    <w:div w:id="585844600">
      <w:bodyDiv w:val="1"/>
      <w:marLeft w:val="0"/>
      <w:marRight w:val="0"/>
      <w:marTop w:val="0"/>
      <w:marBottom w:val="0"/>
      <w:divBdr>
        <w:top w:val="none" w:sz="0" w:space="0" w:color="auto"/>
        <w:left w:val="none" w:sz="0" w:space="0" w:color="auto"/>
        <w:bottom w:val="none" w:sz="0" w:space="0" w:color="auto"/>
        <w:right w:val="none" w:sz="0" w:space="0" w:color="auto"/>
      </w:divBdr>
    </w:div>
    <w:div w:id="591159064">
      <w:bodyDiv w:val="1"/>
      <w:marLeft w:val="0"/>
      <w:marRight w:val="0"/>
      <w:marTop w:val="0"/>
      <w:marBottom w:val="0"/>
      <w:divBdr>
        <w:top w:val="none" w:sz="0" w:space="0" w:color="auto"/>
        <w:left w:val="none" w:sz="0" w:space="0" w:color="auto"/>
        <w:bottom w:val="none" w:sz="0" w:space="0" w:color="auto"/>
        <w:right w:val="none" w:sz="0" w:space="0" w:color="auto"/>
      </w:divBdr>
    </w:div>
    <w:div w:id="612635310">
      <w:bodyDiv w:val="1"/>
      <w:marLeft w:val="0"/>
      <w:marRight w:val="0"/>
      <w:marTop w:val="0"/>
      <w:marBottom w:val="0"/>
      <w:divBdr>
        <w:top w:val="none" w:sz="0" w:space="0" w:color="auto"/>
        <w:left w:val="none" w:sz="0" w:space="0" w:color="auto"/>
        <w:bottom w:val="none" w:sz="0" w:space="0" w:color="auto"/>
        <w:right w:val="none" w:sz="0" w:space="0" w:color="auto"/>
      </w:divBdr>
    </w:div>
    <w:div w:id="613828285">
      <w:bodyDiv w:val="1"/>
      <w:marLeft w:val="0"/>
      <w:marRight w:val="0"/>
      <w:marTop w:val="0"/>
      <w:marBottom w:val="0"/>
      <w:divBdr>
        <w:top w:val="none" w:sz="0" w:space="0" w:color="auto"/>
        <w:left w:val="none" w:sz="0" w:space="0" w:color="auto"/>
        <w:bottom w:val="none" w:sz="0" w:space="0" w:color="auto"/>
        <w:right w:val="none" w:sz="0" w:space="0" w:color="auto"/>
      </w:divBdr>
    </w:div>
    <w:div w:id="617487905">
      <w:bodyDiv w:val="1"/>
      <w:marLeft w:val="0"/>
      <w:marRight w:val="0"/>
      <w:marTop w:val="0"/>
      <w:marBottom w:val="0"/>
      <w:divBdr>
        <w:top w:val="none" w:sz="0" w:space="0" w:color="auto"/>
        <w:left w:val="none" w:sz="0" w:space="0" w:color="auto"/>
        <w:bottom w:val="none" w:sz="0" w:space="0" w:color="auto"/>
        <w:right w:val="none" w:sz="0" w:space="0" w:color="auto"/>
      </w:divBdr>
    </w:div>
    <w:div w:id="642009032">
      <w:bodyDiv w:val="1"/>
      <w:marLeft w:val="0"/>
      <w:marRight w:val="0"/>
      <w:marTop w:val="0"/>
      <w:marBottom w:val="0"/>
      <w:divBdr>
        <w:top w:val="none" w:sz="0" w:space="0" w:color="auto"/>
        <w:left w:val="none" w:sz="0" w:space="0" w:color="auto"/>
        <w:bottom w:val="none" w:sz="0" w:space="0" w:color="auto"/>
        <w:right w:val="none" w:sz="0" w:space="0" w:color="auto"/>
      </w:divBdr>
    </w:div>
    <w:div w:id="651908467">
      <w:bodyDiv w:val="1"/>
      <w:marLeft w:val="0"/>
      <w:marRight w:val="0"/>
      <w:marTop w:val="0"/>
      <w:marBottom w:val="0"/>
      <w:divBdr>
        <w:top w:val="none" w:sz="0" w:space="0" w:color="auto"/>
        <w:left w:val="none" w:sz="0" w:space="0" w:color="auto"/>
        <w:bottom w:val="none" w:sz="0" w:space="0" w:color="auto"/>
        <w:right w:val="none" w:sz="0" w:space="0" w:color="auto"/>
      </w:divBdr>
    </w:div>
    <w:div w:id="658073452">
      <w:bodyDiv w:val="1"/>
      <w:marLeft w:val="0"/>
      <w:marRight w:val="0"/>
      <w:marTop w:val="0"/>
      <w:marBottom w:val="0"/>
      <w:divBdr>
        <w:top w:val="none" w:sz="0" w:space="0" w:color="auto"/>
        <w:left w:val="none" w:sz="0" w:space="0" w:color="auto"/>
        <w:bottom w:val="none" w:sz="0" w:space="0" w:color="auto"/>
        <w:right w:val="none" w:sz="0" w:space="0" w:color="auto"/>
      </w:divBdr>
    </w:div>
    <w:div w:id="674527890">
      <w:bodyDiv w:val="1"/>
      <w:marLeft w:val="0"/>
      <w:marRight w:val="0"/>
      <w:marTop w:val="0"/>
      <w:marBottom w:val="0"/>
      <w:divBdr>
        <w:top w:val="none" w:sz="0" w:space="0" w:color="auto"/>
        <w:left w:val="none" w:sz="0" w:space="0" w:color="auto"/>
        <w:bottom w:val="none" w:sz="0" w:space="0" w:color="auto"/>
        <w:right w:val="none" w:sz="0" w:space="0" w:color="auto"/>
      </w:divBdr>
    </w:div>
    <w:div w:id="674844441">
      <w:bodyDiv w:val="1"/>
      <w:marLeft w:val="0"/>
      <w:marRight w:val="0"/>
      <w:marTop w:val="0"/>
      <w:marBottom w:val="0"/>
      <w:divBdr>
        <w:top w:val="none" w:sz="0" w:space="0" w:color="auto"/>
        <w:left w:val="none" w:sz="0" w:space="0" w:color="auto"/>
        <w:bottom w:val="none" w:sz="0" w:space="0" w:color="auto"/>
        <w:right w:val="none" w:sz="0" w:space="0" w:color="auto"/>
      </w:divBdr>
    </w:div>
    <w:div w:id="693074328">
      <w:bodyDiv w:val="1"/>
      <w:marLeft w:val="0"/>
      <w:marRight w:val="0"/>
      <w:marTop w:val="0"/>
      <w:marBottom w:val="0"/>
      <w:divBdr>
        <w:top w:val="none" w:sz="0" w:space="0" w:color="auto"/>
        <w:left w:val="none" w:sz="0" w:space="0" w:color="auto"/>
        <w:bottom w:val="none" w:sz="0" w:space="0" w:color="auto"/>
        <w:right w:val="none" w:sz="0" w:space="0" w:color="auto"/>
      </w:divBdr>
    </w:div>
    <w:div w:id="723715939">
      <w:bodyDiv w:val="1"/>
      <w:marLeft w:val="0"/>
      <w:marRight w:val="0"/>
      <w:marTop w:val="0"/>
      <w:marBottom w:val="0"/>
      <w:divBdr>
        <w:top w:val="none" w:sz="0" w:space="0" w:color="auto"/>
        <w:left w:val="none" w:sz="0" w:space="0" w:color="auto"/>
        <w:bottom w:val="none" w:sz="0" w:space="0" w:color="auto"/>
        <w:right w:val="none" w:sz="0" w:space="0" w:color="auto"/>
      </w:divBdr>
    </w:div>
    <w:div w:id="727220079">
      <w:bodyDiv w:val="1"/>
      <w:marLeft w:val="0"/>
      <w:marRight w:val="0"/>
      <w:marTop w:val="0"/>
      <w:marBottom w:val="0"/>
      <w:divBdr>
        <w:top w:val="none" w:sz="0" w:space="0" w:color="auto"/>
        <w:left w:val="none" w:sz="0" w:space="0" w:color="auto"/>
        <w:bottom w:val="none" w:sz="0" w:space="0" w:color="auto"/>
        <w:right w:val="none" w:sz="0" w:space="0" w:color="auto"/>
      </w:divBdr>
    </w:div>
    <w:div w:id="729961594">
      <w:bodyDiv w:val="1"/>
      <w:marLeft w:val="0"/>
      <w:marRight w:val="0"/>
      <w:marTop w:val="0"/>
      <w:marBottom w:val="0"/>
      <w:divBdr>
        <w:top w:val="none" w:sz="0" w:space="0" w:color="auto"/>
        <w:left w:val="none" w:sz="0" w:space="0" w:color="auto"/>
        <w:bottom w:val="none" w:sz="0" w:space="0" w:color="auto"/>
        <w:right w:val="none" w:sz="0" w:space="0" w:color="auto"/>
      </w:divBdr>
    </w:div>
    <w:div w:id="737216592">
      <w:bodyDiv w:val="1"/>
      <w:marLeft w:val="0"/>
      <w:marRight w:val="0"/>
      <w:marTop w:val="0"/>
      <w:marBottom w:val="0"/>
      <w:divBdr>
        <w:top w:val="none" w:sz="0" w:space="0" w:color="auto"/>
        <w:left w:val="none" w:sz="0" w:space="0" w:color="auto"/>
        <w:bottom w:val="none" w:sz="0" w:space="0" w:color="auto"/>
        <w:right w:val="none" w:sz="0" w:space="0" w:color="auto"/>
      </w:divBdr>
    </w:div>
    <w:div w:id="758402462">
      <w:bodyDiv w:val="1"/>
      <w:marLeft w:val="0"/>
      <w:marRight w:val="0"/>
      <w:marTop w:val="0"/>
      <w:marBottom w:val="0"/>
      <w:divBdr>
        <w:top w:val="none" w:sz="0" w:space="0" w:color="auto"/>
        <w:left w:val="none" w:sz="0" w:space="0" w:color="auto"/>
        <w:bottom w:val="none" w:sz="0" w:space="0" w:color="auto"/>
        <w:right w:val="none" w:sz="0" w:space="0" w:color="auto"/>
      </w:divBdr>
    </w:div>
    <w:div w:id="781339564">
      <w:bodyDiv w:val="1"/>
      <w:marLeft w:val="0"/>
      <w:marRight w:val="0"/>
      <w:marTop w:val="0"/>
      <w:marBottom w:val="0"/>
      <w:divBdr>
        <w:top w:val="none" w:sz="0" w:space="0" w:color="auto"/>
        <w:left w:val="none" w:sz="0" w:space="0" w:color="auto"/>
        <w:bottom w:val="none" w:sz="0" w:space="0" w:color="auto"/>
        <w:right w:val="none" w:sz="0" w:space="0" w:color="auto"/>
      </w:divBdr>
    </w:div>
    <w:div w:id="783963523">
      <w:bodyDiv w:val="1"/>
      <w:marLeft w:val="0"/>
      <w:marRight w:val="0"/>
      <w:marTop w:val="0"/>
      <w:marBottom w:val="0"/>
      <w:divBdr>
        <w:top w:val="none" w:sz="0" w:space="0" w:color="auto"/>
        <w:left w:val="none" w:sz="0" w:space="0" w:color="auto"/>
        <w:bottom w:val="none" w:sz="0" w:space="0" w:color="auto"/>
        <w:right w:val="none" w:sz="0" w:space="0" w:color="auto"/>
      </w:divBdr>
    </w:div>
    <w:div w:id="812989755">
      <w:bodyDiv w:val="1"/>
      <w:marLeft w:val="0"/>
      <w:marRight w:val="0"/>
      <w:marTop w:val="0"/>
      <w:marBottom w:val="0"/>
      <w:divBdr>
        <w:top w:val="none" w:sz="0" w:space="0" w:color="auto"/>
        <w:left w:val="none" w:sz="0" w:space="0" w:color="auto"/>
        <w:bottom w:val="none" w:sz="0" w:space="0" w:color="auto"/>
        <w:right w:val="none" w:sz="0" w:space="0" w:color="auto"/>
      </w:divBdr>
    </w:div>
    <w:div w:id="848645620">
      <w:bodyDiv w:val="1"/>
      <w:marLeft w:val="0"/>
      <w:marRight w:val="0"/>
      <w:marTop w:val="0"/>
      <w:marBottom w:val="0"/>
      <w:divBdr>
        <w:top w:val="none" w:sz="0" w:space="0" w:color="auto"/>
        <w:left w:val="none" w:sz="0" w:space="0" w:color="auto"/>
        <w:bottom w:val="none" w:sz="0" w:space="0" w:color="auto"/>
        <w:right w:val="none" w:sz="0" w:space="0" w:color="auto"/>
      </w:divBdr>
    </w:div>
    <w:div w:id="856432264">
      <w:bodyDiv w:val="1"/>
      <w:marLeft w:val="0"/>
      <w:marRight w:val="0"/>
      <w:marTop w:val="0"/>
      <w:marBottom w:val="0"/>
      <w:divBdr>
        <w:top w:val="none" w:sz="0" w:space="0" w:color="auto"/>
        <w:left w:val="none" w:sz="0" w:space="0" w:color="auto"/>
        <w:bottom w:val="none" w:sz="0" w:space="0" w:color="auto"/>
        <w:right w:val="none" w:sz="0" w:space="0" w:color="auto"/>
      </w:divBdr>
      <w:divsChild>
        <w:div w:id="132021488">
          <w:marLeft w:val="0"/>
          <w:marRight w:val="0"/>
          <w:marTop w:val="0"/>
          <w:marBottom w:val="0"/>
          <w:divBdr>
            <w:top w:val="none" w:sz="0" w:space="0" w:color="auto"/>
            <w:left w:val="none" w:sz="0" w:space="0" w:color="auto"/>
            <w:bottom w:val="none" w:sz="0" w:space="0" w:color="auto"/>
            <w:right w:val="none" w:sz="0" w:space="0" w:color="auto"/>
          </w:divBdr>
        </w:div>
      </w:divsChild>
    </w:div>
    <w:div w:id="868876430">
      <w:bodyDiv w:val="1"/>
      <w:marLeft w:val="0"/>
      <w:marRight w:val="0"/>
      <w:marTop w:val="0"/>
      <w:marBottom w:val="0"/>
      <w:divBdr>
        <w:top w:val="none" w:sz="0" w:space="0" w:color="auto"/>
        <w:left w:val="none" w:sz="0" w:space="0" w:color="auto"/>
        <w:bottom w:val="none" w:sz="0" w:space="0" w:color="auto"/>
        <w:right w:val="none" w:sz="0" w:space="0" w:color="auto"/>
      </w:divBdr>
    </w:div>
    <w:div w:id="925580853">
      <w:bodyDiv w:val="1"/>
      <w:marLeft w:val="0"/>
      <w:marRight w:val="0"/>
      <w:marTop w:val="0"/>
      <w:marBottom w:val="0"/>
      <w:divBdr>
        <w:top w:val="none" w:sz="0" w:space="0" w:color="auto"/>
        <w:left w:val="none" w:sz="0" w:space="0" w:color="auto"/>
        <w:bottom w:val="none" w:sz="0" w:space="0" w:color="auto"/>
        <w:right w:val="none" w:sz="0" w:space="0" w:color="auto"/>
      </w:divBdr>
    </w:div>
    <w:div w:id="933248642">
      <w:bodyDiv w:val="1"/>
      <w:marLeft w:val="0"/>
      <w:marRight w:val="0"/>
      <w:marTop w:val="0"/>
      <w:marBottom w:val="0"/>
      <w:divBdr>
        <w:top w:val="none" w:sz="0" w:space="0" w:color="auto"/>
        <w:left w:val="none" w:sz="0" w:space="0" w:color="auto"/>
        <w:bottom w:val="none" w:sz="0" w:space="0" w:color="auto"/>
        <w:right w:val="none" w:sz="0" w:space="0" w:color="auto"/>
      </w:divBdr>
    </w:div>
    <w:div w:id="941256950">
      <w:bodyDiv w:val="1"/>
      <w:marLeft w:val="0"/>
      <w:marRight w:val="0"/>
      <w:marTop w:val="0"/>
      <w:marBottom w:val="0"/>
      <w:divBdr>
        <w:top w:val="none" w:sz="0" w:space="0" w:color="auto"/>
        <w:left w:val="none" w:sz="0" w:space="0" w:color="auto"/>
        <w:bottom w:val="none" w:sz="0" w:space="0" w:color="auto"/>
        <w:right w:val="none" w:sz="0" w:space="0" w:color="auto"/>
      </w:divBdr>
    </w:div>
    <w:div w:id="996231309">
      <w:bodyDiv w:val="1"/>
      <w:marLeft w:val="0"/>
      <w:marRight w:val="0"/>
      <w:marTop w:val="0"/>
      <w:marBottom w:val="0"/>
      <w:divBdr>
        <w:top w:val="none" w:sz="0" w:space="0" w:color="auto"/>
        <w:left w:val="none" w:sz="0" w:space="0" w:color="auto"/>
        <w:bottom w:val="none" w:sz="0" w:space="0" w:color="auto"/>
        <w:right w:val="none" w:sz="0" w:space="0" w:color="auto"/>
      </w:divBdr>
    </w:div>
    <w:div w:id="1033503075">
      <w:bodyDiv w:val="1"/>
      <w:marLeft w:val="0"/>
      <w:marRight w:val="0"/>
      <w:marTop w:val="0"/>
      <w:marBottom w:val="0"/>
      <w:divBdr>
        <w:top w:val="none" w:sz="0" w:space="0" w:color="auto"/>
        <w:left w:val="none" w:sz="0" w:space="0" w:color="auto"/>
        <w:bottom w:val="none" w:sz="0" w:space="0" w:color="auto"/>
        <w:right w:val="none" w:sz="0" w:space="0" w:color="auto"/>
      </w:divBdr>
    </w:div>
    <w:div w:id="1091240440">
      <w:bodyDiv w:val="1"/>
      <w:marLeft w:val="0"/>
      <w:marRight w:val="0"/>
      <w:marTop w:val="0"/>
      <w:marBottom w:val="0"/>
      <w:divBdr>
        <w:top w:val="none" w:sz="0" w:space="0" w:color="auto"/>
        <w:left w:val="none" w:sz="0" w:space="0" w:color="auto"/>
        <w:bottom w:val="none" w:sz="0" w:space="0" w:color="auto"/>
        <w:right w:val="none" w:sz="0" w:space="0" w:color="auto"/>
      </w:divBdr>
    </w:div>
    <w:div w:id="1133719600">
      <w:bodyDiv w:val="1"/>
      <w:marLeft w:val="0"/>
      <w:marRight w:val="0"/>
      <w:marTop w:val="0"/>
      <w:marBottom w:val="0"/>
      <w:divBdr>
        <w:top w:val="none" w:sz="0" w:space="0" w:color="auto"/>
        <w:left w:val="none" w:sz="0" w:space="0" w:color="auto"/>
        <w:bottom w:val="none" w:sz="0" w:space="0" w:color="auto"/>
        <w:right w:val="none" w:sz="0" w:space="0" w:color="auto"/>
      </w:divBdr>
    </w:div>
    <w:div w:id="1134256622">
      <w:bodyDiv w:val="1"/>
      <w:marLeft w:val="0"/>
      <w:marRight w:val="0"/>
      <w:marTop w:val="0"/>
      <w:marBottom w:val="0"/>
      <w:divBdr>
        <w:top w:val="none" w:sz="0" w:space="0" w:color="auto"/>
        <w:left w:val="none" w:sz="0" w:space="0" w:color="auto"/>
        <w:bottom w:val="none" w:sz="0" w:space="0" w:color="auto"/>
        <w:right w:val="none" w:sz="0" w:space="0" w:color="auto"/>
      </w:divBdr>
    </w:div>
    <w:div w:id="1160001296">
      <w:bodyDiv w:val="1"/>
      <w:marLeft w:val="0"/>
      <w:marRight w:val="0"/>
      <w:marTop w:val="0"/>
      <w:marBottom w:val="0"/>
      <w:divBdr>
        <w:top w:val="none" w:sz="0" w:space="0" w:color="auto"/>
        <w:left w:val="none" w:sz="0" w:space="0" w:color="auto"/>
        <w:bottom w:val="none" w:sz="0" w:space="0" w:color="auto"/>
        <w:right w:val="none" w:sz="0" w:space="0" w:color="auto"/>
      </w:divBdr>
    </w:div>
    <w:div w:id="1230578228">
      <w:bodyDiv w:val="1"/>
      <w:marLeft w:val="0"/>
      <w:marRight w:val="0"/>
      <w:marTop w:val="0"/>
      <w:marBottom w:val="0"/>
      <w:divBdr>
        <w:top w:val="none" w:sz="0" w:space="0" w:color="auto"/>
        <w:left w:val="none" w:sz="0" w:space="0" w:color="auto"/>
        <w:bottom w:val="none" w:sz="0" w:space="0" w:color="auto"/>
        <w:right w:val="none" w:sz="0" w:space="0" w:color="auto"/>
      </w:divBdr>
    </w:div>
    <w:div w:id="1243636531">
      <w:bodyDiv w:val="1"/>
      <w:marLeft w:val="0"/>
      <w:marRight w:val="0"/>
      <w:marTop w:val="0"/>
      <w:marBottom w:val="0"/>
      <w:divBdr>
        <w:top w:val="none" w:sz="0" w:space="0" w:color="auto"/>
        <w:left w:val="none" w:sz="0" w:space="0" w:color="auto"/>
        <w:bottom w:val="none" w:sz="0" w:space="0" w:color="auto"/>
        <w:right w:val="none" w:sz="0" w:space="0" w:color="auto"/>
      </w:divBdr>
    </w:div>
    <w:div w:id="1244073963">
      <w:bodyDiv w:val="1"/>
      <w:marLeft w:val="0"/>
      <w:marRight w:val="0"/>
      <w:marTop w:val="0"/>
      <w:marBottom w:val="0"/>
      <w:divBdr>
        <w:top w:val="none" w:sz="0" w:space="0" w:color="auto"/>
        <w:left w:val="none" w:sz="0" w:space="0" w:color="auto"/>
        <w:bottom w:val="none" w:sz="0" w:space="0" w:color="auto"/>
        <w:right w:val="none" w:sz="0" w:space="0" w:color="auto"/>
      </w:divBdr>
    </w:div>
    <w:div w:id="1252816269">
      <w:bodyDiv w:val="1"/>
      <w:marLeft w:val="0"/>
      <w:marRight w:val="0"/>
      <w:marTop w:val="0"/>
      <w:marBottom w:val="0"/>
      <w:divBdr>
        <w:top w:val="none" w:sz="0" w:space="0" w:color="auto"/>
        <w:left w:val="none" w:sz="0" w:space="0" w:color="auto"/>
        <w:bottom w:val="none" w:sz="0" w:space="0" w:color="auto"/>
        <w:right w:val="none" w:sz="0" w:space="0" w:color="auto"/>
      </w:divBdr>
    </w:div>
    <w:div w:id="1254780337">
      <w:bodyDiv w:val="1"/>
      <w:marLeft w:val="0"/>
      <w:marRight w:val="0"/>
      <w:marTop w:val="0"/>
      <w:marBottom w:val="0"/>
      <w:divBdr>
        <w:top w:val="none" w:sz="0" w:space="0" w:color="auto"/>
        <w:left w:val="none" w:sz="0" w:space="0" w:color="auto"/>
        <w:bottom w:val="none" w:sz="0" w:space="0" w:color="auto"/>
        <w:right w:val="none" w:sz="0" w:space="0" w:color="auto"/>
      </w:divBdr>
    </w:div>
    <w:div w:id="1306856130">
      <w:bodyDiv w:val="1"/>
      <w:marLeft w:val="0"/>
      <w:marRight w:val="0"/>
      <w:marTop w:val="0"/>
      <w:marBottom w:val="0"/>
      <w:divBdr>
        <w:top w:val="none" w:sz="0" w:space="0" w:color="auto"/>
        <w:left w:val="none" w:sz="0" w:space="0" w:color="auto"/>
        <w:bottom w:val="none" w:sz="0" w:space="0" w:color="auto"/>
        <w:right w:val="none" w:sz="0" w:space="0" w:color="auto"/>
      </w:divBdr>
    </w:div>
    <w:div w:id="1330988626">
      <w:bodyDiv w:val="1"/>
      <w:marLeft w:val="0"/>
      <w:marRight w:val="0"/>
      <w:marTop w:val="0"/>
      <w:marBottom w:val="0"/>
      <w:divBdr>
        <w:top w:val="none" w:sz="0" w:space="0" w:color="auto"/>
        <w:left w:val="none" w:sz="0" w:space="0" w:color="auto"/>
        <w:bottom w:val="none" w:sz="0" w:space="0" w:color="auto"/>
        <w:right w:val="none" w:sz="0" w:space="0" w:color="auto"/>
      </w:divBdr>
    </w:div>
    <w:div w:id="1332561727">
      <w:bodyDiv w:val="1"/>
      <w:marLeft w:val="0"/>
      <w:marRight w:val="0"/>
      <w:marTop w:val="0"/>
      <w:marBottom w:val="0"/>
      <w:divBdr>
        <w:top w:val="none" w:sz="0" w:space="0" w:color="auto"/>
        <w:left w:val="none" w:sz="0" w:space="0" w:color="auto"/>
        <w:bottom w:val="none" w:sz="0" w:space="0" w:color="auto"/>
        <w:right w:val="none" w:sz="0" w:space="0" w:color="auto"/>
      </w:divBdr>
    </w:div>
    <w:div w:id="1346438096">
      <w:bodyDiv w:val="1"/>
      <w:marLeft w:val="0"/>
      <w:marRight w:val="0"/>
      <w:marTop w:val="0"/>
      <w:marBottom w:val="0"/>
      <w:divBdr>
        <w:top w:val="none" w:sz="0" w:space="0" w:color="auto"/>
        <w:left w:val="none" w:sz="0" w:space="0" w:color="auto"/>
        <w:bottom w:val="none" w:sz="0" w:space="0" w:color="auto"/>
        <w:right w:val="none" w:sz="0" w:space="0" w:color="auto"/>
      </w:divBdr>
    </w:div>
    <w:div w:id="1364555912">
      <w:bodyDiv w:val="1"/>
      <w:marLeft w:val="0"/>
      <w:marRight w:val="0"/>
      <w:marTop w:val="0"/>
      <w:marBottom w:val="0"/>
      <w:divBdr>
        <w:top w:val="none" w:sz="0" w:space="0" w:color="auto"/>
        <w:left w:val="none" w:sz="0" w:space="0" w:color="auto"/>
        <w:bottom w:val="none" w:sz="0" w:space="0" w:color="auto"/>
        <w:right w:val="none" w:sz="0" w:space="0" w:color="auto"/>
      </w:divBdr>
    </w:div>
    <w:div w:id="1390110973">
      <w:bodyDiv w:val="1"/>
      <w:marLeft w:val="0"/>
      <w:marRight w:val="0"/>
      <w:marTop w:val="0"/>
      <w:marBottom w:val="0"/>
      <w:divBdr>
        <w:top w:val="none" w:sz="0" w:space="0" w:color="auto"/>
        <w:left w:val="none" w:sz="0" w:space="0" w:color="auto"/>
        <w:bottom w:val="none" w:sz="0" w:space="0" w:color="auto"/>
        <w:right w:val="none" w:sz="0" w:space="0" w:color="auto"/>
      </w:divBdr>
    </w:div>
    <w:div w:id="1391030885">
      <w:bodyDiv w:val="1"/>
      <w:marLeft w:val="0"/>
      <w:marRight w:val="0"/>
      <w:marTop w:val="0"/>
      <w:marBottom w:val="0"/>
      <w:divBdr>
        <w:top w:val="none" w:sz="0" w:space="0" w:color="auto"/>
        <w:left w:val="none" w:sz="0" w:space="0" w:color="auto"/>
        <w:bottom w:val="none" w:sz="0" w:space="0" w:color="auto"/>
        <w:right w:val="none" w:sz="0" w:space="0" w:color="auto"/>
      </w:divBdr>
    </w:div>
    <w:div w:id="1391533817">
      <w:bodyDiv w:val="1"/>
      <w:marLeft w:val="0"/>
      <w:marRight w:val="0"/>
      <w:marTop w:val="0"/>
      <w:marBottom w:val="0"/>
      <w:divBdr>
        <w:top w:val="none" w:sz="0" w:space="0" w:color="auto"/>
        <w:left w:val="none" w:sz="0" w:space="0" w:color="auto"/>
        <w:bottom w:val="none" w:sz="0" w:space="0" w:color="auto"/>
        <w:right w:val="none" w:sz="0" w:space="0" w:color="auto"/>
      </w:divBdr>
    </w:div>
    <w:div w:id="1421566477">
      <w:bodyDiv w:val="1"/>
      <w:marLeft w:val="0"/>
      <w:marRight w:val="0"/>
      <w:marTop w:val="0"/>
      <w:marBottom w:val="0"/>
      <w:divBdr>
        <w:top w:val="none" w:sz="0" w:space="0" w:color="auto"/>
        <w:left w:val="none" w:sz="0" w:space="0" w:color="auto"/>
        <w:bottom w:val="none" w:sz="0" w:space="0" w:color="auto"/>
        <w:right w:val="none" w:sz="0" w:space="0" w:color="auto"/>
      </w:divBdr>
    </w:div>
    <w:div w:id="1434397172">
      <w:bodyDiv w:val="1"/>
      <w:marLeft w:val="0"/>
      <w:marRight w:val="0"/>
      <w:marTop w:val="0"/>
      <w:marBottom w:val="0"/>
      <w:divBdr>
        <w:top w:val="none" w:sz="0" w:space="0" w:color="auto"/>
        <w:left w:val="none" w:sz="0" w:space="0" w:color="auto"/>
        <w:bottom w:val="none" w:sz="0" w:space="0" w:color="auto"/>
        <w:right w:val="none" w:sz="0" w:space="0" w:color="auto"/>
      </w:divBdr>
    </w:div>
    <w:div w:id="1437020108">
      <w:bodyDiv w:val="1"/>
      <w:marLeft w:val="0"/>
      <w:marRight w:val="0"/>
      <w:marTop w:val="0"/>
      <w:marBottom w:val="0"/>
      <w:divBdr>
        <w:top w:val="none" w:sz="0" w:space="0" w:color="auto"/>
        <w:left w:val="none" w:sz="0" w:space="0" w:color="auto"/>
        <w:bottom w:val="none" w:sz="0" w:space="0" w:color="auto"/>
        <w:right w:val="none" w:sz="0" w:space="0" w:color="auto"/>
      </w:divBdr>
    </w:div>
    <w:div w:id="1473987942">
      <w:bodyDiv w:val="1"/>
      <w:marLeft w:val="0"/>
      <w:marRight w:val="0"/>
      <w:marTop w:val="0"/>
      <w:marBottom w:val="0"/>
      <w:divBdr>
        <w:top w:val="none" w:sz="0" w:space="0" w:color="auto"/>
        <w:left w:val="none" w:sz="0" w:space="0" w:color="auto"/>
        <w:bottom w:val="none" w:sz="0" w:space="0" w:color="auto"/>
        <w:right w:val="none" w:sz="0" w:space="0" w:color="auto"/>
      </w:divBdr>
    </w:div>
    <w:div w:id="1475485188">
      <w:bodyDiv w:val="1"/>
      <w:marLeft w:val="0"/>
      <w:marRight w:val="0"/>
      <w:marTop w:val="0"/>
      <w:marBottom w:val="0"/>
      <w:divBdr>
        <w:top w:val="none" w:sz="0" w:space="0" w:color="auto"/>
        <w:left w:val="none" w:sz="0" w:space="0" w:color="auto"/>
        <w:bottom w:val="none" w:sz="0" w:space="0" w:color="auto"/>
        <w:right w:val="none" w:sz="0" w:space="0" w:color="auto"/>
      </w:divBdr>
    </w:div>
    <w:div w:id="1481341417">
      <w:bodyDiv w:val="1"/>
      <w:marLeft w:val="0"/>
      <w:marRight w:val="0"/>
      <w:marTop w:val="0"/>
      <w:marBottom w:val="0"/>
      <w:divBdr>
        <w:top w:val="none" w:sz="0" w:space="0" w:color="auto"/>
        <w:left w:val="none" w:sz="0" w:space="0" w:color="auto"/>
        <w:bottom w:val="none" w:sz="0" w:space="0" w:color="auto"/>
        <w:right w:val="none" w:sz="0" w:space="0" w:color="auto"/>
      </w:divBdr>
    </w:div>
    <w:div w:id="1529873680">
      <w:bodyDiv w:val="1"/>
      <w:marLeft w:val="0"/>
      <w:marRight w:val="0"/>
      <w:marTop w:val="0"/>
      <w:marBottom w:val="0"/>
      <w:divBdr>
        <w:top w:val="none" w:sz="0" w:space="0" w:color="auto"/>
        <w:left w:val="none" w:sz="0" w:space="0" w:color="auto"/>
        <w:bottom w:val="none" w:sz="0" w:space="0" w:color="auto"/>
        <w:right w:val="none" w:sz="0" w:space="0" w:color="auto"/>
      </w:divBdr>
    </w:div>
    <w:div w:id="1566717280">
      <w:bodyDiv w:val="1"/>
      <w:marLeft w:val="0"/>
      <w:marRight w:val="0"/>
      <w:marTop w:val="0"/>
      <w:marBottom w:val="0"/>
      <w:divBdr>
        <w:top w:val="none" w:sz="0" w:space="0" w:color="auto"/>
        <w:left w:val="none" w:sz="0" w:space="0" w:color="auto"/>
        <w:bottom w:val="none" w:sz="0" w:space="0" w:color="auto"/>
        <w:right w:val="none" w:sz="0" w:space="0" w:color="auto"/>
      </w:divBdr>
    </w:div>
    <w:div w:id="1570112722">
      <w:bodyDiv w:val="1"/>
      <w:marLeft w:val="0"/>
      <w:marRight w:val="0"/>
      <w:marTop w:val="0"/>
      <w:marBottom w:val="0"/>
      <w:divBdr>
        <w:top w:val="none" w:sz="0" w:space="0" w:color="auto"/>
        <w:left w:val="none" w:sz="0" w:space="0" w:color="auto"/>
        <w:bottom w:val="none" w:sz="0" w:space="0" w:color="auto"/>
        <w:right w:val="none" w:sz="0" w:space="0" w:color="auto"/>
      </w:divBdr>
    </w:div>
    <w:div w:id="1581599179">
      <w:bodyDiv w:val="1"/>
      <w:marLeft w:val="0"/>
      <w:marRight w:val="0"/>
      <w:marTop w:val="0"/>
      <w:marBottom w:val="0"/>
      <w:divBdr>
        <w:top w:val="none" w:sz="0" w:space="0" w:color="auto"/>
        <w:left w:val="none" w:sz="0" w:space="0" w:color="auto"/>
        <w:bottom w:val="none" w:sz="0" w:space="0" w:color="auto"/>
        <w:right w:val="none" w:sz="0" w:space="0" w:color="auto"/>
      </w:divBdr>
    </w:div>
    <w:div w:id="1614939934">
      <w:bodyDiv w:val="1"/>
      <w:marLeft w:val="0"/>
      <w:marRight w:val="0"/>
      <w:marTop w:val="0"/>
      <w:marBottom w:val="0"/>
      <w:divBdr>
        <w:top w:val="none" w:sz="0" w:space="0" w:color="auto"/>
        <w:left w:val="none" w:sz="0" w:space="0" w:color="auto"/>
        <w:bottom w:val="none" w:sz="0" w:space="0" w:color="auto"/>
        <w:right w:val="none" w:sz="0" w:space="0" w:color="auto"/>
      </w:divBdr>
    </w:div>
    <w:div w:id="1627542754">
      <w:bodyDiv w:val="1"/>
      <w:marLeft w:val="0"/>
      <w:marRight w:val="0"/>
      <w:marTop w:val="0"/>
      <w:marBottom w:val="0"/>
      <w:divBdr>
        <w:top w:val="none" w:sz="0" w:space="0" w:color="auto"/>
        <w:left w:val="none" w:sz="0" w:space="0" w:color="auto"/>
        <w:bottom w:val="none" w:sz="0" w:space="0" w:color="auto"/>
        <w:right w:val="none" w:sz="0" w:space="0" w:color="auto"/>
      </w:divBdr>
    </w:div>
    <w:div w:id="1631545742">
      <w:bodyDiv w:val="1"/>
      <w:marLeft w:val="0"/>
      <w:marRight w:val="0"/>
      <w:marTop w:val="0"/>
      <w:marBottom w:val="0"/>
      <w:divBdr>
        <w:top w:val="none" w:sz="0" w:space="0" w:color="auto"/>
        <w:left w:val="none" w:sz="0" w:space="0" w:color="auto"/>
        <w:bottom w:val="none" w:sz="0" w:space="0" w:color="auto"/>
        <w:right w:val="none" w:sz="0" w:space="0" w:color="auto"/>
      </w:divBdr>
    </w:div>
    <w:div w:id="1632976260">
      <w:bodyDiv w:val="1"/>
      <w:marLeft w:val="0"/>
      <w:marRight w:val="0"/>
      <w:marTop w:val="0"/>
      <w:marBottom w:val="0"/>
      <w:divBdr>
        <w:top w:val="none" w:sz="0" w:space="0" w:color="auto"/>
        <w:left w:val="none" w:sz="0" w:space="0" w:color="auto"/>
        <w:bottom w:val="none" w:sz="0" w:space="0" w:color="auto"/>
        <w:right w:val="none" w:sz="0" w:space="0" w:color="auto"/>
      </w:divBdr>
    </w:div>
    <w:div w:id="1637644027">
      <w:bodyDiv w:val="1"/>
      <w:marLeft w:val="0"/>
      <w:marRight w:val="0"/>
      <w:marTop w:val="0"/>
      <w:marBottom w:val="0"/>
      <w:divBdr>
        <w:top w:val="none" w:sz="0" w:space="0" w:color="auto"/>
        <w:left w:val="none" w:sz="0" w:space="0" w:color="auto"/>
        <w:bottom w:val="none" w:sz="0" w:space="0" w:color="auto"/>
        <w:right w:val="none" w:sz="0" w:space="0" w:color="auto"/>
      </w:divBdr>
      <w:divsChild>
        <w:div w:id="1213032715">
          <w:marLeft w:val="0"/>
          <w:marRight w:val="0"/>
          <w:marTop w:val="0"/>
          <w:marBottom w:val="0"/>
          <w:divBdr>
            <w:top w:val="none" w:sz="0" w:space="0" w:color="auto"/>
            <w:left w:val="none" w:sz="0" w:space="0" w:color="auto"/>
            <w:bottom w:val="none" w:sz="0" w:space="0" w:color="auto"/>
            <w:right w:val="none" w:sz="0" w:space="0" w:color="auto"/>
          </w:divBdr>
        </w:div>
      </w:divsChild>
    </w:div>
    <w:div w:id="1645039573">
      <w:bodyDiv w:val="1"/>
      <w:marLeft w:val="0"/>
      <w:marRight w:val="0"/>
      <w:marTop w:val="0"/>
      <w:marBottom w:val="0"/>
      <w:divBdr>
        <w:top w:val="none" w:sz="0" w:space="0" w:color="auto"/>
        <w:left w:val="none" w:sz="0" w:space="0" w:color="auto"/>
        <w:bottom w:val="none" w:sz="0" w:space="0" w:color="auto"/>
        <w:right w:val="none" w:sz="0" w:space="0" w:color="auto"/>
      </w:divBdr>
    </w:div>
    <w:div w:id="1651902084">
      <w:bodyDiv w:val="1"/>
      <w:marLeft w:val="0"/>
      <w:marRight w:val="0"/>
      <w:marTop w:val="0"/>
      <w:marBottom w:val="0"/>
      <w:divBdr>
        <w:top w:val="none" w:sz="0" w:space="0" w:color="auto"/>
        <w:left w:val="none" w:sz="0" w:space="0" w:color="auto"/>
        <w:bottom w:val="none" w:sz="0" w:space="0" w:color="auto"/>
        <w:right w:val="none" w:sz="0" w:space="0" w:color="auto"/>
      </w:divBdr>
    </w:div>
    <w:div w:id="1659533428">
      <w:bodyDiv w:val="1"/>
      <w:marLeft w:val="0"/>
      <w:marRight w:val="0"/>
      <w:marTop w:val="0"/>
      <w:marBottom w:val="0"/>
      <w:divBdr>
        <w:top w:val="none" w:sz="0" w:space="0" w:color="auto"/>
        <w:left w:val="none" w:sz="0" w:space="0" w:color="auto"/>
        <w:bottom w:val="none" w:sz="0" w:space="0" w:color="auto"/>
        <w:right w:val="none" w:sz="0" w:space="0" w:color="auto"/>
      </w:divBdr>
    </w:div>
    <w:div w:id="1686858033">
      <w:bodyDiv w:val="1"/>
      <w:marLeft w:val="0"/>
      <w:marRight w:val="0"/>
      <w:marTop w:val="0"/>
      <w:marBottom w:val="0"/>
      <w:divBdr>
        <w:top w:val="none" w:sz="0" w:space="0" w:color="auto"/>
        <w:left w:val="none" w:sz="0" w:space="0" w:color="auto"/>
        <w:bottom w:val="none" w:sz="0" w:space="0" w:color="auto"/>
        <w:right w:val="none" w:sz="0" w:space="0" w:color="auto"/>
      </w:divBdr>
    </w:div>
    <w:div w:id="1716395229">
      <w:bodyDiv w:val="1"/>
      <w:marLeft w:val="0"/>
      <w:marRight w:val="0"/>
      <w:marTop w:val="0"/>
      <w:marBottom w:val="0"/>
      <w:divBdr>
        <w:top w:val="none" w:sz="0" w:space="0" w:color="auto"/>
        <w:left w:val="none" w:sz="0" w:space="0" w:color="auto"/>
        <w:bottom w:val="none" w:sz="0" w:space="0" w:color="auto"/>
        <w:right w:val="none" w:sz="0" w:space="0" w:color="auto"/>
      </w:divBdr>
    </w:div>
    <w:div w:id="1738016620">
      <w:bodyDiv w:val="1"/>
      <w:marLeft w:val="0"/>
      <w:marRight w:val="0"/>
      <w:marTop w:val="0"/>
      <w:marBottom w:val="0"/>
      <w:divBdr>
        <w:top w:val="none" w:sz="0" w:space="0" w:color="auto"/>
        <w:left w:val="none" w:sz="0" w:space="0" w:color="auto"/>
        <w:bottom w:val="none" w:sz="0" w:space="0" w:color="auto"/>
        <w:right w:val="none" w:sz="0" w:space="0" w:color="auto"/>
      </w:divBdr>
    </w:div>
    <w:div w:id="1780373668">
      <w:bodyDiv w:val="1"/>
      <w:marLeft w:val="0"/>
      <w:marRight w:val="0"/>
      <w:marTop w:val="0"/>
      <w:marBottom w:val="0"/>
      <w:divBdr>
        <w:top w:val="none" w:sz="0" w:space="0" w:color="auto"/>
        <w:left w:val="none" w:sz="0" w:space="0" w:color="auto"/>
        <w:bottom w:val="none" w:sz="0" w:space="0" w:color="auto"/>
        <w:right w:val="none" w:sz="0" w:space="0" w:color="auto"/>
      </w:divBdr>
    </w:div>
    <w:div w:id="1783185298">
      <w:bodyDiv w:val="1"/>
      <w:marLeft w:val="0"/>
      <w:marRight w:val="0"/>
      <w:marTop w:val="0"/>
      <w:marBottom w:val="0"/>
      <w:divBdr>
        <w:top w:val="none" w:sz="0" w:space="0" w:color="auto"/>
        <w:left w:val="none" w:sz="0" w:space="0" w:color="auto"/>
        <w:bottom w:val="none" w:sz="0" w:space="0" w:color="auto"/>
        <w:right w:val="none" w:sz="0" w:space="0" w:color="auto"/>
      </w:divBdr>
    </w:div>
    <w:div w:id="1792285943">
      <w:bodyDiv w:val="1"/>
      <w:marLeft w:val="0"/>
      <w:marRight w:val="0"/>
      <w:marTop w:val="0"/>
      <w:marBottom w:val="0"/>
      <w:divBdr>
        <w:top w:val="none" w:sz="0" w:space="0" w:color="auto"/>
        <w:left w:val="none" w:sz="0" w:space="0" w:color="auto"/>
        <w:bottom w:val="none" w:sz="0" w:space="0" w:color="auto"/>
        <w:right w:val="none" w:sz="0" w:space="0" w:color="auto"/>
      </w:divBdr>
    </w:div>
    <w:div w:id="1792743051">
      <w:bodyDiv w:val="1"/>
      <w:marLeft w:val="0"/>
      <w:marRight w:val="0"/>
      <w:marTop w:val="0"/>
      <w:marBottom w:val="0"/>
      <w:divBdr>
        <w:top w:val="none" w:sz="0" w:space="0" w:color="auto"/>
        <w:left w:val="none" w:sz="0" w:space="0" w:color="auto"/>
        <w:bottom w:val="none" w:sz="0" w:space="0" w:color="auto"/>
        <w:right w:val="none" w:sz="0" w:space="0" w:color="auto"/>
      </w:divBdr>
      <w:divsChild>
        <w:div w:id="1899171850">
          <w:marLeft w:val="0"/>
          <w:marRight w:val="0"/>
          <w:marTop w:val="0"/>
          <w:marBottom w:val="0"/>
          <w:divBdr>
            <w:top w:val="none" w:sz="0" w:space="0" w:color="auto"/>
            <w:left w:val="none" w:sz="0" w:space="0" w:color="auto"/>
            <w:bottom w:val="none" w:sz="0" w:space="0" w:color="auto"/>
            <w:right w:val="none" w:sz="0" w:space="0" w:color="auto"/>
          </w:divBdr>
        </w:div>
      </w:divsChild>
    </w:div>
    <w:div w:id="1831016541">
      <w:bodyDiv w:val="1"/>
      <w:marLeft w:val="0"/>
      <w:marRight w:val="0"/>
      <w:marTop w:val="0"/>
      <w:marBottom w:val="0"/>
      <w:divBdr>
        <w:top w:val="none" w:sz="0" w:space="0" w:color="auto"/>
        <w:left w:val="none" w:sz="0" w:space="0" w:color="auto"/>
        <w:bottom w:val="none" w:sz="0" w:space="0" w:color="auto"/>
        <w:right w:val="none" w:sz="0" w:space="0" w:color="auto"/>
      </w:divBdr>
    </w:div>
    <w:div w:id="1833832348">
      <w:bodyDiv w:val="1"/>
      <w:marLeft w:val="0"/>
      <w:marRight w:val="0"/>
      <w:marTop w:val="0"/>
      <w:marBottom w:val="0"/>
      <w:divBdr>
        <w:top w:val="none" w:sz="0" w:space="0" w:color="auto"/>
        <w:left w:val="none" w:sz="0" w:space="0" w:color="auto"/>
        <w:bottom w:val="none" w:sz="0" w:space="0" w:color="auto"/>
        <w:right w:val="none" w:sz="0" w:space="0" w:color="auto"/>
      </w:divBdr>
    </w:div>
    <w:div w:id="1844779745">
      <w:bodyDiv w:val="1"/>
      <w:marLeft w:val="0"/>
      <w:marRight w:val="0"/>
      <w:marTop w:val="0"/>
      <w:marBottom w:val="0"/>
      <w:divBdr>
        <w:top w:val="none" w:sz="0" w:space="0" w:color="auto"/>
        <w:left w:val="none" w:sz="0" w:space="0" w:color="auto"/>
        <w:bottom w:val="none" w:sz="0" w:space="0" w:color="auto"/>
        <w:right w:val="none" w:sz="0" w:space="0" w:color="auto"/>
      </w:divBdr>
      <w:divsChild>
        <w:div w:id="1759012664">
          <w:marLeft w:val="0"/>
          <w:marRight w:val="0"/>
          <w:marTop w:val="0"/>
          <w:marBottom w:val="0"/>
          <w:divBdr>
            <w:top w:val="none" w:sz="0" w:space="0" w:color="auto"/>
            <w:left w:val="none" w:sz="0" w:space="0" w:color="auto"/>
            <w:bottom w:val="none" w:sz="0" w:space="0" w:color="auto"/>
            <w:right w:val="none" w:sz="0" w:space="0" w:color="auto"/>
          </w:divBdr>
        </w:div>
      </w:divsChild>
    </w:div>
    <w:div w:id="1850214903">
      <w:bodyDiv w:val="1"/>
      <w:marLeft w:val="0"/>
      <w:marRight w:val="0"/>
      <w:marTop w:val="0"/>
      <w:marBottom w:val="0"/>
      <w:divBdr>
        <w:top w:val="none" w:sz="0" w:space="0" w:color="auto"/>
        <w:left w:val="none" w:sz="0" w:space="0" w:color="auto"/>
        <w:bottom w:val="none" w:sz="0" w:space="0" w:color="auto"/>
        <w:right w:val="none" w:sz="0" w:space="0" w:color="auto"/>
      </w:divBdr>
    </w:div>
    <w:div w:id="1859074008">
      <w:bodyDiv w:val="1"/>
      <w:marLeft w:val="0"/>
      <w:marRight w:val="0"/>
      <w:marTop w:val="0"/>
      <w:marBottom w:val="0"/>
      <w:divBdr>
        <w:top w:val="none" w:sz="0" w:space="0" w:color="auto"/>
        <w:left w:val="none" w:sz="0" w:space="0" w:color="auto"/>
        <w:bottom w:val="none" w:sz="0" w:space="0" w:color="auto"/>
        <w:right w:val="none" w:sz="0" w:space="0" w:color="auto"/>
      </w:divBdr>
    </w:div>
    <w:div w:id="1873299229">
      <w:bodyDiv w:val="1"/>
      <w:marLeft w:val="0"/>
      <w:marRight w:val="0"/>
      <w:marTop w:val="0"/>
      <w:marBottom w:val="0"/>
      <w:divBdr>
        <w:top w:val="none" w:sz="0" w:space="0" w:color="auto"/>
        <w:left w:val="none" w:sz="0" w:space="0" w:color="auto"/>
        <w:bottom w:val="none" w:sz="0" w:space="0" w:color="auto"/>
        <w:right w:val="none" w:sz="0" w:space="0" w:color="auto"/>
      </w:divBdr>
    </w:div>
    <w:div w:id="1880435955">
      <w:bodyDiv w:val="1"/>
      <w:marLeft w:val="0"/>
      <w:marRight w:val="0"/>
      <w:marTop w:val="0"/>
      <w:marBottom w:val="0"/>
      <w:divBdr>
        <w:top w:val="none" w:sz="0" w:space="0" w:color="auto"/>
        <w:left w:val="none" w:sz="0" w:space="0" w:color="auto"/>
        <w:bottom w:val="none" w:sz="0" w:space="0" w:color="auto"/>
        <w:right w:val="none" w:sz="0" w:space="0" w:color="auto"/>
      </w:divBdr>
    </w:div>
    <w:div w:id="1887109219">
      <w:bodyDiv w:val="1"/>
      <w:marLeft w:val="0"/>
      <w:marRight w:val="0"/>
      <w:marTop w:val="0"/>
      <w:marBottom w:val="0"/>
      <w:divBdr>
        <w:top w:val="none" w:sz="0" w:space="0" w:color="auto"/>
        <w:left w:val="none" w:sz="0" w:space="0" w:color="auto"/>
        <w:bottom w:val="none" w:sz="0" w:space="0" w:color="auto"/>
        <w:right w:val="none" w:sz="0" w:space="0" w:color="auto"/>
      </w:divBdr>
      <w:divsChild>
        <w:div w:id="1567447216">
          <w:marLeft w:val="0"/>
          <w:marRight w:val="0"/>
          <w:marTop w:val="0"/>
          <w:marBottom w:val="0"/>
          <w:divBdr>
            <w:top w:val="none" w:sz="0" w:space="0" w:color="auto"/>
            <w:left w:val="none" w:sz="0" w:space="0" w:color="auto"/>
            <w:bottom w:val="none" w:sz="0" w:space="0" w:color="auto"/>
            <w:right w:val="none" w:sz="0" w:space="0" w:color="auto"/>
          </w:divBdr>
        </w:div>
      </w:divsChild>
    </w:div>
    <w:div w:id="1914122548">
      <w:bodyDiv w:val="1"/>
      <w:marLeft w:val="0"/>
      <w:marRight w:val="0"/>
      <w:marTop w:val="0"/>
      <w:marBottom w:val="0"/>
      <w:divBdr>
        <w:top w:val="none" w:sz="0" w:space="0" w:color="auto"/>
        <w:left w:val="none" w:sz="0" w:space="0" w:color="auto"/>
        <w:bottom w:val="none" w:sz="0" w:space="0" w:color="auto"/>
        <w:right w:val="none" w:sz="0" w:space="0" w:color="auto"/>
      </w:divBdr>
    </w:div>
    <w:div w:id="1919828189">
      <w:bodyDiv w:val="1"/>
      <w:marLeft w:val="0"/>
      <w:marRight w:val="0"/>
      <w:marTop w:val="0"/>
      <w:marBottom w:val="0"/>
      <w:divBdr>
        <w:top w:val="none" w:sz="0" w:space="0" w:color="auto"/>
        <w:left w:val="none" w:sz="0" w:space="0" w:color="auto"/>
        <w:bottom w:val="none" w:sz="0" w:space="0" w:color="auto"/>
        <w:right w:val="none" w:sz="0" w:space="0" w:color="auto"/>
      </w:divBdr>
    </w:div>
    <w:div w:id="1931232026">
      <w:bodyDiv w:val="1"/>
      <w:marLeft w:val="0"/>
      <w:marRight w:val="0"/>
      <w:marTop w:val="0"/>
      <w:marBottom w:val="0"/>
      <w:divBdr>
        <w:top w:val="none" w:sz="0" w:space="0" w:color="auto"/>
        <w:left w:val="none" w:sz="0" w:space="0" w:color="auto"/>
        <w:bottom w:val="none" w:sz="0" w:space="0" w:color="auto"/>
        <w:right w:val="none" w:sz="0" w:space="0" w:color="auto"/>
      </w:divBdr>
    </w:div>
    <w:div w:id="1952980035">
      <w:bodyDiv w:val="1"/>
      <w:marLeft w:val="0"/>
      <w:marRight w:val="0"/>
      <w:marTop w:val="0"/>
      <w:marBottom w:val="0"/>
      <w:divBdr>
        <w:top w:val="none" w:sz="0" w:space="0" w:color="auto"/>
        <w:left w:val="none" w:sz="0" w:space="0" w:color="auto"/>
        <w:bottom w:val="none" w:sz="0" w:space="0" w:color="auto"/>
        <w:right w:val="none" w:sz="0" w:space="0" w:color="auto"/>
      </w:divBdr>
    </w:div>
    <w:div w:id="1956208192">
      <w:bodyDiv w:val="1"/>
      <w:marLeft w:val="0"/>
      <w:marRight w:val="0"/>
      <w:marTop w:val="0"/>
      <w:marBottom w:val="0"/>
      <w:divBdr>
        <w:top w:val="none" w:sz="0" w:space="0" w:color="auto"/>
        <w:left w:val="none" w:sz="0" w:space="0" w:color="auto"/>
        <w:bottom w:val="none" w:sz="0" w:space="0" w:color="auto"/>
        <w:right w:val="none" w:sz="0" w:space="0" w:color="auto"/>
      </w:divBdr>
    </w:div>
    <w:div w:id="1957447603">
      <w:bodyDiv w:val="1"/>
      <w:marLeft w:val="0"/>
      <w:marRight w:val="0"/>
      <w:marTop w:val="0"/>
      <w:marBottom w:val="0"/>
      <w:divBdr>
        <w:top w:val="none" w:sz="0" w:space="0" w:color="auto"/>
        <w:left w:val="none" w:sz="0" w:space="0" w:color="auto"/>
        <w:bottom w:val="none" w:sz="0" w:space="0" w:color="auto"/>
        <w:right w:val="none" w:sz="0" w:space="0" w:color="auto"/>
      </w:divBdr>
    </w:div>
    <w:div w:id="1959138414">
      <w:bodyDiv w:val="1"/>
      <w:marLeft w:val="0"/>
      <w:marRight w:val="0"/>
      <w:marTop w:val="0"/>
      <w:marBottom w:val="0"/>
      <w:divBdr>
        <w:top w:val="none" w:sz="0" w:space="0" w:color="auto"/>
        <w:left w:val="none" w:sz="0" w:space="0" w:color="auto"/>
        <w:bottom w:val="none" w:sz="0" w:space="0" w:color="auto"/>
        <w:right w:val="none" w:sz="0" w:space="0" w:color="auto"/>
      </w:divBdr>
    </w:div>
    <w:div w:id="1967081849">
      <w:bodyDiv w:val="1"/>
      <w:marLeft w:val="0"/>
      <w:marRight w:val="0"/>
      <w:marTop w:val="0"/>
      <w:marBottom w:val="0"/>
      <w:divBdr>
        <w:top w:val="none" w:sz="0" w:space="0" w:color="auto"/>
        <w:left w:val="none" w:sz="0" w:space="0" w:color="auto"/>
        <w:bottom w:val="none" w:sz="0" w:space="0" w:color="auto"/>
        <w:right w:val="none" w:sz="0" w:space="0" w:color="auto"/>
      </w:divBdr>
    </w:div>
    <w:div w:id="1969165018">
      <w:bodyDiv w:val="1"/>
      <w:marLeft w:val="0"/>
      <w:marRight w:val="0"/>
      <w:marTop w:val="0"/>
      <w:marBottom w:val="0"/>
      <w:divBdr>
        <w:top w:val="none" w:sz="0" w:space="0" w:color="auto"/>
        <w:left w:val="none" w:sz="0" w:space="0" w:color="auto"/>
        <w:bottom w:val="none" w:sz="0" w:space="0" w:color="auto"/>
        <w:right w:val="none" w:sz="0" w:space="0" w:color="auto"/>
      </w:divBdr>
    </w:div>
    <w:div w:id="1970041389">
      <w:bodyDiv w:val="1"/>
      <w:marLeft w:val="0"/>
      <w:marRight w:val="0"/>
      <w:marTop w:val="0"/>
      <w:marBottom w:val="0"/>
      <w:divBdr>
        <w:top w:val="none" w:sz="0" w:space="0" w:color="auto"/>
        <w:left w:val="none" w:sz="0" w:space="0" w:color="auto"/>
        <w:bottom w:val="none" w:sz="0" w:space="0" w:color="auto"/>
        <w:right w:val="none" w:sz="0" w:space="0" w:color="auto"/>
      </w:divBdr>
    </w:div>
    <w:div w:id="1974016361">
      <w:bodyDiv w:val="1"/>
      <w:marLeft w:val="0"/>
      <w:marRight w:val="0"/>
      <w:marTop w:val="0"/>
      <w:marBottom w:val="0"/>
      <w:divBdr>
        <w:top w:val="none" w:sz="0" w:space="0" w:color="auto"/>
        <w:left w:val="none" w:sz="0" w:space="0" w:color="auto"/>
        <w:bottom w:val="none" w:sz="0" w:space="0" w:color="auto"/>
        <w:right w:val="none" w:sz="0" w:space="0" w:color="auto"/>
      </w:divBdr>
    </w:div>
    <w:div w:id="1984460930">
      <w:bodyDiv w:val="1"/>
      <w:marLeft w:val="0"/>
      <w:marRight w:val="0"/>
      <w:marTop w:val="0"/>
      <w:marBottom w:val="0"/>
      <w:divBdr>
        <w:top w:val="none" w:sz="0" w:space="0" w:color="auto"/>
        <w:left w:val="none" w:sz="0" w:space="0" w:color="auto"/>
        <w:bottom w:val="none" w:sz="0" w:space="0" w:color="auto"/>
        <w:right w:val="none" w:sz="0" w:space="0" w:color="auto"/>
      </w:divBdr>
    </w:div>
    <w:div w:id="2000497166">
      <w:bodyDiv w:val="1"/>
      <w:marLeft w:val="0"/>
      <w:marRight w:val="0"/>
      <w:marTop w:val="0"/>
      <w:marBottom w:val="0"/>
      <w:divBdr>
        <w:top w:val="none" w:sz="0" w:space="0" w:color="auto"/>
        <w:left w:val="none" w:sz="0" w:space="0" w:color="auto"/>
        <w:bottom w:val="none" w:sz="0" w:space="0" w:color="auto"/>
        <w:right w:val="none" w:sz="0" w:space="0" w:color="auto"/>
      </w:divBdr>
    </w:div>
    <w:div w:id="2009482295">
      <w:bodyDiv w:val="1"/>
      <w:marLeft w:val="0"/>
      <w:marRight w:val="0"/>
      <w:marTop w:val="0"/>
      <w:marBottom w:val="0"/>
      <w:divBdr>
        <w:top w:val="none" w:sz="0" w:space="0" w:color="auto"/>
        <w:left w:val="none" w:sz="0" w:space="0" w:color="auto"/>
        <w:bottom w:val="none" w:sz="0" w:space="0" w:color="auto"/>
        <w:right w:val="none" w:sz="0" w:space="0" w:color="auto"/>
      </w:divBdr>
    </w:div>
    <w:div w:id="2066178879">
      <w:bodyDiv w:val="1"/>
      <w:marLeft w:val="0"/>
      <w:marRight w:val="0"/>
      <w:marTop w:val="0"/>
      <w:marBottom w:val="0"/>
      <w:divBdr>
        <w:top w:val="none" w:sz="0" w:space="0" w:color="auto"/>
        <w:left w:val="none" w:sz="0" w:space="0" w:color="auto"/>
        <w:bottom w:val="none" w:sz="0" w:space="0" w:color="auto"/>
        <w:right w:val="none" w:sz="0" w:space="0" w:color="auto"/>
      </w:divBdr>
    </w:div>
    <w:div w:id="2072849153">
      <w:bodyDiv w:val="1"/>
      <w:marLeft w:val="0"/>
      <w:marRight w:val="0"/>
      <w:marTop w:val="0"/>
      <w:marBottom w:val="0"/>
      <w:divBdr>
        <w:top w:val="none" w:sz="0" w:space="0" w:color="auto"/>
        <w:left w:val="none" w:sz="0" w:space="0" w:color="auto"/>
        <w:bottom w:val="none" w:sz="0" w:space="0" w:color="auto"/>
        <w:right w:val="none" w:sz="0" w:space="0" w:color="auto"/>
      </w:divBdr>
    </w:div>
    <w:div w:id="2081518644">
      <w:bodyDiv w:val="1"/>
      <w:marLeft w:val="0"/>
      <w:marRight w:val="0"/>
      <w:marTop w:val="0"/>
      <w:marBottom w:val="0"/>
      <w:divBdr>
        <w:top w:val="none" w:sz="0" w:space="0" w:color="auto"/>
        <w:left w:val="none" w:sz="0" w:space="0" w:color="auto"/>
        <w:bottom w:val="none" w:sz="0" w:space="0" w:color="auto"/>
        <w:right w:val="none" w:sz="0" w:space="0" w:color="auto"/>
      </w:divBdr>
    </w:div>
    <w:div w:id="2109035913">
      <w:bodyDiv w:val="1"/>
      <w:marLeft w:val="0"/>
      <w:marRight w:val="0"/>
      <w:marTop w:val="0"/>
      <w:marBottom w:val="0"/>
      <w:divBdr>
        <w:top w:val="none" w:sz="0" w:space="0" w:color="auto"/>
        <w:left w:val="none" w:sz="0" w:space="0" w:color="auto"/>
        <w:bottom w:val="none" w:sz="0" w:space="0" w:color="auto"/>
        <w:right w:val="none" w:sz="0" w:space="0" w:color="auto"/>
      </w:divBdr>
    </w:div>
    <w:div w:id="2118597030">
      <w:bodyDiv w:val="1"/>
      <w:marLeft w:val="0"/>
      <w:marRight w:val="0"/>
      <w:marTop w:val="0"/>
      <w:marBottom w:val="0"/>
      <w:divBdr>
        <w:top w:val="none" w:sz="0" w:space="0" w:color="auto"/>
        <w:left w:val="none" w:sz="0" w:space="0" w:color="auto"/>
        <w:bottom w:val="none" w:sz="0" w:space="0" w:color="auto"/>
        <w:right w:val="none" w:sz="0" w:space="0" w:color="auto"/>
      </w:divBdr>
    </w:div>
    <w:div w:id="2119133274">
      <w:bodyDiv w:val="1"/>
      <w:marLeft w:val="0"/>
      <w:marRight w:val="0"/>
      <w:marTop w:val="0"/>
      <w:marBottom w:val="0"/>
      <w:divBdr>
        <w:top w:val="none" w:sz="0" w:space="0" w:color="auto"/>
        <w:left w:val="none" w:sz="0" w:space="0" w:color="auto"/>
        <w:bottom w:val="none" w:sz="0" w:space="0" w:color="auto"/>
        <w:right w:val="none" w:sz="0" w:space="0" w:color="auto"/>
      </w:divBdr>
      <w:divsChild>
        <w:div w:id="1973946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4.xml"/><Relationship Id="rId21" Type="http://schemas.openxmlformats.org/officeDocument/2006/relationships/header" Target="header6.xml"/><Relationship Id="rId34" Type="http://schemas.openxmlformats.org/officeDocument/2006/relationships/header" Target="header15.xml"/><Relationship Id="rId42" Type="http://schemas.openxmlformats.org/officeDocument/2006/relationships/header" Target="header16.xm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29" Type="http://schemas.openxmlformats.org/officeDocument/2006/relationships/footer" Target="footer5.xml"/><Relationship Id="rId41" Type="http://schemas.openxmlformats.org/officeDocument/2006/relationships/hyperlink" Target="http://www.milliman.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header" Target="header14.xml"/><Relationship Id="rId45" Type="http://schemas.openxmlformats.org/officeDocument/2006/relationships/header" Target="header18.xml"/><Relationship Id="rId5" Type="http://schemas.openxmlformats.org/officeDocument/2006/relationships/numbering" Target="numbering.xml"/><Relationship Id="rId15" Type="http://schemas.openxmlformats.org/officeDocument/2006/relationships/image" Target="media/image2.tiff"/><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hyperlink" Target="http://www.milliman.com"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eader" Target="header13.xml"/><Relationship Id="rId44"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7.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9.xml"/><Relationship Id="rId33" Type="http://schemas.openxmlformats.org/officeDocument/2006/relationships/footer" Target="footer6.xml"/><Relationship Id="rId46"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Milliman CURRENT 2016">
      <a:dk1>
        <a:sysClr val="windowText" lastClr="000000"/>
      </a:dk1>
      <a:lt1>
        <a:sysClr val="window" lastClr="FFFFFF"/>
      </a:lt1>
      <a:dk2>
        <a:srgbClr val="0A4977"/>
      </a:dk2>
      <a:lt2>
        <a:srgbClr val="39414D"/>
      </a:lt2>
      <a:accent1>
        <a:srgbClr val="8EA780"/>
      </a:accent1>
      <a:accent2>
        <a:srgbClr val="C6C9CA"/>
      </a:accent2>
      <a:accent3>
        <a:srgbClr val="727A7D"/>
      </a:accent3>
      <a:accent4>
        <a:srgbClr val="0081E3"/>
      </a:accent4>
      <a:accent5>
        <a:srgbClr val="FFA200"/>
      </a:accent5>
      <a:accent6>
        <a:srgbClr val="64A623"/>
      </a:accent6>
      <a:hlink>
        <a:srgbClr val="0081E3"/>
      </a:hlink>
      <a:folHlink>
        <a:srgbClr val="0081E3"/>
      </a:folHlink>
    </a:clrScheme>
    <a:fontScheme name="Millima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D55083BCCC46648BE612DACC07E697A" ma:contentTypeVersion="4" ma:contentTypeDescription="Create a new document." ma:contentTypeScope="" ma:versionID="b572a98781dc2ac786871573b1377d17">
  <xsd:schema xmlns:xsd="http://www.w3.org/2001/XMLSchema" xmlns:xs="http://www.w3.org/2001/XMLSchema" xmlns:p="http://schemas.microsoft.com/office/2006/metadata/properties" xmlns:ns2="e3710749-b83e-4a03-af9c-3daaf4ced3ba" targetNamespace="http://schemas.microsoft.com/office/2006/metadata/properties" ma:root="true" ma:fieldsID="b86e24247157af7842c9229f23142784" ns2:_="">
    <xsd:import namespace="e3710749-b83e-4a03-af9c-3daaf4ced3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10749-b83e-4a03-af9c-3daaf4ced3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1DFF70-DB0A-41BF-A5A6-544EB1EF7AC6}">
  <ds:schemaRefs>
    <ds:schemaRef ds:uri="http://schemas.microsoft.com/sharepoint/v3/contenttype/forms"/>
  </ds:schemaRefs>
</ds:datastoreItem>
</file>

<file path=customXml/itemProps2.xml><?xml version="1.0" encoding="utf-8"?>
<ds:datastoreItem xmlns:ds="http://schemas.openxmlformats.org/officeDocument/2006/customXml" ds:itemID="{34226A80-163D-4FFB-BD5D-3A0176790EEE}">
  <ds:schemaRefs>
    <ds:schemaRef ds:uri="http://schemas.openxmlformats.org/officeDocument/2006/bibliography"/>
  </ds:schemaRefs>
</ds:datastoreItem>
</file>

<file path=customXml/itemProps3.xml><?xml version="1.0" encoding="utf-8"?>
<ds:datastoreItem xmlns:ds="http://schemas.openxmlformats.org/officeDocument/2006/customXml" ds:itemID="{1C873004-B3F9-45D2-B503-0ED669F750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710749-b83e-4a03-af9c-3daaf4ced3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5D17A7-DFB8-46AF-9E64-F98FA3798E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20</Pages>
  <Words>5370</Words>
  <Characters>30609</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Report template with corporate brand colors, styles, and formatting - US letter</vt:lpstr>
    </vt:vector>
  </TitlesOfParts>
  <Company/>
  <LinksUpToDate>false</LinksUpToDate>
  <CharactersWithSpaces>35908</CharactersWithSpaces>
  <SharedDoc>false</SharedDoc>
  <HLinks>
    <vt:vector size="102" baseType="variant">
      <vt:variant>
        <vt:i4>1114168</vt:i4>
      </vt:variant>
      <vt:variant>
        <vt:i4>95</vt:i4>
      </vt:variant>
      <vt:variant>
        <vt:i4>0</vt:i4>
      </vt:variant>
      <vt:variant>
        <vt:i4>5</vt:i4>
      </vt:variant>
      <vt:variant>
        <vt:lpwstr/>
      </vt:variant>
      <vt:variant>
        <vt:lpwstr>_Toc83899814</vt:lpwstr>
      </vt:variant>
      <vt:variant>
        <vt:i4>1441848</vt:i4>
      </vt:variant>
      <vt:variant>
        <vt:i4>89</vt:i4>
      </vt:variant>
      <vt:variant>
        <vt:i4>0</vt:i4>
      </vt:variant>
      <vt:variant>
        <vt:i4>5</vt:i4>
      </vt:variant>
      <vt:variant>
        <vt:lpwstr/>
      </vt:variant>
      <vt:variant>
        <vt:lpwstr>_Toc83899813</vt:lpwstr>
      </vt:variant>
      <vt:variant>
        <vt:i4>1507384</vt:i4>
      </vt:variant>
      <vt:variant>
        <vt:i4>83</vt:i4>
      </vt:variant>
      <vt:variant>
        <vt:i4>0</vt:i4>
      </vt:variant>
      <vt:variant>
        <vt:i4>5</vt:i4>
      </vt:variant>
      <vt:variant>
        <vt:lpwstr/>
      </vt:variant>
      <vt:variant>
        <vt:lpwstr>_Toc83899812</vt:lpwstr>
      </vt:variant>
      <vt:variant>
        <vt:i4>1310776</vt:i4>
      </vt:variant>
      <vt:variant>
        <vt:i4>77</vt:i4>
      </vt:variant>
      <vt:variant>
        <vt:i4>0</vt:i4>
      </vt:variant>
      <vt:variant>
        <vt:i4>5</vt:i4>
      </vt:variant>
      <vt:variant>
        <vt:lpwstr/>
      </vt:variant>
      <vt:variant>
        <vt:lpwstr>_Toc83899811</vt:lpwstr>
      </vt:variant>
      <vt:variant>
        <vt:i4>1376312</vt:i4>
      </vt:variant>
      <vt:variant>
        <vt:i4>71</vt:i4>
      </vt:variant>
      <vt:variant>
        <vt:i4>0</vt:i4>
      </vt:variant>
      <vt:variant>
        <vt:i4>5</vt:i4>
      </vt:variant>
      <vt:variant>
        <vt:lpwstr/>
      </vt:variant>
      <vt:variant>
        <vt:lpwstr>_Toc83899810</vt:lpwstr>
      </vt:variant>
      <vt:variant>
        <vt:i4>1835065</vt:i4>
      </vt:variant>
      <vt:variant>
        <vt:i4>65</vt:i4>
      </vt:variant>
      <vt:variant>
        <vt:i4>0</vt:i4>
      </vt:variant>
      <vt:variant>
        <vt:i4>5</vt:i4>
      </vt:variant>
      <vt:variant>
        <vt:lpwstr/>
      </vt:variant>
      <vt:variant>
        <vt:lpwstr>_Toc83899809</vt:lpwstr>
      </vt:variant>
      <vt:variant>
        <vt:i4>1900601</vt:i4>
      </vt:variant>
      <vt:variant>
        <vt:i4>59</vt:i4>
      </vt:variant>
      <vt:variant>
        <vt:i4>0</vt:i4>
      </vt:variant>
      <vt:variant>
        <vt:i4>5</vt:i4>
      </vt:variant>
      <vt:variant>
        <vt:lpwstr/>
      </vt:variant>
      <vt:variant>
        <vt:lpwstr>_Toc83899808</vt:lpwstr>
      </vt:variant>
      <vt:variant>
        <vt:i4>1179705</vt:i4>
      </vt:variant>
      <vt:variant>
        <vt:i4>53</vt:i4>
      </vt:variant>
      <vt:variant>
        <vt:i4>0</vt:i4>
      </vt:variant>
      <vt:variant>
        <vt:i4>5</vt:i4>
      </vt:variant>
      <vt:variant>
        <vt:lpwstr/>
      </vt:variant>
      <vt:variant>
        <vt:lpwstr>_Toc83899807</vt:lpwstr>
      </vt:variant>
      <vt:variant>
        <vt:i4>1245241</vt:i4>
      </vt:variant>
      <vt:variant>
        <vt:i4>47</vt:i4>
      </vt:variant>
      <vt:variant>
        <vt:i4>0</vt:i4>
      </vt:variant>
      <vt:variant>
        <vt:i4>5</vt:i4>
      </vt:variant>
      <vt:variant>
        <vt:lpwstr/>
      </vt:variant>
      <vt:variant>
        <vt:lpwstr>_Toc83899806</vt:lpwstr>
      </vt:variant>
      <vt:variant>
        <vt:i4>1048633</vt:i4>
      </vt:variant>
      <vt:variant>
        <vt:i4>41</vt:i4>
      </vt:variant>
      <vt:variant>
        <vt:i4>0</vt:i4>
      </vt:variant>
      <vt:variant>
        <vt:i4>5</vt:i4>
      </vt:variant>
      <vt:variant>
        <vt:lpwstr/>
      </vt:variant>
      <vt:variant>
        <vt:lpwstr>_Toc83899805</vt:lpwstr>
      </vt:variant>
      <vt:variant>
        <vt:i4>1114169</vt:i4>
      </vt:variant>
      <vt:variant>
        <vt:i4>35</vt:i4>
      </vt:variant>
      <vt:variant>
        <vt:i4>0</vt:i4>
      </vt:variant>
      <vt:variant>
        <vt:i4>5</vt:i4>
      </vt:variant>
      <vt:variant>
        <vt:lpwstr/>
      </vt:variant>
      <vt:variant>
        <vt:lpwstr>_Toc83899804</vt:lpwstr>
      </vt:variant>
      <vt:variant>
        <vt:i4>1441849</vt:i4>
      </vt:variant>
      <vt:variant>
        <vt:i4>29</vt:i4>
      </vt:variant>
      <vt:variant>
        <vt:i4>0</vt:i4>
      </vt:variant>
      <vt:variant>
        <vt:i4>5</vt:i4>
      </vt:variant>
      <vt:variant>
        <vt:lpwstr/>
      </vt:variant>
      <vt:variant>
        <vt:lpwstr>_Toc83899803</vt:lpwstr>
      </vt:variant>
      <vt:variant>
        <vt:i4>1507385</vt:i4>
      </vt:variant>
      <vt:variant>
        <vt:i4>23</vt:i4>
      </vt:variant>
      <vt:variant>
        <vt:i4>0</vt:i4>
      </vt:variant>
      <vt:variant>
        <vt:i4>5</vt:i4>
      </vt:variant>
      <vt:variant>
        <vt:lpwstr/>
      </vt:variant>
      <vt:variant>
        <vt:lpwstr>_Toc83899802</vt:lpwstr>
      </vt:variant>
      <vt:variant>
        <vt:i4>1310777</vt:i4>
      </vt:variant>
      <vt:variant>
        <vt:i4>17</vt:i4>
      </vt:variant>
      <vt:variant>
        <vt:i4>0</vt:i4>
      </vt:variant>
      <vt:variant>
        <vt:i4>5</vt:i4>
      </vt:variant>
      <vt:variant>
        <vt:lpwstr/>
      </vt:variant>
      <vt:variant>
        <vt:lpwstr>_Toc83899801</vt:lpwstr>
      </vt:variant>
      <vt:variant>
        <vt:i4>1376313</vt:i4>
      </vt:variant>
      <vt:variant>
        <vt:i4>11</vt:i4>
      </vt:variant>
      <vt:variant>
        <vt:i4>0</vt:i4>
      </vt:variant>
      <vt:variant>
        <vt:i4>5</vt:i4>
      </vt:variant>
      <vt:variant>
        <vt:lpwstr/>
      </vt:variant>
      <vt:variant>
        <vt:lpwstr>_Toc83899800</vt:lpwstr>
      </vt:variant>
      <vt:variant>
        <vt:i4>1245232</vt:i4>
      </vt:variant>
      <vt:variant>
        <vt:i4>5</vt:i4>
      </vt:variant>
      <vt:variant>
        <vt:i4>0</vt:i4>
      </vt:variant>
      <vt:variant>
        <vt:i4>5</vt:i4>
      </vt:variant>
      <vt:variant>
        <vt:lpwstr/>
      </vt:variant>
      <vt:variant>
        <vt:lpwstr>_Toc83899799</vt:lpwstr>
      </vt:variant>
      <vt:variant>
        <vt:i4>4980824</vt:i4>
      </vt:variant>
      <vt:variant>
        <vt:i4>0</vt:i4>
      </vt:variant>
      <vt:variant>
        <vt:i4>0</vt:i4>
      </vt:variant>
      <vt:variant>
        <vt:i4>5</vt:i4>
      </vt:variant>
      <vt:variant>
        <vt:lpwstr>http://www.milliman.com/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template with corporate brand colors, styles, and formatting - US letter</dc:title>
  <dc:subject/>
  <dc:creator>Justin Chow</dc:creator>
  <cp:keywords/>
  <dc:description/>
  <cp:lastModifiedBy>Valerie Miller</cp:lastModifiedBy>
  <cp:revision>19</cp:revision>
  <cp:lastPrinted>2021-12-23T15:33:00Z</cp:lastPrinted>
  <dcterms:created xsi:type="dcterms:W3CDTF">2021-12-23T15:31:00Z</dcterms:created>
  <dcterms:modified xsi:type="dcterms:W3CDTF">2022-05-11T15:10:00Z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0x010100BD55083BCCC46648BE612DACC07E697A</vt:lpwstr>
  </property>
  <property fmtid="{D5CDD505-2E9C-101B-9397-08002B2CF9AE}" pid="3" name="Thumbnail">
    <vt:lpwstr>, </vt:lpwstr>
  </property>
</Properties>
</file>