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E5C3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6A86360A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39D4136C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17F9DE65" w14:textId="6BC46BFD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Introduction</w:t>
      </w:r>
    </w:p>
    <w:p w14:paraId="696FB5EE" w14:textId="38EB85A0" w:rsidR="00CD1DD4" w:rsidRDefault="00CD1DD4" w:rsidP="00CD1D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Changed reference to Final Rule (versus “proposed rule”)</w:t>
      </w:r>
    </w:p>
    <w:p w14:paraId="3E7211B5" w14:textId="2B9FABD8" w:rsidR="00CD1DD4" w:rsidRDefault="00CD1DD4" w:rsidP="00CD1D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footnote about not binding / do not have force and effect of law</w:t>
      </w:r>
    </w:p>
    <w:p w14:paraId="27904374" w14:textId="56F0D3C6" w:rsidR="00A2141F" w:rsidRDefault="00A2141F" w:rsidP="00CD1D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allowing standards to apply to rate ranges</w:t>
      </w:r>
    </w:p>
    <w:p w14:paraId="6FF93263" w14:textId="3763B92D" w:rsidR="00A2141F" w:rsidRDefault="00A2141F" w:rsidP="00CD1D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a note that adhering to standards will help CMS’ review</w:t>
      </w:r>
    </w:p>
    <w:p w14:paraId="7A343A54" w14:textId="5575FE01" w:rsidR="00A2141F" w:rsidRPr="00CD1DD4" w:rsidRDefault="00A2141F" w:rsidP="00CD1D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language about ensuring compliance with 42 CFR 438.4 and 7</w:t>
      </w:r>
    </w:p>
    <w:p w14:paraId="03937499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4AECD41E" w14:textId="2A9E59E9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I – General Information</w:t>
      </w:r>
    </w:p>
    <w:p w14:paraId="17EC088D" w14:textId="1CD9A95D" w:rsidR="00A2141F" w:rsidRDefault="00A2141F" w:rsidP="00A2141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modeling ASOP and 42 CFR 438.5</w:t>
      </w:r>
    </w:p>
    <w:p w14:paraId="6543111A" w14:textId="48682D86" w:rsidR="00A2141F" w:rsidRDefault="00564463" w:rsidP="00A2141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Removal of language around time periods other than 12 months</w:t>
      </w:r>
    </w:p>
    <w:p w14:paraId="5FA7524F" w14:textId="310BBED2" w:rsidR="00564463" w:rsidRDefault="00564463" w:rsidP="00A2141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Rate ranges allowed</w:t>
      </w:r>
    </w:p>
    <w:p w14:paraId="2AA45342" w14:textId="1E02324D" w:rsidR="00B06B8B" w:rsidRDefault="00B06B8B" w:rsidP="00B06B8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clearly state</w:t>
      </w:r>
    </w:p>
    <w:p w14:paraId="447833C9" w14:textId="1C2C5B01" w:rsidR="009F7D44" w:rsidRDefault="009F7D44" w:rsidP="009F7D4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section on conditions for certifying a rate range</w:t>
      </w:r>
    </w:p>
    <w:p w14:paraId="2D07B535" w14:textId="55507862" w:rsidR="00564463" w:rsidRDefault="009F7D44" w:rsidP="0056446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Modifications are allowed if changes &lt;1%</w:t>
      </w:r>
      <w:r w:rsidR="007A736E">
        <w:rPr>
          <w:rFonts w:ascii="Arial" w:hAnsi="Arial" w:cs="Arial"/>
          <w:sz w:val="20"/>
          <w:szCs w:val="20"/>
        </w:rPr>
        <w:t xml:space="preserve"> (for non-rate ranges this is still 1.5%)</w:t>
      </w:r>
      <w:r>
        <w:rPr>
          <w:rFonts w:ascii="Arial" w:hAnsi="Arial" w:cs="Arial"/>
          <w:sz w:val="20"/>
          <w:szCs w:val="20"/>
        </w:rPr>
        <w:t>, must recertify otherwise</w:t>
      </w:r>
      <w:r w:rsidR="007A736E">
        <w:rPr>
          <w:rFonts w:ascii="Arial" w:hAnsi="Arial" w:cs="Arial"/>
          <w:sz w:val="20"/>
          <w:szCs w:val="20"/>
        </w:rPr>
        <w:t>, guidance on recertifications</w:t>
      </w:r>
    </w:p>
    <w:p w14:paraId="0B271B3A" w14:textId="0DE0F6AB" w:rsidR="00B06B8B" w:rsidRDefault="00B06B8B" w:rsidP="0056446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documentation requirements including:</w:t>
      </w:r>
    </w:p>
    <w:p w14:paraId="0A63B1D3" w14:textId="5593C1A7" w:rsidR="00B06B8B" w:rsidRDefault="00B06B8B" w:rsidP="00B06B8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 variations between upper/lower</w:t>
      </w:r>
    </w:p>
    <w:p w14:paraId="20790F44" w14:textId="7819B9A3" w:rsidR="00B06B8B" w:rsidRDefault="00B06B8B" w:rsidP="00B06B8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showing upper does not exceed lower by 5%</w:t>
      </w:r>
    </w:p>
    <w:p w14:paraId="0DF39A1A" w14:textId="1DB953D9" w:rsidR="00B06B8B" w:rsidRDefault="00B06B8B" w:rsidP="00B06B8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Criteria for paying different points, including footnote of examples</w:t>
      </w:r>
    </w:p>
    <w:p w14:paraId="25A4D8E2" w14:textId="7AFC5F47" w:rsidR="00B06B8B" w:rsidRDefault="00B06B8B" w:rsidP="00B06B8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</w:p>
    <w:p w14:paraId="77558B9C" w14:textId="3F3E98FF" w:rsidR="00564463" w:rsidRDefault="00564463" w:rsidP="00A2141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</w:t>
      </w:r>
      <w:proofErr w:type="spellStart"/>
      <w:r>
        <w:rPr>
          <w:rFonts w:ascii="Arial" w:hAnsi="Arial" w:cs="Arial"/>
          <w:sz w:val="20"/>
          <w:szCs w:val="20"/>
        </w:rPr>
        <w:t>minimus</w:t>
      </w:r>
      <w:proofErr w:type="spellEnd"/>
      <w:r>
        <w:rPr>
          <w:rFonts w:ascii="Arial" w:hAnsi="Arial" w:cs="Arial"/>
          <w:sz w:val="20"/>
          <w:szCs w:val="20"/>
        </w:rPr>
        <w:t xml:space="preserve"> requirement for retroactive adjustments, reconciliations</w:t>
      </w:r>
    </w:p>
    <w:p w14:paraId="643AB786" w14:textId="5F80500B" w:rsidR="00564463" w:rsidRDefault="00564463" w:rsidP="0056446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Retroactive rate adjustments can be submitted a either a rate amendment or new rate certification</w:t>
      </w:r>
    </w:p>
    <w:p w14:paraId="588B94EE" w14:textId="69D267FF" w:rsidR="00564463" w:rsidRDefault="00564463" w:rsidP="0056446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clarifying language on varying rates based on FFP</w:t>
      </w:r>
    </w:p>
    <w:p w14:paraId="47EC9C5E" w14:textId="7358CDF6" w:rsidR="00B06B8B" w:rsidRDefault="00B06B8B" w:rsidP="00B06B8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documentation requirements on this later on</w:t>
      </w:r>
    </w:p>
    <w:p w14:paraId="30E2585E" w14:textId="33FDF63D" w:rsidR="00B06B8B" w:rsidRDefault="00B06B8B" w:rsidP="00B06B8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document all assumptions/methods that vary by rate of FFP, justify, and show financial impact</w:t>
      </w:r>
    </w:p>
    <w:p w14:paraId="7A926820" w14:textId="47D04689" w:rsidR="00CD1DD4" w:rsidRDefault="009F7D44" w:rsidP="00CD1DD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Removed</w:t>
      </w:r>
      <w:r w:rsidR="00CD1DD4">
        <w:rPr>
          <w:rFonts w:ascii="Arial" w:eastAsia="Times New Roman" w:hAnsi="Arial" w:cs="Arial"/>
          <w:sz w:val="20"/>
          <w:szCs w:val="20"/>
        </w:rPr>
        <w:t xml:space="preserve"> footnote </w:t>
      </w:r>
      <w:r>
        <w:rPr>
          <w:rFonts w:ascii="Arial" w:eastAsia="Times New Roman" w:hAnsi="Arial" w:cs="Arial"/>
          <w:sz w:val="20"/>
          <w:szCs w:val="20"/>
        </w:rPr>
        <w:t>about</w:t>
      </w:r>
      <w:r w:rsidR="00CD1DD4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2019 </w:t>
      </w:r>
      <w:r w:rsidR="00CD1DD4">
        <w:rPr>
          <w:rFonts w:ascii="Arial" w:eastAsia="Times New Roman" w:hAnsi="Arial" w:cs="Arial"/>
          <w:sz w:val="20"/>
          <w:szCs w:val="20"/>
        </w:rPr>
        <w:t>bulletin on MLR requirement related to third-party vendors</w:t>
      </w:r>
    </w:p>
    <w:p w14:paraId="1C2EE304" w14:textId="1F8F742A" w:rsidR="009F7D44" w:rsidRDefault="009F7D44" w:rsidP="00CD1DD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Added section on COVID, expects </w:t>
      </w:r>
      <w:r w:rsidR="007A736E">
        <w:rPr>
          <w:rFonts w:ascii="Arial" w:eastAsia="Times New Roman" w:hAnsi="Arial" w:cs="Arial"/>
          <w:sz w:val="20"/>
          <w:szCs w:val="20"/>
        </w:rPr>
        <w:t>states and actuaries to evaluate state, regional, national COVID data in determining how to address COVID for rate setting</w:t>
      </w:r>
    </w:p>
    <w:p w14:paraId="5D684294" w14:textId="0B128F72" w:rsidR="007A736E" w:rsidRDefault="007A736E" w:rsidP="007A736E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CMS recommending </w:t>
      </w:r>
      <w:proofErr w:type="gramStart"/>
      <w:r>
        <w:rPr>
          <w:rFonts w:ascii="Arial" w:eastAsia="Times New Roman" w:hAnsi="Arial" w:cs="Arial"/>
          <w:sz w:val="20"/>
          <w:szCs w:val="20"/>
        </w:rPr>
        <w:t>2 sided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risk mitigation strategy for all PHE impacted periods</w:t>
      </w:r>
    </w:p>
    <w:p w14:paraId="6215C734" w14:textId="215ABA08" w:rsidR="007A736E" w:rsidRDefault="007A736E" w:rsidP="007A73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Bunch of footnotes added about rate amendments</w:t>
      </w:r>
    </w:p>
    <w:p w14:paraId="2BA7447B" w14:textId="309F75E9" w:rsidR="007A736E" w:rsidRDefault="007A736E" w:rsidP="007A736E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Must submit contract amendments regardless of the rate adjustment</w:t>
      </w:r>
    </w:p>
    <w:p w14:paraId="707B3D8A" w14:textId="4F920CBA" w:rsidR="007A736E" w:rsidRDefault="007A736E" w:rsidP="007A736E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Also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clarification on approved risk adjustment methodology not requiring rate </w:t>
      </w:r>
      <w:r w:rsidR="00B06B8B">
        <w:rPr>
          <w:rFonts w:ascii="Arial" w:eastAsia="Times New Roman" w:hAnsi="Arial" w:cs="Arial"/>
          <w:sz w:val="20"/>
          <w:szCs w:val="20"/>
        </w:rPr>
        <w:t>amendment</w:t>
      </w:r>
    </w:p>
    <w:p w14:paraId="30FF272B" w14:textId="5726583A" w:rsidR="0002199A" w:rsidRDefault="0002199A" w:rsidP="000219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Clarification on “previous rates” to compare to</w:t>
      </w:r>
    </w:p>
    <w:p w14:paraId="75137B57" w14:textId="2C118AAD" w:rsidR="0002199A" w:rsidRDefault="0002199A" w:rsidP="0002199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Required documentation of COVID approach</w:t>
      </w:r>
    </w:p>
    <w:p w14:paraId="294AE032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3887ACC4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I – Data</w:t>
      </w:r>
    </w:p>
    <w:p w14:paraId="47FBA36F" w14:textId="3801D73B" w:rsidR="00CD1DD4" w:rsidRDefault="00CD1DD4" w:rsidP="00CD1DD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Nothing material, minor wording changes</w:t>
      </w:r>
    </w:p>
    <w:p w14:paraId="39AAB7BE" w14:textId="4481C9AD" w:rsidR="0002199A" w:rsidRDefault="0002199A" w:rsidP="0002199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Change references from “health plans” to “managed care plans”</w:t>
      </w:r>
      <w:r w:rsidR="007928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BB9B710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3EB09D35" w14:textId="1CA024AD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I – Projected Benefit Costs and Trends</w:t>
      </w:r>
    </w:p>
    <w:p w14:paraId="47A41E1F" w14:textId="77777777" w:rsidR="0079288B" w:rsidRDefault="0079288B" w:rsidP="0079288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Nothing material, minor wording changes</w:t>
      </w:r>
    </w:p>
    <w:p w14:paraId="46ABCB54" w14:textId="77777777" w:rsidR="0079288B" w:rsidRDefault="0079288B" w:rsidP="00CD1DD4">
      <w:pPr>
        <w:rPr>
          <w:rFonts w:ascii="Arial" w:hAnsi="Arial" w:cs="Arial"/>
          <w:sz w:val="20"/>
          <w:szCs w:val="20"/>
        </w:rPr>
      </w:pPr>
    </w:p>
    <w:p w14:paraId="0D2B4207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4F90AF61" w14:textId="7E246579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I – Special Contract Provisions Related to Payment</w:t>
      </w:r>
    </w:p>
    <w:p w14:paraId="5555C778" w14:textId="54F847F0" w:rsidR="0079288B" w:rsidRDefault="0079288B" w:rsidP="0079288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Footnote about additional guidance other than this document</w:t>
      </w:r>
    </w:p>
    <w:p w14:paraId="53EC93C9" w14:textId="4378865D" w:rsidR="0079288B" w:rsidRPr="008732A4" w:rsidRDefault="0079288B" w:rsidP="0079288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732A4">
        <w:rPr>
          <w:rFonts w:ascii="Arial" w:hAnsi="Arial" w:cs="Arial"/>
          <w:sz w:val="20"/>
          <w:szCs w:val="20"/>
        </w:rPr>
        <w:t>Risk sharing mechanisms must be documented in rate cert prior to start of rating period, cannot be added after</w:t>
      </w:r>
    </w:p>
    <w:p w14:paraId="01C78424" w14:textId="07DEA878" w:rsidR="0079288B" w:rsidRDefault="0079288B" w:rsidP="0079288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9288B">
        <w:rPr>
          <w:rFonts w:ascii="Arial" w:hAnsi="Arial" w:cs="Arial"/>
          <w:sz w:val="20"/>
          <w:szCs w:val="20"/>
        </w:rPr>
        <w:t>Changed Delivery System and Provider Payment Initiatives to State Directed Payments</w:t>
      </w:r>
    </w:p>
    <w:p w14:paraId="03F1BD98" w14:textId="7F877AF6" w:rsidR="0079288B" w:rsidRDefault="0079288B" w:rsidP="0079288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Clarifying language about minimum fe</w:t>
      </w:r>
      <w:r w:rsidR="005C223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</w:t>
      </w:r>
      <w:r w:rsidR="005C2231">
        <w:rPr>
          <w:rFonts w:ascii="Arial" w:hAnsi="Arial" w:cs="Arial"/>
          <w:sz w:val="20"/>
          <w:szCs w:val="20"/>
        </w:rPr>
        <w:t>schedule using state plan approved rates as well as rates other than state plan approved rates</w:t>
      </w:r>
    </w:p>
    <w:p w14:paraId="0B8526A8" w14:textId="0C412309" w:rsidR="005C2231" w:rsidRDefault="005C2231" w:rsidP="0079288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Rate certifications including state directed payments </w:t>
      </w:r>
      <w:proofErr w:type="gramStart"/>
      <w:r>
        <w:rPr>
          <w:rFonts w:ascii="Arial" w:hAnsi="Arial" w:cs="Arial"/>
          <w:sz w:val="20"/>
          <w:szCs w:val="20"/>
        </w:rPr>
        <w:t>cant</w:t>
      </w:r>
      <w:proofErr w:type="gramEnd"/>
      <w:r>
        <w:rPr>
          <w:rFonts w:ascii="Arial" w:hAnsi="Arial" w:cs="Arial"/>
          <w:sz w:val="20"/>
          <w:szCs w:val="20"/>
        </w:rPr>
        <w:t xml:space="preserve"> be approved until all written prior approval obtained</w:t>
      </w:r>
    </w:p>
    <w:p w14:paraId="39E9BF66" w14:textId="1F872BBD" w:rsidR="008732A4" w:rsidRDefault="008732A4" w:rsidP="0079288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Method of incorporating state directed payment into rate cert will be identified as part of preprint review </w:t>
      </w:r>
    </w:p>
    <w:p w14:paraId="1FA5BCE4" w14:textId="55EDC94E" w:rsidR="008732A4" w:rsidRDefault="008732A4" w:rsidP="0079288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addition to description of the arrangements must now provide this table</w:t>
      </w:r>
    </w:p>
    <w:p w14:paraId="1E50A1AF" w14:textId="32C97FCA" w:rsidR="008732A4" w:rsidRDefault="008732A4" w:rsidP="008732A4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83F12" wp14:editId="3D23F8BC">
            <wp:extent cx="5943600" cy="187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C1AA" w14:textId="36DA81E8" w:rsidR="008732A4" w:rsidRDefault="008732A4" w:rsidP="008732A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incorporated in base cap rates as a rate adjustment must include this table</w:t>
      </w:r>
    </w:p>
    <w:p w14:paraId="3DCCF9EE" w14:textId="77B67CD7" w:rsidR="008732A4" w:rsidRDefault="008732A4" w:rsidP="008732A4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92239A2" wp14:editId="6109FD53">
            <wp:extent cx="56292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4E6D" w14:textId="4B3C6450" w:rsidR="008732A4" w:rsidRDefault="008732A4" w:rsidP="008732A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Clearly defined references </w:t>
      </w:r>
      <w:proofErr w:type="gramStart"/>
      <w:r>
        <w:rPr>
          <w:rFonts w:ascii="Arial" w:hAnsi="Arial" w:cs="Arial"/>
          <w:sz w:val="20"/>
          <w:szCs w:val="20"/>
        </w:rPr>
        <w:t>exhibits</w:t>
      </w:r>
      <w:proofErr w:type="gramEnd"/>
      <w:r>
        <w:rPr>
          <w:rFonts w:ascii="Arial" w:hAnsi="Arial" w:cs="Arial"/>
          <w:sz w:val="20"/>
          <w:szCs w:val="20"/>
        </w:rPr>
        <w:t xml:space="preserve"> showing impact</w:t>
      </w:r>
    </w:p>
    <w:p w14:paraId="50153A09" w14:textId="66E123B5" w:rsidR="008732A4" w:rsidRDefault="008732A4" w:rsidP="008732A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Cannot combine directed payments in the exhibits</w:t>
      </w:r>
    </w:p>
    <w:p w14:paraId="6623BE01" w14:textId="46454B33" w:rsidR="008732A4" w:rsidRDefault="008732A4" w:rsidP="008732A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preprint is not submitted prior to rate certification, must include </w:t>
      </w:r>
      <w:r w:rsidRPr="008732A4">
        <w:rPr>
          <w:rFonts w:ascii="Arial" w:hAnsi="Arial" w:cs="Arial"/>
          <w:sz w:val="20"/>
          <w:szCs w:val="20"/>
          <w:u w:val="single"/>
        </w:rPr>
        <w:t>specific timeline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Pr="008732A4">
        <w:rPr>
          <w:rFonts w:ascii="Arial" w:hAnsi="Arial" w:cs="Arial"/>
          <w:sz w:val="20"/>
          <w:szCs w:val="20"/>
        </w:rPr>
        <w:t>for submission</w:t>
      </w:r>
    </w:p>
    <w:p w14:paraId="6B62C1DC" w14:textId="7BD30FF9" w:rsidR="00C7436C" w:rsidRDefault="00C7436C" w:rsidP="008732A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for directed payments incorporated as separate payment terms</w:t>
      </w:r>
    </w:p>
    <w:p w14:paraId="2359F9A2" w14:textId="3F2438D3" w:rsidR="00C7436C" w:rsidRDefault="00C7436C" w:rsidP="00C7436C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BA4D582" wp14:editId="1AE3FF2E">
            <wp:extent cx="594360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398" w14:textId="41307E38" w:rsidR="008732A4" w:rsidRDefault="00C7436C" w:rsidP="00C7436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Clarification on how to show amounts for separate payment terms</w:t>
      </w:r>
    </w:p>
    <w:p w14:paraId="7D9E198D" w14:textId="4F8BEF6A" w:rsidR="00C7436C" w:rsidRDefault="00C7436C" w:rsidP="00C7436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7436C">
        <w:rPr>
          <w:rFonts w:ascii="Arial" w:hAnsi="Arial" w:cs="Arial"/>
          <w:sz w:val="20"/>
          <w:szCs w:val="20"/>
        </w:rPr>
        <w:t>Note this</w:t>
      </w:r>
      <w:r>
        <w:rPr>
          <w:rFonts w:ascii="Arial" w:hAnsi="Arial" w:cs="Arial"/>
          <w:sz w:val="20"/>
          <w:szCs w:val="20"/>
        </w:rPr>
        <w:t xml:space="preserve"> (documentation after rating period is over)</w:t>
      </w:r>
      <w:r w:rsidRPr="00C7436C">
        <w:rPr>
          <w:rFonts w:ascii="Arial" w:hAnsi="Arial" w:cs="Arial"/>
          <w:sz w:val="20"/>
          <w:szCs w:val="20"/>
        </w:rPr>
        <w:t xml:space="preserve"> is only applicable to separate payment terms that are included in the certification as separate pools that are certified in addition to the base PMPM capitation rates.</w:t>
      </w:r>
    </w:p>
    <w:p w14:paraId="466C97AA" w14:textId="7E7CA6F4" w:rsidR="00C7436C" w:rsidRPr="00BA5C46" w:rsidRDefault="00C7436C" w:rsidP="00C7436C">
      <w:pPr>
        <w:rPr>
          <w:rFonts w:ascii="Arial" w:hAnsi="Arial" w:cs="Arial"/>
          <w:sz w:val="20"/>
          <w:szCs w:val="20"/>
        </w:rPr>
      </w:pPr>
    </w:p>
    <w:p w14:paraId="0F1DD3E8" w14:textId="7E685A4B" w:rsidR="00C7436C" w:rsidRPr="00BA5C46" w:rsidRDefault="00C7436C" w:rsidP="00C7436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A5C46">
        <w:rPr>
          <w:rFonts w:ascii="Arial" w:hAnsi="Arial" w:cs="Arial"/>
          <w:sz w:val="20"/>
          <w:szCs w:val="20"/>
        </w:rPr>
        <w:t>Pass throughs</w:t>
      </w:r>
    </w:p>
    <w:p w14:paraId="045CF90B" w14:textId="78E65E6A" w:rsidR="00C7436C" w:rsidRPr="00BA5C46" w:rsidRDefault="00C7436C" w:rsidP="00C7436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BA5C46">
        <w:rPr>
          <w:rFonts w:ascii="Arial" w:hAnsi="Arial" w:cs="Arial"/>
          <w:sz w:val="20"/>
          <w:szCs w:val="20"/>
        </w:rPr>
        <w:t>New footnote about transition periods: Pass-through payments to network providers that are hospitals, nursing facilities, or physicians are allowable for the transition period identified in 42 C.F.R. § 438.6(d)(6) for states transitioning services and populations from a FFS delivery system to a managed care delivery system when the state meets the requirements in 42 C.F.R. 438.6(d)(6).</w:t>
      </w:r>
    </w:p>
    <w:p w14:paraId="38C10F61" w14:textId="7CD409D9" w:rsidR="00BA5C46" w:rsidRPr="00BA5C46" w:rsidRDefault="00BA5C46" w:rsidP="00C7436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BA5C46">
        <w:rPr>
          <w:rFonts w:ascii="Arial" w:hAnsi="Arial" w:cs="Arial"/>
          <w:sz w:val="20"/>
          <w:szCs w:val="20"/>
        </w:rPr>
        <w:t>And this section</w:t>
      </w:r>
    </w:p>
    <w:p w14:paraId="00F6E720" w14:textId="77777777" w:rsidR="00BA5C46" w:rsidRPr="00BA5C46" w:rsidRDefault="00BA5C46" w:rsidP="00BA5C46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BA5C46">
        <w:rPr>
          <w:rFonts w:ascii="Arial" w:hAnsi="Arial" w:cs="Arial"/>
          <w:sz w:val="20"/>
          <w:szCs w:val="20"/>
        </w:rPr>
        <w:t xml:space="preserve">In accordance with 42 C.F.R. § 438.6(d)(6), for states transitioning services or populations from a FFS delivery system to a managed care delivery system, the aggregate amount of the pass-through payments the State requires the MCO, PIHP or PAHP to make to hospitals, nursing facilities or physicians is less than or equal to the amounts calculated in 42 C.F.R. § 438.6(d)(iii)(A), (B), or (C).31 </w:t>
      </w:r>
    </w:p>
    <w:p w14:paraId="5C434DB5" w14:textId="2B45F7A7" w:rsidR="00BA5C46" w:rsidRPr="00BA5C46" w:rsidRDefault="00BA5C46" w:rsidP="00BA5C46">
      <w:pPr>
        <w:pStyle w:val="ListParagraph"/>
        <w:numPr>
          <w:ilvl w:val="3"/>
          <w:numId w:val="5"/>
        </w:numPr>
        <w:rPr>
          <w:rFonts w:ascii="Arial" w:hAnsi="Arial" w:cs="Arial"/>
          <w:sz w:val="20"/>
          <w:szCs w:val="20"/>
        </w:rPr>
      </w:pPr>
      <w:r w:rsidRPr="00BA5C46">
        <w:rPr>
          <w:rFonts w:ascii="Arial" w:hAnsi="Arial" w:cs="Arial"/>
          <w:sz w:val="20"/>
          <w:szCs w:val="20"/>
        </w:rPr>
        <w:t>(A)In determining the amount of each component for the calculations contained in 42 C.F.R. § 438.6(e)(iii)(A) through (C), the State must use the amounts paid for services during the 12-month period immediately 2 years prior to the first rating period of the transition period.</w:t>
      </w:r>
    </w:p>
    <w:p w14:paraId="363A8BA0" w14:textId="726FA8D4" w:rsidR="00BA5C46" w:rsidRPr="00BA5C46" w:rsidRDefault="00BA5C46" w:rsidP="00BA5C46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BA5C46">
        <w:rPr>
          <w:rFonts w:ascii="Arial" w:hAnsi="Arial" w:cs="Arial"/>
          <w:sz w:val="20"/>
          <w:szCs w:val="20"/>
        </w:rPr>
        <w:t>Specific Documentation requirements for financing mechanism</w:t>
      </w:r>
    </w:p>
    <w:p w14:paraId="2682428E" w14:textId="473FFE0B" w:rsidR="00BA5C46" w:rsidRDefault="001F641F" w:rsidP="00BA5C46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documentation/confirmation requirements for states transitioning services or populations from managed care to FFS</w:t>
      </w:r>
    </w:p>
    <w:p w14:paraId="7D01B533" w14:textId="6DDE3862" w:rsidR="001F641F" w:rsidRPr="00C7436C" w:rsidRDefault="001F641F" w:rsidP="00BA5C46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Explanation of changes to methodology for calculating base amount including fiscal impact</w:t>
      </w:r>
    </w:p>
    <w:p w14:paraId="667BFD00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3DA5E71B" w14:textId="5B2DD180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I – Non-Benefit Costs</w:t>
      </w:r>
    </w:p>
    <w:p w14:paraId="07CB08F9" w14:textId="6B983F0F" w:rsidR="004841AA" w:rsidRDefault="004841AA" w:rsidP="004841A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HIF sections/references removed as well as assumption variation based on FFP (may be covered by the new footnote)</w:t>
      </w:r>
    </w:p>
    <w:p w14:paraId="068A1F3E" w14:textId="77777777" w:rsidR="004841AA" w:rsidRDefault="004841AA" w:rsidP="004841AA">
      <w:pPr>
        <w:pStyle w:val="ListParagraph"/>
        <w:rPr>
          <w:rFonts w:ascii="Arial" w:hAnsi="Arial" w:cs="Arial"/>
          <w:sz w:val="20"/>
          <w:szCs w:val="20"/>
        </w:rPr>
      </w:pPr>
    </w:p>
    <w:p w14:paraId="115FB8D8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I – Risk Adjustment and Acuity Adjustments</w:t>
      </w:r>
    </w:p>
    <w:p w14:paraId="2042E9DF" w14:textId="05ADB3D0" w:rsidR="00CD1DD4" w:rsidRDefault="004841AA" w:rsidP="00CD1DD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Removal of note about acuity adjustments as risk mitigation strategy</w:t>
      </w:r>
    </w:p>
    <w:p w14:paraId="4212DAB7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685D7BFD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II</w:t>
      </w:r>
    </w:p>
    <w:p w14:paraId="656A8D1F" w14:textId="737F565C" w:rsidR="00CD1DD4" w:rsidRDefault="00BC6490" w:rsidP="00CD1DD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Note that all previously mentioned standards apply here as well</w:t>
      </w:r>
    </w:p>
    <w:p w14:paraId="7720EBE6" w14:textId="11CDEDA6" w:rsidR="00BC6490" w:rsidRDefault="00BC6490" w:rsidP="00CD1DD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Nothing else</w:t>
      </w:r>
    </w:p>
    <w:p w14:paraId="43B4D3E6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0B31FF24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III</w:t>
      </w:r>
    </w:p>
    <w:p w14:paraId="705FFBDA" w14:textId="663247D7" w:rsidR="00BC6490" w:rsidRPr="00BC6490" w:rsidRDefault="00BC6490" w:rsidP="00BC649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Note that all previously mentioned standards apply here as well</w:t>
      </w:r>
    </w:p>
    <w:p w14:paraId="1D7E5B4A" w14:textId="73A7C923" w:rsidR="00BC6490" w:rsidRPr="00BC6490" w:rsidRDefault="00BC6490" w:rsidP="00CD1DD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Removal of note about assumption variation based on FFP</w:t>
      </w:r>
    </w:p>
    <w:p w14:paraId="73329A6E" w14:textId="77777777" w:rsidR="00BC6490" w:rsidRPr="008732A4" w:rsidRDefault="00BC6490" w:rsidP="00BC649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Another reminder about </w:t>
      </w:r>
      <w:r w:rsidRPr="008732A4">
        <w:rPr>
          <w:rFonts w:ascii="Arial" w:hAnsi="Arial" w:cs="Arial"/>
          <w:sz w:val="20"/>
          <w:szCs w:val="20"/>
        </w:rPr>
        <w:t>Risk sharing mechanisms must be documented in rate cert prior to start of rating period, cannot be added after</w:t>
      </w:r>
    </w:p>
    <w:p w14:paraId="06DC3C6E" w14:textId="775B5A74" w:rsidR="00BC6490" w:rsidRDefault="00BC6490" w:rsidP="00CD1DD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</w:p>
    <w:p w14:paraId="2B4AE803" w14:textId="77777777" w:rsidR="00CD1DD4" w:rsidRDefault="00CD1DD4" w:rsidP="00CD1DD4">
      <w:pPr>
        <w:rPr>
          <w:rFonts w:ascii="Arial" w:hAnsi="Arial" w:cs="Arial"/>
          <w:sz w:val="20"/>
          <w:szCs w:val="20"/>
        </w:rPr>
      </w:pPr>
    </w:p>
    <w:p w14:paraId="73B383C4" w14:textId="77777777" w:rsidR="00CD1DD4" w:rsidRPr="00D336C8" w:rsidRDefault="00CD1DD4" w:rsidP="00CD1DD4">
      <w:pPr>
        <w:rPr>
          <w:rFonts w:ascii="Arial" w:hAnsi="Arial" w:cs="Arial"/>
          <w:sz w:val="20"/>
          <w:szCs w:val="20"/>
        </w:rPr>
      </w:pPr>
      <w:r w:rsidRPr="00D336C8">
        <w:rPr>
          <w:rFonts w:ascii="Arial" w:hAnsi="Arial" w:cs="Arial"/>
          <w:sz w:val="20"/>
          <w:szCs w:val="20"/>
        </w:rPr>
        <w:t>Appendix A</w:t>
      </w:r>
    </w:p>
    <w:p w14:paraId="4EF1801C" w14:textId="07EE34BE" w:rsidR="0014332D" w:rsidRPr="00D336C8" w:rsidRDefault="00BC6490" w:rsidP="00BC649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36C8">
        <w:rPr>
          <w:rFonts w:ascii="Arial" w:hAnsi="Arial" w:cs="Arial"/>
          <w:sz w:val="20"/>
          <w:szCs w:val="20"/>
        </w:rPr>
        <w:t>Changed language from “accelerated rate review process” to “procedures for accelerated rate review”</w:t>
      </w:r>
    </w:p>
    <w:p w14:paraId="5869FF0A" w14:textId="55FD2D46" w:rsidR="00BC6490" w:rsidRPr="00D336C8" w:rsidRDefault="00BC6490" w:rsidP="00BC649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336C8">
        <w:rPr>
          <w:rFonts w:ascii="Arial" w:hAnsi="Arial" w:cs="Arial"/>
          <w:sz w:val="20"/>
          <w:szCs w:val="20"/>
        </w:rPr>
        <w:t xml:space="preserve">Additional condition for accelerated review – must not have changed from rates to rate ranges </w:t>
      </w:r>
    </w:p>
    <w:p w14:paraId="6CBEB9DB" w14:textId="64C9D9BD" w:rsidR="00BC6490" w:rsidRDefault="00BC6490" w:rsidP="00BC6490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D336C8">
        <w:rPr>
          <w:rFonts w:ascii="Arial" w:hAnsi="Arial" w:cs="Arial"/>
          <w:sz w:val="20"/>
          <w:szCs w:val="20"/>
        </w:rPr>
        <w:t xml:space="preserve">Guess this means anyone that certifies rate ranges this year </w:t>
      </w:r>
      <w:proofErr w:type="gramStart"/>
      <w:r w:rsidRPr="00D336C8">
        <w:rPr>
          <w:rFonts w:ascii="Arial" w:hAnsi="Arial" w:cs="Arial"/>
          <w:sz w:val="20"/>
          <w:szCs w:val="20"/>
        </w:rPr>
        <w:t>cant</w:t>
      </w:r>
      <w:proofErr w:type="gramEnd"/>
      <w:r w:rsidRPr="00D336C8">
        <w:rPr>
          <w:rFonts w:ascii="Arial" w:hAnsi="Arial" w:cs="Arial"/>
          <w:sz w:val="20"/>
          <w:szCs w:val="20"/>
        </w:rPr>
        <w:t xml:space="preserve"> have an accelerated review</w:t>
      </w:r>
    </w:p>
    <w:p w14:paraId="2EB30CE4" w14:textId="74944E0D" w:rsidR="00D336C8" w:rsidRDefault="00D336C8" w:rsidP="00D336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Included DMCO email address for submissions</w:t>
      </w:r>
    </w:p>
    <w:p w14:paraId="7D8E4F2C" w14:textId="78A2ACDE" w:rsidR="00D336C8" w:rsidRDefault="00D336C8" w:rsidP="00D336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clarifying language</w:t>
      </w:r>
    </w:p>
    <w:p w14:paraId="13CEBBE9" w14:textId="57F78B5F" w:rsidR="00D336C8" w:rsidRDefault="00D336C8" w:rsidP="00D336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Changes to </w:t>
      </w:r>
      <w:proofErr w:type="spellStart"/>
      <w:r>
        <w:rPr>
          <w:rFonts w:ascii="Arial" w:hAnsi="Arial" w:cs="Arial"/>
          <w:sz w:val="20"/>
          <w:szCs w:val="20"/>
        </w:rPr>
        <w:t>non benefit</w:t>
      </w:r>
      <w:proofErr w:type="spellEnd"/>
      <w:r>
        <w:rPr>
          <w:rFonts w:ascii="Arial" w:hAnsi="Arial" w:cs="Arial"/>
          <w:sz w:val="20"/>
          <w:szCs w:val="20"/>
        </w:rPr>
        <w:t xml:space="preserve"> expense table (added last two columns)</w:t>
      </w:r>
    </w:p>
    <w:p w14:paraId="4EAAAD07" w14:textId="3064673B" w:rsidR="00D336C8" w:rsidRPr="00D336C8" w:rsidRDefault="00D336C8" w:rsidP="00D336C8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D91DED" wp14:editId="225DB842">
            <wp:extent cx="56388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6C8" w:rsidRPr="00D3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648"/>
    <w:multiLevelType w:val="hybridMultilevel"/>
    <w:tmpl w:val="6F3C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E5289"/>
    <w:multiLevelType w:val="hybridMultilevel"/>
    <w:tmpl w:val="C04E0486"/>
    <w:lvl w:ilvl="0" w:tplc="C26EAA4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0025F"/>
    <w:multiLevelType w:val="hybridMultilevel"/>
    <w:tmpl w:val="530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158CD"/>
    <w:multiLevelType w:val="hybridMultilevel"/>
    <w:tmpl w:val="0C62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27D4E"/>
    <w:multiLevelType w:val="hybridMultilevel"/>
    <w:tmpl w:val="F6AE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D4"/>
    <w:rsid w:val="0002199A"/>
    <w:rsid w:val="0014332D"/>
    <w:rsid w:val="001F641F"/>
    <w:rsid w:val="004841AA"/>
    <w:rsid w:val="00564463"/>
    <w:rsid w:val="005C2231"/>
    <w:rsid w:val="0079288B"/>
    <w:rsid w:val="007A736E"/>
    <w:rsid w:val="008732A4"/>
    <w:rsid w:val="008E1F0D"/>
    <w:rsid w:val="009F7D44"/>
    <w:rsid w:val="00A2141F"/>
    <w:rsid w:val="00B06B8B"/>
    <w:rsid w:val="00BA5C46"/>
    <w:rsid w:val="00BC6490"/>
    <w:rsid w:val="00C7436C"/>
    <w:rsid w:val="00CD1DD4"/>
    <w:rsid w:val="00D3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E08F"/>
  <w15:chartTrackingRefBased/>
  <w15:docId w15:val="{23F3840D-B39D-450B-860F-6F91396E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D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D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D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Egan</dc:creator>
  <cp:keywords/>
  <dc:description/>
  <cp:lastModifiedBy>Mackenzie Egan</cp:lastModifiedBy>
  <cp:revision>3</cp:revision>
  <dcterms:created xsi:type="dcterms:W3CDTF">2021-06-25T18:02:00Z</dcterms:created>
  <dcterms:modified xsi:type="dcterms:W3CDTF">2021-06-26T13:33:00Z</dcterms:modified>
</cp:coreProperties>
</file>