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19B03" w14:textId="31104179" w:rsidR="0014332D" w:rsidRPr="00EA1798" w:rsidRDefault="0039640D">
      <w:pPr>
        <w:rPr>
          <w:rFonts w:ascii="Arial" w:hAnsi="Arial" w:cs="Arial"/>
          <w:sz w:val="20"/>
          <w:szCs w:val="20"/>
        </w:rPr>
      </w:pPr>
      <w:r w:rsidRPr="00EA1798">
        <w:rPr>
          <w:rFonts w:ascii="Arial" w:hAnsi="Arial" w:cs="Arial"/>
          <w:sz w:val="20"/>
          <w:szCs w:val="20"/>
        </w:rPr>
        <w:t>On June 25, 2021, CMS released the 2021-2022 Medicaid Managed Care Rate Development Guide (Guide).</w:t>
      </w:r>
    </w:p>
    <w:p w14:paraId="57AC797A" w14:textId="0EBD11D8" w:rsidR="0039640D" w:rsidRPr="00EA1798" w:rsidRDefault="0039640D">
      <w:pPr>
        <w:rPr>
          <w:rFonts w:ascii="Arial" w:hAnsi="Arial" w:cs="Arial"/>
          <w:sz w:val="20"/>
          <w:szCs w:val="20"/>
        </w:rPr>
      </w:pPr>
    </w:p>
    <w:p w14:paraId="06623AC1" w14:textId="6D18FCBD" w:rsidR="0039640D" w:rsidRPr="00EA1798" w:rsidRDefault="0039640D">
      <w:pPr>
        <w:rPr>
          <w:rFonts w:ascii="Arial" w:hAnsi="Arial" w:cs="Arial"/>
          <w:sz w:val="20"/>
          <w:szCs w:val="20"/>
        </w:rPr>
      </w:pPr>
      <w:r w:rsidRPr="00EA1798">
        <w:rPr>
          <w:rFonts w:ascii="Arial" w:hAnsi="Arial" w:cs="Arial"/>
          <w:sz w:val="20"/>
          <w:szCs w:val="20"/>
        </w:rPr>
        <w:t>Key Changes</w:t>
      </w:r>
    </w:p>
    <w:p w14:paraId="72A4D738" w14:textId="2A5B847E" w:rsidR="0039640D" w:rsidRPr="00EA1798" w:rsidRDefault="0039640D" w:rsidP="0039640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A1798">
        <w:rPr>
          <w:rFonts w:ascii="Arial" w:hAnsi="Arial" w:cs="Arial"/>
          <w:sz w:val="20"/>
          <w:szCs w:val="20"/>
        </w:rPr>
        <w:t xml:space="preserve">Rate ranges permissible </w:t>
      </w:r>
      <w:r w:rsidR="006B03A2" w:rsidRPr="00EA1798">
        <w:rPr>
          <w:rFonts w:ascii="Arial" w:hAnsi="Arial" w:cs="Arial"/>
          <w:sz w:val="20"/>
          <w:szCs w:val="20"/>
        </w:rPr>
        <w:t>[</w:t>
      </w:r>
      <w:r w:rsidRPr="00EA1798">
        <w:rPr>
          <w:rFonts w:ascii="Arial" w:hAnsi="Arial" w:cs="Arial"/>
          <w:sz w:val="20"/>
          <w:szCs w:val="20"/>
        </w:rPr>
        <w:t xml:space="preserve">Section </w:t>
      </w:r>
      <w:proofErr w:type="spellStart"/>
      <w:r w:rsidR="00F96882">
        <w:rPr>
          <w:rFonts w:ascii="Arial" w:hAnsi="Arial" w:cs="Arial"/>
          <w:sz w:val="20"/>
          <w:szCs w:val="20"/>
        </w:rPr>
        <w:t>I</w:t>
      </w:r>
      <w:r w:rsidRPr="00EA1798">
        <w:rPr>
          <w:rFonts w:ascii="Arial" w:hAnsi="Arial" w:cs="Arial"/>
          <w:sz w:val="20"/>
          <w:szCs w:val="20"/>
        </w:rPr>
        <w:t>.A.viii</w:t>
      </w:r>
      <w:proofErr w:type="spellEnd"/>
      <w:r w:rsidR="006B03A2" w:rsidRPr="00EA1798">
        <w:rPr>
          <w:rFonts w:ascii="Arial" w:hAnsi="Arial" w:cs="Arial"/>
          <w:sz w:val="20"/>
          <w:szCs w:val="20"/>
        </w:rPr>
        <w:t>]</w:t>
      </w:r>
    </w:p>
    <w:p w14:paraId="39709830" w14:textId="2F8B3C9C" w:rsidR="0039640D" w:rsidRPr="00EA1798" w:rsidRDefault="0039640D" w:rsidP="0039640D">
      <w:pPr>
        <w:pStyle w:val="ListParagraph"/>
        <w:rPr>
          <w:rFonts w:ascii="Arial" w:hAnsi="Arial" w:cs="Arial"/>
          <w:sz w:val="20"/>
          <w:szCs w:val="20"/>
        </w:rPr>
      </w:pPr>
    </w:p>
    <w:p w14:paraId="0BA0F7FA" w14:textId="33477570" w:rsidR="0039640D" w:rsidRPr="00EA1798" w:rsidRDefault="0039640D" w:rsidP="0039640D">
      <w:pPr>
        <w:pStyle w:val="ListParagraph"/>
        <w:rPr>
          <w:rFonts w:ascii="Arial" w:hAnsi="Arial" w:cs="Arial"/>
          <w:sz w:val="20"/>
          <w:szCs w:val="20"/>
        </w:rPr>
      </w:pPr>
      <w:r w:rsidRPr="00EA1798">
        <w:rPr>
          <w:rFonts w:ascii="Arial" w:hAnsi="Arial" w:cs="Arial"/>
          <w:sz w:val="20"/>
          <w:szCs w:val="20"/>
        </w:rPr>
        <w:t xml:space="preserve">CMS has deviated from their previous </w:t>
      </w:r>
      <w:r w:rsidR="000D67B2" w:rsidRPr="00EA1798">
        <w:rPr>
          <w:rFonts w:ascii="Arial" w:hAnsi="Arial" w:cs="Arial"/>
          <w:sz w:val="20"/>
          <w:szCs w:val="20"/>
        </w:rPr>
        <w:t>guidance</w:t>
      </w:r>
      <w:r w:rsidRPr="00EA1798">
        <w:rPr>
          <w:rFonts w:ascii="Arial" w:hAnsi="Arial" w:cs="Arial"/>
          <w:sz w:val="20"/>
          <w:szCs w:val="20"/>
        </w:rPr>
        <w:t xml:space="preserve"> on rate ranges, now allowing for actuaries to certify a range of capitation rates as opposed to a specific point estimate. Similar to previous requirements, the certification must document a number of items including</w:t>
      </w:r>
      <w:r w:rsidR="006B03A2" w:rsidRPr="00EA1798">
        <w:rPr>
          <w:rFonts w:ascii="Arial" w:hAnsi="Arial" w:cs="Arial"/>
          <w:sz w:val="20"/>
          <w:szCs w:val="20"/>
        </w:rPr>
        <w:t xml:space="preserve"> [Section </w:t>
      </w:r>
      <w:proofErr w:type="spellStart"/>
      <w:r w:rsidR="00F96882">
        <w:rPr>
          <w:rFonts w:ascii="Arial" w:hAnsi="Arial" w:cs="Arial"/>
          <w:sz w:val="20"/>
          <w:szCs w:val="20"/>
        </w:rPr>
        <w:t>I</w:t>
      </w:r>
      <w:r w:rsidR="006B03A2" w:rsidRPr="00EA1798">
        <w:rPr>
          <w:rFonts w:ascii="Arial" w:hAnsi="Arial" w:cs="Arial"/>
          <w:sz w:val="20"/>
          <w:szCs w:val="20"/>
        </w:rPr>
        <w:t>.B.iv</w:t>
      </w:r>
      <w:proofErr w:type="spellEnd"/>
      <w:r w:rsidR="006B03A2" w:rsidRPr="00EA1798">
        <w:rPr>
          <w:rFonts w:ascii="Arial" w:hAnsi="Arial" w:cs="Arial"/>
          <w:sz w:val="20"/>
          <w:szCs w:val="20"/>
        </w:rPr>
        <w:t>]</w:t>
      </w:r>
      <w:r w:rsidRPr="00EA1798">
        <w:rPr>
          <w:rFonts w:ascii="Arial" w:hAnsi="Arial" w:cs="Arial"/>
          <w:sz w:val="20"/>
          <w:szCs w:val="20"/>
        </w:rPr>
        <w:t>:</w:t>
      </w:r>
    </w:p>
    <w:p w14:paraId="761BA4C2" w14:textId="12E2CDE3" w:rsidR="0039640D" w:rsidRPr="00EA1798" w:rsidRDefault="0039640D" w:rsidP="0039640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1798">
        <w:rPr>
          <w:rFonts w:ascii="Arial" w:hAnsi="Arial" w:cs="Arial"/>
          <w:sz w:val="20"/>
          <w:szCs w:val="20"/>
        </w:rPr>
        <w:t>Differences in assumptions and/or methods between upper</w:t>
      </w:r>
      <w:r w:rsidR="000D67B2" w:rsidRPr="00EA1798">
        <w:rPr>
          <w:rFonts w:ascii="Arial" w:hAnsi="Arial" w:cs="Arial"/>
          <w:sz w:val="20"/>
          <w:szCs w:val="20"/>
        </w:rPr>
        <w:t xml:space="preserve"> and </w:t>
      </w:r>
      <w:r w:rsidRPr="00EA1798">
        <w:rPr>
          <w:rFonts w:ascii="Arial" w:hAnsi="Arial" w:cs="Arial"/>
          <w:sz w:val="20"/>
          <w:szCs w:val="20"/>
        </w:rPr>
        <w:t>lower bounds</w:t>
      </w:r>
      <w:r w:rsidR="000D67B2" w:rsidRPr="00EA1798">
        <w:rPr>
          <w:rFonts w:ascii="Arial" w:hAnsi="Arial" w:cs="Arial"/>
          <w:sz w:val="20"/>
          <w:szCs w:val="20"/>
        </w:rPr>
        <w:t>, including those values</w:t>
      </w:r>
    </w:p>
    <w:p w14:paraId="775F7E1B" w14:textId="13B22F2C" w:rsidR="0039640D" w:rsidRPr="00EA1798" w:rsidRDefault="0039640D" w:rsidP="0039640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1798">
        <w:rPr>
          <w:rFonts w:ascii="Arial" w:hAnsi="Arial" w:cs="Arial"/>
          <w:sz w:val="20"/>
          <w:szCs w:val="20"/>
        </w:rPr>
        <w:t>That the upper bound does not exceed the lower bound by more than 105%</w:t>
      </w:r>
    </w:p>
    <w:p w14:paraId="35C869DA" w14:textId="2CE72664" w:rsidR="0039640D" w:rsidRPr="00EA1798" w:rsidRDefault="0039640D" w:rsidP="0039640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1798">
        <w:rPr>
          <w:rFonts w:ascii="Arial" w:hAnsi="Arial" w:cs="Arial"/>
          <w:sz w:val="20"/>
          <w:szCs w:val="20"/>
        </w:rPr>
        <w:t>Criteria for paying at different points within the range</w:t>
      </w:r>
    </w:p>
    <w:p w14:paraId="3AB8A233" w14:textId="220135BD" w:rsidR="000D67B2" w:rsidRPr="00EA1798" w:rsidRDefault="000D67B2" w:rsidP="0039640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A1798">
        <w:rPr>
          <w:rFonts w:ascii="Arial" w:hAnsi="Arial" w:cs="Arial"/>
          <w:sz w:val="20"/>
          <w:szCs w:val="20"/>
        </w:rPr>
        <w:t>Clear indication that the actuary is certifying rate ranges</w:t>
      </w:r>
    </w:p>
    <w:p w14:paraId="237756F3" w14:textId="37D92A02" w:rsidR="000D67B2" w:rsidRPr="00EA1798" w:rsidRDefault="000D67B2" w:rsidP="000D67B2">
      <w:pPr>
        <w:ind w:left="720"/>
        <w:rPr>
          <w:rFonts w:ascii="Arial" w:hAnsi="Arial" w:cs="Arial"/>
          <w:sz w:val="20"/>
          <w:szCs w:val="20"/>
        </w:rPr>
      </w:pPr>
      <w:r w:rsidRPr="00EA1798">
        <w:rPr>
          <w:rFonts w:ascii="Arial" w:hAnsi="Arial" w:cs="Arial"/>
          <w:sz w:val="20"/>
          <w:szCs w:val="20"/>
        </w:rPr>
        <w:t>CMS indicates that this information can be contained in the relevant sections of the certification, or in a special section dedicated to the rate range.</w:t>
      </w:r>
    </w:p>
    <w:p w14:paraId="7A26816B" w14:textId="027FCFA1" w:rsidR="000D67B2" w:rsidRPr="00EA1798" w:rsidRDefault="000D67B2" w:rsidP="000D67B2">
      <w:pPr>
        <w:ind w:left="720"/>
        <w:rPr>
          <w:rFonts w:ascii="Arial" w:hAnsi="Arial" w:cs="Arial"/>
          <w:sz w:val="20"/>
          <w:szCs w:val="20"/>
        </w:rPr>
      </w:pPr>
      <w:r w:rsidRPr="00EA1798">
        <w:rPr>
          <w:rFonts w:ascii="Arial" w:hAnsi="Arial" w:cs="Arial"/>
          <w:sz w:val="20"/>
          <w:szCs w:val="20"/>
        </w:rPr>
        <w:t xml:space="preserve">The Guide also specifies procedures for rate and contract amendments for actuaries certifying rate ranges. </w:t>
      </w:r>
      <w:r w:rsidR="00002D0E" w:rsidRPr="00EA1798">
        <w:rPr>
          <w:rFonts w:ascii="Arial" w:hAnsi="Arial" w:cs="Arial"/>
          <w:sz w:val="20"/>
          <w:szCs w:val="20"/>
        </w:rPr>
        <w:t xml:space="preserve">A range of capitation rates certified as actuarially sound cannot be modified unless the changes within the rate range are less than 1.0% [Section </w:t>
      </w:r>
      <w:proofErr w:type="spellStart"/>
      <w:r w:rsidR="00F96882">
        <w:rPr>
          <w:rFonts w:ascii="Arial" w:hAnsi="Arial" w:cs="Arial"/>
          <w:sz w:val="20"/>
          <w:szCs w:val="20"/>
        </w:rPr>
        <w:t>I</w:t>
      </w:r>
      <w:r w:rsidR="00002D0E" w:rsidRPr="00EA1798">
        <w:rPr>
          <w:rFonts w:ascii="Arial" w:hAnsi="Arial" w:cs="Arial"/>
          <w:sz w:val="20"/>
          <w:szCs w:val="20"/>
        </w:rPr>
        <w:t>.A.ix.c</w:t>
      </w:r>
      <w:proofErr w:type="spellEnd"/>
      <w:r w:rsidR="00002D0E" w:rsidRPr="00EA1798">
        <w:rPr>
          <w:rFonts w:ascii="Arial" w:hAnsi="Arial" w:cs="Arial"/>
          <w:sz w:val="20"/>
          <w:szCs w:val="20"/>
        </w:rPr>
        <w:t xml:space="preserve">]. </w:t>
      </w:r>
      <w:r w:rsidRPr="00EA1798">
        <w:rPr>
          <w:rFonts w:ascii="Arial" w:hAnsi="Arial" w:cs="Arial"/>
          <w:sz w:val="20"/>
          <w:szCs w:val="20"/>
        </w:rPr>
        <w:t>For limited payment changes</w:t>
      </w:r>
      <w:r w:rsidR="00002D0E" w:rsidRPr="00EA1798">
        <w:rPr>
          <w:rFonts w:ascii="Arial" w:hAnsi="Arial" w:cs="Arial"/>
          <w:sz w:val="20"/>
          <w:szCs w:val="20"/>
        </w:rPr>
        <w:t xml:space="preserve"> (1.5% for rates, 1.0% for rate ranges)</w:t>
      </w:r>
      <w:r w:rsidRPr="00EA1798">
        <w:rPr>
          <w:rFonts w:ascii="Arial" w:hAnsi="Arial" w:cs="Arial"/>
          <w:sz w:val="20"/>
          <w:szCs w:val="20"/>
        </w:rPr>
        <w:t>, new or revised rate certifications are not required</w:t>
      </w:r>
      <w:r w:rsidR="00002D0E" w:rsidRPr="00EA1798">
        <w:rPr>
          <w:rFonts w:ascii="Arial" w:hAnsi="Arial" w:cs="Arial"/>
          <w:sz w:val="20"/>
          <w:szCs w:val="20"/>
        </w:rPr>
        <w:t xml:space="preserve"> </w:t>
      </w:r>
      <w:r w:rsidR="006B03A2" w:rsidRPr="00EA1798">
        <w:rPr>
          <w:rFonts w:ascii="Arial" w:hAnsi="Arial" w:cs="Arial"/>
          <w:sz w:val="20"/>
          <w:szCs w:val="20"/>
        </w:rPr>
        <w:t xml:space="preserve">[Section </w:t>
      </w:r>
      <w:proofErr w:type="spellStart"/>
      <w:r w:rsidR="00F96882">
        <w:rPr>
          <w:rFonts w:ascii="Arial" w:hAnsi="Arial" w:cs="Arial"/>
          <w:sz w:val="20"/>
          <w:szCs w:val="20"/>
        </w:rPr>
        <w:t>I</w:t>
      </w:r>
      <w:r w:rsidR="006B03A2" w:rsidRPr="00EA1798">
        <w:rPr>
          <w:rFonts w:ascii="Arial" w:hAnsi="Arial" w:cs="Arial"/>
          <w:sz w:val="20"/>
          <w:szCs w:val="20"/>
        </w:rPr>
        <w:t>.A.xiii.d</w:t>
      </w:r>
      <w:proofErr w:type="spellEnd"/>
      <w:r w:rsidR="006B03A2" w:rsidRPr="00EA1798">
        <w:rPr>
          <w:rFonts w:ascii="Arial" w:hAnsi="Arial" w:cs="Arial"/>
          <w:sz w:val="20"/>
          <w:szCs w:val="20"/>
        </w:rPr>
        <w:t>]</w:t>
      </w:r>
      <w:r w:rsidRPr="00EA1798">
        <w:rPr>
          <w:rFonts w:ascii="Arial" w:hAnsi="Arial" w:cs="Arial"/>
          <w:sz w:val="20"/>
          <w:szCs w:val="20"/>
        </w:rPr>
        <w:t>.</w:t>
      </w:r>
      <w:r w:rsidR="00002D0E" w:rsidRPr="00EA1798">
        <w:rPr>
          <w:rFonts w:ascii="Arial" w:hAnsi="Arial" w:cs="Arial"/>
          <w:sz w:val="20"/>
          <w:szCs w:val="20"/>
        </w:rPr>
        <w:t xml:space="preserve"> For changes greater than 1.0%, additional documentation is required, including a revised rate certification </w:t>
      </w:r>
      <w:r w:rsidR="00002D0E" w:rsidRPr="00EA1798">
        <w:rPr>
          <w:rFonts w:ascii="Arial" w:hAnsi="Arial" w:cs="Arial"/>
          <w:sz w:val="20"/>
          <w:szCs w:val="20"/>
        </w:rPr>
        <w:t xml:space="preserve">[Section </w:t>
      </w:r>
      <w:proofErr w:type="spellStart"/>
      <w:r w:rsidR="00F96882">
        <w:rPr>
          <w:rFonts w:ascii="Arial" w:hAnsi="Arial" w:cs="Arial"/>
          <w:sz w:val="20"/>
          <w:szCs w:val="20"/>
        </w:rPr>
        <w:t>I</w:t>
      </w:r>
      <w:r w:rsidR="00002D0E" w:rsidRPr="00EA1798">
        <w:rPr>
          <w:rFonts w:ascii="Arial" w:hAnsi="Arial" w:cs="Arial"/>
          <w:sz w:val="20"/>
          <w:szCs w:val="20"/>
        </w:rPr>
        <w:t>.A.ix.c</w:t>
      </w:r>
      <w:r w:rsidR="00002D0E" w:rsidRPr="00EA1798">
        <w:rPr>
          <w:rFonts w:ascii="Arial" w:hAnsi="Arial" w:cs="Arial"/>
          <w:sz w:val="20"/>
          <w:szCs w:val="20"/>
        </w:rPr>
        <w:t>.i</w:t>
      </w:r>
      <w:proofErr w:type="spellEnd"/>
      <w:r w:rsidR="00002D0E" w:rsidRPr="00EA1798">
        <w:rPr>
          <w:rFonts w:ascii="Arial" w:hAnsi="Arial" w:cs="Arial"/>
          <w:sz w:val="20"/>
          <w:szCs w:val="20"/>
        </w:rPr>
        <w:t>-iii</w:t>
      </w:r>
      <w:r w:rsidR="00002D0E" w:rsidRPr="00EA1798">
        <w:rPr>
          <w:rFonts w:ascii="Arial" w:hAnsi="Arial" w:cs="Arial"/>
          <w:sz w:val="20"/>
          <w:szCs w:val="20"/>
        </w:rPr>
        <w:t>].</w:t>
      </w:r>
    </w:p>
    <w:p w14:paraId="48F5422F" w14:textId="6C8C9FB5" w:rsidR="0039640D" w:rsidRPr="00EA1798" w:rsidRDefault="0039640D" w:rsidP="0039640D">
      <w:pPr>
        <w:ind w:left="720"/>
        <w:rPr>
          <w:rFonts w:ascii="Arial" w:hAnsi="Arial" w:cs="Arial"/>
          <w:sz w:val="20"/>
          <w:szCs w:val="20"/>
        </w:rPr>
      </w:pPr>
      <w:r w:rsidRPr="00EA1798">
        <w:rPr>
          <w:rFonts w:ascii="Arial" w:hAnsi="Arial" w:cs="Arial"/>
          <w:sz w:val="20"/>
          <w:szCs w:val="20"/>
        </w:rPr>
        <w:t xml:space="preserve">This change may impact many state programs who develop rate </w:t>
      </w:r>
      <w:proofErr w:type="gramStart"/>
      <w:r w:rsidR="000D67B2" w:rsidRPr="00EA1798">
        <w:rPr>
          <w:rFonts w:ascii="Arial" w:hAnsi="Arial" w:cs="Arial"/>
          <w:sz w:val="20"/>
          <w:szCs w:val="20"/>
        </w:rPr>
        <w:t>ranges</w:t>
      </w:r>
      <w:r w:rsidRPr="00EA1798">
        <w:rPr>
          <w:rFonts w:ascii="Arial" w:hAnsi="Arial" w:cs="Arial"/>
          <w:sz w:val="20"/>
          <w:szCs w:val="20"/>
        </w:rPr>
        <w:t>, but</w:t>
      </w:r>
      <w:proofErr w:type="gramEnd"/>
      <w:r w:rsidRPr="00EA1798">
        <w:rPr>
          <w:rFonts w:ascii="Arial" w:hAnsi="Arial" w:cs="Arial"/>
          <w:sz w:val="20"/>
          <w:szCs w:val="20"/>
        </w:rPr>
        <w:t xml:space="preserve"> were previously required to certify point estimates. To ease the CMS review process, some programs may continue to </w:t>
      </w:r>
      <w:r w:rsidR="000D67B2" w:rsidRPr="00EA1798">
        <w:rPr>
          <w:rFonts w:ascii="Arial" w:hAnsi="Arial" w:cs="Arial"/>
          <w:sz w:val="20"/>
          <w:szCs w:val="20"/>
        </w:rPr>
        <w:t>certify point estimates instead of upper and lower bounds.</w:t>
      </w:r>
    </w:p>
    <w:p w14:paraId="69D7E5F3" w14:textId="77A297B1" w:rsidR="00EE7A81" w:rsidRPr="00EA1798" w:rsidRDefault="00EE7A81" w:rsidP="00EE7A8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A1798">
        <w:rPr>
          <w:rFonts w:ascii="Arial" w:hAnsi="Arial" w:cs="Arial"/>
          <w:sz w:val="20"/>
          <w:szCs w:val="20"/>
        </w:rPr>
        <w:t xml:space="preserve">Pass through payments [Section </w:t>
      </w:r>
      <w:r w:rsidR="00F96882">
        <w:rPr>
          <w:rFonts w:ascii="Arial" w:hAnsi="Arial" w:cs="Arial"/>
          <w:sz w:val="20"/>
          <w:szCs w:val="20"/>
        </w:rPr>
        <w:t>I</w:t>
      </w:r>
      <w:r w:rsidRPr="00EA1798">
        <w:rPr>
          <w:rFonts w:ascii="Arial" w:hAnsi="Arial" w:cs="Arial"/>
          <w:sz w:val="20"/>
          <w:szCs w:val="20"/>
        </w:rPr>
        <w:t>.4.E]</w:t>
      </w:r>
    </w:p>
    <w:p w14:paraId="74333005" w14:textId="781D0674" w:rsidR="00DA41C4" w:rsidRPr="00EA1798" w:rsidRDefault="00DA41C4" w:rsidP="00DA41C4">
      <w:pPr>
        <w:ind w:left="720"/>
        <w:rPr>
          <w:rFonts w:ascii="Arial" w:hAnsi="Arial" w:cs="Arial"/>
          <w:sz w:val="20"/>
          <w:szCs w:val="20"/>
        </w:rPr>
      </w:pPr>
      <w:r w:rsidRPr="00EA1798">
        <w:rPr>
          <w:rFonts w:ascii="Arial" w:hAnsi="Arial" w:cs="Arial"/>
          <w:sz w:val="20"/>
          <w:szCs w:val="20"/>
        </w:rPr>
        <w:t>CMS made updates to pass</w:t>
      </w:r>
      <w:r w:rsidR="00E966AC">
        <w:rPr>
          <w:rFonts w:ascii="Arial" w:hAnsi="Arial" w:cs="Arial"/>
          <w:sz w:val="20"/>
          <w:szCs w:val="20"/>
        </w:rPr>
        <w:t>-</w:t>
      </w:r>
      <w:r w:rsidRPr="00EA1798">
        <w:rPr>
          <w:rFonts w:ascii="Arial" w:hAnsi="Arial" w:cs="Arial"/>
          <w:sz w:val="20"/>
          <w:szCs w:val="20"/>
        </w:rPr>
        <w:t xml:space="preserve">through payment guidance </w:t>
      </w:r>
      <w:r w:rsidR="007027E2">
        <w:rPr>
          <w:rFonts w:ascii="Arial" w:hAnsi="Arial" w:cs="Arial"/>
          <w:sz w:val="20"/>
          <w:szCs w:val="20"/>
        </w:rPr>
        <w:t xml:space="preserve">and documentation </w:t>
      </w:r>
      <w:r w:rsidR="00EA1798">
        <w:rPr>
          <w:rFonts w:ascii="Arial" w:hAnsi="Arial" w:cs="Arial"/>
          <w:sz w:val="20"/>
          <w:szCs w:val="20"/>
        </w:rPr>
        <w:t>for states transitioning services and populations from FFS to managed care delivery systems</w:t>
      </w:r>
      <w:r w:rsidRPr="00EA1798">
        <w:rPr>
          <w:rFonts w:ascii="Arial" w:hAnsi="Arial" w:cs="Arial"/>
          <w:sz w:val="20"/>
          <w:szCs w:val="20"/>
        </w:rPr>
        <w:t>:</w:t>
      </w:r>
    </w:p>
    <w:p w14:paraId="78C776F2" w14:textId="61CD4A02" w:rsidR="00DA41C4" w:rsidRDefault="00DA41C4" w:rsidP="00EA1798">
      <w:pPr>
        <w:pStyle w:val="Defaul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A1798">
        <w:rPr>
          <w:rFonts w:ascii="Arial" w:hAnsi="Arial" w:cs="Arial"/>
          <w:sz w:val="20"/>
          <w:szCs w:val="20"/>
        </w:rPr>
        <w:t xml:space="preserve">A footnote was added to clarify that pass-through payments are allowable for the transition period for states transitioning services and populations from a FFS delivery system to a managed care delivery system [Section </w:t>
      </w:r>
      <w:r w:rsidR="00F96882">
        <w:rPr>
          <w:rFonts w:ascii="Arial" w:hAnsi="Arial" w:cs="Arial"/>
          <w:sz w:val="20"/>
          <w:szCs w:val="20"/>
        </w:rPr>
        <w:t>I</w:t>
      </w:r>
      <w:r w:rsidRPr="00EA1798">
        <w:rPr>
          <w:rFonts w:ascii="Arial" w:hAnsi="Arial" w:cs="Arial"/>
          <w:sz w:val="20"/>
          <w:szCs w:val="20"/>
        </w:rPr>
        <w:t>.4.E.i.b]</w:t>
      </w:r>
      <w:r w:rsidR="00EA1798" w:rsidRPr="00EA1798">
        <w:rPr>
          <w:rFonts w:ascii="Arial" w:hAnsi="Arial" w:cs="Arial"/>
          <w:sz w:val="20"/>
          <w:szCs w:val="20"/>
        </w:rPr>
        <w:t>, without having to demonstrate that it had pass</w:t>
      </w:r>
      <w:r w:rsidR="00E966AC">
        <w:rPr>
          <w:rFonts w:ascii="Arial" w:hAnsi="Arial" w:cs="Arial"/>
          <w:sz w:val="20"/>
          <w:szCs w:val="20"/>
        </w:rPr>
        <w:t>-</w:t>
      </w:r>
      <w:r w:rsidR="00EA1798" w:rsidRPr="00EA1798">
        <w:rPr>
          <w:rFonts w:ascii="Arial" w:hAnsi="Arial" w:cs="Arial"/>
          <w:sz w:val="20"/>
          <w:szCs w:val="20"/>
        </w:rPr>
        <w:t xml:space="preserve">through payments as defined in 42 CFR </w:t>
      </w:r>
      <w:r w:rsidR="00EA1798" w:rsidRPr="00EA1798">
        <w:rPr>
          <w:rFonts w:ascii="Arial" w:hAnsi="Arial" w:cs="Arial"/>
          <w:sz w:val="20"/>
          <w:szCs w:val="20"/>
        </w:rPr>
        <w:t>§</w:t>
      </w:r>
      <w:r w:rsidR="00EA1798" w:rsidRPr="00EA1798">
        <w:rPr>
          <w:rFonts w:ascii="Arial" w:hAnsi="Arial" w:cs="Arial"/>
          <w:sz w:val="20"/>
          <w:szCs w:val="20"/>
        </w:rPr>
        <w:t xml:space="preserve"> 438.6(d)(1)(</w:t>
      </w:r>
      <w:proofErr w:type="spellStart"/>
      <w:r w:rsidR="00EA1798" w:rsidRPr="00EA1798">
        <w:rPr>
          <w:rFonts w:ascii="Arial" w:hAnsi="Arial" w:cs="Arial"/>
          <w:sz w:val="20"/>
          <w:szCs w:val="20"/>
        </w:rPr>
        <w:t>i</w:t>
      </w:r>
      <w:proofErr w:type="spellEnd"/>
      <w:r w:rsidR="00EA1798" w:rsidRPr="00EA1798">
        <w:rPr>
          <w:rFonts w:ascii="Arial" w:hAnsi="Arial" w:cs="Arial"/>
          <w:sz w:val="20"/>
          <w:szCs w:val="20"/>
        </w:rPr>
        <w:t>).</w:t>
      </w:r>
    </w:p>
    <w:p w14:paraId="39D00BD3" w14:textId="77777777" w:rsidR="00EA1798" w:rsidRDefault="00EA1798" w:rsidP="00EA1798">
      <w:pPr>
        <w:pStyle w:val="Default"/>
        <w:ind w:left="1440"/>
        <w:rPr>
          <w:rFonts w:ascii="Arial" w:hAnsi="Arial" w:cs="Arial"/>
          <w:sz w:val="20"/>
          <w:szCs w:val="20"/>
        </w:rPr>
      </w:pPr>
    </w:p>
    <w:p w14:paraId="07EDC3ED" w14:textId="0D098D46" w:rsidR="00EA1798" w:rsidRDefault="00EA1798" w:rsidP="00EA1798">
      <w:pPr>
        <w:pStyle w:val="Defaul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aggregate amount of the pass</w:t>
      </w:r>
      <w:r w:rsidR="00E966AC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through payment must be less than or equal to the amounts calculated in 42 CFR </w:t>
      </w:r>
      <w:r w:rsidRPr="00EA1798">
        <w:rPr>
          <w:rFonts w:ascii="Arial" w:hAnsi="Arial" w:cs="Arial"/>
          <w:sz w:val="20"/>
          <w:szCs w:val="20"/>
        </w:rPr>
        <w:t>§</w:t>
      </w:r>
      <w:r>
        <w:rPr>
          <w:rFonts w:ascii="Arial" w:hAnsi="Arial" w:cs="Arial"/>
          <w:sz w:val="20"/>
          <w:szCs w:val="20"/>
        </w:rPr>
        <w:t xml:space="preserve"> 438.6(d)(iii)(A), (B), or (C). </w:t>
      </w:r>
      <w:r w:rsidRPr="00EA1798">
        <w:rPr>
          <w:rFonts w:ascii="Arial" w:hAnsi="Arial" w:cs="Arial"/>
          <w:sz w:val="20"/>
          <w:szCs w:val="20"/>
        </w:rPr>
        <w:t xml:space="preserve">[Section </w:t>
      </w:r>
      <w:r w:rsidR="00F96882">
        <w:rPr>
          <w:rFonts w:ascii="Arial" w:hAnsi="Arial" w:cs="Arial"/>
          <w:sz w:val="20"/>
          <w:szCs w:val="20"/>
        </w:rPr>
        <w:t>I</w:t>
      </w:r>
      <w:r w:rsidRPr="00EA1798">
        <w:rPr>
          <w:rFonts w:ascii="Arial" w:hAnsi="Arial" w:cs="Arial"/>
          <w:sz w:val="20"/>
          <w:szCs w:val="20"/>
        </w:rPr>
        <w:t>.4.E.i.</w:t>
      </w:r>
      <w:r>
        <w:rPr>
          <w:rFonts w:ascii="Arial" w:hAnsi="Arial" w:cs="Arial"/>
          <w:sz w:val="20"/>
          <w:szCs w:val="20"/>
        </w:rPr>
        <w:t>c</w:t>
      </w:r>
      <w:r w:rsidR="00E966AC">
        <w:rPr>
          <w:rFonts w:ascii="Arial" w:hAnsi="Arial" w:cs="Arial"/>
          <w:sz w:val="20"/>
          <w:szCs w:val="20"/>
        </w:rPr>
        <w:t>.iii</w:t>
      </w:r>
      <w:r w:rsidRPr="00EA1798">
        <w:rPr>
          <w:rFonts w:ascii="Arial" w:hAnsi="Arial" w:cs="Arial"/>
          <w:sz w:val="20"/>
          <w:szCs w:val="20"/>
        </w:rPr>
        <w:t>]</w:t>
      </w:r>
    </w:p>
    <w:p w14:paraId="54FA9066" w14:textId="7A9073F6" w:rsidR="007027E2" w:rsidRDefault="00EA1798" w:rsidP="007027E2">
      <w:pPr>
        <w:pStyle w:val="Default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amount of each component must use the amounts paid for services during the 12-month period immediately 2 years prior to the first rating period of the transition period.</w:t>
      </w:r>
      <w:r w:rsidR="00E966AC">
        <w:rPr>
          <w:rFonts w:ascii="Arial" w:hAnsi="Arial" w:cs="Arial"/>
          <w:sz w:val="20"/>
          <w:szCs w:val="20"/>
        </w:rPr>
        <w:t xml:space="preserve"> </w:t>
      </w:r>
      <w:r w:rsidR="00E966AC" w:rsidRPr="00EA1798">
        <w:rPr>
          <w:rFonts w:ascii="Arial" w:hAnsi="Arial" w:cs="Arial"/>
          <w:sz w:val="20"/>
          <w:szCs w:val="20"/>
        </w:rPr>
        <w:t xml:space="preserve">[Section </w:t>
      </w:r>
      <w:r w:rsidR="00F96882">
        <w:rPr>
          <w:rFonts w:ascii="Arial" w:hAnsi="Arial" w:cs="Arial"/>
          <w:sz w:val="20"/>
          <w:szCs w:val="20"/>
        </w:rPr>
        <w:t>I</w:t>
      </w:r>
      <w:r w:rsidR="00E966AC" w:rsidRPr="00EA1798">
        <w:rPr>
          <w:rFonts w:ascii="Arial" w:hAnsi="Arial" w:cs="Arial"/>
          <w:sz w:val="20"/>
          <w:szCs w:val="20"/>
        </w:rPr>
        <w:t>.4.E.i.</w:t>
      </w:r>
      <w:r w:rsidR="00E966AC">
        <w:rPr>
          <w:rFonts w:ascii="Arial" w:hAnsi="Arial" w:cs="Arial"/>
          <w:sz w:val="20"/>
          <w:szCs w:val="20"/>
        </w:rPr>
        <w:t>c.iii</w:t>
      </w:r>
      <w:r w:rsidR="00E966AC">
        <w:rPr>
          <w:rFonts w:ascii="Arial" w:hAnsi="Arial" w:cs="Arial"/>
          <w:sz w:val="20"/>
          <w:szCs w:val="20"/>
        </w:rPr>
        <w:t>.A]</w:t>
      </w:r>
    </w:p>
    <w:p w14:paraId="5AFE3CCD" w14:textId="77777777" w:rsidR="0057211D" w:rsidRDefault="0057211D" w:rsidP="0057211D">
      <w:pPr>
        <w:pStyle w:val="Default"/>
        <w:ind w:left="2160"/>
        <w:rPr>
          <w:rFonts w:ascii="Arial" w:hAnsi="Arial" w:cs="Arial"/>
          <w:sz w:val="20"/>
          <w:szCs w:val="20"/>
        </w:rPr>
      </w:pPr>
    </w:p>
    <w:p w14:paraId="0A39AD96" w14:textId="6B5280DA" w:rsidR="007027E2" w:rsidRDefault="007027E2" w:rsidP="007027E2">
      <w:pPr>
        <w:pStyle w:val="Default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Documentation must include:</w:t>
      </w:r>
    </w:p>
    <w:p w14:paraId="57262361" w14:textId="67F6F649" w:rsidR="007027E2" w:rsidRDefault="007027E2" w:rsidP="007027E2">
      <w:pPr>
        <w:pStyle w:val="Default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Confirmation that services will be covered for the first time under a managed care contract and were previously provided in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FFS delivery system prior to the first rating period of the transition period [Section </w:t>
      </w:r>
      <w:r w:rsidR="00F96882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.2.E.ii.b.iv.A]</w:t>
      </w:r>
    </w:p>
    <w:p w14:paraId="4EC20F29" w14:textId="08E0EC42" w:rsidR="007027E2" w:rsidRDefault="007027E2" w:rsidP="007027E2">
      <w:pPr>
        <w:pStyle w:val="Default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Confirmation that the state made supplemental payments, as defined in 42 CFR </w:t>
      </w:r>
      <w:r w:rsidRPr="00EA1798">
        <w:rPr>
          <w:rFonts w:ascii="Arial" w:hAnsi="Arial" w:cs="Arial"/>
          <w:sz w:val="20"/>
          <w:szCs w:val="20"/>
        </w:rPr>
        <w:t>§</w:t>
      </w:r>
      <w:r>
        <w:rPr>
          <w:rFonts w:ascii="Arial" w:hAnsi="Arial" w:cs="Arial"/>
          <w:sz w:val="20"/>
          <w:szCs w:val="20"/>
        </w:rPr>
        <w:t xml:space="preserve"> 438.6 (a) to hospitals, nursing facilities, or physicians during the 12 month period immediately 2 years prior to the first year of the transition period </w:t>
      </w:r>
      <w:r>
        <w:rPr>
          <w:rFonts w:ascii="Arial" w:hAnsi="Arial" w:cs="Arial"/>
          <w:sz w:val="20"/>
          <w:szCs w:val="20"/>
        </w:rPr>
        <w:t xml:space="preserve">[Section </w:t>
      </w:r>
      <w:r w:rsidR="00F96882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.2.E.ii.b.iv.</w:t>
      </w:r>
      <w:r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]</w:t>
      </w:r>
    </w:p>
    <w:p w14:paraId="1D1FB8CF" w14:textId="732F9CBB" w:rsidR="007027E2" w:rsidRPr="007027E2" w:rsidRDefault="007027E2" w:rsidP="007027E2">
      <w:pPr>
        <w:pStyle w:val="Default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Data, methodologies, and assumptions used to develop the calculations in </w:t>
      </w:r>
      <w:r>
        <w:rPr>
          <w:rFonts w:ascii="Arial" w:hAnsi="Arial" w:cs="Arial"/>
          <w:sz w:val="20"/>
          <w:szCs w:val="20"/>
        </w:rPr>
        <w:t xml:space="preserve">42 CFR </w:t>
      </w:r>
      <w:r w:rsidRPr="00EA1798">
        <w:rPr>
          <w:rFonts w:ascii="Arial" w:hAnsi="Arial" w:cs="Arial"/>
          <w:sz w:val="20"/>
          <w:szCs w:val="20"/>
        </w:rPr>
        <w:t>§</w:t>
      </w:r>
      <w:r>
        <w:rPr>
          <w:rFonts w:ascii="Arial" w:hAnsi="Arial" w:cs="Arial"/>
          <w:sz w:val="20"/>
          <w:szCs w:val="20"/>
        </w:rPr>
        <w:t xml:space="preserve"> 438.6(d)(iii)(A), (B), or (C)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[Section </w:t>
      </w:r>
      <w:r w:rsidR="00F96882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.2.E.ii.</w:t>
      </w:r>
      <w:r>
        <w:rPr>
          <w:rFonts w:ascii="Arial" w:hAnsi="Arial" w:cs="Arial"/>
          <w:sz w:val="20"/>
          <w:szCs w:val="20"/>
        </w:rPr>
        <w:t>d]</w:t>
      </w:r>
    </w:p>
    <w:p w14:paraId="36CA3972" w14:textId="77777777" w:rsidR="00E966AC" w:rsidRDefault="00E966AC" w:rsidP="00E966AC">
      <w:pPr>
        <w:pStyle w:val="Default"/>
        <w:ind w:left="2160"/>
        <w:rPr>
          <w:rFonts w:ascii="Arial" w:hAnsi="Arial" w:cs="Arial"/>
          <w:sz w:val="20"/>
          <w:szCs w:val="20"/>
        </w:rPr>
      </w:pPr>
    </w:p>
    <w:p w14:paraId="797B77DA" w14:textId="79D0BF9B" w:rsidR="00E966AC" w:rsidRDefault="00E966AC" w:rsidP="00E966AC">
      <w:pPr>
        <w:pStyle w:val="Defaul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CMS also made updates to pass-through payment documentation:</w:t>
      </w:r>
    </w:p>
    <w:p w14:paraId="585389F4" w14:textId="3A8D1764" w:rsidR="00E966AC" w:rsidRDefault="00E966AC" w:rsidP="00E966AC">
      <w:pPr>
        <w:pStyle w:val="Default"/>
        <w:ind w:left="720"/>
        <w:rPr>
          <w:rFonts w:ascii="Arial" w:hAnsi="Arial" w:cs="Arial"/>
          <w:sz w:val="20"/>
          <w:szCs w:val="20"/>
        </w:rPr>
      </w:pPr>
    </w:p>
    <w:p w14:paraId="51C722C8" w14:textId="2A01414C" w:rsidR="00E966AC" w:rsidRDefault="00E966AC" w:rsidP="00E966AC">
      <w:pPr>
        <w:pStyle w:val="Defaul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description of each pass-through payment must include a description of how the pass-through payment will be paid (aggregate or PMPM amount where final aggregate payment varies based on actual enrollment) [Section </w:t>
      </w:r>
      <w:r w:rsidR="00F96882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.4.E.ii.a.ii]</w:t>
      </w:r>
    </w:p>
    <w:p w14:paraId="2EFE2519" w14:textId="77777777" w:rsidR="007027E2" w:rsidRDefault="007027E2" w:rsidP="007027E2">
      <w:pPr>
        <w:pStyle w:val="Default"/>
        <w:ind w:left="1440"/>
        <w:rPr>
          <w:rFonts w:ascii="Arial" w:hAnsi="Arial" w:cs="Arial"/>
          <w:sz w:val="20"/>
          <w:szCs w:val="20"/>
        </w:rPr>
      </w:pPr>
    </w:p>
    <w:p w14:paraId="61A704DD" w14:textId="0ADE1856" w:rsidR="00C55548" w:rsidRDefault="00C55548" w:rsidP="00E966AC">
      <w:pPr>
        <w:pStyle w:val="Defaul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each pass-through payment, the financing mechanism of the pass-through payment must also be documented. Additional detail can be found in [Section </w:t>
      </w:r>
      <w:r w:rsidR="00F96882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.4.E.ii.a.vi.A], but it appears that CMS is aiming to align </w:t>
      </w:r>
      <w:r w:rsidR="00735121">
        <w:rPr>
          <w:rFonts w:ascii="Arial" w:hAnsi="Arial" w:cs="Arial"/>
          <w:sz w:val="20"/>
          <w:szCs w:val="20"/>
        </w:rPr>
        <w:t>rate setting</w:t>
      </w:r>
      <w:r>
        <w:rPr>
          <w:rFonts w:ascii="Arial" w:hAnsi="Arial" w:cs="Arial"/>
          <w:sz w:val="20"/>
          <w:szCs w:val="20"/>
        </w:rPr>
        <w:t xml:space="preserve"> requirements with the revised preprint template to be used for all contract rating periods that begin on or after July 1, 2021</w:t>
      </w:r>
      <w:r w:rsidR="00735121">
        <w:rPr>
          <w:rStyle w:val="FootnoteReference"/>
          <w:rFonts w:ascii="Arial" w:hAnsi="Arial" w:cs="Arial"/>
          <w:sz w:val="20"/>
          <w:szCs w:val="20"/>
        </w:rPr>
        <w:footnoteReference w:id="1"/>
      </w:r>
      <w:r w:rsidR="00735121">
        <w:rPr>
          <w:rFonts w:ascii="Arial" w:hAnsi="Arial" w:cs="Arial"/>
          <w:sz w:val="20"/>
          <w:szCs w:val="20"/>
        </w:rPr>
        <w:t>, as well as the letter to State Medicaid Directors regarding additional guidance on state directed payments</w:t>
      </w:r>
      <w:r w:rsidR="00735121">
        <w:rPr>
          <w:rStyle w:val="FootnoteReference"/>
          <w:rFonts w:ascii="Arial" w:hAnsi="Arial" w:cs="Arial"/>
          <w:sz w:val="20"/>
          <w:szCs w:val="20"/>
        </w:rPr>
        <w:footnoteReference w:id="2"/>
      </w:r>
      <w:r w:rsidR="00735121">
        <w:rPr>
          <w:rFonts w:ascii="Arial" w:hAnsi="Arial" w:cs="Arial"/>
          <w:sz w:val="20"/>
          <w:szCs w:val="20"/>
        </w:rPr>
        <w:t>.</w:t>
      </w:r>
    </w:p>
    <w:p w14:paraId="4E28217D" w14:textId="666F7E14" w:rsidR="00735121" w:rsidRDefault="00735121" w:rsidP="00735121">
      <w:pPr>
        <w:pStyle w:val="Default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documentation requirements include the source of the non-federal share of the payment arrangement as well as a table of information to be populated for intergovernmental transfer entities.</w:t>
      </w:r>
    </w:p>
    <w:p w14:paraId="5E44BDE6" w14:textId="53102DF3" w:rsidR="0057211D" w:rsidRDefault="0057211D" w:rsidP="0057211D">
      <w:pPr>
        <w:pStyle w:val="Defaul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the base amount for hospital pass-through payments, there must be an explanation of any changes to the methodology utilized to for the base amount calculation relative to the pervious years’, including fiscal impact [Section </w:t>
      </w:r>
      <w:r w:rsidR="00F96882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.4.E.ii.c.i.B]</w:t>
      </w:r>
    </w:p>
    <w:p w14:paraId="68FE070A" w14:textId="7460F22E" w:rsidR="006C0CEE" w:rsidRDefault="006C0CEE" w:rsidP="006C0CEE">
      <w:pPr>
        <w:pStyle w:val="Default"/>
        <w:rPr>
          <w:rFonts w:ascii="Arial" w:hAnsi="Arial" w:cs="Arial"/>
          <w:sz w:val="20"/>
          <w:szCs w:val="20"/>
        </w:rPr>
      </w:pPr>
    </w:p>
    <w:p w14:paraId="4637CFF6" w14:textId="79301265" w:rsidR="006C0CEE" w:rsidRDefault="006C0CEE" w:rsidP="006C0CEE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Clarifying items</w:t>
      </w:r>
    </w:p>
    <w:p w14:paraId="443EB19D" w14:textId="3430B6DE" w:rsidR="006C0CEE" w:rsidRDefault="006C0CEE" w:rsidP="006C0CEE">
      <w:pPr>
        <w:pStyle w:val="Default"/>
        <w:rPr>
          <w:rFonts w:ascii="Arial" w:hAnsi="Arial" w:cs="Arial"/>
          <w:sz w:val="20"/>
          <w:szCs w:val="20"/>
        </w:rPr>
      </w:pPr>
    </w:p>
    <w:p w14:paraId="4BE42C87" w14:textId="44061A7C" w:rsidR="006C0CEE" w:rsidRDefault="006C0CEE" w:rsidP="006C0CEE">
      <w:pPr>
        <w:pStyle w:val="Defaul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explicit references to the Final Rule</w:t>
      </w:r>
    </w:p>
    <w:p w14:paraId="3932DDE4" w14:textId="0080E52A" w:rsidR="006C0CEE" w:rsidRDefault="00F96882" w:rsidP="006C0CEE">
      <w:pPr>
        <w:pStyle w:val="Default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November </w:t>
      </w:r>
      <w:r w:rsidR="00F000F0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, 2020, CMS adopted the Final Medicaid and Children’s Health Insurance Program (CHIP) Managed Care Rule (“Final Rule”)</w:t>
      </w:r>
      <w:r w:rsidR="00F000F0">
        <w:rPr>
          <w:rStyle w:val="FootnoteReference"/>
          <w:rFonts w:ascii="Arial" w:hAnsi="Arial" w:cs="Arial"/>
          <w:sz w:val="20"/>
          <w:szCs w:val="20"/>
        </w:rPr>
        <w:footnoteReference w:id="3"/>
      </w:r>
      <w:r>
        <w:rPr>
          <w:rFonts w:ascii="Arial" w:hAnsi="Arial" w:cs="Arial"/>
          <w:sz w:val="20"/>
          <w:szCs w:val="20"/>
        </w:rPr>
        <w:t xml:space="preserve">.  </w:t>
      </w:r>
      <w:r w:rsidR="006C0CEE">
        <w:rPr>
          <w:rFonts w:ascii="Arial" w:hAnsi="Arial" w:cs="Arial"/>
          <w:sz w:val="20"/>
          <w:szCs w:val="20"/>
        </w:rPr>
        <w:t>Throughout the document, CMS has changed the language</w:t>
      </w:r>
      <w:r>
        <w:rPr>
          <w:rFonts w:ascii="Arial" w:hAnsi="Arial" w:cs="Arial"/>
          <w:sz w:val="20"/>
          <w:szCs w:val="20"/>
        </w:rPr>
        <w:t xml:space="preserve"> referring to the previous “Proposed Rule”, as well as other references to Sections within the Guide, to more explicitly refer to the federal rate development standards in 42 CFR </w:t>
      </w:r>
      <w:r w:rsidRPr="00EA1798">
        <w:rPr>
          <w:rFonts w:ascii="Arial" w:hAnsi="Arial" w:cs="Arial"/>
          <w:sz w:val="20"/>
          <w:szCs w:val="20"/>
        </w:rPr>
        <w:t>§</w:t>
      </w:r>
      <w:r>
        <w:rPr>
          <w:rFonts w:ascii="Arial" w:hAnsi="Arial" w:cs="Arial"/>
          <w:sz w:val="20"/>
          <w:szCs w:val="20"/>
        </w:rPr>
        <w:t xml:space="preserve"> 438.4 through 438.7.</w:t>
      </w:r>
      <w:r w:rsidR="006C0CE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The guidance itself is largely unchanged, but references are more along the lines of </w:t>
      </w:r>
      <w:r w:rsidR="006C0CEE">
        <w:rPr>
          <w:rFonts w:ascii="Arial" w:hAnsi="Arial" w:cs="Arial"/>
          <w:sz w:val="20"/>
          <w:szCs w:val="20"/>
        </w:rPr>
        <w:t xml:space="preserve">“in accordance with 42 CFR </w:t>
      </w:r>
      <w:r w:rsidR="006C0CEE" w:rsidRPr="00EA1798">
        <w:rPr>
          <w:rFonts w:ascii="Arial" w:hAnsi="Arial" w:cs="Arial"/>
          <w:sz w:val="20"/>
          <w:szCs w:val="20"/>
        </w:rPr>
        <w:t>§</w:t>
      </w:r>
      <w:r w:rsidR="006C0CEE">
        <w:rPr>
          <w:rFonts w:ascii="Arial" w:hAnsi="Arial" w:cs="Arial"/>
          <w:sz w:val="20"/>
          <w:szCs w:val="20"/>
        </w:rPr>
        <w:t xml:space="preserve"> 438”</w:t>
      </w:r>
      <w:r>
        <w:rPr>
          <w:rFonts w:ascii="Arial" w:hAnsi="Arial" w:cs="Arial"/>
          <w:sz w:val="20"/>
          <w:szCs w:val="20"/>
        </w:rPr>
        <w:t xml:space="preserve"> or similar language, as opposed to “guidance outlined in Section I.1.A”, for example.</w:t>
      </w:r>
    </w:p>
    <w:p w14:paraId="6BE434E7" w14:textId="1384A7E6" w:rsidR="005E420F" w:rsidRDefault="005E420F" w:rsidP="005E420F">
      <w:pPr>
        <w:pStyle w:val="Defaul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Retroactive adjustments to capitation rates</w:t>
      </w:r>
    </w:p>
    <w:p w14:paraId="6329EF21" w14:textId="0EB1424A" w:rsidR="005E420F" w:rsidRDefault="005E420F" w:rsidP="005E420F">
      <w:pPr>
        <w:pStyle w:val="Default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CMS clarified that if a retroactive adjustment to the capitation rates is necessary, they would accept either </w:t>
      </w:r>
      <w:r w:rsidR="00710092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new rate certification or a rate amendment. This new certification or amendment must additionally include </w:t>
      </w:r>
      <w:r w:rsidR="00710092">
        <w:rPr>
          <w:rFonts w:ascii="Arial" w:hAnsi="Arial" w:cs="Arial"/>
          <w:sz w:val="20"/>
          <w:szCs w:val="20"/>
        </w:rPr>
        <w:t xml:space="preserve">a description of whether the state adjusted rates by a </w:t>
      </w:r>
      <w:r w:rsidR="00710092" w:rsidRPr="00710092">
        <w:rPr>
          <w:rFonts w:ascii="Arial" w:hAnsi="Arial" w:cs="Arial"/>
          <w:i/>
          <w:iCs/>
          <w:sz w:val="20"/>
          <w:szCs w:val="20"/>
        </w:rPr>
        <w:t>de minim</w:t>
      </w:r>
      <w:r w:rsidR="00710092">
        <w:rPr>
          <w:rFonts w:ascii="Arial" w:hAnsi="Arial" w:cs="Arial"/>
          <w:i/>
          <w:iCs/>
          <w:sz w:val="20"/>
          <w:szCs w:val="20"/>
        </w:rPr>
        <w:t>i</w:t>
      </w:r>
      <w:r w:rsidR="00710092" w:rsidRPr="00710092">
        <w:rPr>
          <w:rFonts w:ascii="Arial" w:hAnsi="Arial" w:cs="Arial"/>
          <w:i/>
          <w:iCs/>
          <w:sz w:val="20"/>
          <w:szCs w:val="20"/>
        </w:rPr>
        <w:t>s</w:t>
      </w:r>
      <w:r w:rsidR="00710092">
        <w:rPr>
          <w:rFonts w:ascii="Arial" w:hAnsi="Arial" w:cs="Arial"/>
          <w:sz w:val="20"/>
          <w:szCs w:val="20"/>
        </w:rPr>
        <w:t xml:space="preserve"> amount prior to submission of the rate amendment, as well as account for all differences from the most recently certified rates.</w:t>
      </w:r>
    </w:p>
    <w:p w14:paraId="045FC5A8" w14:textId="7ABAD6DE" w:rsidR="00F000F0" w:rsidRDefault="00433A12" w:rsidP="00F000F0">
      <w:pPr>
        <w:pStyle w:val="Defaul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Health Insurance Providers Fee Repeal</w:t>
      </w:r>
    </w:p>
    <w:p w14:paraId="6CD203F9" w14:textId="388452BF" w:rsidR="00433A12" w:rsidRDefault="00433A12" w:rsidP="00433A12">
      <w:pPr>
        <w:pStyle w:val="Default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fee is repealed by the Further Consolidated Appropriations Act, 2020, Division N, Subtitle E </w:t>
      </w:r>
      <w:r w:rsidRPr="00EA1798">
        <w:rPr>
          <w:rFonts w:ascii="Arial" w:hAnsi="Arial" w:cs="Arial"/>
          <w:sz w:val="20"/>
          <w:szCs w:val="20"/>
        </w:rPr>
        <w:t>§</w:t>
      </w:r>
      <w:r>
        <w:rPr>
          <w:rFonts w:ascii="Arial" w:hAnsi="Arial" w:cs="Arial"/>
          <w:sz w:val="20"/>
          <w:szCs w:val="20"/>
        </w:rPr>
        <w:t xml:space="preserve"> 502 for calendar years beginning after December 31, 2020. Therefore, CMS has removed the language regarding the fee in [Section I.5.A.iv].</w:t>
      </w:r>
    </w:p>
    <w:p w14:paraId="47672986" w14:textId="155E83C3" w:rsidR="00433A12" w:rsidRDefault="00433A12" w:rsidP="00433A12">
      <w:pPr>
        <w:pStyle w:val="Default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changes in Appendix A</w:t>
      </w:r>
    </w:p>
    <w:p w14:paraId="65F19D63" w14:textId="5500FEE7" w:rsidR="00433A12" w:rsidRDefault="00433A12" w:rsidP="00433A12">
      <w:pPr>
        <w:pStyle w:val="Default"/>
        <w:numPr>
          <w:ilvl w:val="1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CMS added Appendix A, guidance for an accelerated rate review process, for the first time in the 2020-2021 Guide. There are a few minor changes to that guidance for the 2021-2022 Guide, including:</w:t>
      </w:r>
    </w:p>
    <w:p w14:paraId="223FCE9E" w14:textId="5C37EA58" w:rsidR="00433A12" w:rsidRDefault="00433A12" w:rsidP="00433A12">
      <w:pPr>
        <w:pStyle w:val="Default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</w:t>
      </w:r>
      <w:proofErr w:type="gramStart"/>
      <w:r>
        <w:rPr>
          <w:rFonts w:ascii="Arial" w:hAnsi="Arial" w:cs="Arial"/>
          <w:sz w:val="20"/>
          <w:szCs w:val="20"/>
        </w:rPr>
        <w:t>additional criteria</w:t>
      </w:r>
      <w:proofErr w:type="gramEnd"/>
      <w:r>
        <w:rPr>
          <w:rFonts w:ascii="Arial" w:hAnsi="Arial" w:cs="Arial"/>
          <w:sz w:val="20"/>
          <w:szCs w:val="20"/>
        </w:rPr>
        <w:t xml:space="preserve"> for qualifying for accelerated review includes that the actuary is certifying rates or rate ranges consistent with the certification covered by the previous full review.</w:t>
      </w:r>
      <w:r w:rsidR="00577803">
        <w:rPr>
          <w:rFonts w:ascii="Arial" w:hAnsi="Arial" w:cs="Arial"/>
          <w:sz w:val="20"/>
          <w:szCs w:val="20"/>
        </w:rPr>
        <w:t xml:space="preserve"> This means that if the actuary is certifying rate ranges </w:t>
      </w:r>
      <w:r w:rsidR="00577803">
        <w:rPr>
          <w:rFonts w:ascii="Arial" w:hAnsi="Arial" w:cs="Arial"/>
          <w:sz w:val="20"/>
          <w:szCs w:val="20"/>
        </w:rPr>
        <w:lastRenderedPageBreak/>
        <w:t>in 2022, but certified rates in 2021, the rate range would not qualify for accelerated review.</w:t>
      </w:r>
    </w:p>
    <w:p w14:paraId="68260FDA" w14:textId="1E1B5A1F" w:rsidR="00577803" w:rsidRDefault="00577803" w:rsidP="00433A12">
      <w:pPr>
        <w:pStyle w:val="Default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guidance for submission process</w:t>
      </w:r>
    </w:p>
    <w:p w14:paraId="1A5D2244" w14:textId="6F65DA45" w:rsidR="00577803" w:rsidRDefault="00577803" w:rsidP="00433A12">
      <w:pPr>
        <w:pStyle w:val="Default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Implementation of </w:t>
      </w:r>
      <w:proofErr w:type="gramStart"/>
      <w:r>
        <w:rPr>
          <w:rFonts w:ascii="Arial" w:hAnsi="Arial" w:cs="Arial"/>
          <w:sz w:val="20"/>
          <w:szCs w:val="20"/>
        </w:rPr>
        <w:t>two year</w:t>
      </w:r>
      <w:proofErr w:type="gramEnd"/>
      <w:r>
        <w:rPr>
          <w:rFonts w:ascii="Arial" w:hAnsi="Arial" w:cs="Arial"/>
          <w:sz w:val="20"/>
          <w:szCs w:val="20"/>
        </w:rPr>
        <w:t xml:space="preserve"> time limit on base data compliance</w:t>
      </w:r>
    </w:p>
    <w:p w14:paraId="2C5DA0F8" w14:textId="600B72CE" w:rsidR="00577803" w:rsidRDefault="00577803" w:rsidP="00433A12">
      <w:pPr>
        <w:pStyle w:val="Default"/>
        <w:numPr>
          <w:ilvl w:val="2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Additional columns added to suggested table for non-benefit costs for amounts in previous rating period and percentage change between rating periods</w:t>
      </w:r>
    </w:p>
    <w:p w14:paraId="1A2BB7B0" w14:textId="77777777" w:rsidR="006C0CEE" w:rsidRPr="00EA1798" w:rsidRDefault="006C0CEE" w:rsidP="006C0CEE">
      <w:pPr>
        <w:pStyle w:val="Default"/>
        <w:rPr>
          <w:rFonts w:ascii="Arial" w:hAnsi="Arial" w:cs="Arial"/>
          <w:sz w:val="20"/>
          <w:szCs w:val="20"/>
        </w:rPr>
      </w:pPr>
    </w:p>
    <w:sectPr w:rsidR="006C0CEE" w:rsidRPr="00EA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91C45" w14:textId="77777777" w:rsidR="00735121" w:rsidRDefault="00735121" w:rsidP="00735121">
      <w:pPr>
        <w:spacing w:after="0" w:line="240" w:lineRule="auto"/>
      </w:pPr>
      <w:r>
        <w:separator/>
      </w:r>
    </w:p>
  </w:endnote>
  <w:endnote w:type="continuationSeparator" w:id="0">
    <w:p w14:paraId="47BDCB57" w14:textId="77777777" w:rsidR="00735121" w:rsidRDefault="00735121" w:rsidP="00735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FC6E3" w14:textId="77777777" w:rsidR="00735121" w:rsidRDefault="00735121" w:rsidP="00735121">
      <w:pPr>
        <w:spacing w:after="0" w:line="240" w:lineRule="auto"/>
      </w:pPr>
      <w:r>
        <w:separator/>
      </w:r>
    </w:p>
  </w:footnote>
  <w:footnote w:type="continuationSeparator" w:id="0">
    <w:p w14:paraId="63803A2C" w14:textId="77777777" w:rsidR="00735121" w:rsidRDefault="00735121" w:rsidP="00735121">
      <w:pPr>
        <w:spacing w:after="0" w:line="240" w:lineRule="auto"/>
      </w:pPr>
      <w:r>
        <w:continuationSeparator/>
      </w:r>
    </w:p>
  </w:footnote>
  <w:footnote w:id="1">
    <w:p w14:paraId="12F2E67D" w14:textId="020654E8" w:rsidR="00735121" w:rsidRPr="00F000F0" w:rsidRDefault="00735121" w:rsidP="00735121">
      <w:pPr>
        <w:rPr>
          <w:rFonts w:ascii="Arial" w:hAnsi="Arial" w:cs="Arial"/>
          <w:color w:val="000000"/>
          <w:sz w:val="20"/>
          <w:szCs w:val="20"/>
        </w:rPr>
      </w:pPr>
      <w:r w:rsidRPr="00F000F0">
        <w:rPr>
          <w:rStyle w:val="FootnoteReference"/>
          <w:rFonts w:ascii="Arial" w:hAnsi="Arial" w:cs="Arial"/>
        </w:rPr>
        <w:footnoteRef/>
      </w:r>
      <w:r w:rsidRPr="00F000F0">
        <w:rPr>
          <w:rFonts w:ascii="Arial" w:hAnsi="Arial" w:cs="Arial"/>
        </w:rPr>
        <w:t xml:space="preserve"> </w:t>
      </w:r>
      <w:hyperlink r:id="rId1" w:history="1">
        <w:r w:rsidRPr="00F000F0">
          <w:rPr>
            <w:rStyle w:val="Hyperlink"/>
            <w:rFonts w:ascii="Arial" w:hAnsi="Arial" w:cs="Arial"/>
            <w:sz w:val="20"/>
            <w:szCs w:val="20"/>
          </w:rPr>
          <w:t>https://www.medicaid.gov/medicaid/managed-care/downloads/sdp-4386c-preprint-template.pdf</w:t>
        </w:r>
      </w:hyperlink>
    </w:p>
  </w:footnote>
  <w:footnote w:id="2">
    <w:p w14:paraId="737A5B4D" w14:textId="1AF9D1FE" w:rsidR="00735121" w:rsidRPr="00F000F0" w:rsidRDefault="00735121">
      <w:pPr>
        <w:pStyle w:val="FootnoteText"/>
        <w:rPr>
          <w:rFonts w:ascii="Arial" w:hAnsi="Arial" w:cs="Arial"/>
        </w:rPr>
      </w:pPr>
      <w:r w:rsidRPr="00F000F0">
        <w:rPr>
          <w:rStyle w:val="FootnoteReference"/>
          <w:rFonts w:ascii="Arial" w:hAnsi="Arial" w:cs="Arial"/>
        </w:rPr>
        <w:footnoteRef/>
      </w:r>
      <w:r w:rsidRPr="00F000F0">
        <w:rPr>
          <w:rFonts w:ascii="Arial" w:hAnsi="Arial" w:cs="Arial"/>
        </w:rPr>
        <w:t xml:space="preserve"> </w:t>
      </w:r>
      <w:hyperlink r:id="rId2" w:history="1">
        <w:r w:rsidRPr="00F000F0">
          <w:rPr>
            <w:rStyle w:val="Hyperlink"/>
            <w:rFonts w:ascii="Arial" w:hAnsi="Arial" w:cs="Arial"/>
          </w:rPr>
          <w:t>https://www.medicaid.gov/Federal-Policy-Guidance/Downloads/smd21001.pdf</w:t>
        </w:r>
      </w:hyperlink>
    </w:p>
  </w:footnote>
  <w:footnote w:id="3">
    <w:p w14:paraId="36CD8917" w14:textId="18787C90" w:rsidR="00F000F0" w:rsidRPr="00F000F0" w:rsidRDefault="00F000F0">
      <w:pPr>
        <w:pStyle w:val="FootnoteText"/>
        <w:rPr>
          <w:rFonts w:ascii="Arial" w:hAnsi="Arial" w:cs="Arial"/>
        </w:rPr>
      </w:pPr>
      <w:r w:rsidRPr="00F000F0">
        <w:rPr>
          <w:rStyle w:val="FootnoteReference"/>
          <w:rFonts w:ascii="Arial" w:hAnsi="Arial" w:cs="Arial"/>
        </w:rPr>
        <w:footnoteRef/>
      </w:r>
      <w:r w:rsidRPr="00F000F0">
        <w:rPr>
          <w:rFonts w:ascii="Arial" w:hAnsi="Arial" w:cs="Arial"/>
        </w:rPr>
        <w:t xml:space="preserve"> </w:t>
      </w:r>
      <w:hyperlink r:id="rId3" w:history="1">
        <w:r w:rsidRPr="00F000F0">
          <w:rPr>
            <w:rStyle w:val="Hyperlink"/>
            <w:rFonts w:ascii="Arial" w:hAnsi="Arial" w:cs="Arial"/>
          </w:rPr>
          <w:t>https://www.federalregister.gov/documents/2020/11/13/2020-24758/medicaid-program-medicaid-and-childrens-health-insurance-program-chip-managed-care</w:t>
        </w:r>
      </w:hyperlink>
    </w:p>
    <w:p w14:paraId="35784A61" w14:textId="77777777" w:rsidR="00F000F0" w:rsidRDefault="00F000F0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D5A0A"/>
    <w:multiLevelType w:val="hybridMultilevel"/>
    <w:tmpl w:val="428E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38C8"/>
    <w:multiLevelType w:val="hybridMultilevel"/>
    <w:tmpl w:val="304E9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CB04BF"/>
    <w:multiLevelType w:val="hybridMultilevel"/>
    <w:tmpl w:val="79485B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0C7C92"/>
    <w:multiLevelType w:val="hybridMultilevel"/>
    <w:tmpl w:val="2A14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D6BCB"/>
    <w:multiLevelType w:val="hybridMultilevel"/>
    <w:tmpl w:val="3D5EA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B776F3"/>
    <w:multiLevelType w:val="hybridMultilevel"/>
    <w:tmpl w:val="57747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0D"/>
    <w:rsid w:val="00002D0E"/>
    <w:rsid w:val="000D67B2"/>
    <w:rsid w:val="0014332D"/>
    <w:rsid w:val="0039640D"/>
    <w:rsid w:val="00433A12"/>
    <w:rsid w:val="0057211D"/>
    <w:rsid w:val="00577803"/>
    <w:rsid w:val="005E420F"/>
    <w:rsid w:val="006B03A2"/>
    <w:rsid w:val="006C0CEE"/>
    <w:rsid w:val="007027E2"/>
    <w:rsid w:val="00710092"/>
    <w:rsid w:val="00735121"/>
    <w:rsid w:val="00C55548"/>
    <w:rsid w:val="00DA41C4"/>
    <w:rsid w:val="00E966AC"/>
    <w:rsid w:val="00EA1798"/>
    <w:rsid w:val="00EE7A81"/>
    <w:rsid w:val="00F000F0"/>
    <w:rsid w:val="00F9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A29D"/>
  <w15:chartTrackingRefBased/>
  <w15:docId w15:val="{E0221079-D82D-41A3-ADFF-DF124F29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40D"/>
    <w:pPr>
      <w:ind w:left="720"/>
      <w:contextualSpacing/>
    </w:pPr>
  </w:style>
  <w:style w:type="paragraph" w:customStyle="1" w:styleId="Default">
    <w:name w:val="Default"/>
    <w:rsid w:val="00EA17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51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51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512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351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0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ederalregister.gov/documents/2020/11/13/2020-24758/medicaid-program-medicaid-and-childrens-health-insurance-program-chip-managed-care" TargetMode="External"/><Relationship Id="rId2" Type="http://schemas.openxmlformats.org/officeDocument/2006/relationships/hyperlink" Target="https://www.medicaid.gov/Federal-Policy-Guidance/Downloads/smd21001.pdf" TargetMode="External"/><Relationship Id="rId1" Type="http://schemas.openxmlformats.org/officeDocument/2006/relationships/hyperlink" Target="https://www.medicaid.gov/medicaid/managed-care/downloads/sdp-4386c-preprint-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1CDC1-CFF5-4BA8-9939-0101C1BE4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Egan</dc:creator>
  <cp:keywords/>
  <dc:description/>
  <cp:lastModifiedBy>Mackenzie Egan</cp:lastModifiedBy>
  <cp:revision>2</cp:revision>
  <dcterms:created xsi:type="dcterms:W3CDTF">2021-06-26T16:01:00Z</dcterms:created>
  <dcterms:modified xsi:type="dcterms:W3CDTF">2021-06-26T16:01:00Z</dcterms:modified>
</cp:coreProperties>
</file>