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F70DA" w14:textId="00B78D3E" w:rsidR="00DA72A2" w:rsidRPr="00DA72A2" w:rsidRDefault="00DA72A2" w:rsidP="00DA72A2">
      <w:pPr>
        <w:rPr>
          <w:b/>
          <w:bCs/>
        </w:rPr>
      </w:pPr>
      <w:r w:rsidRPr="00DA72A2">
        <w:rPr>
          <w:b/>
          <w:bCs/>
        </w:rPr>
        <w:t xml:space="preserve">JHC </w:t>
      </w:r>
      <w:r w:rsidR="00582918">
        <w:rPr>
          <w:b/>
          <w:bCs/>
        </w:rPr>
        <w:t>Work</w:t>
      </w:r>
    </w:p>
    <w:p w14:paraId="5DC16961" w14:textId="28A6B0CF" w:rsidR="00582918" w:rsidRPr="002079F5" w:rsidRDefault="002079F5" w:rsidP="002079F5">
      <w:pPr>
        <w:pStyle w:val="Heading1"/>
      </w:pPr>
      <w:r w:rsidRPr="002079F5">
        <w:t>Key Changes</w:t>
      </w:r>
    </w:p>
    <w:p w14:paraId="6021430D" w14:textId="414B3BD7" w:rsidR="00582918" w:rsidRPr="00582918" w:rsidRDefault="00582918" w:rsidP="00582918">
      <w:pPr>
        <w:pStyle w:val="Heading2"/>
      </w:pPr>
      <w:r w:rsidRPr="00582918">
        <w:t>2. DOCUMENTATION OF COVID-19 IMPACT</w:t>
      </w:r>
    </w:p>
    <w:p w14:paraId="6D5B95C2" w14:textId="3B8D3136" w:rsidR="005A2B47" w:rsidRDefault="00582918" w:rsidP="005A2B47">
      <w:pPr>
        <w:rPr>
          <w:rStyle w:val="Emphasis"/>
        </w:rPr>
      </w:pPr>
      <w:r>
        <w:t>CMS expects that states and their actuaries will evaluate how the capitation rates should account for the direct and indirect impacts of the COVID-19 public health emergency</w:t>
      </w:r>
      <w:r w:rsidR="005A2B47">
        <w:t xml:space="preserve"> (PHE)</w:t>
      </w:r>
      <w:r>
        <w:t>.</w:t>
      </w:r>
      <w:r w:rsidR="005A2B47">
        <w:t xml:space="preserve"> States and their actuaries should evaluate data that is available and applicable for determining how to address the COVID-19 PHE in the rate setting.</w:t>
      </w:r>
      <w:r w:rsidR="006A2F40">
        <w:t xml:space="preserve"> </w:t>
      </w:r>
      <w:r w:rsidR="00D35435">
        <w:t xml:space="preserve">States and their actuaries must also document in the rate certification the approach to address the impact of the COVID-19 PHE to ensure the rates are actuarially sound in accordance with 42 C.F.R. § 438.4. </w:t>
      </w:r>
      <w:r w:rsidR="005A2B47" w:rsidRPr="005A2B47">
        <w:rPr>
          <w:rStyle w:val="Emphasis"/>
        </w:rPr>
        <w:t>[Section I.1.A.xii]</w:t>
      </w:r>
      <w:r w:rsidR="006A2F40">
        <w:rPr>
          <w:rStyle w:val="Emphasis"/>
        </w:rPr>
        <w:t xml:space="preserve"> &amp; [Section I.1.B.x]</w:t>
      </w:r>
    </w:p>
    <w:p w14:paraId="4B7D7CFE" w14:textId="78520E49" w:rsidR="005A2B47" w:rsidRDefault="005A2B47" w:rsidP="006A2F40">
      <w:r>
        <w:t xml:space="preserve">CMS recommends all states implement a 2-sided risk mitigation strategy for rating periods impacted by the PHE. In addition to allowing temporary flexibilities in rate development, CMS provided an example of a 2-sided risk corridor in the appendix of the </w:t>
      </w:r>
      <w:r w:rsidR="00194FDC">
        <w:t>Center for Medicaid &amp; CHIP Services (</w:t>
      </w:r>
      <w:commentRangeStart w:id="0"/>
      <w:r>
        <w:t>CMCS</w:t>
      </w:r>
      <w:r w:rsidR="00194FDC">
        <w:t>)</w:t>
      </w:r>
      <w:r>
        <w:t xml:space="preserve"> Informational Bulletin </w:t>
      </w:r>
      <w:commentRangeEnd w:id="0"/>
      <w:r w:rsidR="00515805">
        <w:rPr>
          <w:rStyle w:val="CommentReference"/>
        </w:rPr>
        <w:commentReference w:id="0"/>
      </w:r>
      <w:r>
        <w:t>published May 14, 2020.</w:t>
      </w:r>
      <w:r w:rsidR="00C301B8">
        <w:t xml:space="preserve"> Of note, </w:t>
      </w:r>
      <w:commentRangeStart w:id="1"/>
      <w:commentRangeStart w:id="2"/>
      <w:r w:rsidR="00C301B8">
        <w:t xml:space="preserve">CMS requires that states implementing state directed payments intended to mitigate the impacts of the COVID-19 PHE under this guidance must also implement a 2-sided risk mitigation strategy </w:t>
      </w:r>
      <w:commentRangeEnd w:id="1"/>
      <w:r w:rsidR="00C301B8">
        <w:rPr>
          <w:rStyle w:val="CommentReference"/>
        </w:rPr>
        <w:commentReference w:id="1"/>
      </w:r>
      <w:commentRangeEnd w:id="2"/>
      <w:r w:rsidR="002E2F9E">
        <w:rPr>
          <w:rStyle w:val="CommentReference"/>
        </w:rPr>
        <w:commentReference w:id="2"/>
      </w:r>
      <w:r w:rsidR="00C301B8">
        <w:t xml:space="preserve">(such as a 2-sided risk corridor across all medical expenses) to provide protection for state and federal governments, as well as managed care plans. </w:t>
      </w:r>
      <w:commentRangeStart w:id="3"/>
      <w:commentRangeStart w:id="4"/>
      <w:commentRangeStart w:id="5"/>
      <w:commentRangeStart w:id="6"/>
      <w:r w:rsidR="006A2F40">
        <w:t>In compliance with the requirements in 42 C.F.R. § 438.6(b)(1), states must document the risk mitigation strategy in the contract and rate certification documents for the rating period prior to the start of the rating period</w:t>
      </w:r>
      <w:commentRangeEnd w:id="3"/>
      <w:r w:rsidR="006A2F40">
        <w:rPr>
          <w:rStyle w:val="CommentReference"/>
        </w:rPr>
        <w:commentReference w:id="3"/>
      </w:r>
      <w:commentRangeEnd w:id="4"/>
      <w:r w:rsidR="00CC7302">
        <w:rPr>
          <w:rStyle w:val="CommentReference"/>
        </w:rPr>
        <w:commentReference w:id="4"/>
      </w:r>
      <w:commentRangeEnd w:id="5"/>
      <w:r w:rsidR="00515805">
        <w:rPr>
          <w:rStyle w:val="CommentReference"/>
        </w:rPr>
        <w:commentReference w:id="5"/>
      </w:r>
      <w:commentRangeEnd w:id="6"/>
      <w:r w:rsidR="00515805">
        <w:rPr>
          <w:rStyle w:val="CommentReference"/>
        </w:rPr>
        <w:commentReference w:id="6"/>
      </w:r>
      <w:r w:rsidR="006A2F40">
        <w:t>.</w:t>
      </w:r>
    </w:p>
    <w:p w14:paraId="696B215F" w14:textId="09A9183D" w:rsidR="006A2F40" w:rsidRDefault="00D35435" w:rsidP="006A2F40">
      <w:r>
        <w:t>The documentation requirements must include the following:</w:t>
      </w:r>
    </w:p>
    <w:p w14:paraId="37139841" w14:textId="1B6478EE" w:rsidR="00D35435" w:rsidRDefault="00D35435" w:rsidP="00D35435">
      <w:pPr>
        <w:pStyle w:val="ListParagraph"/>
        <w:numPr>
          <w:ilvl w:val="0"/>
          <w:numId w:val="1"/>
        </w:numPr>
      </w:pPr>
      <w:r>
        <w:t>Description of data for determining how to address the COVID-19 PHE in rate setting</w:t>
      </w:r>
    </w:p>
    <w:p w14:paraId="787FF02A" w14:textId="63222AF8" w:rsidR="00D35435" w:rsidRDefault="00D35435" w:rsidP="00D35435">
      <w:pPr>
        <w:pStyle w:val="ListParagraph"/>
        <w:numPr>
          <w:ilvl w:val="0"/>
          <w:numId w:val="1"/>
        </w:numPr>
      </w:pPr>
      <w:r>
        <w:t>Description of COVID-19 PHE impacts, such as enrollment changes, treatments and vaccines, deferred care, expanded coverage of telehealth, etc.</w:t>
      </w:r>
    </w:p>
    <w:p w14:paraId="30D74915" w14:textId="2C7C132C" w:rsidR="00D35435" w:rsidRDefault="00D35435" w:rsidP="00D35435">
      <w:pPr>
        <w:pStyle w:val="ListParagraph"/>
        <w:numPr>
          <w:ilvl w:val="0"/>
          <w:numId w:val="1"/>
        </w:numPr>
      </w:pPr>
      <w:r>
        <w:t>Description of risk mitigation strategies and how the it compares to the prior rating period (if any)</w:t>
      </w:r>
    </w:p>
    <w:p w14:paraId="76517594" w14:textId="158517D0" w:rsidR="006A2F40" w:rsidRDefault="00D35435" w:rsidP="00D35435">
      <w:pPr>
        <w:pStyle w:val="Heading2"/>
      </w:pPr>
      <w:r>
        <w:t>3. Expanded language on Federal financial participation (FFP)</w:t>
      </w:r>
    </w:p>
    <w:p w14:paraId="2DEF54B7" w14:textId="03ABA7A2" w:rsidR="00D35435" w:rsidRDefault="00335A16" w:rsidP="00D35435">
      <w:r>
        <w:t xml:space="preserve">CMS included additional language to state that the development of capitation rates </w:t>
      </w:r>
      <w:commentRangeStart w:id="7"/>
      <w:commentRangeStart w:id="8"/>
      <w:r>
        <w:t>must not vary with the rate of FFP in a manner that increases federal costs</w:t>
      </w:r>
      <w:commentRangeEnd w:id="7"/>
      <w:r w:rsidR="00655536">
        <w:rPr>
          <w:rStyle w:val="CommentReference"/>
        </w:rPr>
        <w:commentReference w:id="7"/>
      </w:r>
      <w:commentRangeEnd w:id="8"/>
      <w:r w:rsidR="002E2F9E">
        <w:rPr>
          <w:rStyle w:val="CommentReference"/>
        </w:rPr>
        <w:commentReference w:id="8"/>
      </w:r>
      <w:r>
        <w:t>. Any differences in the assumptions, methodologies, or factors used to develop capitation rates for covered populations must be based on valid rate development standards that represent actual cost differences in providing covered services to the covered populations.</w:t>
      </w:r>
      <w:r w:rsidR="00655536" w:rsidRPr="00655536">
        <w:t xml:space="preserve"> </w:t>
      </w:r>
      <w:r w:rsidR="00655536">
        <w:t>In addition, CMS now requires the rate certification to include an assurance to this effect.</w:t>
      </w:r>
      <w:r>
        <w:t xml:space="preserve"> </w:t>
      </w:r>
      <w:r w:rsidRPr="005A2B47">
        <w:rPr>
          <w:rStyle w:val="Emphasis"/>
        </w:rPr>
        <w:t>[Section I.1.A.i</w:t>
      </w:r>
      <w:r>
        <w:rPr>
          <w:rStyle w:val="Emphasis"/>
        </w:rPr>
        <w:t>v</w:t>
      </w:r>
      <w:r w:rsidRPr="005A2B47">
        <w:rPr>
          <w:rStyle w:val="Emphasis"/>
        </w:rPr>
        <w:t>]</w:t>
      </w:r>
      <w:r>
        <w:rPr>
          <w:rStyle w:val="Emphasis"/>
        </w:rPr>
        <w:t xml:space="preserve"> &amp; [Section I.1.B.vi]</w:t>
      </w:r>
    </w:p>
    <w:p w14:paraId="5DE3C1CD" w14:textId="5E6EF1FE" w:rsidR="00D35435" w:rsidRDefault="00335A16" w:rsidP="00D35435">
      <w:r>
        <w:t xml:space="preserve">CMS may require a state to provide written documentation and justification that any differences used to develop capitation rates represent actual cost </w:t>
      </w:r>
      <w:r w:rsidR="00655536">
        <w:t>assumptions</w:t>
      </w:r>
      <w:r>
        <w:t xml:space="preserve"> based on the characteristics and mix of the covered services or the covered populations. </w:t>
      </w:r>
      <w:r w:rsidR="00655536">
        <w:t>The state must have documentation to provide to CMS upon request, which may include the following:</w:t>
      </w:r>
    </w:p>
    <w:p w14:paraId="13CD8CA0" w14:textId="362A8A4E" w:rsidR="00655536" w:rsidRDefault="00655536" w:rsidP="00655536">
      <w:pPr>
        <w:pStyle w:val="ListParagraph"/>
        <w:numPr>
          <w:ilvl w:val="0"/>
          <w:numId w:val="1"/>
        </w:numPr>
      </w:pPr>
      <w:r>
        <w:t>Description of each assumption, methodology, or factor that varies by the rate of FFP</w:t>
      </w:r>
    </w:p>
    <w:p w14:paraId="1908AB0E" w14:textId="509CEFE2" w:rsidR="00655536" w:rsidRDefault="00655536" w:rsidP="00655536">
      <w:pPr>
        <w:pStyle w:val="ListParagraph"/>
        <w:numPr>
          <w:ilvl w:val="0"/>
          <w:numId w:val="1"/>
        </w:numPr>
      </w:pPr>
      <w:r>
        <w:t>Justification of how each difference represents actual cost differences</w:t>
      </w:r>
    </w:p>
    <w:p w14:paraId="2FABA1DF" w14:textId="07D9B8C4" w:rsidR="00655536" w:rsidRDefault="00655536" w:rsidP="00655536">
      <w:pPr>
        <w:pStyle w:val="ListParagraph"/>
        <w:numPr>
          <w:ilvl w:val="0"/>
          <w:numId w:val="1"/>
        </w:numPr>
      </w:pPr>
      <w:r>
        <w:t>Financial impact on federal costs of the difference that varies by the rate of FFP</w:t>
      </w:r>
    </w:p>
    <w:p w14:paraId="4691DE9E" w14:textId="7FF6E9E6" w:rsidR="004A4969" w:rsidRDefault="004A4969" w:rsidP="004A4969">
      <w:pPr>
        <w:pStyle w:val="Heading2"/>
      </w:pPr>
      <w:r>
        <w:t>4.</w:t>
      </w:r>
      <w:r w:rsidR="00C30615">
        <w:t xml:space="preserve"> State Directed Payments</w:t>
      </w:r>
    </w:p>
    <w:p w14:paraId="438A47A6" w14:textId="528A7D2B" w:rsidR="004A4969" w:rsidRDefault="00C30615" w:rsidP="004A4969">
      <w:r>
        <w:t>I</w:t>
      </w:r>
      <w:r w:rsidRPr="00C30615">
        <w:t xml:space="preserve">n accordance with 42 C.F.R. § 438.6(c)(2), </w:t>
      </w:r>
      <w:r>
        <w:t xml:space="preserve">all state directed payments must receive written prior approval from CMS. Review of rate certification cannot be finalized until all necessary written prior approvals are obtained. The prior rate development guide did not specify </w:t>
      </w:r>
      <w:r w:rsidR="00304039">
        <w:t>requirements for written prior approval.</w:t>
      </w:r>
      <w:r>
        <w:t xml:space="preserve"> </w:t>
      </w:r>
      <w:commentRangeStart w:id="9"/>
      <w:r>
        <w:t>The state directed payment included in the rate certification must be consistent with the information in the approved preprint. The method by which a state incorporates a state directed payment (as an adjustment or through a separate payment term) will be identified and documented as part of the preprint review process.</w:t>
      </w:r>
      <w:r w:rsidR="009A41D3">
        <w:t xml:space="preserve"> </w:t>
      </w:r>
      <w:commentRangeEnd w:id="9"/>
      <w:r>
        <w:rPr>
          <w:rStyle w:val="CommentReference"/>
        </w:rPr>
        <w:commentReference w:id="9"/>
      </w:r>
      <w:r w:rsidR="009A41D3" w:rsidRPr="009A41D3">
        <w:rPr>
          <w:rStyle w:val="Emphasis"/>
        </w:rPr>
        <w:t>[Section I.4.D</w:t>
      </w:r>
      <w:r>
        <w:rPr>
          <w:rStyle w:val="Emphasis"/>
        </w:rPr>
        <w:t>.i</w:t>
      </w:r>
      <w:r w:rsidR="009A41D3" w:rsidRPr="009A41D3">
        <w:rPr>
          <w:rStyle w:val="Emphasis"/>
        </w:rPr>
        <w:t>]</w:t>
      </w:r>
      <w:r>
        <w:rPr>
          <w:rStyle w:val="Emphasis"/>
        </w:rPr>
        <w:t xml:space="preserve"> &amp; </w:t>
      </w:r>
      <w:r w:rsidRPr="009A41D3">
        <w:rPr>
          <w:rStyle w:val="Emphasis"/>
        </w:rPr>
        <w:t>[Section I.4.D</w:t>
      </w:r>
      <w:r>
        <w:rPr>
          <w:rStyle w:val="Emphasis"/>
        </w:rPr>
        <w:t>.ii</w:t>
      </w:r>
      <w:r w:rsidRPr="009A41D3">
        <w:rPr>
          <w:rStyle w:val="Emphasis"/>
        </w:rPr>
        <w:t>]</w:t>
      </w:r>
    </w:p>
    <w:p w14:paraId="5C3A193E" w14:textId="69F33337" w:rsidR="004A4969" w:rsidRDefault="00304039" w:rsidP="004A4969">
      <w:r>
        <w:lastRenderedPageBreak/>
        <w:t xml:space="preserve">In addition to the documentation of state directed payments in the body of the certification, the state must provide information for each state directed payment in the </w:t>
      </w:r>
      <w:commentRangeStart w:id="10"/>
      <w:commentRangeStart w:id="11"/>
      <w:r>
        <w:t>specified table format</w:t>
      </w:r>
      <w:commentRangeEnd w:id="10"/>
      <w:r w:rsidR="001D3210">
        <w:rPr>
          <w:rStyle w:val="CommentReference"/>
        </w:rPr>
        <w:commentReference w:id="10"/>
      </w:r>
      <w:commentRangeEnd w:id="11"/>
      <w:r w:rsidR="00FA7C6A">
        <w:rPr>
          <w:rStyle w:val="CommentReference"/>
        </w:rPr>
        <w:commentReference w:id="11"/>
      </w:r>
      <w:r w:rsidR="002E2F9E">
        <w:t>s noted in the Guide</w:t>
      </w:r>
      <w:r>
        <w:t xml:space="preserve">. Depending on whether the payment is applied as a rate adjustment or separate payment term, CMS specifies different table formats to capture the information requested. Note that </w:t>
      </w:r>
      <w:r w:rsidR="00C31080">
        <w:t>while the information requested is broadly similar to the prior rate guide, each state directed payment (whether rate adjustment or separate payment term) must be identified separately and the impacts of different payments cannot be combined.</w:t>
      </w:r>
    </w:p>
    <w:p w14:paraId="7AFA99A1" w14:textId="7AE4B23E" w:rsidR="002079F5" w:rsidRDefault="002079F5" w:rsidP="004A4969"/>
    <w:p w14:paraId="3296DEFF" w14:textId="65C6B744" w:rsidR="002079F5" w:rsidRDefault="002079F5" w:rsidP="00981F8E">
      <w:pPr>
        <w:pStyle w:val="Heading1"/>
      </w:pPr>
      <w:r>
        <w:t>Clarifying Items</w:t>
      </w:r>
    </w:p>
    <w:p w14:paraId="1371A76A" w14:textId="4EA043E6" w:rsidR="002079F5" w:rsidRDefault="00981F8E" w:rsidP="00981F8E">
      <w:pPr>
        <w:pStyle w:val="Heading2"/>
      </w:pPr>
      <w:r>
        <w:t>2. Rating periods other than 12 months</w:t>
      </w:r>
    </w:p>
    <w:p w14:paraId="67CCC45C" w14:textId="69840247" w:rsidR="00981F8E" w:rsidRDefault="00981F8E" w:rsidP="00981F8E">
      <w:r>
        <w:t>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w:t>
      </w:r>
      <w:r w:rsidR="00024FD0">
        <w:t xml:space="preserve"> </w:t>
      </w:r>
      <w:r w:rsidR="00024FD0" w:rsidRPr="009A41D3">
        <w:rPr>
          <w:rStyle w:val="Emphasis"/>
        </w:rPr>
        <w:t>[Section I.</w:t>
      </w:r>
      <w:r w:rsidR="00024FD0">
        <w:rPr>
          <w:rStyle w:val="Emphasis"/>
        </w:rPr>
        <w:t>1</w:t>
      </w:r>
      <w:r w:rsidR="00024FD0" w:rsidRPr="009A41D3">
        <w:rPr>
          <w:rStyle w:val="Emphasis"/>
        </w:rPr>
        <w:t>.</w:t>
      </w:r>
      <w:r w:rsidR="00024FD0">
        <w:rPr>
          <w:rStyle w:val="Emphasis"/>
        </w:rPr>
        <w:t>A.ii</w:t>
      </w:r>
      <w:r w:rsidR="00024FD0" w:rsidRPr="009A41D3">
        <w:rPr>
          <w:rStyle w:val="Emphasis"/>
        </w:rPr>
        <w:t>]</w:t>
      </w:r>
    </w:p>
    <w:p w14:paraId="1F28FDD5" w14:textId="04C1DA35" w:rsidR="00981F8E" w:rsidRDefault="005649FC" w:rsidP="00981F8E">
      <w:r>
        <w:t xml:space="preserve">If different </w:t>
      </w:r>
      <w:r w:rsidR="00194FDC">
        <w:t>capitation</w:t>
      </w:r>
      <w:r>
        <w:t xml:space="preserve"> rates </w:t>
      </w:r>
      <w:r w:rsidR="00194FDC">
        <w:t xml:space="preserve">are being applied </w:t>
      </w:r>
      <w:r>
        <w:t>in a 12-month rating period, such as when the state is aligning contracts and rating periods, these should be documented</w:t>
      </w:r>
      <w:r w:rsidR="00194FDC">
        <w:t xml:space="preserve"> on a 12-month basis.</w:t>
      </w:r>
      <w:r w:rsidR="00194FDC">
        <w:rPr>
          <w:rStyle w:val="CommentReference"/>
        </w:rPr>
        <w:t xml:space="preserve"> </w:t>
      </w:r>
      <w:commentRangeStart w:id="12"/>
      <w:commentRangeStart w:id="13"/>
      <w:commentRangeEnd w:id="12"/>
      <w:r w:rsidR="00FA7C6A">
        <w:rPr>
          <w:rStyle w:val="CommentReference"/>
        </w:rPr>
        <w:commentReference w:id="12"/>
      </w:r>
      <w:commentRangeEnd w:id="13"/>
      <w:r w:rsidR="00194FDC">
        <w:rPr>
          <w:rStyle w:val="CommentReference"/>
        </w:rPr>
        <w:commentReference w:id="13"/>
      </w:r>
    </w:p>
    <w:p w14:paraId="52E85A8F" w14:textId="3C921CE9" w:rsidR="00981F8E" w:rsidRDefault="00981F8E" w:rsidP="00981F8E">
      <w:pPr>
        <w:pStyle w:val="Heading2"/>
      </w:pPr>
      <w:r>
        <w:t>4. When a rate amendment and contract amendment is required</w:t>
      </w:r>
    </w:p>
    <w:p w14:paraId="4C6BE8C4" w14:textId="1FC81B68" w:rsidR="00981F8E" w:rsidRDefault="00933964" w:rsidP="00981F8E">
      <w:commentRangeStart w:id="14"/>
      <w:r>
        <w:t xml:space="preserve">If the actuary is certifying rates (not rate ranges), the state must submit a revised rate certification when rates change, except for changes permitted as specified in </w:t>
      </w:r>
      <w:commentRangeStart w:id="15"/>
      <w:commentRangeStart w:id="16"/>
      <w:r>
        <w:t xml:space="preserve">42 C.F.R </w:t>
      </w:r>
      <w:r w:rsidRPr="00C30615">
        <w:t>§ 438.</w:t>
      </w:r>
      <w:r>
        <w:t>4</w:t>
      </w:r>
      <w:r w:rsidRPr="00C30615">
        <w:t>(</w:t>
      </w:r>
      <w:r>
        <w:t>c</w:t>
      </w:r>
      <w:r w:rsidRPr="00C30615">
        <w:t>)</w:t>
      </w:r>
      <w:commentRangeEnd w:id="15"/>
      <w:r>
        <w:rPr>
          <w:rStyle w:val="CommentReference"/>
        </w:rPr>
        <w:commentReference w:id="15"/>
      </w:r>
      <w:commentRangeEnd w:id="16"/>
      <w:r w:rsidR="00733321">
        <w:rPr>
          <w:rStyle w:val="CommentReference"/>
        </w:rPr>
        <w:commentReference w:id="16"/>
      </w:r>
      <w:r>
        <w:t xml:space="preserve"> or 42 C.F.R </w:t>
      </w:r>
      <w:r w:rsidRPr="00C30615">
        <w:t>§ 438.</w:t>
      </w:r>
      <w:r>
        <w:t>7</w:t>
      </w:r>
      <w:r w:rsidRPr="00C30615">
        <w:t>(</w:t>
      </w:r>
      <w:r>
        <w:t>c</w:t>
      </w:r>
      <w:r w:rsidRPr="00C30615">
        <w:t>)</w:t>
      </w:r>
      <w:r>
        <w:t xml:space="preserve">(3). For adjustments that result in an increase or decrease of more than 1.5% from the most recently certified capitation rates for any rate cell, states will need to submit a rate amendment and contract amendment. </w:t>
      </w:r>
      <w:r w:rsidRPr="009A41D3">
        <w:rPr>
          <w:rStyle w:val="Emphasis"/>
        </w:rPr>
        <w:t>[Section I.</w:t>
      </w:r>
      <w:r>
        <w:rPr>
          <w:rStyle w:val="Emphasis"/>
        </w:rPr>
        <w:t>1</w:t>
      </w:r>
      <w:r w:rsidRPr="009A41D3">
        <w:rPr>
          <w:rStyle w:val="Emphasis"/>
        </w:rPr>
        <w:t>.</w:t>
      </w:r>
      <w:r>
        <w:rPr>
          <w:rStyle w:val="Emphasis"/>
        </w:rPr>
        <w:t>A.xiii</w:t>
      </w:r>
      <w:r w:rsidRPr="009A41D3">
        <w:rPr>
          <w:rStyle w:val="Emphasis"/>
        </w:rPr>
        <w:t>]</w:t>
      </w:r>
    </w:p>
    <w:p w14:paraId="7EB7D131" w14:textId="13C276B4" w:rsidR="00024FD0" w:rsidRDefault="00024FD0" w:rsidP="00981F8E">
      <w:r>
        <w:t>If the state increases or decreases the capitation rates per rate cell within the certified rate range (up to 1%), the state must submit a contract amendment to effectuate any rate adjustment as the final capitation rates must be specifically identified in the managed care plan contracts.</w:t>
      </w:r>
    </w:p>
    <w:p w14:paraId="014F4F80" w14:textId="5AD028BD" w:rsidR="00981F8E" w:rsidRDefault="00933964" w:rsidP="00981F8E">
      <w:r>
        <w:t>Additionally, a state must submit a contract amendment and rate amendment to adjust capitation rates to address changes in applicable law or losses of program authority.</w:t>
      </w:r>
      <w:commentRangeEnd w:id="14"/>
      <w:r w:rsidR="00733321">
        <w:rPr>
          <w:rStyle w:val="CommentReference"/>
        </w:rPr>
        <w:commentReference w:id="14"/>
      </w:r>
    </w:p>
    <w:p w14:paraId="34FEE0EE" w14:textId="3F801D5A" w:rsidR="00981F8E" w:rsidRDefault="00981F8E" w:rsidP="0003475D">
      <w:pPr>
        <w:pStyle w:val="Heading2"/>
      </w:pPr>
      <w:r>
        <w:t>6. Rate development standards for Section II and Section III</w:t>
      </w:r>
    </w:p>
    <w:p w14:paraId="30F2E049" w14:textId="6804FAD2" w:rsidR="00981F8E" w:rsidRDefault="0003475D" w:rsidP="00981F8E">
      <w:r>
        <w:t xml:space="preserve">All general rate development standards outlined in Section I of the rate development guide apply to Section II and Section III. CMS acknowledges that the Section II and Section III are for additional guidance that is specific to </w:t>
      </w:r>
      <w:r w:rsidR="00365472">
        <w:t>rate development for long-term services and supports (LTSS) and new adult group, respectively.</w:t>
      </w:r>
      <w:r w:rsidR="00024FD0">
        <w:t xml:space="preserve"> </w:t>
      </w:r>
      <w:r w:rsidR="00024FD0" w:rsidRPr="009A41D3">
        <w:rPr>
          <w:rStyle w:val="Emphasis"/>
        </w:rPr>
        <w:t>[Section I</w:t>
      </w:r>
      <w:r w:rsidR="00024FD0">
        <w:rPr>
          <w:rStyle w:val="Emphasis"/>
        </w:rPr>
        <w:t xml:space="preserve">I Introduction] &amp; </w:t>
      </w:r>
      <w:r w:rsidR="00024FD0" w:rsidRPr="009A41D3">
        <w:rPr>
          <w:rStyle w:val="Emphasis"/>
        </w:rPr>
        <w:t>[Section I</w:t>
      </w:r>
      <w:r w:rsidR="00024FD0">
        <w:rPr>
          <w:rStyle w:val="Emphasis"/>
        </w:rPr>
        <w:t>II Introduction]</w:t>
      </w:r>
    </w:p>
    <w:p w14:paraId="1DC1486A" w14:textId="26EA38C5" w:rsidR="0003475D" w:rsidRDefault="00365472" w:rsidP="00981F8E">
      <w:r>
        <w:t xml:space="preserve">This confirms that no duplication of documentation is necessary in Section II and Section III. </w:t>
      </w:r>
    </w:p>
    <w:p w14:paraId="2D0D2E78" w14:textId="68569F69" w:rsidR="00981F8E" w:rsidRDefault="00981F8E" w:rsidP="0003475D">
      <w:pPr>
        <w:pStyle w:val="Heading2"/>
      </w:pPr>
      <w:r>
        <w:t xml:space="preserve">8. </w:t>
      </w:r>
      <w:r w:rsidR="00CC7302">
        <w:t xml:space="preserve">Risk </w:t>
      </w:r>
      <w:r w:rsidR="0003475D">
        <w:t>mitigation documentation for New Adult Group</w:t>
      </w:r>
    </w:p>
    <w:p w14:paraId="0407240F" w14:textId="3691A2A5" w:rsidR="00981F8E" w:rsidRDefault="0003475D" w:rsidP="0003475D">
      <w:r>
        <w:t xml:space="preserve">CMS added language to stress that risk sharing arrangements must be documented in the contract and rate certification documents for the rating period prior to the start of the rating period, in accordance with 42 C.F.R </w:t>
      </w:r>
      <w:r w:rsidRPr="00C30615">
        <w:t>§ 438.6(</w:t>
      </w:r>
      <w:r>
        <w:t>b</w:t>
      </w:r>
      <w:r w:rsidRPr="00C30615">
        <w:t>)</w:t>
      </w:r>
      <w:r>
        <w:t>. These arrangements must be developed in accordance with § 438.4, the rate development standards in § 438.5, and generally accepted actuarial principles and practices.</w:t>
      </w:r>
      <w:r w:rsidR="00024FD0">
        <w:t xml:space="preserve"> </w:t>
      </w:r>
      <w:r w:rsidR="00024FD0" w:rsidRPr="009A41D3">
        <w:rPr>
          <w:rStyle w:val="Emphasis"/>
        </w:rPr>
        <w:t>[Section I</w:t>
      </w:r>
      <w:r w:rsidR="00024FD0">
        <w:rPr>
          <w:rStyle w:val="Emphasis"/>
        </w:rPr>
        <w:t>II.5.A]</w:t>
      </w:r>
    </w:p>
    <w:p w14:paraId="37851A44" w14:textId="5CB92A36" w:rsidR="0003475D" w:rsidRDefault="0003475D" w:rsidP="00981F8E">
      <w:r>
        <w:t>CMS emphasizes that risk-sharing mechanism may not be added or modified after the start of the rating period.</w:t>
      </w:r>
    </w:p>
    <w:p w14:paraId="4D052855" w14:textId="77777777" w:rsidR="00DA72A2" w:rsidRDefault="00DA72A2" w:rsidP="00DA72A2"/>
    <w:p w14:paraId="40999F89" w14:textId="0233B2FE" w:rsidR="0097337C" w:rsidRDefault="0097337C">
      <w:r>
        <w:br w:type="page"/>
      </w:r>
    </w:p>
    <w:p w14:paraId="35B32845" w14:textId="77777777" w:rsidR="0097337C" w:rsidRPr="00DA72A2" w:rsidRDefault="0097337C" w:rsidP="0097337C">
      <w:pPr>
        <w:rPr>
          <w:b/>
          <w:bCs/>
        </w:rPr>
      </w:pPr>
      <w:r w:rsidRPr="00DA72A2">
        <w:rPr>
          <w:b/>
          <w:bCs/>
        </w:rPr>
        <w:lastRenderedPageBreak/>
        <w:t>OUTLINE</w:t>
      </w:r>
    </w:p>
    <w:p w14:paraId="351CB2B5" w14:textId="77777777" w:rsidR="0097337C" w:rsidRDefault="0097337C" w:rsidP="0097337C">
      <w:r>
        <w:t>Key Changes</w:t>
      </w:r>
    </w:p>
    <w:p w14:paraId="290090A3" w14:textId="77777777" w:rsidR="0097337C" w:rsidRDefault="0097337C" w:rsidP="0097337C">
      <w:pPr>
        <w:pStyle w:val="ListParagraph"/>
        <w:numPr>
          <w:ilvl w:val="0"/>
          <w:numId w:val="1"/>
        </w:numPr>
      </w:pPr>
      <w:r>
        <w:t>Rate ranges permissible</w:t>
      </w:r>
    </w:p>
    <w:p w14:paraId="15B9909D" w14:textId="77777777" w:rsidR="0097337C" w:rsidRDefault="0097337C" w:rsidP="0097337C">
      <w:pPr>
        <w:pStyle w:val="ListParagraph"/>
        <w:numPr>
          <w:ilvl w:val="0"/>
          <w:numId w:val="1"/>
        </w:numPr>
      </w:pPr>
      <w:r>
        <w:t>Documentation of COVID-19 impact</w:t>
      </w:r>
    </w:p>
    <w:p w14:paraId="0AED90E2" w14:textId="77777777" w:rsidR="0097337C" w:rsidRDefault="0097337C" w:rsidP="0097337C">
      <w:pPr>
        <w:pStyle w:val="ListParagraph"/>
        <w:numPr>
          <w:ilvl w:val="1"/>
          <w:numId w:val="1"/>
        </w:numPr>
      </w:pPr>
      <w:r>
        <w:rPr>
          <w:rFonts w:eastAsia="Times New Roman" w:cs="Arial"/>
          <w:szCs w:val="20"/>
        </w:rPr>
        <w:t xml:space="preserve">CMS recommending </w:t>
      </w:r>
      <w:proofErr w:type="gramStart"/>
      <w:r>
        <w:rPr>
          <w:rFonts w:eastAsia="Times New Roman" w:cs="Arial"/>
          <w:szCs w:val="20"/>
        </w:rPr>
        <w:t>2 sided</w:t>
      </w:r>
      <w:proofErr w:type="gramEnd"/>
      <w:r>
        <w:rPr>
          <w:rFonts w:eastAsia="Times New Roman" w:cs="Arial"/>
          <w:szCs w:val="20"/>
        </w:rPr>
        <w:t xml:space="preserve"> risk mitigation strategy for all PHE impacted periods</w:t>
      </w:r>
    </w:p>
    <w:p w14:paraId="56DBEA45" w14:textId="77777777" w:rsidR="0097337C" w:rsidRDefault="0097337C" w:rsidP="0097337C">
      <w:pPr>
        <w:pStyle w:val="ListParagraph"/>
        <w:numPr>
          <w:ilvl w:val="0"/>
          <w:numId w:val="1"/>
        </w:numPr>
        <w:spacing w:after="0" w:line="240" w:lineRule="auto"/>
        <w:contextualSpacing w:val="0"/>
        <w:rPr>
          <w:rFonts w:cs="Arial"/>
          <w:szCs w:val="20"/>
        </w:rPr>
      </w:pPr>
      <w:r>
        <w:rPr>
          <w:rFonts w:cs="Arial"/>
          <w:szCs w:val="20"/>
        </w:rPr>
        <w:t>Added clarifying language on varying rates based on FFP</w:t>
      </w:r>
    </w:p>
    <w:p w14:paraId="4DB72D6F" w14:textId="77777777" w:rsidR="0097337C" w:rsidRDefault="0097337C" w:rsidP="0097337C">
      <w:pPr>
        <w:pStyle w:val="ListParagraph"/>
        <w:numPr>
          <w:ilvl w:val="1"/>
          <w:numId w:val="1"/>
        </w:numPr>
      </w:pPr>
      <w:r>
        <w:t>Stronger language</w:t>
      </w:r>
    </w:p>
    <w:p w14:paraId="0756E966" w14:textId="77777777" w:rsidR="0097337C" w:rsidRPr="00621772" w:rsidRDefault="0097337C" w:rsidP="0097337C">
      <w:pPr>
        <w:pStyle w:val="ListParagraph"/>
        <w:numPr>
          <w:ilvl w:val="0"/>
          <w:numId w:val="1"/>
        </w:numPr>
      </w:pPr>
      <w:r>
        <w:rPr>
          <w:rFonts w:cs="Arial"/>
          <w:szCs w:val="20"/>
        </w:rPr>
        <w:t xml:space="preserve">Section I.4.D. </w:t>
      </w:r>
      <w:r w:rsidRPr="0079288B">
        <w:rPr>
          <w:rFonts w:cs="Arial"/>
          <w:szCs w:val="20"/>
        </w:rPr>
        <w:t xml:space="preserve">Delivery System </w:t>
      </w:r>
      <w:r>
        <w:rPr>
          <w:rFonts w:cs="Arial"/>
          <w:szCs w:val="20"/>
        </w:rPr>
        <w:t xml:space="preserve">and </w:t>
      </w:r>
      <w:r w:rsidRPr="0079288B">
        <w:rPr>
          <w:rFonts w:cs="Arial"/>
          <w:szCs w:val="20"/>
        </w:rPr>
        <w:t xml:space="preserve">Provider Payment Initiatives </w:t>
      </w:r>
      <w:r>
        <w:rPr>
          <w:rFonts w:cs="Arial"/>
          <w:szCs w:val="20"/>
        </w:rPr>
        <w:br/>
      </w:r>
      <w:r w:rsidRPr="00621772">
        <w:rPr>
          <w:rFonts w:cs="Arial"/>
          <w:szCs w:val="20"/>
        </w:rPr>
        <w:sym w:font="Wingdings" w:char="F0E0"/>
      </w:r>
      <w:r>
        <w:rPr>
          <w:rFonts w:cs="Arial"/>
          <w:szCs w:val="20"/>
        </w:rPr>
        <w:t xml:space="preserve"> Section I.4.D</w:t>
      </w:r>
      <w:r w:rsidRPr="0079288B">
        <w:rPr>
          <w:rFonts w:cs="Arial"/>
          <w:szCs w:val="20"/>
        </w:rPr>
        <w:t xml:space="preserve"> State Directed Payments</w:t>
      </w:r>
    </w:p>
    <w:p w14:paraId="2C449B03" w14:textId="77777777" w:rsidR="0097337C" w:rsidRDefault="0097337C" w:rsidP="0097337C">
      <w:pPr>
        <w:pStyle w:val="ListParagraph"/>
        <w:numPr>
          <w:ilvl w:val="1"/>
          <w:numId w:val="1"/>
        </w:numPr>
      </w:pPr>
      <w:r>
        <w:t>Directed payments to be reported with more documentation (i.e. descriptions in body of report AND prescribed tables)</w:t>
      </w:r>
    </w:p>
    <w:p w14:paraId="5EFB9B54" w14:textId="77777777" w:rsidR="0097337C" w:rsidRDefault="0097337C" w:rsidP="0097337C">
      <w:pPr>
        <w:pStyle w:val="ListParagraph"/>
        <w:numPr>
          <w:ilvl w:val="1"/>
          <w:numId w:val="1"/>
        </w:numPr>
      </w:pPr>
      <w:r>
        <w:t>Align with new preprint</w:t>
      </w:r>
    </w:p>
    <w:p w14:paraId="7582CC2A" w14:textId="77777777" w:rsidR="0097337C" w:rsidRDefault="0097337C" w:rsidP="0097337C">
      <w:pPr>
        <w:pStyle w:val="ListParagraph"/>
        <w:numPr>
          <w:ilvl w:val="0"/>
          <w:numId w:val="1"/>
        </w:numPr>
      </w:pPr>
      <w:r>
        <w:t>Section I.4.E Pass-Through Payments</w:t>
      </w:r>
    </w:p>
    <w:p w14:paraId="35DF619E" w14:textId="77777777" w:rsidR="0097337C" w:rsidRDefault="0097337C" w:rsidP="0097337C">
      <w:pPr>
        <w:pStyle w:val="ListParagraph"/>
        <w:numPr>
          <w:ilvl w:val="1"/>
          <w:numId w:val="1"/>
        </w:numPr>
      </w:pPr>
      <w:r>
        <w:t>Allowable pass through payments for states transitioning services or populations from FFS to managed care</w:t>
      </w:r>
    </w:p>
    <w:p w14:paraId="55B0B5B3" w14:textId="77777777" w:rsidR="0097337C" w:rsidRDefault="0097337C" w:rsidP="0097337C">
      <w:pPr>
        <w:pStyle w:val="ListParagraph"/>
        <w:numPr>
          <w:ilvl w:val="1"/>
          <w:numId w:val="1"/>
        </w:numPr>
      </w:pPr>
      <w:r>
        <w:t>Documentation of financing mechanism in alignment with new preprint</w:t>
      </w:r>
      <w:r>
        <w:br/>
      </w:r>
      <w:hyperlink r:id="rId10" w:history="1">
        <w:r w:rsidRPr="00AF5F26">
          <w:rPr>
            <w:rStyle w:val="Hyperlink"/>
          </w:rPr>
          <w:t>https://www.medicaid.gov/medicaid/managed-care/downloads/sdp-4386c-preprint-template.pdf</w:t>
        </w:r>
      </w:hyperlink>
    </w:p>
    <w:p w14:paraId="773782EB" w14:textId="77777777" w:rsidR="0097337C" w:rsidRDefault="0097337C" w:rsidP="0097337C"/>
    <w:p w14:paraId="27A66AFB" w14:textId="77777777" w:rsidR="0097337C" w:rsidRDefault="0097337C" w:rsidP="0097337C">
      <w:r>
        <w:t>Clarifying Items</w:t>
      </w:r>
    </w:p>
    <w:p w14:paraId="3662F188" w14:textId="77777777" w:rsidR="0097337C" w:rsidRDefault="0097337C" w:rsidP="0097337C">
      <w:pPr>
        <w:pStyle w:val="ListParagraph"/>
        <w:numPr>
          <w:ilvl w:val="0"/>
          <w:numId w:val="1"/>
        </w:numPr>
      </w:pPr>
      <w:r>
        <w:t>2020 Final Medicaid and CHIP Managed Care Rule</w:t>
      </w:r>
    </w:p>
    <w:p w14:paraId="0CD8B9CA" w14:textId="77777777" w:rsidR="0097337C" w:rsidRPr="00CD1DD4" w:rsidRDefault="0097337C" w:rsidP="0097337C">
      <w:pPr>
        <w:pStyle w:val="ListParagraph"/>
        <w:numPr>
          <w:ilvl w:val="0"/>
          <w:numId w:val="1"/>
        </w:numPr>
        <w:spacing w:after="0" w:line="240" w:lineRule="auto"/>
        <w:contextualSpacing w:val="0"/>
        <w:rPr>
          <w:rFonts w:cs="Arial"/>
          <w:szCs w:val="20"/>
        </w:rPr>
      </w:pPr>
      <w:r>
        <w:rPr>
          <w:rFonts w:cs="Arial"/>
          <w:szCs w:val="20"/>
        </w:rPr>
        <w:t>More language about ensuring compliance with 42 CFR 438.4 and 7</w:t>
      </w:r>
    </w:p>
    <w:p w14:paraId="715C2384" w14:textId="77777777" w:rsidR="0097337C" w:rsidRDefault="0097337C" w:rsidP="0097337C">
      <w:pPr>
        <w:pStyle w:val="ListParagraph"/>
        <w:numPr>
          <w:ilvl w:val="0"/>
          <w:numId w:val="1"/>
        </w:numPr>
        <w:spacing w:after="0" w:line="240" w:lineRule="auto"/>
        <w:contextualSpacing w:val="0"/>
        <w:rPr>
          <w:rFonts w:cs="Arial"/>
          <w:szCs w:val="20"/>
        </w:rPr>
      </w:pPr>
      <w:r>
        <w:rPr>
          <w:rFonts w:cs="Arial"/>
          <w:szCs w:val="20"/>
        </w:rPr>
        <w:t>Removal of language around time periods other than 12 months</w:t>
      </w:r>
    </w:p>
    <w:p w14:paraId="76CB7470" w14:textId="77777777" w:rsidR="0097337C" w:rsidRDefault="0097337C" w:rsidP="0097337C">
      <w:pPr>
        <w:pStyle w:val="ListParagraph"/>
        <w:numPr>
          <w:ilvl w:val="0"/>
          <w:numId w:val="1"/>
        </w:numPr>
        <w:spacing w:after="0" w:line="240" w:lineRule="auto"/>
        <w:contextualSpacing w:val="0"/>
        <w:rPr>
          <w:rFonts w:cs="Arial"/>
          <w:szCs w:val="20"/>
        </w:rPr>
      </w:pPr>
      <w:r>
        <w:rPr>
          <w:rFonts w:cs="Arial"/>
          <w:szCs w:val="20"/>
        </w:rPr>
        <w:t>De minimis requirement for retroactive adjustments, reconciliations</w:t>
      </w:r>
    </w:p>
    <w:p w14:paraId="763EE5B2" w14:textId="77777777" w:rsidR="0097337C" w:rsidRDefault="0097337C" w:rsidP="0097337C">
      <w:pPr>
        <w:pStyle w:val="ListParagraph"/>
        <w:numPr>
          <w:ilvl w:val="1"/>
          <w:numId w:val="1"/>
        </w:numPr>
        <w:spacing w:after="0" w:line="240" w:lineRule="auto"/>
        <w:contextualSpacing w:val="0"/>
        <w:rPr>
          <w:rFonts w:cs="Arial"/>
          <w:szCs w:val="20"/>
        </w:rPr>
      </w:pPr>
      <w:r>
        <w:rPr>
          <w:rFonts w:cs="Arial"/>
          <w:szCs w:val="20"/>
        </w:rPr>
        <w:t xml:space="preserve">Retroactive rate adjustments can be submitted </w:t>
      </w:r>
      <w:proofErr w:type="spellStart"/>
      <w:r>
        <w:rPr>
          <w:rFonts w:cs="Arial"/>
          <w:szCs w:val="20"/>
        </w:rPr>
        <w:t>a</w:t>
      </w:r>
      <w:proofErr w:type="spellEnd"/>
      <w:r>
        <w:rPr>
          <w:rFonts w:cs="Arial"/>
          <w:szCs w:val="20"/>
        </w:rPr>
        <w:t xml:space="preserve"> either a rate amendment or new rate certification</w:t>
      </w:r>
    </w:p>
    <w:p w14:paraId="65FEC4FD" w14:textId="77777777" w:rsidR="0097337C" w:rsidRDefault="0097337C" w:rsidP="0097337C">
      <w:pPr>
        <w:pStyle w:val="ListParagraph"/>
        <w:numPr>
          <w:ilvl w:val="0"/>
          <w:numId w:val="1"/>
        </w:numPr>
      </w:pPr>
      <w:r>
        <w:t>New footnotes pertaining to when a rate amendment AND contract amendment is required</w:t>
      </w:r>
    </w:p>
    <w:p w14:paraId="79D80A54" w14:textId="77777777" w:rsidR="0097337C" w:rsidRDefault="0097337C" w:rsidP="0097337C">
      <w:pPr>
        <w:pStyle w:val="ListParagraph"/>
        <w:numPr>
          <w:ilvl w:val="0"/>
          <w:numId w:val="1"/>
        </w:numPr>
      </w:pPr>
      <w:r>
        <w:t>References to HIF are removed</w:t>
      </w:r>
    </w:p>
    <w:p w14:paraId="70113259" w14:textId="77777777" w:rsidR="0097337C" w:rsidRDefault="0097337C" w:rsidP="0097337C">
      <w:pPr>
        <w:pStyle w:val="ListParagraph"/>
        <w:numPr>
          <w:ilvl w:val="0"/>
          <w:numId w:val="1"/>
        </w:numPr>
      </w:pPr>
      <w:r>
        <w:t>All general rate development standards outlined in Section I apply to Section II and Section III.</w:t>
      </w:r>
    </w:p>
    <w:p w14:paraId="5EC567A8" w14:textId="77777777" w:rsidR="0097337C" w:rsidRDefault="0097337C" w:rsidP="0097337C">
      <w:pPr>
        <w:pStyle w:val="ListParagraph"/>
        <w:numPr>
          <w:ilvl w:val="0"/>
          <w:numId w:val="1"/>
        </w:numPr>
      </w:pPr>
      <w:r>
        <w:t>Risk sharing mechanisms must be documented on the contract and rate certification prior to the start of rating period – may not be added after start of the rating period.</w:t>
      </w:r>
    </w:p>
    <w:p w14:paraId="56268474" w14:textId="77777777" w:rsidR="0097337C" w:rsidRDefault="0097337C" w:rsidP="0097337C">
      <w:pPr>
        <w:pStyle w:val="ListParagraph"/>
        <w:numPr>
          <w:ilvl w:val="1"/>
          <w:numId w:val="1"/>
        </w:numPr>
      </w:pPr>
      <w:r>
        <w:t>Harsher language likely due to enhanced FFP</w:t>
      </w:r>
    </w:p>
    <w:p w14:paraId="1EB4299D" w14:textId="77777777" w:rsidR="0097337C" w:rsidRDefault="0097337C" w:rsidP="0097337C">
      <w:pPr>
        <w:pStyle w:val="ListParagraph"/>
        <w:numPr>
          <w:ilvl w:val="0"/>
          <w:numId w:val="1"/>
        </w:numPr>
      </w:pPr>
      <w:r>
        <w:t>Additional clarifying language in Appendix A</w:t>
      </w:r>
    </w:p>
    <w:p w14:paraId="00AD2CDA" w14:textId="77777777" w:rsidR="0097337C" w:rsidRDefault="0097337C" w:rsidP="0097337C">
      <w:pPr>
        <w:pStyle w:val="ListParagraph"/>
        <w:numPr>
          <w:ilvl w:val="1"/>
          <w:numId w:val="1"/>
        </w:numPr>
      </w:pPr>
      <w:r>
        <w:t>Additional detail in non-benefit cost table</w:t>
      </w:r>
    </w:p>
    <w:p w14:paraId="0E9E5F3F" w14:textId="77777777" w:rsidR="0097337C" w:rsidRDefault="0097337C" w:rsidP="0097337C"/>
    <w:p w14:paraId="6CB8A244" w14:textId="77777777" w:rsidR="0097337C" w:rsidRDefault="0097337C" w:rsidP="0097337C"/>
    <w:p w14:paraId="14665AB9" w14:textId="4524C8C8" w:rsidR="00DA72A2" w:rsidRDefault="00DA72A2" w:rsidP="00DA72A2"/>
    <w:sectPr w:rsidR="00DA72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ckenzie Egan" w:date="2021-06-27T09:25:00Z" w:initials="M">
    <w:p w14:paraId="7DF22347" w14:textId="74DF0D10" w:rsidR="00515805" w:rsidRDefault="00515805">
      <w:pPr>
        <w:pStyle w:val="CommentText"/>
      </w:pPr>
      <w:r>
        <w:rPr>
          <w:rStyle w:val="CommentReference"/>
        </w:rPr>
        <w:annotationRef/>
      </w:r>
      <w:r>
        <w:t>Link this. Also probably need to spell out CMCS even though its not in the guide itself</w:t>
      </w:r>
    </w:p>
  </w:comment>
  <w:comment w:id="1" w:author="Justin Chow" w:date="2021-06-26T12:17:00Z" w:initials="JC">
    <w:p w14:paraId="4B46BD44" w14:textId="5CBB7442" w:rsidR="00C301B8" w:rsidRDefault="00C301B8">
      <w:pPr>
        <w:pStyle w:val="CommentText"/>
      </w:pPr>
      <w:r>
        <w:rPr>
          <w:rStyle w:val="CommentReference"/>
        </w:rPr>
        <w:annotationRef/>
      </w:r>
      <w:r w:rsidR="0097337C">
        <w:t xml:space="preserve">Confirm my understanding: </w:t>
      </w:r>
      <w:r>
        <w:t>I’m going to give you extra money so you don’t lose capacity (i.e. lay off providers), but then I’m going to look at your year-end MLR and recapture all the money you didn’t spend on medical treatments.</w:t>
      </w:r>
    </w:p>
  </w:comment>
  <w:comment w:id="2" w:author="Mackenzie Egan" w:date="2021-06-27T09:33:00Z" w:initials="M">
    <w:p w14:paraId="0821B63A" w14:textId="64841AA1" w:rsidR="002E2F9E" w:rsidRDefault="002E2F9E">
      <w:pPr>
        <w:pStyle w:val="CommentText"/>
      </w:pPr>
      <w:r>
        <w:rPr>
          <w:rStyle w:val="CommentReference"/>
        </w:rPr>
        <w:annotationRef/>
      </w:r>
      <w:r>
        <w:t>Yeah basically</w:t>
      </w:r>
    </w:p>
  </w:comment>
  <w:comment w:id="3" w:author="Justin Chow" w:date="2021-06-26T12:21:00Z" w:initials="JC">
    <w:p w14:paraId="188611E2" w14:textId="7292EECB" w:rsidR="006A2F40" w:rsidRDefault="006A2F40">
      <w:pPr>
        <w:pStyle w:val="CommentText"/>
      </w:pPr>
      <w:r>
        <w:rPr>
          <w:rStyle w:val="CommentReference"/>
        </w:rPr>
        <w:annotationRef/>
      </w:r>
      <w:r>
        <w:t xml:space="preserve">I understand the concept of no </w:t>
      </w:r>
      <w:proofErr w:type="spellStart"/>
      <w:r>
        <w:t>takesies-backsies</w:t>
      </w:r>
      <w:proofErr w:type="spellEnd"/>
      <w:r>
        <w:t>, but what if the rates are not finalized prior to the start of the rating period?</w:t>
      </w:r>
    </w:p>
  </w:comment>
  <w:comment w:id="4" w:author="Justin Chow" w:date="2021-06-26T14:21:00Z" w:initials="JC">
    <w:p w14:paraId="7D6F87F0" w14:textId="7783FDF8" w:rsidR="00CC7302" w:rsidRDefault="00CC7302">
      <w:pPr>
        <w:pStyle w:val="CommentText"/>
      </w:pPr>
      <w:r>
        <w:rPr>
          <w:rStyle w:val="CommentReference"/>
        </w:rPr>
        <w:annotationRef/>
      </w:r>
      <w:r>
        <w:t xml:space="preserve">This language is also </w:t>
      </w:r>
      <w:r w:rsidR="0003475D">
        <w:t xml:space="preserve">present </w:t>
      </w:r>
      <w:r>
        <w:t xml:space="preserve">in Section III.5.A. </w:t>
      </w:r>
      <w:r w:rsidR="0003475D">
        <w:t>It’s slightly more detailed there, but we could consider rolling it into here.</w:t>
      </w:r>
    </w:p>
  </w:comment>
  <w:comment w:id="5" w:author="Mackenzie Egan" w:date="2021-06-27T09:28:00Z" w:initials="M">
    <w:p w14:paraId="5956074A" w14:textId="7DD7ABFB" w:rsidR="00515805" w:rsidRDefault="00515805">
      <w:pPr>
        <w:pStyle w:val="CommentText"/>
      </w:pPr>
      <w:r>
        <w:rPr>
          <w:rStyle w:val="CommentReference"/>
        </w:rPr>
        <w:annotationRef/>
      </w:r>
      <w:r>
        <w:t>I think this is more for going forward and there is less uncertainty about COVID impacts now than there was before so not as big of a deal? I’m sure there are ways around it as well</w:t>
      </w:r>
    </w:p>
  </w:comment>
  <w:comment w:id="6" w:author="Mackenzie Egan" w:date="2021-06-27T09:30:00Z" w:initials="M">
    <w:p w14:paraId="55EDB890" w14:textId="27EF445C" w:rsidR="00515805" w:rsidRDefault="00515805">
      <w:pPr>
        <w:pStyle w:val="CommentText"/>
      </w:pPr>
      <w:r>
        <w:rPr>
          <w:rStyle w:val="CommentReference"/>
        </w:rPr>
        <w:annotationRef/>
      </w:r>
      <w:r>
        <w:t>Also just read in the bulletin that they are allowing retroactive implementation for COVID related things</w:t>
      </w:r>
    </w:p>
  </w:comment>
  <w:comment w:id="7" w:author="Justin Chow" w:date="2021-06-26T12:56:00Z" w:initials="JC">
    <w:p w14:paraId="3CEC5239" w14:textId="00A06071" w:rsidR="00655536" w:rsidRDefault="00655536">
      <w:pPr>
        <w:pStyle w:val="CommentText"/>
      </w:pPr>
      <w:r>
        <w:rPr>
          <w:rStyle w:val="CommentReference"/>
        </w:rPr>
        <w:annotationRef/>
      </w:r>
      <w:r>
        <w:t>The language is much stronger than previous rate guide. The punitive documentation requirements suggest that CMS is cracking down on bad actors. Do we have examples of how this bad behavior previously passed muster?</w:t>
      </w:r>
    </w:p>
  </w:comment>
  <w:comment w:id="8" w:author="Mackenzie Egan" w:date="2021-06-27T09:35:00Z" w:initials="M">
    <w:p w14:paraId="1C907F56" w14:textId="1B4F46B9" w:rsidR="002E2F9E" w:rsidRDefault="002E2F9E">
      <w:pPr>
        <w:pStyle w:val="CommentText"/>
      </w:pPr>
      <w:r>
        <w:rPr>
          <w:rStyle w:val="CommentReference"/>
        </w:rPr>
        <w:annotationRef/>
      </w:r>
      <w:r>
        <w:t>I think this would be really good to include if we can find one</w:t>
      </w:r>
    </w:p>
  </w:comment>
  <w:comment w:id="9" w:author="Justin Chow" w:date="2021-06-26T13:29:00Z" w:initials="JC">
    <w:p w14:paraId="17E78AA4" w14:textId="25F0CC97" w:rsidR="00C30615" w:rsidRDefault="00C30615">
      <w:pPr>
        <w:pStyle w:val="CommentText"/>
      </w:pPr>
      <w:r>
        <w:rPr>
          <w:rStyle w:val="CommentReference"/>
        </w:rPr>
        <w:annotationRef/>
      </w:r>
      <w:r>
        <w:t>I could use a primer on what’s going on here. I think I understand the idea behind state directed payments (SDPs) but have no clue how it’s implemented. I gather that a preprint that defines the SDP get submitted in a separate process, and then gets included in this section – but only when written prior approval is obtained.</w:t>
      </w:r>
    </w:p>
    <w:p w14:paraId="21E57AE6" w14:textId="7BA88C50" w:rsidR="00304039" w:rsidRDefault="00304039">
      <w:pPr>
        <w:pStyle w:val="CommentText"/>
      </w:pPr>
    </w:p>
    <w:p w14:paraId="0C1BD333" w14:textId="0C872FA3" w:rsidR="00304039" w:rsidRDefault="00304039">
      <w:pPr>
        <w:pStyle w:val="CommentText"/>
      </w:pPr>
      <w:r>
        <w:t>Also, could use an explanation of treating SDP as an adjustment in cap rates VS separate payment term.</w:t>
      </w:r>
    </w:p>
    <w:p w14:paraId="2D803C5C" w14:textId="77777777" w:rsidR="00C30615" w:rsidRDefault="00C30615">
      <w:pPr>
        <w:pStyle w:val="CommentText"/>
      </w:pPr>
    </w:p>
    <w:p w14:paraId="5041030A" w14:textId="40E8C659" w:rsidR="00C30615" w:rsidRDefault="00C30615">
      <w:pPr>
        <w:pStyle w:val="CommentText"/>
      </w:pPr>
      <w:r>
        <w:t>May be helpful to contrast this with a pass-through payment, which I have some prior experience with when working on MMD.</w:t>
      </w:r>
    </w:p>
  </w:comment>
  <w:comment w:id="10" w:author="Justin Chow" w:date="2021-06-26T13:59:00Z" w:initials="JC">
    <w:p w14:paraId="5B51D5B2" w14:textId="1E67F5C0" w:rsidR="001D3210" w:rsidRDefault="001D3210">
      <w:pPr>
        <w:pStyle w:val="CommentText"/>
      </w:pPr>
      <w:r>
        <w:rPr>
          <w:rStyle w:val="CommentReference"/>
        </w:rPr>
        <w:annotationRef/>
      </w:r>
      <w:r>
        <w:t>Opting not to include the tables, as it’s similar to information requested in prior rate guide. I feel an understanding of rate adjustment VS separate payment term would be beneficial here.</w:t>
      </w:r>
    </w:p>
  </w:comment>
  <w:comment w:id="11" w:author="Mackenzie Egan" w:date="2021-06-27T09:47:00Z" w:initials="M">
    <w:p w14:paraId="3F131FC4" w14:textId="0C1D8062" w:rsidR="00FA7C6A" w:rsidRDefault="00FA7C6A">
      <w:pPr>
        <w:pStyle w:val="CommentText"/>
      </w:pPr>
      <w:r>
        <w:rPr>
          <w:rStyle w:val="CommentReference"/>
        </w:rPr>
        <w:annotationRef/>
      </w:r>
      <w:r>
        <w:t xml:space="preserve">I think basically a rate adjustment would be like a minimum fee schedule so implemented into the cap rates as an adjustment factor or its already included in the base data. A separate payment term would be like a uniform dollar add on, developed as a PMPM add on to the cap rates. If you want to look at the KY rate cert that might be helpful: </w:t>
      </w:r>
      <w:r w:rsidRPr="00FA7C6A">
        <w:t>\\indy-fsrv-01.milliman.com\Health$\KYM\3.005-KYM07\yy-Deliverables\25-CY21 Final Certification Report ACR Methodology Approval</w:t>
      </w:r>
    </w:p>
  </w:comment>
  <w:comment w:id="12" w:author="Mackenzie Egan" w:date="2021-06-27T09:51:00Z" w:initials="M">
    <w:p w14:paraId="62D2F5E2" w14:textId="51C59094" w:rsidR="00FA7C6A" w:rsidRDefault="00FA7C6A">
      <w:pPr>
        <w:pStyle w:val="CommentText"/>
      </w:pPr>
      <w:r>
        <w:rPr>
          <w:rStyle w:val="CommentReference"/>
        </w:rPr>
        <w:annotationRef/>
      </w:r>
      <w:r>
        <w:t>What are you trying to say here?</w:t>
      </w:r>
    </w:p>
  </w:comment>
  <w:comment w:id="13" w:author="Justin Chow" w:date="2021-06-27T11:52:00Z" w:initials="JC">
    <w:p w14:paraId="1BDCD203" w14:textId="3B19E954" w:rsidR="00194FDC" w:rsidRDefault="00194FDC">
      <w:pPr>
        <w:pStyle w:val="CommentText"/>
      </w:pPr>
      <w:r>
        <w:rPr>
          <w:rStyle w:val="CommentReference"/>
        </w:rPr>
        <w:annotationRef/>
      </w:r>
      <w:r>
        <w:t>Rewrote the sentence – but still unsure if it’s true or should be included.</w:t>
      </w:r>
    </w:p>
  </w:comment>
  <w:comment w:id="15" w:author="Justin Chow" w:date="2021-06-26T14:51:00Z" w:initials="JC">
    <w:p w14:paraId="75D1CEB3" w14:textId="436B737B" w:rsidR="00933964" w:rsidRDefault="00933964">
      <w:pPr>
        <w:pStyle w:val="CommentText"/>
      </w:pPr>
      <w:r>
        <w:rPr>
          <w:rStyle w:val="CommentReference"/>
        </w:rPr>
        <w:annotationRef/>
      </w:r>
      <w:r>
        <w:t>This does subsection does not exist. Please confirm and provide guidance.</w:t>
      </w:r>
    </w:p>
  </w:comment>
  <w:comment w:id="16" w:author="Mackenzie Egan" w:date="2021-06-27T09:58:00Z" w:initials="M">
    <w:p w14:paraId="40B2376A" w14:textId="00D294A9" w:rsidR="00733321" w:rsidRDefault="00733321">
      <w:pPr>
        <w:pStyle w:val="CommentText"/>
      </w:pPr>
      <w:r>
        <w:rPr>
          <w:rStyle w:val="CommentReference"/>
        </w:rPr>
        <w:annotationRef/>
      </w:r>
      <w:r>
        <w:t xml:space="preserve">I think </w:t>
      </w:r>
      <w:proofErr w:type="spellStart"/>
      <w:r>
        <w:t>youre</w:t>
      </w:r>
      <w:proofErr w:type="spellEnd"/>
      <w:r>
        <w:t xml:space="preserve"> right I don’t see it either</w:t>
      </w:r>
    </w:p>
  </w:comment>
  <w:comment w:id="14" w:author="Mackenzie Egan" w:date="2021-06-27T09:58:00Z" w:initials="M">
    <w:p w14:paraId="299DD73C" w14:textId="5A72E4D5" w:rsidR="00733321" w:rsidRDefault="00733321">
      <w:pPr>
        <w:pStyle w:val="CommentText"/>
      </w:pPr>
      <w:r>
        <w:rPr>
          <w:rStyle w:val="CommentReference"/>
        </w:rPr>
        <w:annotationRef/>
      </w:r>
      <w:r>
        <w:t xml:space="preserve">I think we need to be careful not to be redundant here as I am already talking a little bit about amendments with respect to rate ranges. We may want to specify that we are discussing the footnotes and maybe not necessarily the Section? Thoughts?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F22347" w15:done="1"/>
  <w15:commentEx w15:paraId="4B46BD44" w15:done="0"/>
  <w15:commentEx w15:paraId="0821B63A" w15:paraIdParent="4B46BD44" w15:done="0"/>
  <w15:commentEx w15:paraId="188611E2" w15:done="0"/>
  <w15:commentEx w15:paraId="7D6F87F0" w15:paraIdParent="188611E2" w15:done="0"/>
  <w15:commentEx w15:paraId="5956074A" w15:paraIdParent="188611E2" w15:done="0"/>
  <w15:commentEx w15:paraId="55EDB890" w15:paraIdParent="188611E2" w15:done="0"/>
  <w15:commentEx w15:paraId="3CEC5239" w15:done="0"/>
  <w15:commentEx w15:paraId="1C907F56" w15:paraIdParent="3CEC5239" w15:done="0"/>
  <w15:commentEx w15:paraId="5041030A" w15:done="0"/>
  <w15:commentEx w15:paraId="5B51D5B2" w15:done="0"/>
  <w15:commentEx w15:paraId="3F131FC4" w15:paraIdParent="5B51D5B2" w15:done="0"/>
  <w15:commentEx w15:paraId="62D2F5E2" w15:done="0"/>
  <w15:commentEx w15:paraId="1BDCD203" w15:paraIdParent="62D2F5E2" w15:done="0"/>
  <w15:commentEx w15:paraId="75D1CEB3" w15:done="0"/>
  <w15:commentEx w15:paraId="40B2376A" w15:paraIdParent="75D1CEB3" w15:done="0"/>
  <w15:commentEx w15:paraId="299DD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2C299" w16cex:dateUtc="2021-06-27T13:25:00Z"/>
  <w16cex:commentExtensible w16cex:durableId="24819944" w16cex:dateUtc="2021-06-26T16:17:00Z"/>
  <w16cex:commentExtensible w16cex:durableId="2482C44E" w16cex:dateUtc="2021-06-27T13:33:00Z"/>
  <w16cex:commentExtensible w16cex:durableId="24819A32" w16cex:dateUtc="2021-06-26T16:21:00Z"/>
  <w16cex:commentExtensible w16cex:durableId="2481B671" w16cex:dateUtc="2021-06-26T18:21:00Z"/>
  <w16cex:commentExtensible w16cex:durableId="2482C350" w16cex:dateUtc="2021-06-27T13:28:00Z"/>
  <w16cex:commentExtensible w16cex:durableId="2482C3BD" w16cex:dateUtc="2021-06-27T13:30:00Z"/>
  <w16cex:commentExtensible w16cex:durableId="2481A28A" w16cex:dateUtc="2021-06-26T16:56:00Z"/>
  <w16cex:commentExtensible w16cex:durableId="2482C4F8" w16cex:dateUtc="2021-06-27T13:35:00Z"/>
  <w16cex:commentExtensible w16cex:durableId="2481AA1F" w16cex:dateUtc="2021-06-26T17:29:00Z"/>
  <w16cex:commentExtensible w16cex:durableId="2481B143" w16cex:dateUtc="2021-06-26T17:59:00Z"/>
  <w16cex:commentExtensible w16cex:durableId="2482C7BB" w16cex:dateUtc="2021-06-27T13:47:00Z"/>
  <w16cex:commentExtensible w16cex:durableId="2482C8AE" w16cex:dateUtc="2021-06-27T13:51:00Z"/>
  <w16cex:commentExtensible w16cex:durableId="2482E4FB" w16cex:dateUtc="2021-06-27T15:52:00Z"/>
  <w16cex:commentExtensible w16cex:durableId="2481BD6D" w16cex:dateUtc="2021-06-26T18:51:00Z"/>
  <w16cex:commentExtensible w16cex:durableId="2482CA2E" w16cex:dateUtc="2021-06-27T13:58:00Z"/>
  <w16cex:commentExtensible w16cex:durableId="2482CA3F" w16cex:dateUtc="2021-06-27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F22347" w16cid:durableId="2482C299"/>
  <w16cid:commentId w16cid:paraId="4B46BD44" w16cid:durableId="24819944"/>
  <w16cid:commentId w16cid:paraId="0821B63A" w16cid:durableId="2482C44E"/>
  <w16cid:commentId w16cid:paraId="188611E2" w16cid:durableId="24819A32"/>
  <w16cid:commentId w16cid:paraId="7D6F87F0" w16cid:durableId="2481B671"/>
  <w16cid:commentId w16cid:paraId="5956074A" w16cid:durableId="2482C350"/>
  <w16cid:commentId w16cid:paraId="55EDB890" w16cid:durableId="2482C3BD"/>
  <w16cid:commentId w16cid:paraId="3CEC5239" w16cid:durableId="2481A28A"/>
  <w16cid:commentId w16cid:paraId="1C907F56" w16cid:durableId="2482C4F8"/>
  <w16cid:commentId w16cid:paraId="5041030A" w16cid:durableId="2481AA1F"/>
  <w16cid:commentId w16cid:paraId="5B51D5B2" w16cid:durableId="2481B143"/>
  <w16cid:commentId w16cid:paraId="3F131FC4" w16cid:durableId="2482C7BB"/>
  <w16cid:commentId w16cid:paraId="62D2F5E2" w16cid:durableId="2482C8AE"/>
  <w16cid:commentId w16cid:paraId="1BDCD203" w16cid:durableId="2482E4FB"/>
  <w16cid:commentId w16cid:paraId="75D1CEB3" w16cid:durableId="2481BD6D"/>
  <w16cid:commentId w16cid:paraId="40B2376A" w16cid:durableId="2482CA2E"/>
  <w16cid:commentId w16cid:paraId="299DD73C" w16cid:durableId="2482CA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FFD"/>
    <w:multiLevelType w:val="hybridMultilevel"/>
    <w:tmpl w:val="AE742168"/>
    <w:lvl w:ilvl="0" w:tplc="1A7A00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0025F"/>
    <w:multiLevelType w:val="hybridMultilevel"/>
    <w:tmpl w:val="530E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27D4E"/>
    <w:multiLevelType w:val="hybridMultilevel"/>
    <w:tmpl w:val="F6A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kenzie Egan">
    <w15:presenceInfo w15:providerId="AD" w15:userId="S::Mackenzie.Egan@milliman.com::d648df04-b96e-4e5d-a5e2-e24348881120"/>
  </w15:person>
  <w15:person w15:author="Justin Chow">
    <w15:presenceInfo w15:providerId="AD" w15:userId="S::Justin.Chow@milliman.com::04533418-eb6f-48a7-a76f-10e7b9eab7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2"/>
    <w:rsid w:val="00024FD0"/>
    <w:rsid w:val="0003475D"/>
    <w:rsid w:val="00194FDC"/>
    <w:rsid w:val="001D3210"/>
    <w:rsid w:val="002079F5"/>
    <w:rsid w:val="002E2F9E"/>
    <w:rsid w:val="00304039"/>
    <w:rsid w:val="00335A16"/>
    <w:rsid w:val="00365472"/>
    <w:rsid w:val="004A4969"/>
    <w:rsid w:val="00506184"/>
    <w:rsid w:val="00515805"/>
    <w:rsid w:val="005649FC"/>
    <w:rsid w:val="00582918"/>
    <w:rsid w:val="005A2B47"/>
    <w:rsid w:val="00621772"/>
    <w:rsid w:val="00655536"/>
    <w:rsid w:val="006A2F40"/>
    <w:rsid w:val="00733321"/>
    <w:rsid w:val="00933964"/>
    <w:rsid w:val="0097337C"/>
    <w:rsid w:val="00981F8E"/>
    <w:rsid w:val="009A41D3"/>
    <w:rsid w:val="00C301B8"/>
    <w:rsid w:val="00C30615"/>
    <w:rsid w:val="00C31080"/>
    <w:rsid w:val="00CC7302"/>
    <w:rsid w:val="00D35435"/>
    <w:rsid w:val="00DA72A2"/>
    <w:rsid w:val="00E837D3"/>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7D4"/>
  <w15:chartTrackingRefBased/>
  <w15:docId w15:val="{D91BD2A8-AC2C-4BAB-85D6-0FD9F6E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F5"/>
    <w:pPr>
      <w:keepNext/>
      <w:keepLines/>
      <w:spacing w:before="240" w:after="0"/>
      <w:outlineLvl w:val="0"/>
    </w:pPr>
    <w:rPr>
      <w:rFonts w:eastAsiaTheme="majorEastAsia" w:cs="Arial"/>
      <w:b/>
      <w:bCs/>
      <w:color w:val="4472C4" w:themeColor="accent1"/>
      <w:sz w:val="28"/>
      <w:szCs w:val="28"/>
    </w:rPr>
  </w:style>
  <w:style w:type="paragraph" w:styleId="Heading2">
    <w:name w:val="heading 2"/>
    <w:basedOn w:val="Normal"/>
    <w:next w:val="Normal"/>
    <w:link w:val="Heading2Char"/>
    <w:uiPriority w:val="9"/>
    <w:unhideWhenUsed/>
    <w:qFormat/>
    <w:rsid w:val="00582918"/>
    <w:pPr>
      <w:keepNext/>
      <w:keepLines/>
      <w:spacing w:before="40" w:after="0"/>
      <w:outlineLvl w:val="1"/>
    </w:pPr>
    <w:rPr>
      <w:rFonts w:eastAsiaTheme="majorEastAsia" w:cs="Arial"/>
      <w:b/>
      <w:b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72"/>
    <w:pPr>
      <w:ind w:left="720"/>
      <w:contextualSpacing/>
    </w:pPr>
  </w:style>
  <w:style w:type="character" w:styleId="Hyperlink">
    <w:name w:val="Hyperlink"/>
    <w:basedOn w:val="DefaultParagraphFont"/>
    <w:uiPriority w:val="99"/>
    <w:unhideWhenUsed/>
    <w:rsid w:val="00E837D3"/>
    <w:rPr>
      <w:color w:val="0563C1" w:themeColor="hyperlink"/>
      <w:u w:val="single"/>
    </w:rPr>
  </w:style>
  <w:style w:type="character" w:styleId="UnresolvedMention">
    <w:name w:val="Unresolved Mention"/>
    <w:basedOn w:val="DefaultParagraphFont"/>
    <w:uiPriority w:val="99"/>
    <w:semiHidden/>
    <w:unhideWhenUsed/>
    <w:rsid w:val="00E837D3"/>
    <w:rPr>
      <w:color w:val="605E5C"/>
      <w:shd w:val="clear" w:color="auto" w:fill="E1DFDD"/>
    </w:rPr>
  </w:style>
  <w:style w:type="character" w:customStyle="1" w:styleId="fontstyle01">
    <w:name w:val="fontstyle01"/>
    <w:basedOn w:val="DefaultParagraphFont"/>
    <w:rsid w:val="00582918"/>
    <w:rPr>
      <w:rFonts w:ascii="Arial-BoldMT" w:hAnsi="Arial-BoldMT" w:hint="default"/>
      <w:b/>
      <w:bCs/>
      <w:i w:val="0"/>
      <w:iCs w:val="0"/>
      <w:color w:val="39414D"/>
      <w:sz w:val="18"/>
      <w:szCs w:val="18"/>
    </w:rPr>
  </w:style>
  <w:style w:type="character" w:customStyle="1" w:styleId="fontstyle21">
    <w:name w:val="fontstyle21"/>
    <w:basedOn w:val="DefaultParagraphFont"/>
    <w:rsid w:val="00582918"/>
    <w:rPr>
      <w:rFonts w:ascii="ArialMT" w:hAnsi="ArialMT" w:hint="default"/>
      <w:b w:val="0"/>
      <w:bCs w:val="0"/>
      <w:i w:val="0"/>
      <w:iCs w:val="0"/>
      <w:color w:val="000000"/>
      <w:sz w:val="18"/>
      <w:szCs w:val="18"/>
    </w:rPr>
  </w:style>
  <w:style w:type="character" w:customStyle="1" w:styleId="Heading2Char">
    <w:name w:val="Heading 2 Char"/>
    <w:basedOn w:val="DefaultParagraphFont"/>
    <w:link w:val="Heading2"/>
    <w:uiPriority w:val="9"/>
    <w:rsid w:val="00582918"/>
    <w:rPr>
      <w:rFonts w:eastAsiaTheme="majorEastAsia" w:cs="Arial"/>
      <w:b/>
      <w:bCs/>
      <w:color w:val="44546A" w:themeColor="text2"/>
      <w:szCs w:val="20"/>
    </w:rPr>
  </w:style>
  <w:style w:type="character" w:styleId="Emphasis">
    <w:name w:val="Emphasis"/>
    <w:basedOn w:val="DefaultParagraphFont"/>
    <w:uiPriority w:val="20"/>
    <w:qFormat/>
    <w:rsid w:val="005A2B47"/>
    <w:rPr>
      <w:color w:val="4472C4" w:themeColor="accent1"/>
    </w:rPr>
  </w:style>
  <w:style w:type="character" w:styleId="CommentReference">
    <w:name w:val="annotation reference"/>
    <w:basedOn w:val="DefaultParagraphFont"/>
    <w:uiPriority w:val="99"/>
    <w:semiHidden/>
    <w:unhideWhenUsed/>
    <w:rsid w:val="00C301B8"/>
    <w:rPr>
      <w:sz w:val="16"/>
      <w:szCs w:val="16"/>
    </w:rPr>
  </w:style>
  <w:style w:type="paragraph" w:styleId="CommentText">
    <w:name w:val="annotation text"/>
    <w:basedOn w:val="Normal"/>
    <w:link w:val="CommentTextChar"/>
    <w:uiPriority w:val="99"/>
    <w:semiHidden/>
    <w:unhideWhenUsed/>
    <w:rsid w:val="00C301B8"/>
    <w:pPr>
      <w:spacing w:line="240" w:lineRule="auto"/>
    </w:pPr>
    <w:rPr>
      <w:szCs w:val="20"/>
    </w:rPr>
  </w:style>
  <w:style w:type="character" w:customStyle="1" w:styleId="CommentTextChar">
    <w:name w:val="Comment Text Char"/>
    <w:basedOn w:val="DefaultParagraphFont"/>
    <w:link w:val="CommentText"/>
    <w:uiPriority w:val="99"/>
    <w:semiHidden/>
    <w:rsid w:val="00C301B8"/>
    <w:rPr>
      <w:szCs w:val="20"/>
    </w:rPr>
  </w:style>
  <w:style w:type="paragraph" w:styleId="CommentSubject">
    <w:name w:val="annotation subject"/>
    <w:basedOn w:val="CommentText"/>
    <w:next w:val="CommentText"/>
    <w:link w:val="CommentSubjectChar"/>
    <w:uiPriority w:val="99"/>
    <w:semiHidden/>
    <w:unhideWhenUsed/>
    <w:rsid w:val="00C301B8"/>
    <w:rPr>
      <w:b/>
      <w:bCs/>
    </w:rPr>
  </w:style>
  <w:style w:type="character" w:customStyle="1" w:styleId="CommentSubjectChar">
    <w:name w:val="Comment Subject Char"/>
    <w:basedOn w:val="CommentTextChar"/>
    <w:link w:val="CommentSubject"/>
    <w:uiPriority w:val="99"/>
    <w:semiHidden/>
    <w:rsid w:val="00C301B8"/>
    <w:rPr>
      <w:b/>
      <w:bCs/>
      <w:szCs w:val="20"/>
    </w:rPr>
  </w:style>
  <w:style w:type="paragraph" w:styleId="BalloonText">
    <w:name w:val="Balloon Text"/>
    <w:basedOn w:val="Normal"/>
    <w:link w:val="BalloonTextChar"/>
    <w:uiPriority w:val="99"/>
    <w:semiHidden/>
    <w:unhideWhenUsed/>
    <w:rsid w:val="00C3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B8"/>
    <w:rPr>
      <w:rFonts w:ascii="Segoe UI" w:hAnsi="Segoe UI" w:cs="Segoe UI"/>
      <w:sz w:val="18"/>
      <w:szCs w:val="18"/>
    </w:rPr>
  </w:style>
  <w:style w:type="character" w:customStyle="1" w:styleId="Heading1Char">
    <w:name w:val="Heading 1 Char"/>
    <w:basedOn w:val="DefaultParagraphFont"/>
    <w:link w:val="Heading1"/>
    <w:uiPriority w:val="9"/>
    <w:rsid w:val="002079F5"/>
    <w:rPr>
      <w:rFonts w:eastAsiaTheme="majorEastAsia" w:cs="Arial"/>
      <w:b/>
      <w:bCs/>
      <w:color w:val="4472C4"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3477">
      <w:bodyDiv w:val="1"/>
      <w:marLeft w:val="0"/>
      <w:marRight w:val="0"/>
      <w:marTop w:val="0"/>
      <w:marBottom w:val="0"/>
      <w:divBdr>
        <w:top w:val="none" w:sz="0" w:space="0" w:color="auto"/>
        <w:left w:val="none" w:sz="0" w:space="0" w:color="auto"/>
        <w:bottom w:val="none" w:sz="0" w:space="0" w:color="auto"/>
        <w:right w:val="none" w:sz="0" w:space="0" w:color="auto"/>
      </w:divBdr>
    </w:div>
    <w:div w:id="135484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dicaid.gov/medicaid/managed-care/downloads/sdp-4386c-preprint-template.pdf"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8533-C316-4AA3-A91A-00321BB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Chow</dc:creator>
  <cp:keywords/>
  <dc:description/>
  <cp:lastModifiedBy>Justin Chow</cp:lastModifiedBy>
  <cp:revision>8</cp:revision>
  <dcterms:created xsi:type="dcterms:W3CDTF">2021-06-25T20:55:00Z</dcterms:created>
  <dcterms:modified xsi:type="dcterms:W3CDTF">2021-06-27T15:56:00Z</dcterms:modified>
</cp:coreProperties>
</file>