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r>
        <w:rPr>
          <w:color w:val="71797C"/>
          <w:sz w:val="24"/>
        </w:rPr>
        <w:t>202</w:t>
      </w:r>
      <w:r w:rsidR="00755A3C">
        <w:rPr>
          <w:color w:val="71797C"/>
          <w:sz w:val="24"/>
        </w:rPr>
        <w:t>2</w:t>
      </w:r>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58FDFDFF" w14:textId="03E39B3F" w:rsidR="00F939A8" w:rsidRPr="00F939A8" w:rsidRDefault="007D555B" w:rsidP="00F939A8">
      <w:pPr>
        <w:spacing w:before="218"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r w:rsidR="00F939A8" w:rsidRPr="00F939A8">
        <w:rPr>
          <w:sz w:val="16"/>
        </w:rPr>
        <w:br/>
      </w:r>
      <w:r w:rsidR="00485DE9">
        <w:rPr>
          <w:color w:val="0081E2"/>
          <w:sz w:val="16"/>
        </w:rPr>
        <w:t>Ryan Melson</w:t>
      </w:r>
      <w:r w:rsidR="00F939A8" w:rsidRPr="00F939A8">
        <w:rPr>
          <w:sz w:val="16"/>
        </w:rPr>
        <w:t xml:space="preserve">, </w:t>
      </w:r>
      <w:r w:rsidR="00485DE9">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202</w:t>
      </w:r>
      <w:r w:rsidR="00485DE9">
        <w:rPr>
          <w:rFonts w:eastAsia="Calibri"/>
          <w:sz w:val="18"/>
          <w:szCs w:val="20"/>
        </w:rPr>
        <w:t>2</w:t>
      </w:r>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5EADAACA" w:rsidR="00224320" w:rsidRPr="00224320" w:rsidRDefault="00224320" w:rsidP="00224320">
      <w:pPr>
        <w:widowControl/>
        <w:numPr>
          <w:ilvl w:val="0"/>
          <w:numId w:val="5"/>
        </w:numPr>
        <w:autoSpaceDE/>
        <w:autoSpaceDN/>
        <w:spacing w:after="120" w:line="259" w:lineRule="auto"/>
        <w:ind w:left="860"/>
        <w:rPr>
          <w:rFonts w:eastAsia="Calibri"/>
          <w:sz w:val="18"/>
          <w:szCs w:val="20"/>
        </w:rPr>
      </w:pPr>
      <w:r w:rsidRPr="00224320">
        <w:rPr>
          <w:rFonts w:eastAsia="Calibri"/>
          <w:sz w:val="18"/>
          <w:szCs w:val="20"/>
        </w:rPr>
        <w:t xml:space="preserve">Rate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1DA324FB"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Risk sharing arrangement documentation</w:t>
      </w:r>
    </w:p>
    <w:p w14:paraId="3C0E5545" w14:textId="34E9F75C"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0B5FB5BB"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Public Health Emergency Assumptions </w:t>
      </w:r>
    </w:p>
    <w:p w14:paraId="42F2F53D" w14:textId="65C5584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D6007E">
        <w:rPr>
          <w:rFonts w:eastAsia="Calibri"/>
          <w:sz w:val="18"/>
          <w:szCs w:val="20"/>
        </w:rPr>
        <w:t xml:space="preserve">Public Health Emergency </w:t>
      </w:r>
      <w:r>
        <w:rPr>
          <w:rFonts w:eastAsia="Calibri"/>
          <w:sz w:val="18"/>
          <w:szCs w:val="20"/>
        </w:rPr>
        <w:t>Approach</w:t>
      </w:r>
    </w:p>
    <w:p w14:paraId="05AA6BE2" w14:textId="7BC3389C" w:rsidR="00735492" w:rsidRDefault="00735492" w:rsidP="00735492">
      <w:pPr>
        <w:widowControl/>
        <w:numPr>
          <w:ilvl w:val="0"/>
          <w:numId w:val="6"/>
        </w:numPr>
        <w:autoSpaceDE/>
        <w:autoSpaceDN/>
        <w:spacing w:after="120" w:line="259" w:lineRule="auto"/>
        <w:ind w:left="860"/>
        <w:rPr>
          <w:sz w:val="20"/>
        </w:rPr>
      </w:pPr>
      <w:r>
        <w:rPr>
          <w:rFonts w:eastAsia="Calibri"/>
          <w:sz w:val="18"/>
          <w:szCs w:val="20"/>
        </w:rPr>
        <w:t>Pass-through payments</w:t>
      </w:r>
      <w:r w:rsidR="00D6007E">
        <w:rPr>
          <w:rFonts w:eastAsia="Calibri"/>
          <w:sz w:val="18"/>
          <w:szCs w:val="20"/>
        </w:rPr>
        <w:t xml:space="preserve"> effective July 1, 2022</w:t>
      </w:r>
    </w:p>
    <w:p w14:paraId="77EC1D61" w14:textId="55A2034A" w:rsidR="009A31A0" w:rsidRDefault="009A31A0">
      <w:pPr>
        <w:pStyle w:val="BodyText"/>
        <w:ind w:left="0"/>
        <w:rPr>
          <w:sz w:val="20"/>
        </w:rPr>
      </w:pPr>
    </w:p>
    <w:p w14:paraId="43650134" w14:textId="14EC0122" w:rsidR="00224320" w:rsidRDefault="00224320">
      <w:pPr>
        <w:pStyle w:val="BodyText"/>
        <w:ind w:left="0"/>
        <w:rPr>
          <w:sz w:val="20"/>
        </w:rPr>
      </w:pPr>
    </w:p>
    <w:p w14:paraId="3CF435A4" w14:textId="7FBAA892" w:rsidR="00224320" w:rsidRDefault="00224320">
      <w:pPr>
        <w:pStyle w:val="BodyText"/>
        <w:ind w:left="0"/>
        <w:rPr>
          <w:sz w:val="20"/>
        </w:rPr>
      </w:pPr>
    </w:p>
    <w:p w14:paraId="36E1DAA2" w14:textId="367D82F1" w:rsidR="00224320" w:rsidRDefault="00F939A8">
      <w:pPr>
        <w:pStyle w:val="BodyText"/>
        <w:ind w:left="0"/>
        <w:rPr>
          <w:sz w:val="20"/>
        </w:rPr>
      </w:pPr>
      <w:r>
        <w:rPr>
          <w:sz w:val="20"/>
        </w:rPr>
        <w:br/>
      </w:r>
      <w:r>
        <w:rPr>
          <w:sz w:val="20"/>
        </w:rPr>
        <w:br/>
      </w:r>
      <w:r>
        <w:rPr>
          <w:sz w:val="20"/>
        </w:rPr>
        <w:br/>
      </w:r>
    </w:p>
    <w:p w14:paraId="7206CBDF" w14:textId="77777777" w:rsidR="00224320" w:rsidRDefault="00224320">
      <w:pPr>
        <w:pStyle w:val="BodyText"/>
        <w:ind w:left="0"/>
        <w:rPr>
          <w:sz w:val="20"/>
        </w:rPr>
      </w:pPr>
    </w:p>
    <w:p w14:paraId="1678247A" w14:textId="77777777" w:rsidR="00735492" w:rsidRDefault="00735492">
      <w:pPr>
        <w:pStyle w:val="Heading1"/>
        <w:spacing w:before="157"/>
        <w:rPr>
          <w:color w:val="0081E2"/>
        </w:rPr>
      </w:pPr>
    </w:p>
    <w:p w14:paraId="40D91F51" w14:textId="77777777" w:rsidR="00735492" w:rsidRDefault="00735492">
      <w:pPr>
        <w:pStyle w:val="Heading1"/>
        <w:spacing w:before="157"/>
        <w:rPr>
          <w:color w:val="0081E2"/>
        </w:rPr>
      </w:pPr>
    </w:p>
    <w:p w14:paraId="00883D35" w14:textId="77777777" w:rsidR="00735492" w:rsidRDefault="00735492">
      <w:pPr>
        <w:pStyle w:val="Heading1"/>
        <w:spacing w:before="157"/>
        <w:rPr>
          <w:color w:val="0081E2"/>
        </w:rPr>
      </w:pPr>
    </w:p>
    <w:p w14:paraId="033B250B" w14:textId="77777777" w:rsidR="00735492" w:rsidRDefault="00735492">
      <w:pPr>
        <w:pStyle w:val="Heading1"/>
        <w:spacing w:before="157"/>
        <w:rPr>
          <w:color w:val="0081E2"/>
        </w:rPr>
      </w:pPr>
    </w:p>
    <w:p w14:paraId="60CBE65F" w14:textId="77777777" w:rsidR="00735492" w:rsidRDefault="00735492">
      <w:pPr>
        <w:pStyle w:val="Heading1"/>
        <w:spacing w:before="157"/>
        <w:rPr>
          <w:color w:val="0081E2"/>
        </w:rPr>
      </w:pPr>
    </w:p>
    <w:p w14:paraId="20CBB45D" w14:textId="77777777" w:rsidR="00735492" w:rsidRDefault="00735492">
      <w:pPr>
        <w:pStyle w:val="Heading1"/>
        <w:spacing w:before="157"/>
        <w:rPr>
          <w:color w:val="0081E2"/>
        </w:rPr>
      </w:pPr>
    </w:p>
    <w:p w14:paraId="382FFE49" w14:textId="07C30C65" w:rsidR="009A31A0" w:rsidRDefault="007D555B">
      <w:pPr>
        <w:pStyle w:val="Heading1"/>
        <w:spacing w:before="157"/>
      </w:pPr>
      <w:commentRangeStart w:id="0"/>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commentRangeEnd w:id="0"/>
      <w:r w:rsidR="00735492">
        <w:rPr>
          <w:rStyle w:val="CommentReference"/>
        </w:rPr>
        <w:commentReference w:id="0"/>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43540355" w:rsidR="008A6522" w:rsidRDefault="00224320" w:rsidP="008A6522">
      <w:pPr>
        <w:spacing w:after="120" w:line="259" w:lineRule="auto"/>
        <w:ind w:left="140"/>
        <w:rPr>
          <w:sz w:val="18"/>
          <w:szCs w:val="18"/>
        </w:rPr>
      </w:pPr>
      <w:r w:rsidRPr="00224320">
        <w:rPr>
          <w:sz w:val="18"/>
          <w:szCs w:val="18"/>
        </w:rPr>
        <w:t>In accordance</w:t>
      </w:r>
      <w:r w:rsidR="00C554C2" w:rsidRPr="00C554C2">
        <w:t xml:space="preserve"> </w:t>
      </w:r>
      <w:r w:rsidR="00C554C2" w:rsidRPr="00C554C2">
        <w:rPr>
          <w:sz w:val="18"/>
          <w:szCs w:val="18"/>
        </w:rPr>
        <w:t>States planning to implement one or more risk mitigation strategy(ies) for a future rating period must submit contract and rate certification documentation to CMS prior to the start of the rating period.</w:t>
      </w:r>
    </w:p>
    <w:p w14:paraId="32F83F49" w14:textId="1D788C03" w:rsidR="00224320" w:rsidRPr="00224320" w:rsidRDefault="00987231" w:rsidP="00987231">
      <w:pPr>
        <w:spacing w:after="120" w:line="259" w:lineRule="auto"/>
        <w:ind w:left="140"/>
        <w:rPr>
          <w:sz w:val="18"/>
          <w:szCs w:val="18"/>
        </w:rPr>
      </w:pPr>
      <w:r w:rsidRPr="00987231">
        <w:rPr>
          <w:sz w:val="18"/>
          <w:szCs w:val="18"/>
        </w:rPr>
        <w:t>A state planning to implement one, or multiple, risk mitigation strategies in a future rating period must submit a fully executed contract and rate certification prior to the start of the rating period. Before the rating period begins, CMS will accept drafts of the contract and the rate certification. With that being said, the contract and/or the rate certification that is submitted to CMS in draft form must not be changed from that draft form before the fully executed documents are submitted to CMS at the beginning of the rating period.</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77777777"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most recent and complete years prior to the rating period.</w:t>
      </w:r>
      <w:r>
        <w:rPr>
          <w:sz w:val="18"/>
          <w:szCs w:val="18"/>
        </w:rPr>
        <w:t xml:space="preserve"> The example is: </w:t>
      </w:r>
    </w:p>
    <w:p w14:paraId="1C8437BF" w14:textId="7B0F74D0" w:rsidR="00224320" w:rsidRPr="00224320" w:rsidRDefault="00FB2390" w:rsidP="00FB2390">
      <w:pPr>
        <w:spacing w:after="120" w:line="259" w:lineRule="auto"/>
        <w:ind w:left="720"/>
        <w:rPr>
          <w:sz w:val="18"/>
          <w:szCs w:val="18"/>
        </w:rPr>
      </w:pPr>
      <w:r w:rsidRPr="00FB2390">
        <w:rPr>
          <w:sz w:val="18"/>
          <w:szCs w:val="18"/>
        </w:rPr>
        <w:t>For example, for rate setting activities in 2016 for CY 2017, the data used must at least include</w:t>
      </w:r>
      <w:r>
        <w:rPr>
          <w:sz w:val="18"/>
          <w:szCs w:val="18"/>
        </w:rPr>
        <w:t xml:space="preserve"> </w:t>
      </w:r>
      <w:r w:rsidRPr="00FB2390">
        <w:rPr>
          <w:sz w:val="18"/>
          <w:szCs w:val="18"/>
        </w:rPr>
        <w:t>data from calendar year 2013 and later. We noted that while claims may not be finalized for 2015, we would expect</w:t>
      </w:r>
      <w:r>
        <w:rPr>
          <w:sz w:val="18"/>
          <w:szCs w:val="18"/>
        </w:rPr>
        <w:t xml:space="preserve"> </w:t>
      </w:r>
      <w:r w:rsidRPr="00FB2390">
        <w:rPr>
          <w:sz w:val="18"/>
          <w:szCs w:val="18"/>
        </w:rPr>
        <w:t>the actuary to make appropriate and reasonable judgments as to whether 2013 or 2014 data, which would be</w:t>
      </w:r>
      <w:r>
        <w:rPr>
          <w:sz w:val="18"/>
          <w:szCs w:val="18"/>
        </w:rPr>
        <w:t xml:space="preserve"> </w:t>
      </w:r>
      <w:r w:rsidRPr="00FB2390">
        <w:rPr>
          <w:sz w:val="18"/>
          <w:szCs w:val="18"/>
        </w:rPr>
        <w:t>complete, must account for a greater percentage of the base data set. We used a calendar year for ease of reference i</w:t>
      </w:r>
      <w:r>
        <w:rPr>
          <w:sz w:val="18"/>
          <w:szCs w:val="18"/>
        </w:rPr>
        <w:t xml:space="preserve">n </w:t>
      </w:r>
      <w:r w:rsidRPr="00FB2390">
        <w:rPr>
          <w:sz w:val="18"/>
          <w:szCs w:val="18"/>
        </w:rPr>
        <w:t>the example, but a calendar year is interchangeable with the state’s contracting cycle period (for example, state fiscal</w:t>
      </w:r>
      <w:r>
        <w:rPr>
          <w:sz w:val="18"/>
          <w:szCs w:val="18"/>
        </w:rPr>
        <w:t xml:space="preserve"> </w:t>
      </w:r>
      <w:r w:rsidRPr="00FB2390">
        <w:rPr>
          <w:sz w:val="18"/>
          <w:szCs w:val="18"/>
        </w:rPr>
        <w:t>year).</w:t>
      </w:r>
      <w:r w:rsidR="00F939A8">
        <w:rPr>
          <w:sz w:val="18"/>
          <w:szCs w:val="18"/>
        </w:rPr>
        <w:br/>
      </w:r>
    </w:p>
    <w:p w14:paraId="175B5CA0" w14:textId="7EE4EFF3"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49F8D32C" w14:textId="0A24B8EE" w:rsidR="00224320" w:rsidRPr="00224320" w:rsidRDefault="00C554C2" w:rsidP="008A6522">
      <w:pPr>
        <w:spacing w:after="120" w:line="259" w:lineRule="auto"/>
        <w:ind w:left="140"/>
        <w:rPr>
          <w:sz w:val="18"/>
          <w:szCs w:val="18"/>
        </w:rPr>
      </w:pPr>
      <w:r w:rsidRPr="00C554C2">
        <w:rPr>
          <w:sz w:val="18"/>
          <w:szCs w:val="18"/>
        </w:rPr>
        <w:t>Additional documentation on whether risk sharing parameters are consistent with pricing assumptions</w:t>
      </w:r>
      <w:r w:rsidR="00B91FF2">
        <w:rPr>
          <w:sz w:val="18"/>
          <w:szCs w:val="18"/>
        </w:rPr>
        <w:t xml:space="preserve"> and </w:t>
      </w:r>
      <w:r w:rsidR="00B91FF2" w:rsidRPr="00B91FF2">
        <w:rPr>
          <w:sz w:val="18"/>
          <w:szCs w:val="18"/>
        </w:rPr>
        <w:t>will not result in a remittance/payment if calculated based on pricing assumptions used in capitation rate development</w:t>
      </w:r>
      <w:r w:rsidRPr="00C554C2">
        <w:rPr>
          <w:sz w:val="18"/>
          <w:szCs w:val="18"/>
        </w:rPr>
        <w:t>.</w:t>
      </w:r>
      <w:r w:rsidR="00B91FF2">
        <w:t xml:space="preserve"> </w:t>
      </w:r>
      <w:r w:rsidR="00B91FF2" w:rsidRPr="00B91FF2">
        <w:rPr>
          <w:sz w:val="18"/>
          <w:szCs w:val="18"/>
        </w:rPr>
        <w:t>Actuaries will need to save all working documentation related to this provision above and create specific deliverable level information that can be submitted with the rate certification as an appendix.</w:t>
      </w:r>
      <w:r w:rsidR="00F755C6">
        <w:rPr>
          <w:sz w:val="18"/>
          <w:szCs w:val="18"/>
        </w:rPr>
        <w:br/>
      </w:r>
    </w:p>
    <w:p w14:paraId="69CA1141" w14:textId="0B84C225"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directed payments </w:t>
      </w:r>
      <w:r w:rsidR="008A6522">
        <w:rPr>
          <w:color w:val="39414D"/>
          <w:sz w:val="20"/>
          <w:szCs w:val="20"/>
        </w:rPr>
        <w:t xml:space="preserve">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12"/>
          <w:footerReference w:type="default" r:id="rId13"/>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68428569"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863BAA" w:rsidRPr="00863BAA">
        <w:rPr>
          <w:sz w:val="18"/>
          <w:szCs w:val="18"/>
        </w:rPr>
        <w:t>CMS will evaluate if addendums to this rate guide are necessary if any new federal requirements are implemented.</w:t>
      </w:r>
      <w:r w:rsidR="00F755C6">
        <w:rPr>
          <w:rStyle w:val="Emphasis"/>
          <w:sz w:val="18"/>
          <w:szCs w:val="18"/>
        </w:rPr>
        <w:br/>
      </w:r>
    </w:p>
    <w:p w14:paraId="4E739B02" w14:textId="1A398252"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42928231"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w:t>
      </w:r>
      <w:r w:rsidR="00863BAA" w:rsidRPr="00863BAA">
        <w:rPr>
          <w:sz w:val="18"/>
          <w:szCs w:val="18"/>
        </w:rPr>
        <w:t xml:space="preserve">Differing from the previous rate setting guidance, actuaries must reflect on everything that was conducted related to the COVID-19 PHE within the rate certification, instead of the previous guidance that merely wanted actuaries to evaluate the direct and indirect impacts that the COVID-19 PHE could have. </w:t>
      </w:r>
      <w:r w:rsidR="00863BAA" w:rsidRPr="00863BAA">
        <w:rPr>
          <w:sz w:val="18"/>
          <w:szCs w:val="18"/>
        </w:rPr>
        <w:tab/>
      </w:r>
      <w:r w:rsidR="00F755C6" w:rsidRPr="00863BAA">
        <w:rPr>
          <w:rStyle w:val="Emphasis"/>
          <w:sz w:val="18"/>
          <w:szCs w:val="18"/>
        </w:rPr>
        <w:br/>
      </w:r>
    </w:p>
    <w:p w14:paraId="77B5E4E2" w14:textId="1E20D1B0"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2357DC12" w14:textId="77777777" w:rsidR="00863BAA" w:rsidRDefault="00C554C2" w:rsidP="008A6522">
      <w:pPr>
        <w:ind w:left="139"/>
        <w:rPr>
          <w:sz w:val="18"/>
          <w:szCs w:val="18"/>
        </w:rPr>
      </w:pPr>
      <w:r w:rsidRPr="00C554C2">
        <w:rPr>
          <w:sz w:val="18"/>
          <w:szCs w:val="18"/>
        </w:rPr>
        <w:t>Examples of certain assumptions were requested regarding 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14E10A8E" w14:textId="77777777" w:rsidR="00863BAA" w:rsidRDefault="00863BAA" w:rsidP="00863BAA">
      <w:pPr>
        <w:ind w:left="139"/>
        <w:rPr>
          <w:rStyle w:val="Emphasis"/>
          <w:color w:val="auto"/>
          <w:sz w:val="18"/>
          <w:szCs w:val="18"/>
        </w:rPr>
      </w:pPr>
      <w:r w:rsidRPr="00863BAA">
        <w:rPr>
          <w:rStyle w:val="Emphasis"/>
          <w:color w:val="auto"/>
          <w:sz w:val="18"/>
          <w:szCs w:val="18"/>
        </w:rPr>
        <w:t>A description of how the capitation rates account for the direct and indirect impacts of the COVID-19 public health emergency including but not limited to changes in acuity of the covered population due to enrollment changes, changes in utilization of services, COVID-19 testing, new treatments and vaccines, deferred care, expanded coverage of telehealth, etc.</w:t>
      </w:r>
      <w:r>
        <w:rPr>
          <w:rStyle w:val="Emphasis"/>
          <w:color w:val="auto"/>
          <w:sz w:val="18"/>
          <w:szCs w:val="18"/>
        </w:rPr>
        <w:t xml:space="preserve"> </w:t>
      </w:r>
      <w:r w:rsidRPr="00863BAA">
        <w:rPr>
          <w:rStyle w:val="Emphasis"/>
          <w:color w:val="auto"/>
          <w:sz w:val="18"/>
          <w:szCs w:val="18"/>
        </w:rPr>
        <w:t>The added terminology here from the previous 2021-2022 guidance is centered around describing what the direct and indirect changes in acuity of the covered population due to enrollment changes, changes in utilization services, and COVID-19 testing had on the capitation rates.</w:t>
      </w:r>
    </w:p>
    <w:p w14:paraId="185EABE6" w14:textId="77777777" w:rsidR="00863BAA" w:rsidRDefault="00863BAA" w:rsidP="00863BAA">
      <w:pPr>
        <w:ind w:left="139"/>
        <w:rPr>
          <w:rStyle w:val="Emphasis"/>
          <w:color w:val="auto"/>
          <w:sz w:val="18"/>
          <w:szCs w:val="18"/>
        </w:rPr>
      </w:pPr>
    </w:p>
    <w:p w14:paraId="5DB963CA" w14:textId="02F566E2" w:rsidR="00F755C6" w:rsidRPr="00F755C6" w:rsidRDefault="00863BAA" w:rsidP="00863BAA">
      <w:pPr>
        <w:ind w:left="139"/>
        <w:rPr>
          <w:sz w:val="18"/>
          <w:szCs w:val="18"/>
        </w:rPr>
      </w:pPr>
      <w:r w:rsidRPr="00863BAA">
        <w:rPr>
          <w:rStyle w:val="Emphasis"/>
          <w:color w:val="auto"/>
          <w:sz w:val="18"/>
          <w:szCs w:val="18"/>
        </w:rPr>
        <w:t>A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 xml:space="preserve">Effective July 1, 2022 </w:t>
      </w:r>
      <w:r w:rsidR="00D6007E">
        <w:rPr>
          <w:color w:val="39414D"/>
          <w:sz w:val="20"/>
          <w:szCs w:val="20"/>
        </w:rPr>
        <w:t>[Footnote</w:t>
      </w:r>
      <w:r w:rsidR="00BF73E1">
        <w:rPr>
          <w:color w:val="39414D"/>
          <w:sz w:val="20"/>
          <w:szCs w:val="20"/>
        </w:rPr>
        <w:t>s 32 -</w:t>
      </w:r>
      <w:r w:rsidR="00D6007E">
        <w:rPr>
          <w:color w:val="39414D"/>
          <w:sz w:val="20"/>
          <w:szCs w:val="20"/>
        </w:rPr>
        <w:t xml:space="preserve"> 34]</w:t>
      </w:r>
    </w:p>
    <w:p w14:paraId="2A77BDD4" w14:textId="10F09465" w:rsidR="00BF73E1" w:rsidRDefault="00BF73E1" w:rsidP="008A6522">
      <w:pPr>
        <w:ind w:left="139"/>
        <w:rPr>
          <w:sz w:val="18"/>
          <w:szCs w:val="18"/>
        </w:rPr>
      </w:pPr>
      <w:r w:rsidRPr="00BF73E1">
        <w:rPr>
          <w:sz w:val="18"/>
          <w:szCs w:val="18"/>
        </w:rPr>
        <w:t>Pass-through payments to hospitals must comply with the requirements of 42 C.F.R. § 438.6(d).</w:t>
      </w:r>
      <w:r>
        <w:rPr>
          <w:sz w:val="18"/>
          <w:szCs w:val="18"/>
        </w:rPr>
        <w:t xml:space="preserve"> </w:t>
      </w: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438.6(d)(1)(i).</w:t>
      </w:r>
      <w:r>
        <w:rPr>
          <w:sz w:val="18"/>
          <w:szCs w:val="18"/>
        </w:rPr>
        <w:t xml:space="preserve"> The difference in the new language </w:t>
      </w:r>
      <w:r w:rsidRPr="00BF73E1">
        <w:rPr>
          <w:sz w:val="18"/>
          <w:szCs w:val="18"/>
        </w:rPr>
        <w:t>from the 2021-2022 guidance is that the previous guidance said an aggregate pass-through payment to hospitals may not exceed the lesser of 70 percent of the base amount, and the new guidance is the aggregate pass-through payments to hospitals may not exceed the lesser of 50 percent of the base amount.</w:t>
      </w:r>
    </w:p>
    <w:p w14:paraId="572A9EDB" w14:textId="77777777" w:rsidR="00BF73E1" w:rsidRDefault="00BF73E1" w:rsidP="008A6522">
      <w:pPr>
        <w:ind w:left="139"/>
        <w:rPr>
          <w:sz w:val="18"/>
          <w:szCs w:val="18"/>
        </w:rPr>
      </w:pPr>
    </w:p>
    <w:p w14:paraId="01DB8154" w14:textId="40E177EB" w:rsidR="00F755C6" w:rsidRDefault="00C554C2" w:rsidP="008A6522">
      <w:pPr>
        <w:ind w:left="139"/>
        <w:rPr>
          <w:sz w:val="18"/>
          <w:szCs w:val="18"/>
        </w:rPr>
      </w:pPr>
      <w:r w:rsidRPr="00C554C2">
        <w:rPr>
          <w:sz w:val="18"/>
          <w:szCs w:val="18"/>
        </w:rPr>
        <w:t>Language revised to indicate states cannot require pass-through payments for</w:t>
      </w:r>
      <w:r w:rsidR="00BF73E1">
        <w:rPr>
          <w:sz w:val="18"/>
          <w:szCs w:val="18"/>
        </w:rPr>
        <w:t xml:space="preserve"> physicians or nursing facilities after</w:t>
      </w:r>
      <w:r w:rsidRPr="00C554C2">
        <w:rPr>
          <w:sz w:val="18"/>
          <w:szCs w:val="18"/>
        </w:rPr>
        <w:t xml:space="preserve"> July 1, 202</w:t>
      </w:r>
      <w:r w:rsidR="00BF73E1">
        <w:rPr>
          <w:sz w:val="18"/>
          <w:szCs w:val="18"/>
        </w:rPr>
        <w:t>2, as the transition period has ended</w:t>
      </w:r>
      <w:r w:rsidRPr="00C554C2">
        <w:rPr>
          <w:sz w:val="18"/>
          <w:szCs w:val="18"/>
        </w:rPr>
        <w:t>.</w:t>
      </w:r>
    </w:p>
    <w:p w14:paraId="75D0BB53" w14:textId="63AF60ED" w:rsidR="00F755C6" w:rsidRDefault="00F755C6" w:rsidP="00F755C6">
      <w:pPr>
        <w:widowControl/>
        <w:autoSpaceDE/>
        <w:autoSpaceDN/>
        <w:spacing w:after="160" w:line="259" w:lineRule="auto"/>
        <w:rPr>
          <w:sz w:val="18"/>
          <w:szCs w:val="18"/>
        </w:rPr>
      </w:pPr>
    </w:p>
    <w:p w14:paraId="5A265503" w14:textId="0B984A08" w:rsidR="00F755C6" w:rsidRDefault="00F755C6" w:rsidP="00F755C6">
      <w:pPr>
        <w:widowControl/>
        <w:autoSpaceDE/>
        <w:autoSpaceDN/>
        <w:spacing w:after="160" w:line="259" w:lineRule="auto"/>
        <w:rPr>
          <w:sz w:val="18"/>
          <w:szCs w:val="18"/>
        </w:rPr>
      </w:pPr>
    </w:p>
    <w:p w14:paraId="6C5CC4A2" w14:textId="0C680B61" w:rsidR="00F755C6" w:rsidRDefault="00F755C6" w:rsidP="00F755C6">
      <w:pPr>
        <w:widowControl/>
        <w:autoSpaceDE/>
        <w:autoSpaceDN/>
        <w:spacing w:after="160" w:line="259" w:lineRule="auto"/>
        <w:rPr>
          <w:sz w:val="18"/>
          <w:szCs w:val="18"/>
        </w:rPr>
      </w:pPr>
    </w:p>
    <w:p w14:paraId="0E894442" w14:textId="430C5E69" w:rsidR="00F755C6" w:rsidRDefault="00F755C6" w:rsidP="00F755C6">
      <w:pPr>
        <w:widowControl/>
        <w:autoSpaceDE/>
        <w:autoSpaceDN/>
        <w:spacing w:after="160" w:line="259" w:lineRule="auto"/>
        <w:rPr>
          <w:sz w:val="18"/>
          <w:szCs w:val="18"/>
        </w:rPr>
      </w:pPr>
    </w:p>
    <w:p w14:paraId="4C8EB218" w14:textId="1953154B"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21B90F78" w14:textId="5393334D" w:rsidR="00F755C6" w:rsidRDefault="00F755C6" w:rsidP="00F755C6">
      <w:pPr>
        <w:widowControl/>
        <w:autoSpaceDE/>
        <w:autoSpaceDN/>
        <w:spacing w:after="160" w:line="259" w:lineRule="auto"/>
        <w:rPr>
          <w:sz w:val="18"/>
          <w:szCs w:val="18"/>
        </w:rPr>
      </w:pPr>
    </w:p>
    <w:p w14:paraId="51240077" w14:textId="6D32B9DB" w:rsidR="00F755C6" w:rsidRDefault="00F755C6" w:rsidP="00F755C6">
      <w:pPr>
        <w:widowControl/>
        <w:autoSpaceDE/>
        <w:autoSpaceDN/>
        <w:spacing w:after="160" w:line="259" w:lineRule="auto"/>
        <w:rPr>
          <w:sz w:val="18"/>
          <w:szCs w:val="18"/>
        </w:rPr>
      </w:pPr>
    </w:p>
    <w:p w14:paraId="4E110496" w14:textId="7DE9DC69" w:rsidR="00F755C6" w:rsidRDefault="00F755C6" w:rsidP="00F755C6">
      <w:pPr>
        <w:widowControl/>
        <w:autoSpaceDE/>
        <w:autoSpaceDN/>
        <w:spacing w:after="160" w:line="259" w:lineRule="auto"/>
        <w:rPr>
          <w:sz w:val="18"/>
          <w:szCs w:val="18"/>
        </w:rPr>
      </w:pPr>
    </w:p>
    <w:p w14:paraId="0FB993E5" w14:textId="5D6B7375" w:rsidR="00F755C6" w:rsidRDefault="00F755C6" w:rsidP="00F755C6">
      <w:pPr>
        <w:widowControl/>
        <w:autoSpaceDE/>
        <w:autoSpaceDN/>
        <w:spacing w:after="160" w:line="259" w:lineRule="auto"/>
        <w:rPr>
          <w:sz w:val="18"/>
          <w:szCs w:val="18"/>
        </w:rPr>
      </w:pPr>
    </w:p>
    <w:p w14:paraId="57EEF8F5" w14:textId="77777777" w:rsidR="008135D2" w:rsidRDefault="008135D2" w:rsidP="00BF73E1">
      <w:pPr>
        <w:pStyle w:val="Heading1"/>
        <w:ind w:left="0"/>
        <w:rPr>
          <w:color w:val="0081E2"/>
        </w:rPr>
      </w:pPr>
    </w:p>
    <w:p w14:paraId="6E56C94E" w14:textId="77777777" w:rsidR="0098063E" w:rsidRDefault="0098063E" w:rsidP="008135D2">
      <w:pPr>
        <w:pStyle w:val="Heading1"/>
        <w:rPr>
          <w:color w:val="0081E2"/>
        </w:rPr>
      </w:pPr>
    </w:p>
    <w:p w14:paraId="1847D730" w14:textId="4F913CD9" w:rsidR="008135D2" w:rsidRPr="00F755C6" w:rsidRDefault="0098063E" w:rsidP="008135D2">
      <w:pPr>
        <w:pStyle w:val="Heading1"/>
        <w:rPr>
          <w:sz w:val="12"/>
          <w:szCs w:val="12"/>
        </w:rPr>
      </w:pPr>
      <w:r>
        <w:rPr>
          <w:color w:val="0081E2"/>
        </w:rPr>
        <w:t xml:space="preserve">Footnotes and </w:t>
      </w:r>
      <w:r w:rsidR="00BE1741">
        <w:rPr>
          <w:color w:val="0081E2"/>
        </w:rPr>
        <w:t>Minor Changes</w:t>
      </w:r>
      <w:r w:rsidR="008135D2">
        <w:rPr>
          <w:color w:val="0081E2"/>
        </w:rPr>
        <w:t xml:space="preserve"> in the 2022-2023 Medicaid Managed Care Rate Setting Guidance</w:t>
      </w:r>
      <w:r w:rsidR="008135D2">
        <w:rPr>
          <w:color w:val="0081E2"/>
        </w:rPr>
        <w:br/>
      </w:r>
    </w:p>
    <w:p w14:paraId="787BFBE7" w14:textId="3AD2740F"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Footnote 4</w:t>
      </w:r>
    </w:p>
    <w:p w14:paraId="36BB2C35" w14:textId="09493AF7" w:rsidR="008135D2" w:rsidRPr="00BF73E1" w:rsidRDefault="008135D2" w:rsidP="008135D2">
      <w:pPr>
        <w:pStyle w:val="Heading2"/>
        <w:numPr>
          <w:ilvl w:val="1"/>
          <w:numId w:val="10"/>
        </w:numPr>
        <w:spacing w:before="0" w:after="120" w:line="259" w:lineRule="auto"/>
        <w:rPr>
          <w:b w:val="0"/>
          <w:bCs w:val="0"/>
        </w:rPr>
      </w:pPr>
      <w:r w:rsidRPr="00BF73E1">
        <w:rPr>
          <w:b w:val="0"/>
          <w:bCs w:val="0"/>
        </w:rPr>
        <w:t>States must comply with all applicable federal statutory and regulatory requirements as well as guidance that impacts Medicaid managed care rate development. CMS will evaluate if addendums to this rate guide are necessary if any new federal requirements are implemented.</w:t>
      </w:r>
    </w:p>
    <w:p w14:paraId="397623CC" w14:textId="6F791F5A"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Footnote 6</w:t>
      </w:r>
    </w:p>
    <w:p w14:paraId="14B4BF9A" w14:textId="5B2B87DA" w:rsidR="008135D2" w:rsidRPr="00BF73E1" w:rsidRDefault="008135D2" w:rsidP="008135D2">
      <w:pPr>
        <w:pStyle w:val="Heading2"/>
        <w:numPr>
          <w:ilvl w:val="1"/>
          <w:numId w:val="10"/>
        </w:numPr>
        <w:spacing w:before="0" w:after="120" w:line="259" w:lineRule="auto"/>
        <w:rPr>
          <w:b w:val="0"/>
          <w:bCs w:val="0"/>
        </w:rPr>
      </w:pPr>
      <w:r w:rsidRPr="00BF73E1">
        <w:rPr>
          <w:b w:val="0"/>
          <w:bCs w:val="0"/>
        </w:rPr>
        <w:t>States planning to implement one or more risk mitigation strategy(ies) for a future rating period must submit contract and rate certification documentation to CMS prior to the start of the rating period. This documentation must include contract and rate certification documents that describe the risk mitigation strategy included in the contract between the state and the managed care plan. States must supply this information even if the state implemented the risk corridor (or other risk mitigation provision) in a prior rating period. Examples of risk mitigation include (but are not limited to): reinsurance, stop loss limits, risk corridors, and a minimum MLR with a remittance. For rating periods starting on or after January 1, 2021, submission of contract and rate certification documentation of the final risk mitigation arrangement(s) prior to the start of the rating period is required to meet the regulatory standard of documenting those arrangement(s) to CMS for the rating period prior to the start of the rating period. CMS will accept states’ submissions of draft managed care contract actions that are not officially executed and documentation from a state’s actuary that may not reflect final full rate development or is limited to a description of the risk sharing arrangement(s). States must submit both contract and rate certification documentation prior to the start of the rating period. The risk mitigation arrangement(s) in the final, executed contract and rate certification documents must be unchanged from the prior submission to CMS for the risk mitigation arrangement(s) to be approvable under 42 C.F.R. 438.6(b)(1)</w:t>
      </w:r>
      <w:r w:rsidRPr="00BF73E1">
        <w:rPr>
          <w:b w:val="0"/>
          <w:bCs w:val="0"/>
        </w:rPr>
        <w:t>.</w:t>
      </w:r>
    </w:p>
    <w:p w14:paraId="3F5906A9" w14:textId="3007A8C3"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Footnote 20</w:t>
      </w:r>
    </w:p>
    <w:p w14:paraId="30E21044" w14:textId="3F3A5891" w:rsidR="008135D2" w:rsidRPr="00BF73E1" w:rsidRDefault="008135D2" w:rsidP="008135D2">
      <w:pPr>
        <w:pStyle w:val="Heading2"/>
        <w:numPr>
          <w:ilvl w:val="1"/>
          <w:numId w:val="10"/>
        </w:numPr>
        <w:spacing w:before="0" w:after="120" w:line="259" w:lineRule="auto"/>
        <w:rPr>
          <w:b w:val="0"/>
          <w:bCs w:val="0"/>
        </w:rPr>
      </w:pPr>
      <w:r w:rsidRPr="00BF73E1">
        <w:rPr>
          <w:b w:val="0"/>
          <w:bCs w:val="0"/>
        </w:rPr>
        <w:t>The preamble of the 2016 Medicaid and CHIP Managed Care Rule provides additional context around data requirements related to 42 C.F.R. 438.5(c)(2) per 81 FR 27573: “In § 438.5(c), we proposed standards for selection of appropriate base data. In paragraph (c)(1), we proposed that, for purposes of rate setting, states provide to the actuary Medicaid-specific data such as validated encounter data, FFS data (if applicable), and audited financial reports for the 3 most recent years completed prior to the rating period under development. In § 438.5(c)(2), we proposed that the actuary exercise professional judgment to determine which data is appropriate after examination of all data sources provided by the state, setting a minimum parameter that such data be derived from the Medicaid population or derived from a similar population and adjusted as necessary to make the utilization and cost data comparable to the Medicaid population for which the rates are being developed. We proposed that the data that the actuary uses must be from the 3 most recent years that have been completed prior to the rating period for which rates are being developed. For example, for rate setting activities in 2016 for CY 2017, the data used must at least include data from calendar year 2013 and later. We noted that while claims may not be finalized for 2015, we would expect the actuary to make appropriate and reasonable judgments as to whether 2013 or 2014 data, which would be complete, must account for a greater percentage of the base data set. We used a calendar year for ease of reference in the example, but a calendar year is interchangeable with the state’s contracting cycle period (for example, state fiscal year).”</w:t>
      </w:r>
    </w:p>
    <w:p w14:paraId="6E2B8BF0" w14:textId="7A7B927A"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 xml:space="preserve">Section </w:t>
      </w:r>
      <w:r w:rsidRPr="00BF73E1">
        <w:t>I.4.C.ii.</w:t>
      </w:r>
    </w:p>
    <w:p w14:paraId="71AF5C69" w14:textId="0513A84D" w:rsidR="008135D2" w:rsidRPr="00BF73E1" w:rsidRDefault="008135D2" w:rsidP="008135D2">
      <w:pPr>
        <w:pStyle w:val="Heading2"/>
        <w:numPr>
          <w:ilvl w:val="1"/>
          <w:numId w:val="10"/>
        </w:numPr>
        <w:spacing w:before="0" w:after="120" w:line="259" w:lineRule="auto"/>
        <w:rPr>
          <w:b w:val="0"/>
          <w:bCs w:val="0"/>
        </w:rPr>
      </w:pPr>
      <w:r w:rsidRPr="00BF73E1">
        <w:rPr>
          <w:b w:val="0"/>
          <w:bCs w:val="0"/>
        </w:rPr>
        <w:t>Additional documentation on whether risk sharing parameters are consistent with pricing assumptions.</w:t>
      </w:r>
    </w:p>
    <w:p w14:paraId="5E2C5542" w14:textId="6BC32920" w:rsidR="008135D2" w:rsidRPr="00BF73E1" w:rsidRDefault="008135D2" w:rsidP="008135D2">
      <w:pPr>
        <w:pStyle w:val="Heading2"/>
        <w:numPr>
          <w:ilvl w:val="0"/>
          <w:numId w:val="10"/>
        </w:numPr>
        <w:spacing w:before="0" w:after="120" w:line="259" w:lineRule="auto"/>
        <w:rPr>
          <w:sz w:val="20"/>
          <w:szCs w:val="20"/>
        </w:rPr>
      </w:pPr>
      <w:r w:rsidRPr="00BF73E1">
        <w:rPr>
          <w:sz w:val="20"/>
          <w:szCs w:val="20"/>
        </w:rPr>
        <w:t>Minor Wording Changes</w:t>
      </w:r>
    </w:p>
    <w:p w14:paraId="390D994D" w14:textId="02C1C2DA" w:rsidR="008135D2" w:rsidRPr="00BF73E1" w:rsidRDefault="008135D2" w:rsidP="008135D2">
      <w:pPr>
        <w:pStyle w:val="Heading2"/>
        <w:numPr>
          <w:ilvl w:val="1"/>
          <w:numId w:val="10"/>
        </w:numPr>
        <w:spacing w:before="0" w:after="120" w:line="259" w:lineRule="auto"/>
        <w:rPr>
          <w:sz w:val="20"/>
          <w:szCs w:val="20"/>
        </w:rPr>
      </w:pPr>
      <w:r w:rsidRPr="00BF73E1">
        <w:rPr>
          <w:sz w:val="20"/>
          <w:szCs w:val="20"/>
        </w:rPr>
        <w:t>Section I.1.A.xii.</w:t>
      </w:r>
    </w:p>
    <w:p w14:paraId="5E5CD06D" w14:textId="31978495" w:rsidR="008135D2" w:rsidRPr="00BF73E1" w:rsidRDefault="008135D2" w:rsidP="00BF73E1">
      <w:pPr>
        <w:pStyle w:val="Heading2"/>
        <w:numPr>
          <w:ilvl w:val="2"/>
          <w:numId w:val="10"/>
        </w:numPr>
        <w:spacing w:before="0" w:after="120" w:line="259" w:lineRule="auto"/>
        <w:rPr>
          <w:b w:val="0"/>
          <w:bCs w:val="0"/>
        </w:rPr>
      </w:pPr>
      <w:r w:rsidRPr="00BF73E1">
        <w:rPr>
          <w:b w:val="0"/>
          <w:bCs w:val="0"/>
        </w:rPr>
        <w:t>The actuary should describe the rationale for any applicable assumptions included or not included in the rate development related to the COVID-19 PHE.</w:t>
      </w:r>
    </w:p>
    <w:p w14:paraId="3AE1C7FB" w14:textId="24673914" w:rsidR="008135D2" w:rsidRPr="00BF73E1" w:rsidRDefault="008135D2" w:rsidP="008135D2">
      <w:pPr>
        <w:pStyle w:val="Heading2"/>
        <w:numPr>
          <w:ilvl w:val="1"/>
          <w:numId w:val="10"/>
        </w:numPr>
        <w:spacing w:before="0" w:after="120" w:line="259" w:lineRule="auto"/>
        <w:rPr>
          <w:sz w:val="20"/>
          <w:szCs w:val="20"/>
        </w:rPr>
      </w:pPr>
      <w:r w:rsidRPr="00BF73E1">
        <w:rPr>
          <w:sz w:val="20"/>
          <w:szCs w:val="20"/>
        </w:rPr>
        <w:t>Section I.1.B.x.</w:t>
      </w:r>
    </w:p>
    <w:p w14:paraId="270584BE" w14:textId="19C223A6" w:rsidR="008135D2" w:rsidRPr="00BF73E1" w:rsidRDefault="008135D2" w:rsidP="008135D2">
      <w:pPr>
        <w:pStyle w:val="Heading2"/>
        <w:numPr>
          <w:ilvl w:val="2"/>
          <w:numId w:val="10"/>
        </w:numPr>
        <w:spacing w:before="0" w:after="120" w:line="259" w:lineRule="auto"/>
        <w:rPr>
          <w:b w:val="0"/>
          <w:bCs w:val="0"/>
          <w:sz w:val="20"/>
          <w:szCs w:val="20"/>
        </w:rPr>
      </w:pPr>
      <w:r w:rsidRPr="00BF73E1">
        <w:rPr>
          <w:b w:val="0"/>
          <w:bCs w:val="0"/>
        </w:rPr>
        <w:t>Outlines additional detail requested in describing COVID rate setting assumptions.</w:t>
      </w:r>
    </w:p>
    <w:p w14:paraId="4D75C3B3" w14:textId="3DB90593" w:rsidR="008135D2" w:rsidRPr="00BF73E1" w:rsidRDefault="008135D2" w:rsidP="008135D2">
      <w:pPr>
        <w:pStyle w:val="Heading2"/>
        <w:numPr>
          <w:ilvl w:val="1"/>
          <w:numId w:val="10"/>
        </w:numPr>
        <w:spacing w:before="0" w:after="120" w:line="259" w:lineRule="auto"/>
        <w:rPr>
          <w:sz w:val="20"/>
          <w:szCs w:val="20"/>
        </w:rPr>
      </w:pPr>
      <w:r w:rsidRPr="00BF73E1">
        <w:t>Section I.4.D.ii.</w:t>
      </w:r>
    </w:p>
    <w:p w14:paraId="7E17BB3B" w14:textId="725BF743" w:rsidR="008135D2" w:rsidRPr="00BF73E1" w:rsidRDefault="008135D2" w:rsidP="008135D2">
      <w:pPr>
        <w:pStyle w:val="Heading2"/>
        <w:numPr>
          <w:ilvl w:val="2"/>
          <w:numId w:val="10"/>
        </w:numPr>
        <w:spacing w:before="0" w:after="120" w:line="259" w:lineRule="auto"/>
        <w:rPr>
          <w:b w:val="0"/>
          <w:bCs w:val="0"/>
        </w:rPr>
      </w:pPr>
      <w:r w:rsidRPr="00BF73E1">
        <w:rPr>
          <w:b w:val="0"/>
          <w:bCs w:val="0"/>
        </w:rPr>
        <w:t>Include state directed payments that do not require prior approval.</w:t>
      </w:r>
    </w:p>
    <w:p w14:paraId="3DD5DEDC" w14:textId="541AD032" w:rsidR="008135D2" w:rsidRPr="00BF73E1" w:rsidRDefault="008135D2" w:rsidP="008135D2">
      <w:pPr>
        <w:pStyle w:val="Heading2"/>
        <w:numPr>
          <w:ilvl w:val="1"/>
          <w:numId w:val="10"/>
        </w:numPr>
        <w:spacing w:before="0" w:after="120" w:line="259" w:lineRule="auto"/>
        <w:rPr>
          <w:sz w:val="20"/>
          <w:szCs w:val="20"/>
        </w:rPr>
      </w:pPr>
      <w:r w:rsidRPr="00BF73E1">
        <w:lastRenderedPageBreak/>
        <w:t>Footnote 34.</w:t>
      </w:r>
    </w:p>
    <w:p w14:paraId="092C94E3" w14:textId="7B546CC5" w:rsidR="008A6522" w:rsidRPr="005E22D8" w:rsidRDefault="008135D2" w:rsidP="005E22D8">
      <w:pPr>
        <w:pStyle w:val="Heading2"/>
        <w:numPr>
          <w:ilvl w:val="2"/>
          <w:numId w:val="10"/>
        </w:numPr>
        <w:spacing w:before="0" w:after="120" w:line="259" w:lineRule="auto"/>
        <w:rPr>
          <w:b w:val="0"/>
          <w:bCs w:val="0"/>
        </w:rPr>
      </w:pPr>
      <w:r w:rsidRPr="00BF73E1">
        <w:rPr>
          <w:b w:val="0"/>
          <w:bCs w:val="0"/>
        </w:rPr>
        <w:t>Language revised to indicate states cannot require pass-through payments for rating periods beginning July 1, 2022.</w:t>
      </w:r>
    </w:p>
    <w:sectPr w:rsidR="008A6522" w:rsidRPr="005E22D8">
      <w:pgSz w:w="12240" w:h="15840"/>
      <w:pgMar w:top="980" w:right="580" w:bottom="1160" w:left="580" w:header="792" w:footer="96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Melson" w:date="2022-04-17T16:52:00Z" w:initials="RM">
    <w:p w14:paraId="0BAEAC56" w14:textId="3475DD8B" w:rsidR="00735492" w:rsidRDefault="00735492">
      <w:pPr>
        <w:pStyle w:val="CommentText"/>
      </w:pPr>
      <w:r>
        <w:rPr>
          <w:rStyle w:val="CommentReference"/>
        </w:rPr>
        <w:annotationRef/>
      </w:r>
      <w:r>
        <w:t xml:space="preserve">Justin, do you mind adding these in as appendices?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EAC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C466" w16cex:dateUtc="2022-04-1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EAC56" w16cid:durableId="2606C4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7D91" w14:textId="77777777" w:rsidR="00534AB5" w:rsidRDefault="00534AB5">
      <w:r>
        <w:separator/>
      </w:r>
    </w:p>
  </w:endnote>
  <w:endnote w:type="continuationSeparator" w:id="0">
    <w:p w14:paraId="622A0D8B" w14:textId="77777777" w:rsidR="00534AB5" w:rsidRDefault="0053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77AD" w14:textId="77777777" w:rsidR="00534AB5" w:rsidRDefault="00534AB5">
      <w:r>
        <w:separator/>
      </w:r>
    </w:p>
  </w:footnote>
  <w:footnote w:type="continuationSeparator" w:id="0">
    <w:p w14:paraId="0FADA889" w14:textId="77777777" w:rsidR="00534AB5" w:rsidRDefault="00534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Melson">
    <w15:presenceInfo w15:providerId="AD" w15:userId="S::Ryan.Melson@milliman.com::3e342297-281c-4e0a-b24d-5be3cbe08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224320"/>
    <w:rsid w:val="00312FD9"/>
    <w:rsid w:val="003D503F"/>
    <w:rsid w:val="00485DE9"/>
    <w:rsid w:val="00534AB5"/>
    <w:rsid w:val="00573797"/>
    <w:rsid w:val="005E22D8"/>
    <w:rsid w:val="00687ABB"/>
    <w:rsid w:val="00735492"/>
    <w:rsid w:val="00755A3C"/>
    <w:rsid w:val="007D555B"/>
    <w:rsid w:val="007D7938"/>
    <w:rsid w:val="008135D2"/>
    <w:rsid w:val="00822476"/>
    <w:rsid w:val="00863BAA"/>
    <w:rsid w:val="008A6522"/>
    <w:rsid w:val="0098063E"/>
    <w:rsid w:val="00987231"/>
    <w:rsid w:val="009A31A0"/>
    <w:rsid w:val="00A4211B"/>
    <w:rsid w:val="00A67AF2"/>
    <w:rsid w:val="00A76B45"/>
    <w:rsid w:val="00A9474C"/>
    <w:rsid w:val="00AA0CD8"/>
    <w:rsid w:val="00AD1B27"/>
    <w:rsid w:val="00B91FF2"/>
    <w:rsid w:val="00B956A5"/>
    <w:rsid w:val="00BE1741"/>
    <w:rsid w:val="00BF73E1"/>
    <w:rsid w:val="00C554C2"/>
    <w:rsid w:val="00D0767A"/>
    <w:rsid w:val="00D6007E"/>
    <w:rsid w:val="00D936AD"/>
    <w:rsid w:val="00DB1D38"/>
    <w:rsid w:val="00F755C6"/>
    <w:rsid w:val="00F939A8"/>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Vanessa.Malagon@milliman.com</dc:creator>
  <cp:lastModifiedBy>Ryan Melson</cp:lastModifiedBy>
  <cp:revision>18</cp:revision>
  <dcterms:created xsi:type="dcterms:W3CDTF">2022-04-17T23:48:00Z</dcterms:created>
  <dcterms:modified xsi:type="dcterms:W3CDTF">2022-04-18T00:43:00Z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