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00" w:line="240" w:lineRule="auto"/>
        <w:jc w:val="center"/>
      </w:pPr>
      <w:r>
        <w:rPr>
          <w:rFonts w:ascii="Calibri" w:hAnsi="Calibri"/>
          <w:b/>
          <w:color w:val="B47A18"/>
          <w:sz w:val="20"/>
        </w:rPr>
        <w:t>GHOSTWORX.AI  |  PLATFORM DELIVERY</w:t>
      </w:r>
    </w:p>
    <w:p>
      <w:pPr>
        <w:spacing w:before="0" w:after="160" w:line="240" w:lineRule="auto"/>
        <w:jc w:val="center"/>
      </w:pPr>
      <w:r>
        <w:rPr>
          <w:rFonts w:ascii="Calibri" w:hAnsi="Calibri"/>
          <w:b/>
          <w:color w:val="0B2545"/>
          <w:sz w:val="60"/>
        </w:rPr>
        <w:t>Agentic Engineering</w:t>
        <w:br/>
        <w:t>for Platform-Scale Delivery</w:t>
      </w:r>
    </w:p>
    <w:p>
      <w:pPr>
        <w:spacing w:before="0" w:after="240" w:line="264" w:lineRule="auto"/>
        <w:jc w:val="center"/>
      </w:pPr>
      <w:r>
        <w:rPr>
          <w:rFonts w:ascii="Calibri" w:hAnsi="Calibri"/>
          <w:color w:val="1F4D78"/>
          <w:sz w:val="31"/>
        </w:rPr>
        <w:t>Turn platform intent into coordinated, evidence-backed change.</w:t>
      </w:r>
    </w:p>
    <w:p>
      <w:pPr>
        <w:spacing w:before="0" w:after="480" w:line="264" w:lineRule="auto"/>
        <w:jc w:val="center"/>
      </w:pPr>
      <w:r>
        <w:rPr>
          <w:rFonts w:ascii="Calibri" w:hAnsi="Calibri"/>
          <w:i/>
          <w:color w:val="5B6775"/>
          <w:sz w:val="22"/>
        </w:rPr>
        <w:t>A marketing brief for engineering leaders who need AI acceleration without losing architectural control, decision clarity, or delivery confidence.</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Focus</w:t>
            </w:r>
          </w:p>
        </w:tc>
        <w:tc>
          <w:tcPr>
            <w:tcW w:type="dxa" w:w="756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Positioning</w:t>
            </w:r>
          </w:p>
        </w:tc>
      </w:tr>
      <w:tr>
        <w:tc>
          <w:tcPr>
            <w:tcW w:type="dxa" w:w="18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Audience</w:t>
            </w:r>
          </w:p>
        </w:tc>
        <w:tc>
          <w:tcPr>
            <w:tcW w:type="dxa" w:w="75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Platform leaders, enterprise engineering, architecture councils</w:t>
            </w:r>
          </w:p>
        </w:tc>
      </w:tr>
      <w:tr>
        <w:tc>
          <w:tcPr>
            <w:tcW w:type="dxa" w:w="18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Scope</w:t>
            </w:r>
          </w:p>
        </w:tc>
        <w:tc>
          <w:tcPr>
            <w:tcW w:type="dxa" w:w="75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Portfolio-owned platform initiatives and cross-solution change</w:t>
            </w:r>
          </w:p>
        </w:tc>
      </w:tr>
      <w:tr>
        <w:tc>
          <w:tcPr>
            <w:tcW w:type="dxa" w:w="18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Solution</w:t>
            </w:r>
          </w:p>
        </w:tc>
        <w:tc>
          <w:tcPr>
            <w:tcW w:type="dxa" w:w="75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SWE Plugin suite for governed agentic engineering</w:t>
            </w:r>
          </w:p>
        </w:tc>
      </w:tr>
      <w:tr>
        <w:tc>
          <w:tcPr>
            <w:tcW w:type="dxa" w:w="18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Operating model</w:t>
            </w:r>
          </w:p>
        </w:tc>
        <w:tc>
          <w:tcPr>
            <w:tcW w:type="dxa" w:w="75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Human-directed, independently reviewed, evidence-led delivery</w:t>
            </w:r>
          </w:p>
        </w:tc>
      </w:tr>
    </w:tbl>
    <w:p>
      <w:pPr>
        <w:spacing w:before="0" w:after="40" w:line="240" w:lineRule="auto"/>
      </w:pPr>
    </w:p>
    <w:p>
      <w:pPr>
        <w:spacing w:before="80" w:after="160" w:line="276" w:lineRule="auto"/>
        <w:shd w:fill="EAF1F8"/>
        <w:pBdr>
          <w:left w:val="single" w:sz="18" w:space="8" w:color="2E74B5"/>
        </w:pBdr>
        <w:ind w:left="202" w:right="144"/>
      </w:pPr>
      <w:r>
        <w:rPr>
          <w:rFonts w:ascii="Calibri" w:hAnsi="Calibri"/>
          <w:b/>
          <w:color w:val="2E74B5"/>
          <w:sz w:val="19"/>
        </w:rPr>
        <w:t xml:space="preserve">THE PROMISE  </w:t>
      </w:r>
      <w:r>
        <w:rPr>
          <w:rFonts w:ascii="Calibri" w:hAnsi="Calibri"/>
          <w:b/>
          <w:color w:val="0B2545"/>
          <w:sz w:val="22"/>
        </w:rPr>
        <w:t>Make platform change legible, governable, and shippable - even when many teams, repositories, and decisions must move together.</w:t>
      </w:r>
    </w:p>
    <w:p>
      <w:pPr>
        <w:spacing w:before="480" w:after="0" w:line="240" w:lineRule="auto"/>
        <w:jc w:val="center"/>
      </w:pPr>
      <w:r>
        <w:rPr>
          <w:rFonts w:ascii="Calibri" w:hAnsi="Calibri"/>
          <w:b/>
          <w:color w:val="B47A18"/>
          <w:sz w:val="20"/>
        </w:rPr>
        <w:t>A platform-scale operating system for agentic engineering</w:t>
      </w:r>
    </w:p>
    <w:p>
      <w:r>
        <w:br w:type="page"/>
      </w:r>
    </w:p>
    <w:p>
      <w:pPr>
        <w:pStyle w:val="Heading1"/>
        <w:keepNext/>
        <w:spacing w:before="360" w:after="200" w:line="252" w:lineRule="auto"/>
      </w:pPr>
      <w:r>
        <w:rPr>
          <w:rFonts w:ascii="Calibri" w:hAnsi="Calibri"/>
          <w:b/>
          <w:color w:val="2E74B5"/>
          <w:sz w:val="32"/>
        </w:rPr>
        <w:t>The platform-scale problem</w:t>
      </w:r>
    </w:p>
    <w:p>
      <w:pPr>
        <w:spacing w:before="0" w:after="160" w:line="320" w:lineRule="auto"/>
      </w:pPr>
      <w:r>
        <w:rPr>
          <w:rFonts w:ascii="Calibri" w:hAnsi="Calibri"/>
          <w:color w:val="1F2937"/>
          <w:sz w:val="22"/>
        </w:rPr>
        <w:t>Platform work is where software strategy becomes organizational reality. A single initiative can touch shared architecture, multiple products, cross-solution contracts, delivery teams, and the operational path to 'Current.' The work is valuable precisely because it crosses boundaries - and risky for the same reason.</w:t>
      </w:r>
    </w:p>
    <w:p>
      <w:pPr>
        <w:spacing w:before="0" w:after="160" w:line="320" w:lineRule="auto"/>
      </w:pPr>
      <w:r>
        <w:rPr>
          <w:rFonts w:ascii="Calibri" w:hAnsi="Calibri"/>
          <w:color w:val="1F2937"/>
          <w:sz w:val="22"/>
        </w:rPr>
        <w:t>AI can draft plans, designs, and code at remarkable speed. But speed alone does not establish who owns the decision, whether the architecture is coherent, whether the work is truly accepted, or whether the delivered behavior is supported by evidence. Platform leaders need an agentic solution that treats governance as part of delivery, not as paperwork after the fact.</w:t>
      </w:r>
    </w:p>
    <w:p>
      <w:pPr>
        <w:spacing w:before="80" w:after="160" w:line="276" w:lineRule="auto"/>
        <w:shd w:fill="EAF1F8"/>
        <w:pBdr>
          <w:left w:val="single" w:sz="18" w:space="8" w:color="2E74B5"/>
        </w:pBdr>
        <w:ind w:left="202" w:right="144"/>
      </w:pPr>
      <w:r>
        <w:rPr>
          <w:rFonts w:ascii="Calibri" w:hAnsi="Calibri"/>
          <w:b/>
          <w:color w:val="2E74B5"/>
          <w:sz w:val="19"/>
        </w:rPr>
        <w:t xml:space="preserve">THE SOLUTION  </w:t>
      </w:r>
      <w:r>
        <w:rPr>
          <w:rFonts w:ascii="Calibri" w:hAnsi="Calibri"/>
          <w:b/>
          <w:color w:val="0B2545"/>
          <w:sz w:val="22"/>
        </w:rPr>
        <w:t>SWE Plugin turns agentic engineering into a governed operating model: portfolio intent is made explicit, architecture is federated, work is allocated cleanly, and completion is proven through evidence and independent validation.</w:t>
      </w:r>
    </w:p>
    <w:p>
      <w:pPr>
        <w:pStyle w:val="Heading2"/>
        <w:keepNext/>
        <w:spacing w:before="240" w:after="120" w:line="252" w:lineRule="auto"/>
      </w:pPr>
      <w:r>
        <w:rPr>
          <w:rFonts w:ascii="Calibri" w:hAnsi="Calibri"/>
          <w:b/>
          <w:color w:val="2E74B5"/>
          <w:sz w:val="26"/>
        </w:rPr>
        <w:t>What changes with a governed agentic model</w:t>
      </w:r>
    </w:p>
    <w:p>
      <w:pPr>
        <w:spacing w:before="0" w:after="80" w:line="290" w:lineRule="auto"/>
        <w:numPr>
          <w:ilvl w:val="0"/>
          <w:numId w:val="10"/>
        </w:numPr>
      </w:pPr>
      <w:r>
        <w:rPr>
          <w:rFonts w:ascii="Calibri" w:hAnsi="Calibri"/>
          <w:color w:val="1F2937"/>
          <w:sz w:val="22"/>
        </w:rPr>
        <w:t>Strategy becomes a durable chain of artifacts - from Epic and Concept through architecture, Features, implementation assignments, and validation.</w:t>
      </w:r>
    </w:p>
    <w:p>
      <w:pPr>
        <w:spacing w:before="0" w:after="80" w:line="290" w:lineRule="auto"/>
        <w:numPr>
          <w:ilvl w:val="0"/>
          <w:numId w:val="10"/>
        </w:numPr>
      </w:pPr>
      <w:r>
        <w:rPr>
          <w:rFonts w:ascii="Calibri" w:hAnsi="Calibri"/>
          <w:color w:val="1F2937"/>
          <w:sz w:val="22"/>
        </w:rPr>
        <w:t>Agents work inside explicit authority boundaries, so a platform repository can coordinate cross-solution outcomes without taking over child-solution ownership.</w:t>
      </w:r>
    </w:p>
    <w:p>
      <w:pPr>
        <w:spacing w:before="0" w:after="80" w:line="290" w:lineRule="auto"/>
        <w:numPr>
          <w:ilvl w:val="0"/>
          <w:numId w:val="10"/>
        </w:numPr>
      </w:pPr>
      <w:r>
        <w:rPr>
          <w:rFonts w:ascii="Calibri" w:hAnsi="Calibri"/>
          <w:color w:val="1F2937"/>
          <w:sz w:val="22"/>
        </w:rPr>
        <w:t>Independent reviewers and validators create confidence that is separate from the authoring agent, with real evidence attached to the decision.</w:t>
      </w:r>
    </w:p>
    <w:p>
      <w:pPr>
        <w:spacing w:before="0" w:after="80" w:line="290" w:lineRule="auto"/>
        <w:numPr>
          <w:ilvl w:val="0"/>
          <w:numId w:val="10"/>
        </w:numPr>
      </w:pPr>
      <w:r>
        <w:rPr>
          <w:rFonts w:ascii="Calibri" w:hAnsi="Calibri"/>
          <w:color w:val="1F2937"/>
          <w:sz w:val="22"/>
        </w:rPr>
        <w:t>Architecture stays coherent as delivery evolves: Target, Implemented, and Current are earned states, not optimistic labels.</w:t>
      </w:r>
    </w:p>
    <w:p>
      <w:pPr>
        <w:pStyle w:val="Heading2"/>
        <w:keepNext/>
        <w:spacing w:before="240" w:after="120" w:line="252" w:lineRule="auto"/>
      </w:pPr>
      <w:r>
        <w:rPr>
          <w:rFonts w:ascii="Calibri" w:hAnsi="Calibri"/>
          <w:b/>
          <w:color w:val="2E74B5"/>
          <w:sz w:val="26"/>
        </w:rPr>
        <w:t>A better promise for platform leaders</w:t>
      </w:r>
    </w:p>
    <w:p>
      <w:pPr>
        <w:spacing w:before="0" w:after="160" w:line="320" w:lineRule="auto"/>
      </w:pPr>
      <w:r>
        <w:rPr>
          <w:rFonts w:ascii="Calibri" w:hAnsi="Calibri"/>
          <w:color w:val="1F2937"/>
          <w:sz w:val="22"/>
        </w:rPr>
        <w:t>The value is not 'more autonomous coding.' The value is a repeatable system for coordinating complex change: people set intent and approval, agents perform bounded engineering work, and the repository preserves the reasoning, ownership, evidence, and next decision.</w:t>
      </w:r>
    </w:p>
    <w:p>
      <w:r>
        <w:br w:type="page"/>
      </w:r>
    </w:p>
    <w:p>
      <w:pPr>
        <w:pStyle w:val="Heading1"/>
        <w:keepNext/>
        <w:spacing w:before="360" w:after="200" w:line="252" w:lineRule="auto"/>
      </w:pPr>
      <w:r>
        <w:rPr>
          <w:rFonts w:ascii="Calibri" w:hAnsi="Calibri"/>
          <w:b/>
          <w:color w:val="2E74B5"/>
          <w:sz w:val="32"/>
        </w:rPr>
        <w:t>From platform intent to verified delivery</w:t>
      </w:r>
    </w:p>
    <w:p>
      <w:pPr>
        <w:spacing w:before="0" w:after="160" w:line="320" w:lineRule="auto"/>
      </w:pPr>
      <w:r>
        <w:rPr>
          <w:rFonts w:ascii="Calibri" w:hAnsi="Calibri"/>
          <w:color w:val="1F2937"/>
          <w:sz w:val="22"/>
        </w:rPr>
        <w:t>The solution makes a platform initiative navigable from first question to final acceptance. Each stage has a clear owner, a durable artifact, and an observable handoff.</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Stage</w:t>
            </w:r>
          </w:p>
        </w:tc>
        <w:tc>
          <w:tcPr>
            <w:tcW w:type="dxa" w:w="696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What the platform gets</w:t>
            </w:r>
          </w:p>
        </w:tc>
      </w:tr>
      <w:tr>
        <w:tc>
          <w:tcPr>
            <w:tcW w:type="dxa" w:w="24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1  Frame the Epic</w:t>
            </w:r>
          </w:p>
        </w:tc>
        <w:tc>
          <w:tcPr>
            <w:tcW w:type="dxa" w:w="69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Create a portfolio-owned outcome with explicit acceptance outcomes and a clear platform boundary.</w:t>
            </w:r>
          </w:p>
        </w:tc>
      </w:tr>
      <w:tr>
        <w:tc>
          <w:tcPr>
            <w:tcW w:type="dxa" w:w="24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2  Discover and research</w:t>
            </w:r>
          </w:p>
        </w:tc>
        <w:tc>
          <w:tcPr>
            <w:tcW w:type="dxa" w:w="69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Capture bounded questions, traceable evidence, uncertainty, and decision implications before design.</w:t>
            </w:r>
          </w:p>
        </w:tc>
      </w:tr>
      <w:tr>
        <w:tc>
          <w:tcPr>
            <w:tcW w:type="dxa" w:w="24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3  Shape intent</w:t>
            </w:r>
          </w:p>
        </w:tc>
        <w:tc>
          <w:tcPr>
            <w:tcW w:type="dxa" w:w="69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Turn the Epic into an accepted Concept and assess whether the change affects platform architecture.</w:t>
            </w:r>
          </w:p>
        </w:tc>
      </w:tr>
      <w:tr>
        <w:tc>
          <w:tcPr>
            <w:tcW w:type="dxa" w:w="24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4  Establish Target architecture</w:t>
            </w:r>
          </w:p>
        </w:tc>
        <w:tc>
          <w:tcPr>
            <w:tcW w:type="dxa" w:w="69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Author or reconcile Platform architecture, contracts, ADRs, and runtime views with independent review.</w:t>
            </w:r>
          </w:p>
        </w:tc>
      </w:tr>
      <w:tr>
        <w:tc>
          <w:tcPr>
            <w:tcW w:type="dxa" w:w="24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5  Define and allocate</w:t>
            </w:r>
          </w:p>
        </w:tc>
        <w:tc>
          <w:tcPr>
            <w:tcW w:type="dxa" w:w="69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Create canonical Features and an Implementation Plan, then link child Solutions with stable IDs and paths.</w:t>
            </w:r>
          </w:p>
        </w:tc>
      </w:tr>
      <w:tr>
        <w:tc>
          <w:tcPr>
            <w:tcW w:type="dxa" w:w="24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6  Deliver in Solutions</w:t>
            </w:r>
          </w:p>
        </w:tc>
        <w:tc>
          <w:tcPr>
            <w:tcW w:type="dxa" w:w="69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Child repositories own local Design, source, tests, Evidence, and solution-local Validation.</w:t>
            </w:r>
          </w:p>
        </w:tc>
      </w:tr>
      <w:tr>
        <w:tc>
          <w:tcPr>
            <w:tcW w:type="dxa" w:w="24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7  Accept and promote</w:t>
            </w:r>
          </w:p>
        </w:tc>
        <w:tc>
          <w:tcPr>
            <w:tcW w:type="dxa" w:w="69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Independently validate the Feature, reconcile divergence, and promote architecture only when evidence supports it.</w:t>
            </w:r>
          </w:p>
        </w:tc>
      </w:tr>
    </w:tbl>
    <w:p>
      <w:pPr>
        <w:spacing w:before="0" w:after="40" w:line="240" w:lineRule="auto"/>
      </w:pPr>
    </w:p>
    <w:p>
      <w:pPr>
        <w:spacing w:before="80" w:after="160" w:line="276" w:lineRule="auto"/>
        <w:shd w:fill="F4F6F9"/>
        <w:pBdr>
          <w:left w:val="single" w:sz="18" w:space="8" w:color="2E74B5"/>
        </w:pBdr>
        <w:ind w:left="202" w:right="144"/>
      </w:pPr>
      <w:r>
        <w:rPr>
          <w:rFonts w:ascii="Calibri" w:hAnsi="Calibri"/>
          <w:b/>
          <w:color w:val="2E74B5"/>
          <w:sz w:val="19"/>
        </w:rPr>
        <w:t xml:space="preserve">ARCHITECTURE PRINCIPLE  </w:t>
      </w:r>
      <w:r>
        <w:rPr>
          <w:rFonts w:ascii="Calibri" w:hAnsi="Calibri"/>
          <w:b/>
          <w:color w:val="0B2545"/>
          <w:sz w:val="22"/>
        </w:rPr>
        <w:t>Platform -&gt; Solution -&gt; Package -&gt; Module. Systems are runtime or operational views within that hierarchy, not a competing architecture level.</w:t>
      </w:r>
    </w:p>
    <w:p>
      <w:pPr>
        <w:pStyle w:val="Heading2"/>
        <w:keepNext/>
        <w:spacing w:before="240" w:after="120" w:line="252" w:lineRule="auto"/>
      </w:pPr>
      <w:r>
        <w:rPr>
          <w:rFonts w:ascii="Calibri" w:hAnsi="Calibri"/>
          <w:b/>
          <w:color w:val="2E74B5"/>
          <w:sz w:val="26"/>
        </w:rPr>
        <w:t>One authority model, many delivery teams</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Owned where</w:t>
            </w:r>
          </w:p>
        </w:tc>
        <w:tc>
          <w:tcPr>
            <w:tcW w:type="dxa" w:w="696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9"/>
              </w:rPr>
              <w:t>The solution keeps it clear</w:t>
            </w:r>
          </w:p>
        </w:tc>
      </w:tr>
      <w:tr>
        <w:tc>
          <w:tcPr>
            <w:tcW w:type="dxa" w:w="24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Portfolio / platform authority</w:t>
            </w:r>
          </w:p>
        </w:tc>
        <w:tc>
          <w:tcPr>
            <w:tcW w:type="dxa" w:w="69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Why the platform exists; Epics, research, Concepts, architecture impact, Platform architecture, ADRs, contracts, canonical Features, and Implementation Plans.</w:t>
            </w:r>
          </w:p>
        </w:tc>
      </w:tr>
      <w:tr>
        <w:tc>
          <w:tcPr>
            <w:tcW w:type="dxa" w:w="24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9"/>
              </w:rPr>
              <w:t>Child Solution authority</w:t>
            </w:r>
          </w:p>
        </w:tc>
        <w:tc>
          <w:tcPr>
            <w:tcW w:type="dxa" w:w="69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9"/>
              </w:rPr>
              <w:t>Solution, Package, and Module architecture; change-specific Design; source code; tests; implementation Evidence; and local Validation.</w:t>
            </w:r>
          </w:p>
        </w:tc>
      </w:tr>
    </w:tbl>
    <w:p>
      <w:pPr>
        <w:spacing w:before="0" w:after="40" w:line="240" w:lineRule="auto"/>
      </w:pPr>
    </w:p>
    <w:p>
      <w:pPr>
        <w:spacing w:before="0" w:after="80" w:line="320" w:lineRule="auto"/>
      </w:pPr>
      <w:r>
        <w:rPr>
          <w:rFonts w:ascii="Calibri" w:hAnsi="Calibri"/>
          <w:color w:val="1F2937"/>
          <w:sz w:val="22"/>
        </w:rPr>
        <w:t>Cross-repository handoffs retain both a stable artifact ID and a repository-relative path, with a revision when known. Child Solutions link to the canonical Feature and plan; they do not copy or redefine them.</w:t>
      </w:r>
    </w:p>
    <w:p>
      <w:r>
        <w:br w:type="page"/>
      </w:r>
    </w:p>
    <w:p>
      <w:pPr>
        <w:pStyle w:val="Heading1"/>
        <w:keepNext/>
        <w:spacing w:before="360" w:after="200" w:line="252" w:lineRule="auto"/>
      </w:pPr>
      <w:r>
        <w:rPr>
          <w:rFonts w:ascii="Calibri" w:hAnsi="Calibri"/>
          <w:b/>
          <w:color w:val="2E74B5"/>
          <w:sz w:val="32"/>
        </w:rPr>
        <w:t>Why engineering leaders choose it</w:t>
      </w:r>
    </w:p>
    <w:tbl>
      <w:tblPr>
        <w:tblStyle w:val="TableGrid"/>
        <w:tblW w:type="dxa" w:w="9360"/>
        <w:tblLayout w:type="fixed"/>
        <w:tblLook w:firstColumn="1" w:firstRow="1" w:lastColumn="0" w:lastRow="0" w:noHBand="0" w:noVBand="1" w:val="04A0"/>
        <w:tblInd w:w="120" w:type="dxa"/>
      </w:tblPr>
      <w:tblGrid>
        <w:gridCol w:w="1700"/>
        <w:gridCol w:w="3000"/>
        <w:gridCol w:w="4660"/>
      </w:tblGrid>
      <w:tr>
        <w:trPr>
          <w:tblHeader w:val="true"/>
        </w:trPr>
        <w:tc>
          <w:tcPr>
            <w:tcW w:type="dxa" w:w="17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Advantage</w:t>
            </w:r>
          </w:p>
        </w:tc>
        <w:tc>
          <w:tcPr>
            <w:tcW w:type="dxa" w:w="30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What it means</w:t>
            </w:r>
          </w:p>
        </w:tc>
        <w:tc>
          <w:tcPr>
            <w:tcW w:type="dxa" w:w="466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Why it matters</w:t>
            </w:r>
          </w:p>
        </w:tc>
      </w:tr>
      <w:tr>
        <w:tc>
          <w:tcPr>
            <w:tcW w:type="dxa" w:w="17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Traceability</w:t>
            </w:r>
          </w:p>
        </w:tc>
        <w:tc>
          <w:tcPr>
            <w:tcW w:type="dxa" w:w="30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Strategy-to-evidence continuity</w:t>
            </w:r>
          </w:p>
        </w:tc>
        <w:tc>
          <w:tcPr>
            <w:tcW w:type="dxa" w:w="46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Every decision can be followed from platform intent to an implemented, validated outcome.</w:t>
            </w:r>
          </w:p>
        </w:tc>
      </w:tr>
      <w:tr>
        <w:tc>
          <w:tcPr>
            <w:tcW w:type="dxa" w:w="17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Confidence</w:t>
            </w:r>
          </w:p>
        </w:tc>
        <w:tc>
          <w:tcPr>
            <w:tcW w:type="dxa" w:w="30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Independent review by design</w:t>
            </w:r>
          </w:p>
        </w:tc>
        <w:tc>
          <w:tcPr>
            <w:tcW w:type="dxa" w:w="46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The authoring agent does not approve its own architecture, Feature, or delivery validation.</w:t>
            </w:r>
          </w:p>
        </w:tc>
      </w:tr>
      <w:tr>
        <w:tc>
          <w:tcPr>
            <w:tcW w:type="dxa" w:w="17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Clarity</w:t>
            </w:r>
          </w:p>
        </w:tc>
        <w:tc>
          <w:tcPr>
            <w:tcW w:type="dxa" w:w="30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Ownership without bottlenecks</w:t>
            </w:r>
          </w:p>
        </w:tc>
        <w:tc>
          <w:tcPr>
            <w:tcW w:type="dxa" w:w="46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The portfolio coordinates the whole; child Solutions retain the local decisions needed to ship well.</w:t>
            </w:r>
          </w:p>
        </w:tc>
      </w:tr>
      <w:tr>
        <w:tc>
          <w:tcPr>
            <w:tcW w:type="dxa" w:w="17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Safety</w:t>
            </w:r>
          </w:p>
        </w:tc>
        <w:tc>
          <w:tcPr>
            <w:tcW w:type="dxa" w:w="30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Acceleration inside guardrails</w:t>
            </w:r>
          </w:p>
        </w:tc>
        <w:tc>
          <w:tcPr>
            <w:tcW w:type="dxa" w:w="46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Human approval is the default; bypasses, prototype work, and external effects remain explicit.</w:t>
            </w:r>
          </w:p>
        </w:tc>
      </w:tr>
      <w:tr>
        <w:tc>
          <w:tcPr>
            <w:tcW w:type="dxa" w:w="17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Coherence</w:t>
            </w:r>
          </w:p>
        </w:tc>
        <w:tc>
          <w:tcPr>
            <w:tcW w:type="dxa" w:w="30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Federated architecture</w:t>
            </w:r>
          </w:p>
        </w:tc>
        <w:tc>
          <w:tcPr>
            <w:tcW w:type="dxa" w:w="46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Platform, Solution, Package, and Module scopes can evolve without silently contradicting one another.</w:t>
            </w:r>
          </w:p>
        </w:tc>
      </w:tr>
      <w:tr>
        <w:tc>
          <w:tcPr>
            <w:tcW w:type="dxa" w:w="17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Repeatability</w:t>
            </w:r>
          </w:p>
        </w:tc>
        <w:tc>
          <w:tcPr>
            <w:tcW w:type="dxa" w:w="30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Portable operating model</w:t>
            </w:r>
          </w:p>
        </w:tc>
        <w:tc>
          <w:tcPr>
            <w:tcW w:type="dxa" w:w="46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Scaffolds, skills, templates, and agents make the method reusable across teams and repositories.</w:t>
            </w:r>
          </w:p>
        </w:tc>
      </w:tr>
    </w:tbl>
    <w:p>
      <w:pPr>
        <w:spacing w:before="0" w:after="40" w:line="240" w:lineRule="auto"/>
      </w:pPr>
    </w:p>
    <w:p>
      <w:pPr>
        <w:pStyle w:val="Heading2"/>
        <w:keepNext/>
        <w:spacing w:before="240" w:after="120" w:line="252" w:lineRule="auto"/>
      </w:pPr>
      <w:r>
        <w:rPr>
          <w:rFonts w:ascii="Calibri" w:hAnsi="Calibri"/>
          <w:b/>
          <w:color w:val="2E74B5"/>
          <w:sz w:val="26"/>
        </w:rPr>
        <w:t>Designed for real platform conditions</w:t>
      </w:r>
    </w:p>
    <w:p>
      <w:pPr>
        <w:spacing w:before="0" w:after="80" w:line="290" w:lineRule="auto"/>
        <w:numPr>
          <w:ilvl w:val="0"/>
          <w:numId w:val="10"/>
        </w:numPr>
      </w:pPr>
      <w:r>
        <w:rPr>
          <w:rFonts w:ascii="Calibri" w:hAnsi="Calibri"/>
          <w:color w:val="1F2937"/>
          <w:sz w:val="22"/>
        </w:rPr>
        <w:t>Multiple teams and repositories: the workflow makes handoffs explicit instead of relying on tribal knowledge.</w:t>
      </w:r>
    </w:p>
    <w:p>
      <w:pPr>
        <w:spacing w:before="0" w:after="80" w:line="290" w:lineRule="auto"/>
        <w:numPr>
          <w:ilvl w:val="0"/>
          <w:numId w:val="10"/>
        </w:numPr>
      </w:pPr>
      <w:r>
        <w:rPr>
          <w:rFonts w:ascii="Calibri" w:hAnsi="Calibri"/>
          <w:color w:val="1F2937"/>
          <w:sz w:val="22"/>
        </w:rPr>
        <w:t>Architecture that changes over time: lifecycle states preserve the difference between a target, an implemented design, and operational truth.</w:t>
      </w:r>
    </w:p>
    <w:p>
      <w:pPr>
        <w:spacing w:before="0" w:after="80" w:line="290" w:lineRule="auto"/>
        <w:numPr>
          <w:ilvl w:val="0"/>
          <w:numId w:val="10"/>
        </w:numPr>
      </w:pPr>
      <w:r>
        <w:rPr>
          <w:rFonts w:ascii="Calibri" w:hAnsi="Calibri"/>
          <w:color w:val="1F2937"/>
          <w:sz w:val="22"/>
        </w:rPr>
        <w:t>High-consequence decisions: acceptance, evidence, independent validation, and approval records remain first-class artifacts.</w:t>
      </w:r>
    </w:p>
    <w:p>
      <w:pPr>
        <w:spacing w:before="0" w:after="80" w:line="290" w:lineRule="auto"/>
        <w:numPr>
          <w:ilvl w:val="0"/>
          <w:numId w:val="10"/>
        </w:numPr>
      </w:pPr>
      <w:r>
        <w:rPr>
          <w:rFonts w:ascii="Calibri" w:hAnsi="Calibri"/>
          <w:color w:val="1F2937"/>
          <w:sz w:val="22"/>
        </w:rPr>
        <w:t>Pressure to prototype: Prototype Mode can change sequencing for a scoped local prototype, then backtracks into ordinary review and validation without rewriting history.</w:t>
      </w:r>
    </w:p>
    <w:p>
      <w:pPr>
        <w:pStyle w:val="Heading2"/>
        <w:keepNext/>
        <w:spacing w:before="240" w:after="120" w:line="252" w:lineRule="auto"/>
      </w:pPr>
      <w:r>
        <w:rPr>
          <w:rFonts w:ascii="Calibri" w:hAnsi="Calibri"/>
          <w:b/>
          <w:color w:val="2E74B5"/>
          <w:sz w:val="26"/>
        </w:rPr>
        <w:t>The experience for a platform leader</w:t>
      </w:r>
    </w:p>
    <w:p>
      <w:pPr>
        <w:spacing w:before="0" w:after="160" w:line="320" w:lineRule="auto"/>
      </w:pPr>
      <w:r>
        <w:rPr>
          <w:rFonts w:ascii="Calibri" w:hAnsi="Calibri"/>
          <w:color w:val="1F2937"/>
          <w:sz w:val="22"/>
        </w:rPr>
        <w:t>You can ask a hard platform question and get more than an answer. You get a governed path: what must be understood, which authority owns the next decision, what can be delegated, what evidence is required, and what remains unresolved.</w:t>
      </w:r>
    </w:p>
    <w:p>
      <w:r>
        <w:br w:type="page"/>
      </w:r>
    </w:p>
    <w:p>
      <w:pPr>
        <w:pStyle w:val="Heading1"/>
        <w:keepNext/>
        <w:spacing w:before="360" w:after="200" w:line="252" w:lineRule="auto"/>
      </w:pPr>
      <w:r>
        <w:rPr>
          <w:rFonts w:ascii="Calibri" w:hAnsi="Calibri"/>
          <w:b/>
          <w:color w:val="2E74B5"/>
          <w:sz w:val="32"/>
        </w:rPr>
        <w:t>The four-part solution</w:t>
      </w:r>
    </w:p>
    <w:p>
      <w:pPr>
        <w:spacing w:before="0" w:after="160" w:line="320" w:lineRule="auto"/>
      </w:pPr>
      <w:r>
        <w:rPr>
          <w:rFonts w:ascii="Calibri" w:hAnsi="Calibri"/>
          <w:color w:val="1F2937"/>
          <w:sz w:val="22"/>
        </w:rPr>
        <w:t>The suite combines a lifecycle engine with the authoring, orchestration, and strategic-analysis capabilities needed to make agentic engineering useful at platform scope.</w:t>
      </w:r>
    </w:p>
    <w:tbl>
      <w:tblPr>
        <w:tblStyle w:val="TableGrid"/>
        <w:tblW w:type="dxa" w:w="9360"/>
        <w:tblLayout w:type="fixed"/>
        <w:tblLook w:firstColumn="1" w:firstRow="1" w:lastColumn="0" w:lastRow="0" w:noHBand="0" w:noVBand="1" w:val="04A0"/>
        <w:tblInd w:w="120" w:type="dxa"/>
      </w:tblPr>
      <w:tblGrid>
        <w:gridCol w:w="1700"/>
        <w:gridCol w:w="2200"/>
        <w:gridCol w:w="5460"/>
      </w:tblGrid>
      <w:tr>
        <w:trPr>
          <w:tblHeader w:val="true"/>
        </w:trPr>
        <w:tc>
          <w:tcPr>
            <w:tcW w:type="dxa" w:w="17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Package</w:t>
            </w:r>
          </w:p>
        </w:tc>
        <w:tc>
          <w:tcPr>
            <w:tcW w:type="dxa" w:w="220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Role</w:t>
            </w:r>
          </w:p>
        </w:tc>
        <w:tc>
          <w:tcPr>
            <w:tcW w:type="dxa" w:w="5460"/>
            <w:tcMar>
              <w:top w:w="80" w:type="dxa"/>
              <w:start w:w="120" w:type="dxa"/>
              <w:bottom w:w="80" w:type="dxa"/>
              <w:end w:w="120" w:type="dxa"/>
            </w:tcMar>
            <w:shd w:fill="E8EEF5"/>
            <w:tcBorders>
              <w:top w:val="single" w:sz="6" w:color="D8E0E8"/>
              <w:left w:val="single" w:sz="6" w:color="D8E0E8"/>
              <w:bottom w:val="single" w:sz="6" w:color="D8E0E8"/>
              <w:right w:val="single" w:sz="6" w:color="D8E0E8"/>
            </w:tcBorders>
          </w:tcPr>
          <w:p>
            <w:pPr>
              <w:spacing w:before="0" w:after="0" w:line="252" w:lineRule="auto"/>
            </w:pPr>
            <w:r>
              <w:rPr>
                <w:rFonts w:ascii="Calibri" w:hAnsi="Calibri"/>
                <w:b/>
                <w:color w:val="0B2545"/>
                <w:sz w:val="18"/>
              </w:rPr>
              <w:t>Platform-scale value</w:t>
            </w:r>
          </w:p>
        </w:tc>
      </w:tr>
      <w:tr>
        <w:tc>
          <w:tcPr>
            <w:tcW w:type="dxa" w:w="17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swe-process</w:t>
            </w:r>
          </w:p>
        </w:tc>
        <w:tc>
          <w:tcPr>
            <w:tcW w:type="dxa" w:w="22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The governed lifecycle</w:t>
            </w:r>
          </w:p>
        </w:tc>
        <w:tc>
          <w:tcPr>
            <w:tcW w:type="dxa" w:w="54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Coordinates Epic-to-Validation work, platform architecture, Features, implementation handoffs, local delivery, evidence, and independent review.</w:t>
            </w:r>
          </w:p>
        </w:tc>
      </w:tr>
      <w:tr>
        <w:tc>
          <w:tcPr>
            <w:tcW w:type="dxa" w:w="17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swe-codex</w:t>
            </w:r>
          </w:p>
        </w:tc>
        <w:tc>
          <w:tcPr>
            <w:tcW w:type="dxa" w:w="22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Portable agentic authoring</w:t>
            </w:r>
          </w:p>
        </w:tc>
        <w:tc>
          <w:tcPr>
            <w:tcW w:type="dxa" w:w="54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Creates and evolves Codex plugins, skills, and agents using repository-native conventions, plus a goal-completion wrap-up hook.</w:t>
            </w:r>
          </w:p>
        </w:tc>
      </w:tr>
      <w:tr>
        <w:tc>
          <w:tcPr>
            <w:tcW w:type="dxa" w:w="17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swe-utility</w:t>
            </w:r>
          </w:p>
        </w:tc>
        <w:tc>
          <w:tcPr>
            <w:tcW w:type="dxa" w:w="220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Delivery leverage</w:t>
            </w:r>
          </w:p>
        </w:tc>
        <w:tc>
          <w:tcPr>
            <w:tcW w:type="dxa" w:w="5460"/>
            <w:shd w:fill="FFFFFF"/>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Provides bounded orchestration, direct child-repository bridge workflows, prototype-first sequencing, plan grilling, style, domain, and versioning utilities.</w:t>
            </w:r>
          </w:p>
        </w:tc>
      </w:tr>
      <w:tr>
        <w:tc>
          <w:tcPr>
            <w:tcW w:type="dxa" w:w="17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color w:val="1F2937"/>
                <w:sz w:val="18"/>
              </w:rPr>
              <w:t>swa-analyze</w:t>
            </w:r>
          </w:p>
        </w:tc>
        <w:tc>
          <w:tcPr>
            <w:tcW w:type="dxa" w:w="220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Strategic architecture insight</w:t>
            </w:r>
          </w:p>
        </w:tc>
        <w:tc>
          <w:tcPr>
            <w:tcW w:type="dxa" w:w="5460"/>
            <w:shd w:fill="F4F6F9"/>
            <w:tcBorders>
              <w:top w:val="single" w:sz="4" w:color="D8E0E8"/>
              <w:left w:val="single" w:sz="4" w:color="D8E0E8"/>
              <w:bottom w:val="single" w:sz="4" w:color="D8E0E8"/>
              <w:right w:val="single" w:sz="4" w:color="D8E0E8"/>
            </w:tcBorders>
            <w:vAlign w:val="center"/>
            <w:tcMar>
              <w:top w:w="80" w:type="dxa"/>
              <w:start w:w="120" w:type="dxa"/>
              <w:bottom w:w="80" w:type="dxa"/>
              <w:end w:w="120" w:type="dxa"/>
            </w:tcMar>
          </w:tcPr>
          <w:p>
            <w:pPr>
              <w:spacing w:before="0" w:after="0" w:line="259" w:lineRule="auto"/>
            </w:pPr>
            <w:r>
              <w:rPr>
                <w:rFonts w:ascii="Calibri" w:hAnsi="Calibri"/>
                <w:b w:val="0"/>
                <w:color w:val="1F2937"/>
                <w:sz w:val="18"/>
              </w:rPr>
              <w:t>Applies evidence-backed lenses to existing artifacts and code, producing advisory analysis without mutating the design under review.</w:t>
            </w:r>
          </w:p>
        </w:tc>
      </w:tr>
    </w:tbl>
    <w:p>
      <w:pPr>
        <w:spacing w:before="0" w:after="40" w:line="240" w:lineRule="auto"/>
      </w:pPr>
    </w:p>
    <w:p>
      <w:pPr>
        <w:pStyle w:val="Heading2"/>
        <w:keepNext/>
        <w:spacing w:before="240" w:after="120" w:line="252" w:lineRule="auto"/>
      </w:pPr>
      <w:r>
        <w:rPr>
          <w:rFonts w:ascii="Calibri" w:hAnsi="Calibri"/>
          <w:b/>
          <w:color w:val="2E74B5"/>
          <w:sz w:val="26"/>
        </w:rPr>
        <w:t>A practical adoption path</w:t>
      </w:r>
    </w:p>
    <w:p>
      <w:pPr>
        <w:spacing w:before="0" w:after="80" w:line="290" w:lineRule="auto"/>
        <w:numPr>
          <w:ilvl w:val="0"/>
          <w:numId w:val="11"/>
        </w:numPr>
      </w:pPr>
      <w:r>
        <w:rPr>
          <w:rFonts w:ascii="Calibri" w:hAnsi="Calibri"/>
          <w:color w:val="1F2937"/>
          <w:sz w:val="22"/>
        </w:rPr>
        <w:t>Scaffold the right authority: use a portfolio scaffold for platform intent and a solution scaffold for each child repository.</w:t>
      </w:r>
    </w:p>
    <w:p>
      <w:pPr>
        <w:spacing w:before="0" w:after="80" w:line="290" w:lineRule="auto"/>
        <w:numPr>
          <w:ilvl w:val="0"/>
          <w:numId w:val="11"/>
        </w:numPr>
      </w:pPr>
      <w:r>
        <w:rPr>
          <w:rFonts w:ascii="Calibri" w:hAnsi="Calibri"/>
          <w:color w:val="1F2937"/>
          <w:sz w:val="22"/>
        </w:rPr>
        <w:t>Start with one platform Epic: make the outcome, boundary, and acceptance criteria visible before asking agents to build.</w:t>
      </w:r>
    </w:p>
    <w:p>
      <w:pPr>
        <w:spacing w:before="0" w:after="80" w:line="290" w:lineRule="auto"/>
        <w:numPr>
          <w:ilvl w:val="0"/>
          <w:numId w:val="11"/>
        </w:numPr>
      </w:pPr>
      <w:r>
        <w:rPr>
          <w:rFonts w:ascii="Calibri" w:hAnsi="Calibri"/>
          <w:color w:val="1F2937"/>
          <w:sz w:val="22"/>
        </w:rPr>
        <w:t>Use the lifecycle as a shared language: research, concept, architecture, Feature, plan, Design, implementation, evidence, validation.</w:t>
      </w:r>
    </w:p>
    <w:p>
      <w:pPr>
        <w:spacing w:before="0" w:after="80" w:line="290" w:lineRule="auto"/>
        <w:numPr>
          <w:ilvl w:val="0"/>
          <w:numId w:val="11"/>
        </w:numPr>
      </w:pPr>
      <w:r>
        <w:rPr>
          <w:rFonts w:ascii="Calibri" w:hAnsi="Calibri"/>
          <w:color w:val="1F2937"/>
          <w:sz w:val="22"/>
        </w:rPr>
        <w:t>Scale the pattern: reuse the same roles, templates, and handoff contract as more Solutions and platform initiatives join the portfolio.</w:t>
      </w:r>
    </w:p>
    <w:p>
      <w:pPr>
        <w:spacing w:before="80" w:after="160" w:line="276" w:lineRule="auto"/>
        <w:shd w:fill="EAF1F8"/>
        <w:pBdr>
          <w:left w:val="single" w:sz="18" w:space="8" w:color="2E74B5"/>
        </w:pBdr>
        <w:ind w:left="202" w:right="144"/>
      </w:pPr>
      <w:r>
        <w:rPr>
          <w:rFonts w:ascii="Calibri" w:hAnsi="Calibri"/>
          <w:b/>
          <w:color w:val="2E74B5"/>
          <w:sz w:val="19"/>
        </w:rPr>
        <w:t xml:space="preserve">BEST FIT  </w:t>
      </w:r>
      <w:r>
        <w:rPr>
          <w:rFonts w:ascii="Calibri" w:hAnsi="Calibri"/>
          <w:b/>
          <w:color w:val="0B2545"/>
          <w:sz w:val="22"/>
        </w:rPr>
        <w:t>Organizations that need AI to move faster across platform initiatives - while keeping architecture, accountability, and acceptance in human-readable control.</w:t>
      </w:r>
    </w:p>
    <w:p>
      <w:pPr>
        <w:pStyle w:val="Heading2"/>
        <w:keepNext/>
        <w:spacing w:before="240" w:after="120" w:line="252" w:lineRule="auto"/>
      </w:pPr>
      <w:r>
        <w:rPr>
          <w:rFonts w:ascii="Calibri" w:hAnsi="Calibri"/>
          <w:b/>
          <w:color w:val="2E74B5"/>
          <w:sz w:val="26"/>
        </w:rPr>
        <w:t>The invitation</w:t>
      </w:r>
    </w:p>
    <w:p>
      <w:pPr>
        <w:spacing w:before="0" w:after="160" w:line="320" w:lineRule="auto"/>
      </w:pPr>
      <w:r>
        <w:rPr>
          <w:rFonts w:ascii="Calibri" w:hAnsi="Calibri"/>
          <w:color w:val="1F2937"/>
          <w:sz w:val="22"/>
        </w:rPr>
        <w:t>Choose a platform initiative where coordination is the constraint. Make the authority model explicit. Let agents do the bounded work. Keep the evidence. Then use what you learn to make the next platform change easier to govern and easier to ship.</w:t>
      </w:r>
    </w:p>
    <w:p>
      <w:pPr>
        <w:spacing w:before="480" w:after="0" w:line="240" w:lineRule="auto"/>
        <w:jc w:val="center"/>
      </w:pPr>
      <w:r>
        <w:rPr>
          <w:rFonts w:ascii="Calibri" w:hAnsi="Calibri"/>
          <w:b/>
          <w:color w:val="0B2545"/>
          <w:sz w:val="28"/>
        </w:rPr>
        <w:t>Agentic speed is valuable. Governed platform progress is the advantage.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line="240" w:lineRule="auto"/>
      <w:jc w:val="right"/>
    </w:pPr>
    <w:r/>
    <w:r>
      <w:rPr>
        <w:rFonts w:ascii="Calibri" w:hAnsi="Calibri"/>
        <w:color w:val="5B6775"/>
        <w:sz w:val="17"/>
      </w:rPr>
      <w:t>Platform-scale delivery brief</w:t>
    </w:r>
    <w:r>
      <w:tab/>
    </w:r>
    <w:r>
      <w:rPr>
        <w:rFonts w:ascii="Calibri" w:hAnsi="Calibri"/>
        <w:color w:val="5B6775"/>
        <w:sz w:val="17"/>
      </w:rPr>
      <w:t xml:space="preserve">Page </w:t>
    </w:r>
    <w:r>
      <w:rPr>
        <w:rFonts w:ascii="Calibri" w:hAnsi="Calibri"/>
        <w:color w:val="5B67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b/>
        <w:color w:val="5B6775"/>
        <w:sz w:val="17"/>
      </w:rPr>
      <w:t>GHOSTWORX.AI  |  AGENTIC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Engineering for Platform-Scale Delivery</dc:title>
  <dc:subject>Marketing brief for the Ghostworx SWE Plugin agentic engineering solution</dc:subject>
  <dc:creator>Ghostworx.ai, LLC</dc:creator>
  <cp:keywords>agentic engineering, platform delivery, software engineering, governance</cp:keywords>
  <dc:description>generated by python-docx</dc:description>
  <cp:lastModifiedBy/>
  <cp:revision>1</cp:revision>
  <dcterms:created xsi:type="dcterms:W3CDTF">2013-12-23T23:15:00Z</dcterms:created>
  <dcterms:modified xsi:type="dcterms:W3CDTF">2013-12-23T23:15:00Z</dcterms:modified>
  <cp:category/>
</cp:coreProperties>
</file>