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Unified Cardiology Registry Data Platform (UCRM) – Technical Project Pitch</w:t>
      </w:r>
    </w:p>
    <w:p>
      <w:r>
        <w:t>Date: November 04, 2025</w:t>
      </w:r>
    </w:p>
    <w:p>
      <w:r>
        <w:t>Author: AdventHealth – Business &amp; Clinical Analytics</w:t>
      </w:r>
    </w:p>
    <w:p>
      <w:pPr>
        <w:pStyle w:val="Heading2"/>
      </w:pPr>
      <w:r>
        <w:t>1. Executive Summary</w:t>
      </w:r>
    </w:p>
    <w:p>
      <w:r>
        <w:t>This project will build a Unified Cardiology Registry Data Platform (UCRM) — a governed data model and processing framework that normalizes data from all major cardiac registries (NCDR, STS, AHA, SVS, ELSO) into a single, analytics-ready schema. Today, our data from registries like CathPCI, STS Adult Cardiac, ICD, LAAO, and TVT are siloed in vendor portals and static exports. Analysts and clinicians cannot easily run cross-registry queries or trend outcomes internally.</w:t>
        <w:br/>
        <w:br/>
        <w:t>The UCRM solves that by automating ingestion of registry exports and Epic-derived data, normalizing schemas across registries into a single canonical data model, preserving provenance and versioning, and enabling Power BI / SQL-based analytics for quality and performance improvement.</w:t>
      </w:r>
    </w:p>
    <w:p>
      <w:pPr>
        <w:pStyle w:val="Heading2"/>
      </w:pPr>
      <w:r>
        <w:t>2. Goals &amp; Success Criteria</w:t>
      </w:r>
    </w:p>
    <w:tbl>
      <w:tblPr>
        <w:tblW w:type="auto" w:w="0"/>
        <w:tblLook w:firstColumn="1" w:firstRow="1" w:lastColumn="0" w:lastRow="0" w:noHBand="0" w:noVBand="1" w:val="04A0"/>
      </w:tblPr>
      <w:tblGrid>
        <w:gridCol w:w="4320"/>
        <w:gridCol w:w="4320"/>
      </w:tblGrid>
      <w:tr>
        <w:tc>
          <w:tcPr>
            <w:tcW w:type="dxa" w:w="4320"/>
          </w:tcPr>
          <w:p>
            <w:r>
              <w:t>Goal</w:t>
            </w:r>
          </w:p>
        </w:tc>
        <w:tc>
          <w:tcPr>
            <w:tcW w:type="dxa" w:w="4320"/>
          </w:tcPr>
          <w:p>
            <w:r>
              <w:t>KPI / Deliverable</w:t>
            </w:r>
          </w:p>
        </w:tc>
      </w:tr>
      <w:tr>
        <w:tc>
          <w:tcPr>
            <w:tcW w:type="dxa" w:w="4320"/>
          </w:tcPr>
          <w:p>
            <w:r>
              <w:t>Integrate top cardiac registries into one unified model</w:t>
            </w:r>
          </w:p>
        </w:tc>
        <w:tc>
          <w:tcPr>
            <w:tcW w:type="dxa" w:w="4320"/>
          </w:tcPr>
          <w:p>
            <w:r>
              <w:t>≥5 registries mapped by end of phase 1</w:t>
            </w:r>
          </w:p>
        </w:tc>
      </w:tr>
      <w:tr>
        <w:tc>
          <w:tcPr>
            <w:tcW w:type="dxa" w:w="4320"/>
          </w:tcPr>
          <w:p>
            <w:r>
              <w:t>Automate ingestion of new registry data</w:t>
            </w:r>
          </w:p>
        </w:tc>
        <w:tc>
          <w:tcPr>
            <w:tcW w:type="dxa" w:w="4320"/>
          </w:tcPr>
          <w:p>
            <w:r>
              <w:t>Nightly ETL with no manual exports</w:t>
            </w:r>
          </w:p>
        </w:tc>
      </w:tr>
      <w:tr>
        <w:tc>
          <w:tcPr>
            <w:tcW w:type="dxa" w:w="4320"/>
          </w:tcPr>
          <w:p>
            <w:r>
              <w:t>Preserve provenance and schema versioning</w:t>
            </w:r>
          </w:p>
        </w:tc>
        <w:tc>
          <w:tcPr>
            <w:tcW w:type="dxa" w:w="4320"/>
          </w:tcPr>
          <w:p>
            <w:r>
              <w:t>100% of rows in UCRM contain registry version + source file</w:t>
            </w:r>
          </w:p>
        </w:tc>
      </w:tr>
      <w:tr>
        <w:tc>
          <w:tcPr>
            <w:tcW w:type="dxa" w:w="4320"/>
          </w:tcPr>
          <w:p>
            <w:r>
              <w:t>Enable cross-registry analytics</w:t>
            </w:r>
          </w:p>
        </w:tc>
        <w:tc>
          <w:tcPr>
            <w:tcW w:type="dxa" w:w="4320"/>
          </w:tcPr>
          <w:p>
            <w:r>
              <w:t>Single Power BI semantic model combining CathPCI, ICD, STS, etc.</w:t>
            </w:r>
          </w:p>
        </w:tc>
      </w:tr>
      <w:tr>
        <w:tc>
          <w:tcPr>
            <w:tcW w:type="dxa" w:w="4320"/>
          </w:tcPr>
          <w:p>
            <w:r>
              <w:t>Achieve internal validation parity</w:t>
            </w:r>
          </w:p>
        </w:tc>
        <w:tc>
          <w:tcPr>
            <w:tcW w:type="dxa" w:w="4320"/>
          </w:tcPr>
          <w:p>
            <w:r>
              <w:t>Case counts within ±5% of official registry dashboards</w:t>
            </w:r>
          </w:p>
        </w:tc>
      </w:tr>
    </w:tbl>
    <w:p>
      <w:pPr>
        <w:pStyle w:val="Heading2"/>
      </w:pPr>
      <w:r>
        <w:t>3. Core Architecture Overview</w:t>
      </w:r>
    </w:p>
    <w:p>
      <w:r>
        <w:t>The UCRM architecture follows a layered data pipeline model:</w:t>
        <w:br/>
        <w:t>Landing → Staging → Core (UCRM) → Analytics Marts → Power BI.</w:t>
        <w:br/>
        <w:br/>
        <w:t>Each layer is modular, reproducible, and version-controlled. All transforms and metadata are handled via dbt and Flyway migrations.</w:t>
      </w:r>
    </w:p>
    <w:p>
      <w:pPr>
        <w:pStyle w:val="Heading2"/>
      </w:pPr>
      <w:r>
        <w:t>4. Registry Coverage (Phase 1–2)</w:t>
      </w:r>
    </w:p>
    <w:tbl>
      <w:tblPr>
        <w:tblW w:type="auto" w:w="0"/>
        <w:tblLook w:firstColumn="1" w:firstRow="1" w:lastColumn="0" w:lastRow="0" w:noHBand="0" w:noVBand="1" w:val="04A0"/>
      </w:tblPr>
      <w:tblGrid>
        <w:gridCol w:w="2880"/>
        <w:gridCol w:w="2880"/>
        <w:gridCol w:w="2880"/>
      </w:tblGrid>
      <w:tr>
        <w:tc>
          <w:tcPr>
            <w:tcW w:type="dxa" w:w="2880"/>
          </w:tcPr>
          <w:p>
            <w:r>
              <w:t>Registry</w:t>
            </w:r>
          </w:p>
        </w:tc>
        <w:tc>
          <w:tcPr>
            <w:tcW w:type="dxa" w:w="2880"/>
          </w:tcPr>
          <w:p>
            <w:r>
              <w:t>Sponsor</w:t>
            </w:r>
          </w:p>
        </w:tc>
        <w:tc>
          <w:tcPr>
            <w:tcW w:type="dxa" w:w="2880"/>
          </w:tcPr>
          <w:p>
            <w:r>
              <w:t>Source</w:t>
            </w:r>
          </w:p>
        </w:tc>
      </w:tr>
      <w:tr>
        <w:tc>
          <w:tcPr>
            <w:tcW w:type="dxa" w:w="2880"/>
          </w:tcPr>
          <w:p>
            <w:r>
              <w:t>NCDR CathPCI</w:t>
            </w:r>
          </w:p>
        </w:tc>
        <w:tc>
          <w:tcPr>
            <w:tcW w:type="dxa" w:w="2880"/>
          </w:tcPr>
          <w:p>
            <w:r>
              <w:t>ACC</w:t>
            </w:r>
          </w:p>
        </w:tc>
        <w:tc>
          <w:tcPr>
            <w:tcW w:type="dxa" w:w="2880"/>
          </w:tcPr>
          <w:p>
            <w:r>
              <w:t>CSV/XML exports + Epic validation</w:t>
            </w:r>
          </w:p>
        </w:tc>
      </w:tr>
      <w:tr>
        <w:tc>
          <w:tcPr>
            <w:tcW w:type="dxa" w:w="2880"/>
          </w:tcPr>
          <w:p>
            <w:r>
              <w:t>NCDR ICD / EP Device</w:t>
            </w:r>
          </w:p>
        </w:tc>
        <w:tc>
          <w:tcPr>
            <w:tcW w:type="dxa" w:w="2880"/>
          </w:tcPr>
          <w:p>
            <w:r>
              <w:t>ACC</w:t>
            </w:r>
          </w:p>
        </w:tc>
        <w:tc>
          <w:tcPr>
            <w:tcW w:type="dxa" w:w="2880"/>
          </w:tcPr>
          <w:p>
            <w:r>
              <w:t>CSV/XML exports + Epic device data</w:t>
            </w:r>
          </w:p>
        </w:tc>
      </w:tr>
      <w:tr>
        <w:tc>
          <w:tcPr>
            <w:tcW w:type="dxa" w:w="2880"/>
          </w:tcPr>
          <w:p>
            <w:r>
              <w:t>STS TVT</w:t>
            </w:r>
          </w:p>
        </w:tc>
        <w:tc>
          <w:tcPr>
            <w:tcW w:type="dxa" w:w="2880"/>
          </w:tcPr>
          <w:p>
            <w:r>
              <w:t>STS/ACC</w:t>
            </w:r>
          </w:p>
        </w:tc>
        <w:tc>
          <w:tcPr>
            <w:tcW w:type="dxa" w:w="2880"/>
          </w:tcPr>
          <w:p>
            <w:r>
              <w:t>Vendor export</w:t>
            </w:r>
          </w:p>
        </w:tc>
      </w:tr>
      <w:tr>
        <w:tc>
          <w:tcPr>
            <w:tcW w:type="dxa" w:w="2880"/>
          </w:tcPr>
          <w:p>
            <w:r>
              <w:t>STS Adult Cardiac Surgery</w:t>
            </w:r>
          </w:p>
        </w:tc>
        <w:tc>
          <w:tcPr>
            <w:tcW w:type="dxa" w:w="2880"/>
          </w:tcPr>
          <w:p>
            <w:r>
              <w:t>STS</w:t>
            </w:r>
          </w:p>
        </w:tc>
        <w:tc>
          <w:tcPr>
            <w:tcW w:type="dxa" w:w="2880"/>
          </w:tcPr>
          <w:p>
            <w:r>
              <w:t>Vendor export</w:t>
            </w:r>
          </w:p>
        </w:tc>
      </w:tr>
      <w:tr>
        <w:tc>
          <w:tcPr>
            <w:tcW w:type="dxa" w:w="2880"/>
          </w:tcPr>
          <w:p>
            <w:r>
              <w:t>NCDR LAAO</w:t>
            </w:r>
          </w:p>
        </w:tc>
        <w:tc>
          <w:tcPr>
            <w:tcW w:type="dxa" w:w="2880"/>
          </w:tcPr>
          <w:p>
            <w:r>
              <w:t>ACC</w:t>
            </w:r>
          </w:p>
        </w:tc>
        <w:tc>
          <w:tcPr>
            <w:tcW w:type="dxa" w:w="2880"/>
          </w:tcPr>
          <w:p>
            <w:r>
              <w:t>Vendor export</w:t>
            </w:r>
          </w:p>
        </w:tc>
      </w:tr>
      <w:tr>
        <w:tc>
          <w:tcPr>
            <w:tcW w:type="dxa" w:w="2880"/>
          </w:tcPr>
          <w:p>
            <w:r>
              <w:t>AHA GWTG-HF</w:t>
            </w:r>
          </w:p>
        </w:tc>
        <w:tc>
          <w:tcPr>
            <w:tcW w:type="dxa" w:w="2880"/>
          </w:tcPr>
          <w:p>
            <w:r>
              <w:t>AHA</w:t>
            </w:r>
          </w:p>
        </w:tc>
        <w:tc>
          <w:tcPr>
            <w:tcW w:type="dxa" w:w="2880"/>
          </w:tcPr>
          <w:p>
            <w:r>
              <w:t>Epic-derived / vendor data</w:t>
            </w:r>
          </w:p>
        </w:tc>
      </w:tr>
      <w:tr>
        <w:tc>
          <w:tcPr>
            <w:tcW w:type="dxa" w:w="2880"/>
          </w:tcPr>
          <w:p>
            <w:r>
              <w:t>VQI PVI</w:t>
            </w:r>
          </w:p>
        </w:tc>
        <w:tc>
          <w:tcPr>
            <w:tcW w:type="dxa" w:w="2880"/>
          </w:tcPr>
          <w:p>
            <w:r>
              <w:t>SVS</w:t>
            </w:r>
          </w:p>
        </w:tc>
        <w:tc>
          <w:tcPr>
            <w:tcW w:type="dxa" w:w="2880"/>
          </w:tcPr>
          <w:p>
            <w:r>
              <w:t>Vendor export</w:t>
            </w:r>
          </w:p>
        </w:tc>
      </w:tr>
    </w:tbl>
    <w:p>
      <w:pPr>
        <w:pStyle w:val="Heading2"/>
      </w:pPr>
      <w:r>
        <w:t>5. Technical Stack</w:t>
      </w:r>
    </w:p>
    <w:tbl>
      <w:tblPr>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Tool</w:t>
            </w:r>
          </w:p>
        </w:tc>
        <w:tc>
          <w:tcPr>
            <w:tcW w:type="dxa" w:w="2880"/>
          </w:tcPr>
          <w:p>
            <w:r>
              <w:t>Cost</w:t>
            </w:r>
          </w:p>
        </w:tc>
      </w:tr>
      <w:tr>
        <w:tc>
          <w:tcPr>
            <w:tcW w:type="dxa" w:w="2880"/>
          </w:tcPr>
          <w:p>
            <w:r>
              <w:t>Version control</w:t>
            </w:r>
          </w:p>
        </w:tc>
        <w:tc>
          <w:tcPr>
            <w:tcW w:type="dxa" w:w="2880"/>
          </w:tcPr>
          <w:p>
            <w:r>
              <w:t>GitHub</w:t>
            </w:r>
          </w:p>
        </w:tc>
        <w:tc>
          <w:tcPr>
            <w:tcW w:type="dxa" w:w="2880"/>
          </w:tcPr>
          <w:p>
            <w:r>
              <w:t>Free</w:t>
            </w:r>
          </w:p>
        </w:tc>
      </w:tr>
      <w:tr>
        <w:tc>
          <w:tcPr>
            <w:tcW w:type="dxa" w:w="2880"/>
          </w:tcPr>
          <w:p>
            <w:r>
              <w:t>Infra-as-code</w:t>
            </w:r>
          </w:p>
        </w:tc>
        <w:tc>
          <w:tcPr>
            <w:tcW w:type="dxa" w:w="2880"/>
          </w:tcPr>
          <w:p>
            <w:r>
              <w:t>Terraform</w:t>
            </w:r>
          </w:p>
        </w:tc>
        <w:tc>
          <w:tcPr>
            <w:tcW w:type="dxa" w:w="2880"/>
          </w:tcPr>
          <w:p>
            <w:r>
              <w:t>Free</w:t>
            </w:r>
          </w:p>
        </w:tc>
      </w:tr>
      <w:tr>
        <w:tc>
          <w:tcPr>
            <w:tcW w:type="dxa" w:w="2880"/>
          </w:tcPr>
          <w:p>
            <w:r>
              <w:t>Schema migrations</w:t>
            </w:r>
          </w:p>
        </w:tc>
        <w:tc>
          <w:tcPr>
            <w:tcW w:type="dxa" w:w="2880"/>
          </w:tcPr>
          <w:p>
            <w:r>
              <w:t>Flyway (Community)</w:t>
            </w:r>
          </w:p>
        </w:tc>
        <w:tc>
          <w:tcPr>
            <w:tcW w:type="dxa" w:w="2880"/>
          </w:tcPr>
          <w:p>
            <w:r>
              <w:t>Free</w:t>
            </w:r>
          </w:p>
        </w:tc>
      </w:tr>
      <w:tr>
        <w:tc>
          <w:tcPr>
            <w:tcW w:type="dxa" w:w="2880"/>
          </w:tcPr>
          <w:p>
            <w:r>
              <w:t>Transformations</w:t>
            </w:r>
          </w:p>
        </w:tc>
        <w:tc>
          <w:tcPr>
            <w:tcW w:type="dxa" w:w="2880"/>
          </w:tcPr>
          <w:p>
            <w:r>
              <w:t>dbt Core</w:t>
            </w:r>
          </w:p>
        </w:tc>
        <w:tc>
          <w:tcPr>
            <w:tcW w:type="dxa" w:w="2880"/>
          </w:tcPr>
          <w:p>
            <w:r>
              <w:t>Free</w:t>
            </w:r>
          </w:p>
        </w:tc>
      </w:tr>
      <w:tr>
        <w:tc>
          <w:tcPr>
            <w:tcW w:type="dxa" w:w="2880"/>
          </w:tcPr>
          <w:p>
            <w:r>
              <w:t>Orchestration</w:t>
            </w:r>
          </w:p>
        </w:tc>
        <w:tc>
          <w:tcPr>
            <w:tcW w:type="dxa" w:w="2880"/>
          </w:tcPr>
          <w:p>
            <w:r>
              <w:t>Prefect / Airflow</w:t>
            </w:r>
          </w:p>
        </w:tc>
        <w:tc>
          <w:tcPr>
            <w:tcW w:type="dxa" w:w="2880"/>
          </w:tcPr>
          <w:p>
            <w:r>
              <w:t>Free (OSS)</w:t>
            </w:r>
          </w:p>
        </w:tc>
      </w:tr>
      <w:tr>
        <w:tc>
          <w:tcPr>
            <w:tcW w:type="dxa" w:w="2880"/>
          </w:tcPr>
          <w:p>
            <w:r>
              <w:t>Warehouse</w:t>
            </w:r>
          </w:p>
        </w:tc>
        <w:tc>
          <w:tcPr>
            <w:tcW w:type="dxa" w:w="2880"/>
          </w:tcPr>
          <w:p>
            <w:r>
              <w:t>Postgres / Snowflake</w:t>
            </w:r>
          </w:p>
        </w:tc>
        <w:tc>
          <w:tcPr>
            <w:tcW w:type="dxa" w:w="2880"/>
          </w:tcPr>
          <w:p>
            <w:r>
              <w:t>Usage-based</w:t>
            </w:r>
          </w:p>
        </w:tc>
      </w:tr>
      <w:tr>
        <w:tc>
          <w:tcPr>
            <w:tcW w:type="dxa" w:w="2880"/>
          </w:tcPr>
          <w:p>
            <w:r>
              <w:t>Testing</w:t>
            </w:r>
          </w:p>
        </w:tc>
        <w:tc>
          <w:tcPr>
            <w:tcW w:type="dxa" w:w="2880"/>
          </w:tcPr>
          <w:p>
            <w:r>
              <w:t>dbt tests + Great Expectations</w:t>
            </w:r>
          </w:p>
        </w:tc>
        <w:tc>
          <w:tcPr>
            <w:tcW w:type="dxa" w:w="2880"/>
          </w:tcPr>
          <w:p>
            <w:r>
              <w:t>Free</w:t>
            </w:r>
          </w:p>
        </w:tc>
      </w:tr>
    </w:tbl>
    <w:p>
      <w:pPr>
        <w:pStyle w:val="Heading2"/>
      </w:pPr>
      <w:r>
        <w:t>6. Deliverables &amp; Timeline</w:t>
      </w:r>
    </w:p>
    <w:tbl>
      <w:tblPr>
        <w:tblW w:type="auto" w:w="0"/>
        <w:tblLook w:firstColumn="1" w:firstRow="1" w:lastColumn="0" w:lastRow="0" w:noHBand="0" w:noVBand="1" w:val="04A0"/>
      </w:tblPr>
      <w:tblGrid>
        <w:gridCol w:w="4320"/>
        <w:gridCol w:w="4320"/>
      </w:tblGrid>
      <w:tr>
        <w:tc>
          <w:tcPr>
            <w:tcW w:type="dxa" w:w="4320"/>
          </w:tcPr>
          <w:p>
            <w:r>
              <w:t>Week</w:t>
            </w:r>
          </w:p>
        </w:tc>
        <w:tc>
          <w:tcPr>
            <w:tcW w:type="dxa" w:w="4320"/>
          </w:tcPr>
          <w:p>
            <w:r>
              <w:t>Deliverable</w:t>
            </w:r>
          </w:p>
        </w:tc>
      </w:tr>
      <w:tr>
        <w:tc>
          <w:tcPr>
            <w:tcW w:type="dxa" w:w="4320"/>
          </w:tcPr>
          <w:p>
            <w:r>
              <w:t>Week 1–2</w:t>
            </w:r>
          </w:p>
        </w:tc>
        <w:tc>
          <w:tcPr>
            <w:tcW w:type="dxa" w:w="4320"/>
          </w:tcPr>
          <w:p>
            <w:r>
              <w:t>Environment setup</w:t>
            </w:r>
          </w:p>
        </w:tc>
      </w:tr>
      <w:tr>
        <w:tc>
          <w:tcPr>
            <w:tcW w:type="dxa" w:w="4320"/>
          </w:tcPr>
          <w:p>
            <w:r>
              <w:t>Week 3</w:t>
            </w:r>
          </w:p>
        </w:tc>
        <w:tc>
          <w:tcPr>
            <w:tcW w:type="dxa" w:w="4320"/>
          </w:tcPr>
          <w:p>
            <w:r>
              <w:t>NCDR CathPCI pipeline MVP</w:t>
            </w:r>
          </w:p>
        </w:tc>
      </w:tr>
      <w:tr>
        <w:tc>
          <w:tcPr>
            <w:tcW w:type="dxa" w:w="4320"/>
          </w:tcPr>
          <w:p>
            <w:r>
              <w:t>Week 4–5</w:t>
            </w:r>
          </w:p>
        </w:tc>
        <w:tc>
          <w:tcPr>
            <w:tcW w:type="dxa" w:w="4320"/>
          </w:tcPr>
          <w:p>
            <w:r>
              <w:t>EP Device (ICD) + Device spine</w:t>
            </w:r>
          </w:p>
        </w:tc>
      </w:tr>
      <w:tr>
        <w:tc>
          <w:tcPr>
            <w:tcW w:type="dxa" w:w="4320"/>
          </w:tcPr>
          <w:p>
            <w:r>
              <w:t>Week 6</w:t>
            </w:r>
          </w:p>
        </w:tc>
        <w:tc>
          <w:tcPr>
            <w:tcW w:type="dxa" w:w="4320"/>
          </w:tcPr>
          <w:p>
            <w:r>
              <w:t>TVT &amp; LAAO registries</w:t>
            </w:r>
          </w:p>
        </w:tc>
      </w:tr>
      <w:tr>
        <w:tc>
          <w:tcPr>
            <w:tcW w:type="dxa" w:w="4320"/>
          </w:tcPr>
          <w:p>
            <w:r>
              <w:t>Week 7–8</w:t>
            </w:r>
          </w:p>
        </w:tc>
        <w:tc>
          <w:tcPr>
            <w:tcW w:type="dxa" w:w="4320"/>
          </w:tcPr>
          <w:p>
            <w:r>
              <w:t>STS Adult Cardiac + outcomes validation</w:t>
            </w:r>
          </w:p>
        </w:tc>
      </w:tr>
      <w:tr>
        <w:tc>
          <w:tcPr>
            <w:tcW w:type="dxa" w:w="4320"/>
          </w:tcPr>
          <w:p>
            <w:r>
              <w:t>Week 9–10</w:t>
            </w:r>
          </w:p>
        </w:tc>
        <w:tc>
          <w:tcPr>
            <w:tcW w:type="dxa" w:w="4320"/>
          </w:tcPr>
          <w:p>
            <w:r>
              <w:t>Power BI dashboard</w:t>
            </w:r>
          </w:p>
        </w:tc>
      </w:tr>
    </w:tbl>
    <w:p>
      <w:pPr>
        <w:pStyle w:val="Heading2"/>
      </w:pPr>
      <w:r>
        <w:t>7. Data Governance &amp; Compliance</w:t>
      </w:r>
    </w:p>
    <w:p>
      <w:r>
        <w:t>• PHI Handling: MRNs hashed with salted SHA-256.</w:t>
        <w:br/>
        <w:t>• HIPAA Compliance: All data stored in approved environments.</w:t>
        <w:br/>
        <w:t>• Provenance: Every record tagged with registry, version, site, and file.</w:t>
        <w:br/>
        <w:t>• Change Control: DDL &amp; transformations versioned via Flyway + dbt.</w:t>
      </w:r>
    </w:p>
    <w:p>
      <w:pPr>
        <w:pStyle w:val="Heading2"/>
      </w:pPr>
      <w:r>
        <w:t>8. Risks &amp; Mitigation</w:t>
      </w:r>
    </w:p>
    <w:tbl>
      <w:tblPr>
        <w:tblW w:type="auto" w:w="0"/>
        <w:tblLook w:firstColumn="1" w:firstRow="1" w:lastColumn="0" w:lastRow="0" w:noHBand="0" w:noVBand="1" w:val="04A0"/>
      </w:tblPr>
      <w:tblGrid>
        <w:gridCol w:w="4320"/>
        <w:gridCol w:w="4320"/>
      </w:tblGrid>
      <w:tr>
        <w:tc>
          <w:tcPr>
            <w:tcW w:type="dxa" w:w="4320"/>
          </w:tcPr>
          <w:p>
            <w:r>
              <w:t>Risk</w:t>
            </w:r>
          </w:p>
        </w:tc>
        <w:tc>
          <w:tcPr>
            <w:tcW w:type="dxa" w:w="4320"/>
          </w:tcPr>
          <w:p>
            <w:r>
              <w:t>Mitigation</w:t>
            </w:r>
          </w:p>
        </w:tc>
      </w:tr>
      <w:tr>
        <w:tc>
          <w:tcPr>
            <w:tcW w:type="dxa" w:w="4320"/>
          </w:tcPr>
          <w:p>
            <w:r>
              <w:t>Registry schema version changes</w:t>
            </w:r>
          </w:p>
        </w:tc>
        <w:tc>
          <w:tcPr>
            <w:tcW w:type="dxa" w:w="4320"/>
          </w:tcPr>
          <w:p>
            <w:r>
              <w:t>Versioned mappings; backward compatibility via map_registry_to_ucrm.</w:t>
            </w:r>
          </w:p>
        </w:tc>
      </w:tr>
      <w:tr>
        <w:tc>
          <w:tcPr>
            <w:tcW w:type="dxa" w:w="4320"/>
          </w:tcPr>
          <w:p>
            <w:r>
              <w:t>Missing fields from Epic</w:t>
            </w:r>
          </w:p>
        </w:tc>
        <w:tc>
          <w:tcPr>
            <w:tcW w:type="dxa" w:w="4320"/>
          </w:tcPr>
          <w:p>
            <w:r>
              <w:t>Use hybrid model: Epic + registry delta overlay.</w:t>
            </w:r>
          </w:p>
        </w:tc>
      </w:tr>
      <w:tr>
        <w:tc>
          <w:tcPr>
            <w:tcW w:type="dxa" w:w="4320"/>
          </w:tcPr>
          <w:p>
            <w:r>
              <w:t>Data volume growth</w:t>
            </w:r>
          </w:p>
        </w:tc>
        <w:tc>
          <w:tcPr>
            <w:tcW w:type="dxa" w:w="4320"/>
          </w:tcPr>
          <w:p>
            <w:r>
              <w:t>Partitioning + incremental dbt models.</w:t>
            </w:r>
          </w:p>
        </w:tc>
      </w:tr>
      <w:tr>
        <w:tc>
          <w:tcPr>
            <w:tcW w:type="dxa" w:w="4320"/>
          </w:tcPr>
          <w:p>
            <w:r>
              <w:t>Team familiarity</w:t>
            </w:r>
          </w:p>
        </w:tc>
        <w:tc>
          <w:tcPr>
            <w:tcW w:type="dxa" w:w="4320"/>
          </w:tcPr>
          <w:p>
            <w:r>
              <w:t>Start small; provide internal docs and training.</w:t>
            </w:r>
          </w:p>
        </w:tc>
      </w:tr>
    </w:tbl>
    <w:p>
      <w:pPr>
        <w:pStyle w:val="Heading2"/>
      </w:pPr>
      <w:r>
        <w:t>9. Summary</w:t>
      </w:r>
    </w:p>
    <w:p>
      <w:r>
        <w:t>The UCRM project transforms fragmented registry data into a unified, governed dataset supporting analytics, research, and performance improvement. By implementing a shared framework (dbt, Flyway, Terraform, Prefect), we gain rapid scalability across registries, auditability, and consistent, validated metrics for all cardiac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