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EA2" w:rsidRPr="009F738C" w:rsidRDefault="00F174B3" w:rsidP="009F738C">
      <w:pPr>
        <w:pStyle w:val="NormalWeb"/>
        <w:shd w:val="clear" w:color="auto" w:fill="CCCCCC"/>
        <w:spacing w:before="0" w:beforeAutospacing="0" w:after="0" w:afterAutospacing="0" w:line="240" w:lineRule="auto"/>
        <w:ind w:left="720" w:hanging="720"/>
        <w:jc w:val="center"/>
        <w:rPr>
          <w:b/>
          <w:bCs/>
          <w:caps/>
          <w:color w:val="auto"/>
          <w:sz w:val="20"/>
          <w:szCs w:val="20"/>
        </w:rPr>
      </w:pPr>
      <w:r w:rsidRPr="00F174B3">
        <w:rPr>
          <w:b/>
          <w:bCs/>
          <w:caps/>
          <w:color w:val="auto"/>
          <w:sz w:val="20"/>
          <w:szCs w:val="20"/>
        </w:rPr>
        <w:t>Title Insurance Arbitration Rules of the American Land Title Association</w:t>
      </w:r>
    </w:p>
    <w:p w:rsidR="009F738C" w:rsidRDefault="009F738C" w:rsidP="009F738C">
      <w:pPr>
        <w:pStyle w:val="Heading2"/>
        <w:spacing w:before="0" w:beforeAutospacing="0" w:after="0" w:afterAutospacing="0" w:line="240" w:lineRule="auto"/>
        <w:ind w:left="720" w:hanging="720"/>
        <w:jc w:val="both"/>
        <w:rPr>
          <w:color w:val="auto"/>
          <w:sz w:val="20"/>
          <w:szCs w:val="20"/>
        </w:rPr>
      </w:pPr>
    </w:p>
    <w:p w:rsidR="009F738C" w:rsidRDefault="009F738C" w:rsidP="009F738C">
      <w:pPr>
        <w:pStyle w:val="NormalWeb"/>
        <w:numPr>
          <w:ilvl w:val="0"/>
          <w:numId w:val="2"/>
        </w:numPr>
        <w:spacing w:before="0" w:beforeAutospacing="0" w:after="0" w:afterAutospacing="0" w:line="240" w:lineRule="auto"/>
        <w:ind w:hanging="720"/>
        <w:contextualSpacing/>
        <w:jc w:val="both"/>
        <w:rPr>
          <w:b/>
          <w:color w:val="auto"/>
          <w:kern w:val="2"/>
          <w:sz w:val="20"/>
          <w:szCs w:val="20"/>
        </w:rPr>
      </w:pPr>
      <w:r>
        <w:rPr>
          <w:b/>
          <w:color w:val="auto"/>
          <w:kern w:val="2"/>
          <w:sz w:val="20"/>
          <w:szCs w:val="20"/>
        </w:rPr>
        <w:t>Definition of Terms</w:t>
      </w:r>
    </w:p>
    <w:p w:rsidR="009F738C" w:rsidRDefault="009F738C" w:rsidP="009F738C">
      <w:pPr>
        <w:pStyle w:val="NormalWeb"/>
        <w:spacing w:before="0" w:beforeAutospacing="0" w:after="0" w:afterAutospacing="0" w:line="240" w:lineRule="auto"/>
        <w:ind w:left="720"/>
        <w:contextualSpacing/>
        <w:jc w:val="both"/>
        <w:rPr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  <w:t>The following terms when used in these ALTA</w:t>
      </w:r>
      <w:r>
        <w:rPr>
          <w:color w:val="auto"/>
          <w:kern w:val="2"/>
          <w:sz w:val="20"/>
          <w:szCs w:val="20"/>
          <w:vertAlign w:val="superscript"/>
        </w:rPr>
        <w:t>®</w:t>
      </w:r>
      <w:r>
        <w:rPr>
          <w:color w:val="auto"/>
          <w:kern w:val="2"/>
          <w:sz w:val="20"/>
          <w:szCs w:val="20"/>
        </w:rPr>
        <w:t xml:space="preserve"> Rules mean:</w:t>
      </w:r>
    </w:p>
    <w:p w:rsidR="009F738C" w:rsidRDefault="009F738C" w:rsidP="009F738C">
      <w:pPr>
        <w:pStyle w:val="NormalWeb"/>
        <w:spacing w:before="0" w:beforeAutospacing="0" w:after="0" w:afterAutospacing="0" w:line="240" w:lineRule="auto"/>
        <w:ind w:left="1440" w:hanging="720"/>
        <w:contextualSpacing/>
        <w:jc w:val="both"/>
        <w:rPr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  <w:t>a.</w:t>
      </w:r>
      <w:r>
        <w:rPr>
          <w:color w:val="auto"/>
          <w:kern w:val="2"/>
          <w:sz w:val="20"/>
          <w:szCs w:val="20"/>
        </w:rPr>
        <w:tab/>
        <w:t>“AAA”: The American Arbitration Association</w:t>
      </w:r>
      <w:r>
        <w:rPr>
          <w:color w:val="auto"/>
          <w:kern w:val="2"/>
          <w:sz w:val="20"/>
          <w:szCs w:val="20"/>
          <w:vertAlign w:val="superscript"/>
        </w:rPr>
        <w:t>®</w:t>
      </w:r>
      <w:r>
        <w:rPr>
          <w:color w:val="auto"/>
          <w:kern w:val="2"/>
          <w:sz w:val="20"/>
          <w:szCs w:val="20"/>
        </w:rPr>
        <w:t>.</w:t>
      </w:r>
    </w:p>
    <w:p w:rsidR="009F738C" w:rsidRDefault="009F738C" w:rsidP="009F738C">
      <w:pPr>
        <w:pStyle w:val="NormalWeb"/>
        <w:spacing w:before="0" w:beforeAutospacing="0" w:after="0" w:afterAutospacing="0" w:line="240" w:lineRule="auto"/>
        <w:ind w:left="1440" w:hanging="720"/>
        <w:contextualSpacing/>
        <w:jc w:val="both"/>
        <w:rPr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  <w:t>b.</w:t>
      </w:r>
      <w:r>
        <w:rPr>
          <w:color w:val="auto"/>
          <w:kern w:val="2"/>
          <w:sz w:val="20"/>
          <w:szCs w:val="20"/>
        </w:rPr>
        <w:tab/>
        <w:t>“AAA Rules”: The Consumer Arbitration Rules and Commercial Arbitration Rules of the AAA.</w:t>
      </w:r>
    </w:p>
    <w:p w:rsidR="009F738C" w:rsidRDefault="009F738C" w:rsidP="009F738C">
      <w:pPr>
        <w:pStyle w:val="NormalWeb"/>
        <w:spacing w:before="0" w:beforeAutospacing="0" w:after="0" w:afterAutospacing="0" w:line="240" w:lineRule="auto"/>
        <w:ind w:left="1440" w:hanging="720"/>
        <w:contextualSpacing/>
        <w:jc w:val="both"/>
        <w:rPr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  <w:t>c.</w:t>
      </w:r>
      <w:r>
        <w:rPr>
          <w:color w:val="auto"/>
          <w:kern w:val="2"/>
          <w:sz w:val="20"/>
          <w:szCs w:val="20"/>
        </w:rPr>
        <w:tab/>
        <w:t>“ALTA”: The American Land Title Association</w:t>
      </w:r>
      <w:r>
        <w:rPr>
          <w:color w:val="auto"/>
          <w:kern w:val="2"/>
          <w:sz w:val="20"/>
          <w:szCs w:val="20"/>
          <w:vertAlign w:val="superscript"/>
        </w:rPr>
        <w:t>®</w:t>
      </w:r>
      <w:r>
        <w:rPr>
          <w:color w:val="auto"/>
          <w:kern w:val="2"/>
          <w:sz w:val="20"/>
          <w:szCs w:val="20"/>
        </w:rPr>
        <w:t>.</w:t>
      </w:r>
    </w:p>
    <w:p w:rsidR="009F738C" w:rsidRDefault="009F738C" w:rsidP="009F738C">
      <w:pPr>
        <w:pStyle w:val="NormalWeb"/>
        <w:spacing w:before="0" w:beforeAutospacing="0" w:after="0" w:afterAutospacing="0" w:line="240" w:lineRule="auto"/>
        <w:ind w:left="1440" w:hanging="720"/>
        <w:contextualSpacing/>
        <w:jc w:val="both"/>
        <w:rPr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  <w:t>d.</w:t>
      </w:r>
      <w:r>
        <w:rPr>
          <w:color w:val="auto"/>
          <w:kern w:val="2"/>
          <w:sz w:val="20"/>
          <w:szCs w:val="20"/>
        </w:rPr>
        <w:tab/>
        <w:t>“ALTA Rules”: These Title Insurance Arbitration Rules of the American Land Title Association.</w:t>
      </w:r>
    </w:p>
    <w:p w:rsidR="009F738C" w:rsidRDefault="009F738C" w:rsidP="009F738C">
      <w:pPr>
        <w:pStyle w:val="NormalWeb"/>
        <w:spacing w:before="0" w:beforeAutospacing="0" w:after="0" w:afterAutospacing="0" w:line="240" w:lineRule="auto"/>
        <w:ind w:left="1440" w:hanging="720"/>
        <w:contextualSpacing/>
        <w:jc w:val="both"/>
        <w:rPr>
          <w:color w:val="auto"/>
          <w:kern w:val="2"/>
          <w:sz w:val="20"/>
          <w:szCs w:val="20"/>
        </w:rPr>
      </w:pPr>
      <w:r>
        <w:rPr>
          <w:color w:val="auto"/>
          <w:kern w:val="2"/>
          <w:sz w:val="20"/>
          <w:szCs w:val="20"/>
        </w:rPr>
        <w:t>e.</w:t>
      </w:r>
      <w:r>
        <w:rPr>
          <w:color w:val="auto"/>
          <w:kern w:val="2"/>
          <w:sz w:val="20"/>
          <w:szCs w:val="20"/>
        </w:rPr>
        <w:tab/>
        <w:t>“FAA”: The Federal Arbitration Act</w:t>
      </w:r>
      <w:r>
        <w:rPr>
          <w:color w:val="auto"/>
          <w:sz w:val="20"/>
          <w:szCs w:val="20"/>
        </w:rPr>
        <w:t xml:space="preserve"> (</w:t>
      </w:r>
      <w:r>
        <w:rPr>
          <w:color w:val="auto"/>
          <w:kern w:val="2"/>
          <w:sz w:val="20"/>
          <w:szCs w:val="20"/>
        </w:rPr>
        <w:t>9 U.S.C. §§ 1, et seq.).</w:t>
      </w:r>
    </w:p>
    <w:p w:rsidR="009F738C" w:rsidRDefault="009F738C" w:rsidP="009F738C">
      <w:pPr>
        <w:pStyle w:val="NormalWeb"/>
        <w:spacing w:before="0" w:beforeAutospacing="0" w:after="0" w:afterAutospacing="0" w:line="240" w:lineRule="auto"/>
        <w:ind w:left="1440" w:hanging="720"/>
        <w:contextualSpacing/>
        <w:jc w:val="both"/>
        <w:rPr>
          <w:color w:val="auto"/>
          <w:kern w:val="2"/>
          <w:sz w:val="20"/>
          <w:szCs w:val="20"/>
        </w:rPr>
      </w:pPr>
      <w:r>
        <w:rPr>
          <w:kern w:val="2"/>
          <w:sz w:val="20"/>
          <w:szCs w:val="20"/>
        </w:rPr>
        <w:t>f.</w:t>
      </w:r>
      <w:r>
        <w:rPr>
          <w:kern w:val="2"/>
          <w:sz w:val="20"/>
          <w:szCs w:val="20"/>
        </w:rPr>
        <w:tab/>
      </w:r>
      <w:r w:rsidRPr="009F738C">
        <w:rPr>
          <w:kern w:val="2"/>
          <w:sz w:val="20"/>
          <w:szCs w:val="20"/>
        </w:rPr>
        <w:t xml:space="preserve">“Title Insurance Contract”: The title insurance commitment, title insurance policy, or closing protection letter. </w:t>
      </w:r>
    </w:p>
    <w:p w:rsidR="009F738C" w:rsidRPr="009F738C" w:rsidRDefault="009F738C" w:rsidP="009F738C">
      <w:pPr>
        <w:pStyle w:val="NormalWeb"/>
        <w:spacing w:before="0" w:beforeAutospacing="0" w:after="0" w:afterAutospacing="0" w:line="240" w:lineRule="auto"/>
        <w:ind w:left="1440" w:hanging="720"/>
        <w:contextualSpacing/>
        <w:jc w:val="both"/>
        <w:rPr>
          <w:color w:val="auto"/>
          <w:kern w:val="2"/>
          <w:sz w:val="20"/>
          <w:szCs w:val="20"/>
        </w:rPr>
      </w:pPr>
    </w:p>
    <w:p w:rsidR="00270EA2" w:rsidRPr="009F738C" w:rsidRDefault="009F738C" w:rsidP="009F738C">
      <w:pPr>
        <w:pStyle w:val="Heading2"/>
        <w:spacing w:before="0" w:beforeAutospacing="0" w:after="0" w:afterAutospacing="0" w:line="240" w:lineRule="auto"/>
        <w:ind w:left="720" w:hanging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2</w:t>
      </w:r>
      <w:r w:rsidR="00270EA2" w:rsidRPr="009F738C">
        <w:rPr>
          <w:color w:val="auto"/>
          <w:sz w:val="20"/>
          <w:szCs w:val="20"/>
        </w:rPr>
        <w:t xml:space="preserve">. </w:t>
      </w:r>
      <w:r>
        <w:rPr>
          <w:color w:val="auto"/>
          <w:sz w:val="20"/>
          <w:szCs w:val="20"/>
        </w:rPr>
        <w:tab/>
        <w:t>Maintenance of these ALTA Rules</w:t>
      </w:r>
    </w:p>
    <w:p w:rsidR="00270EA2" w:rsidRDefault="009F738C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The </w:t>
      </w:r>
      <w:r w:rsidR="00270EA2" w:rsidRPr="009F738C">
        <w:rPr>
          <w:color w:val="auto"/>
          <w:sz w:val="20"/>
          <w:szCs w:val="20"/>
        </w:rPr>
        <w:t xml:space="preserve">ALTA </w:t>
      </w:r>
      <w:r>
        <w:rPr>
          <w:color w:val="auto"/>
          <w:sz w:val="20"/>
          <w:szCs w:val="20"/>
        </w:rPr>
        <w:t>is</w:t>
      </w:r>
      <w:r w:rsidRPr="009F738C">
        <w:rPr>
          <w:color w:val="auto"/>
          <w:sz w:val="20"/>
          <w:szCs w:val="20"/>
        </w:rPr>
        <w:t xml:space="preserve"> </w:t>
      </w:r>
      <w:r w:rsidR="00270EA2" w:rsidRPr="009F738C">
        <w:rPr>
          <w:color w:val="auto"/>
          <w:sz w:val="20"/>
          <w:szCs w:val="20"/>
        </w:rPr>
        <w:t>responsib</w:t>
      </w:r>
      <w:r w:rsidR="002F1C5C">
        <w:rPr>
          <w:color w:val="auto"/>
          <w:sz w:val="20"/>
          <w:szCs w:val="20"/>
        </w:rPr>
        <w:t>le</w:t>
      </w:r>
      <w:r w:rsidR="00270EA2" w:rsidRPr="009F738C">
        <w:rPr>
          <w:color w:val="auto"/>
          <w:sz w:val="20"/>
          <w:szCs w:val="20"/>
        </w:rPr>
        <w:t xml:space="preserve"> for maintenance and publication</w:t>
      </w:r>
      <w:r w:rsidR="002F1C5C">
        <w:rPr>
          <w:color w:val="auto"/>
          <w:sz w:val="20"/>
          <w:szCs w:val="20"/>
        </w:rPr>
        <w:t xml:space="preserve"> of these ALTA Rules</w:t>
      </w:r>
      <w:r w:rsidR="00270EA2" w:rsidRPr="009F738C">
        <w:rPr>
          <w:color w:val="auto"/>
          <w:sz w:val="20"/>
          <w:szCs w:val="20"/>
        </w:rPr>
        <w:t xml:space="preserve">. </w:t>
      </w:r>
      <w:r w:rsidR="002F1C5C">
        <w:rPr>
          <w:color w:val="auto"/>
          <w:sz w:val="20"/>
          <w:szCs w:val="20"/>
        </w:rPr>
        <w:t xml:space="preserve">The ALTA Rules are available at </w:t>
      </w:r>
      <w:hyperlink r:id="rId8" w:history="1">
        <w:r w:rsidR="002F1C5C" w:rsidRPr="003A3792">
          <w:rPr>
            <w:rStyle w:val="Hyperlink"/>
            <w:sz w:val="20"/>
            <w:szCs w:val="20"/>
          </w:rPr>
          <w:t>www.alta.org/arbitration</w:t>
        </w:r>
      </w:hyperlink>
      <w:r w:rsidR="002F1C5C">
        <w:rPr>
          <w:color w:val="auto"/>
          <w:sz w:val="20"/>
          <w:szCs w:val="20"/>
        </w:rPr>
        <w:t>.</w:t>
      </w:r>
    </w:p>
    <w:p w:rsidR="009F738C" w:rsidRPr="009F738C" w:rsidRDefault="009F738C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</w:p>
    <w:p w:rsidR="00270EA2" w:rsidRPr="009F738C" w:rsidRDefault="002F1C5C" w:rsidP="009F738C">
      <w:pPr>
        <w:pStyle w:val="Heading2"/>
        <w:spacing w:before="0" w:beforeAutospacing="0" w:after="0" w:afterAutospacing="0" w:line="240" w:lineRule="auto"/>
        <w:ind w:left="720" w:hanging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3</w:t>
      </w:r>
      <w:r w:rsidR="00270EA2" w:rsidRPr="009F738C">
        <w:rPr>
          <w:color w:val="auto"/>
          <w:sz w:val="20"/>
          <w:szCs w:val="20"/>
        </w:rPr>
        <w:t xml:space="preserve">. </w:t>
      </w:r>
      <w:r w:rsidR="009F738C">
        <w:rPr>
          <w:color w:val="auto"/>
          <w:sz w:val="20"/>
          <w:szCs w:val="20"/>
        </w:rPr>
        <w:tab/>
      </w:r>
      <w:r w:rsidR="00270EA2" w:rsidRPr="009F738C">
        <w:rPr>
          <w:color w:val="auto"/>
          <w:sz w:val="20"/>
          <w:szCs w:val="20"/>
        </w:rPr>
        <w:t xml:space="preserve">Incorporation of the </w:t>
      </w:r>
      <w:r>
        <w:rPr>
          <w:color w:val="auto"/>
          <w:sz w:val="20"/>
          <w:szCs w:val="20"/>
        </w:rPr>
        <w:t>AAA Rules</w:t>
      </w:r>
    </w:p>
    <w:p w:rsidR="00270EA2" w:rsidRDefault="00270EA2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  <w:r w:rsidRPr="009F738C">
        <w:rPr>
          <w:color w:val="auto"/>
          <w:sz w:val="20"/>
          <w:szCs w:val="20"/>
        </w:rPr>
        <w:t>The</w:t>
      </w:r>
      <w:r w:rsidR="002F1C5C">
        <w:rPr>
          <w:color w:val="auto"/>
          <w:sz w:val="20"/>
          <w:szCs w:val="20"/>
        </w:rPr>
        <w:t>se ALTA</w:t>
      </w:r>
      <w:r w:rsidRPr="009F738C">
        <w:rPr>
          <w:color w:val="auto"/>
          <w:sz w:val="20"/>
          <w:szCs w:val="20"/>
        </w:rPr>
        <w:t xml:space="preserve"> Rules incorporate by reference the</w:t>
      </w:r>
      <w:r w:rsidR="002F1C5C">
        <w:rPr>
          <w:color w:val="auto"/>
          <w:sz w:val="20"/>
          <w:szCs w:val="20"/>
        </w:rPr>
        <w:t xml:space="preserve"> applicable </w:t>
      </w:r>
      <w:r w:rsidR="00263E58">
        <w:rPr>
          <w:color w:val="auto"/>
          <w:sz w:val="20"/>
          <w:szCs w:val="20"/>
        </w:rPr>
        <w:t>AAA</w:t>
      </w:r>
      <w:r w:rsidR="002F1C5C">
        <w:rPr>
          <w:color w:val="auto"/>
          <w:sz w:val="20"/>
          <w:szCs w:val="20"/>
        </w:rPr>
        <w:t xml:space="preserve"> Rules</w:t>
      </w:r>
      <w:r w:rsidRPr="009F738C">
        <w:rPr>
          <w:color w:val="auto"/>
          <w:sz w:val="20"/>
          <w:szCs w:val="20"/>
        </w:rPr>
        <w:t xml:space="preserve">. </w:t>
      </w:r>
      <w:r w:rsidR="002F1C5C">
        <w:rPr>
          <w:color w:val="auto"/>
          <w:sz w:val="20"/>
          <w:szCs w:val="20"/>
        </w:rPr>
        <w:t xml:space="preserve">Specifically, </w:t>
      </w:r>
      <w:r w:rsidR="002F1C5C">
        <w:rPr>
          <w:kern w:val="2"/>
          <w:sz w:val="20"/>
          <w:szCs w:val="20"/>
        </w:rPr>
        <w:t xml:space="preserve">the Consumer Arbitration Rules apply in all instances except when neither party is a consumer, in which case the Commercial Arbitration Rules apply. The AAA Rules are available at </w:t>
      </w:r>
      <w:hyperlink r:id="rId9" w:history="1">
        <w:r w:rsidR="002F1C5C">
          <w:rPr>
            <w:rStyle w:val="Hyperlink"/>
            <w:color w:val="auto"/>
            <w:kern w:val="2"/>
            <w:sz w:val="20"/>
            <w:szCs w:val="20"/>
          </w:rPr>
          <w:t>www.adr.org</w:t>
        </w:r>
      </w:hyperlink>
      <w:r w:rsidR="002F1C5C">
        <w:rPr>
          <w:kern w:val="2"/>
          <w:sz w:val="20"/>
          <w:szCs w:val="20"/>
        </w:rPr>
        <w:t>.</w:t>
      </w:r>
    </w:p>
    <w:p w:rsidR="009F738C" w:rsidRPr="009F738C" w:rsidRDefault="009F738C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</w:p>
    <w:p w:rsidR="00270EA2" w:rsidRPr="009F738C" w:rsidRDefault="002F1C5C" w:rsidP="009F738C">
      <w:pPr>
        <w:pStyle w:val="Heading2"/>
        <w:spacing w:before="0" w:beforeAutospacing="0" w:after="0" w:afterAutospacing="0" w:line="240" w:lineRule="auto"/>
        <w:ind w:left="720" w:hanging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4</w:t>
      </w:r>
      <w:r w:rsidR="00270EA2" w:rsidRPr="009F738C">
        <w:rPr>
          <w:color w:val="auto"/>
          <w:sz w:val="20"/>
          <w:szCs w:val="20"/>
        </w:rPr>
        <w:t xml:space="preserve">. </w:t>
      </w:r>
      <w:r w:rsidR="009F738C">
        <w:rPr>
          <w:color w:val="auto"/>
          <w:sz w:val="20"/>
          <w:szCs w:val="20"/>
        </w:rPr>
        <w:tab/>
      </w:r>
      <w:r w:rsidR="00270EA2" w:rsidRPr="009F738C">
        <w:rPr>
          <w:color w:val="auto"/>
          <w:sz w:val="20"/>
          <w:szCs w:val="20"/>
        </w:rPr>
        <w:t>Applicability</w:t>
      </w:r>
    </w:p>
    <w:p w:rsidR="00270EA2" w:rsidRDefault="00270EA2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  <w:r w:rsidRPr="009F738C">
        <w:rPr>
          <w:color w:val="auto"/>
          <w:sz w:val="20"/>
          <w:szCs w:val="20"/>
        </w:rPr>
        <w:t xml:space="preserve">These </w:t>
      </w:r>
      <w:r w:rsidR="002F1C5C">
        <w:rPr>
          <w:color w:val="auto"/>
          <w:sz w:val="20"/>
          <w:szCs w:val="20"/>
        </w:rPr>
        <w:t xml:space="preserve">ALTA </w:t>
      </w:r>
      <w:r w:rsidRPr="009F738C">
        <w:rPr>
          <w:color w:val="auto"/>
          <w:sz w:val="20"/>
          <w:szCs w:val="20"/>
        </w:rPr>
        <w:t>Rules apply</w:t>
      </w:r>
      <w:r w:rsidR="002F1C5C">
        <w:rPr>
          <w:color w:val="auto"/>
          <w:sz w:val="20"/>
          <w:szCs w:val="20"/>
        </w:rPr>
        <w:t xml:space="preserve"> to any arbitration arising out of or relating to any Title Insurance Contract</w:t>
      </w:r>
      <w:r w:rsidRPr="009F738C">
        <w:rPr>
          <w:color w:val="auto"/>
          <w:sz w:val="20"/>
          <w:szCs w:val="20"/>
        </w:rPr>
        <w:t>.</w:t>
      </w:r>
    </w:p>
    <w:p w:rsidR="009F738C" w:rsidRPr="009F738C" w:rsidRDefault="009F738C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</w:p>
    <w:p w:rsidR="00270EA2" w:rsidRPr="009F738C" w:rsidRDefault="002F1C5C" w:rsidP="009F738C">
      <w:pPr>
        <w:pStyle w:val="Heading2"/>
        <w:spacing w:before="0" w:beforeAutospacing="0" w:after="0" w:afterAutospacing="0" w:line="240" w:lineRule="auto"/>
        <w:ind w:left="720" w:hanging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5</w:t>
      </w:r>
      <w:r w:rsidR="00270EA2" w:rsidRPr="009F738C">
        <w:rPr>
          <w:color w:val="auto"/>
          <w:sz w:val="20"/>
          <w:szCs w:val="20"/>
        </w:rPr>
        <w:t xml:space="preserve">. </w:t>
      </w:r>
      <w:r w:rsidR="009F738C">
        <w:rPr>
          <w:color w:val="auto"/>
          <w:sz w:val="20"/>
          <w:szCs w:val="20"/>
        </w:rPr>
        <w:tab/>
      </w:r>
      <w:r w:rsidR="00270EA2" w:rsidRPr="009F738C">
        <w:rPr>
          <w:color w:val="auto"/>
          <w:sz w:val="20"/>
          <w:szCs w:val="20"/>
        </w:rPr>
        <w:t>Administration</w:t>
      </w:r>
    </w:p>
    <w:p w:rsidR="00270EA2" w:rsidRDefault="002F1C5C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The AAA will administer disputes pursuant to these ALTA Rules, u</w:t>
      </w:r>
      <w:r w:rsidR="00270EA2" w:rsidRPr="009F738C">
        <w:rPr>
          <w:color w:val="auto"/>
          <w:sz w:val="20"/>
          <w:szCs w:val="20"/>
        </w:rPr>
        <w:t>nless the parties</w:t>
      </w:r>
      <w:r>
        <w:rPr>
          <w:color w:val="auto"/>
          <w:sz w:val="20"/>
          <w:szCs w:val="20"/>
        </w:rPr>
        <w:t xml:space="preserve"> agree to select an alternative administrator</w:t>
      </w:r>
      <w:r w:rsidR="00270EA2" w:rsidRPr="009F738C">
        <w:rPr>
          <w:color w:val="auto"/>
          <w:sz w:val="20"/>
          <w:szCs w:val="20"/>
        </w:rPr>
        <w:t>.</w:t>
      </w:r>
      <w:r>
        <w:rPr>
          <w:color w:val="auto"/>
          <w:sz w:val="20"/>
          <w:szCs w:val="20"/>
        </w:rPr>
        <w:t xml:space="preserve"> If </w:t>
      </w:r>
      <w:r>
        <w:rPr>
          <w:sz w:val="20"/>
          <w:szCs w:val="20"/>
        </w:rPr>
        <w:t>the administrator is or becomes unavailable, the unavailability shall be deemed a “lapse in the naming of an arbitrator” under Section 5 of the FAA, and an appropriate court may designate an arbitrator as provided for under the FAA.</w:t>
      </w:r>
    </w:p>
    <w:p w:rsidR="009F738C" w:rsidRPr="009F738C" w:rsidRDefault="009F738C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</w:p>
    <w:p w:rsidR="00270EA2" w:rsidRPr="009F738C" w:rsidRDefault="002F1C5C" w:rsidP="009F738C">
      <w:pPr>
        <w:pStyle w:val="Heading2"/>
        <w:spacing w:before="0" w:beforeAutospacing="0" w:after="0" w:afterAutospacing="0" w:line="240" w:lineRule="auto"/>
        <w:ind w:left="720" w:hanging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6</w:t>
      </w:r>
      <w:r w:rsidR="00270EA2" w:rsidRPr="009F738C">
        <w:rPr>
          <w:color w:val="auto"/>
          <w:sz w:val="20"/>
          <w:szCs w:val="20"/>
        </w:rPr>
        <w:t xml:space="preserve">. </w:t>
      </w:r>
      <w:r w:rsidR="009F738C">
        <w:rPr>
          <w:color w:val="auto"/>
          <w:sz w:val="20"/>
          <w:szCs w:val="20"/>
        </w:rPr>
        <w:tab/>
      </w:r>
      <w:r w:rsidR="00270EA2" w:rsidRPr="009F738C">
        <w:rPr>
          <w:color w:val="auto"/>
          <w:sz w:val="20"/>
          <w:szCs w:val="20"/>
        </w:rPr>
        <w:t>Fixing of Locale</w:t>
      </w:r>
    </w:p>
    <w:p w:rsidR="00270EA2" w:rsidRDefault="002F1C5C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The parties may</w:t>
      </w:r>
      <w:r w:rsidR="00270EA2" w:rsidRPr="009F738C">
        <w:rPr>
          <w:color w:val="auto"/>
          <w:sz w:val="20"/>
          <w:szCs w:val="20"/>
        </w:rPr>
        <w:t xml:space="preserve"> agree on the locale</w:t>
      </w:r>
      <w:r>
        <w:rPr>
          <w:color w:val="auto"/>
          <w:sz w:val="20"/>
          <w:szCs w:val="20"/>
        </w:rPr>
        <w:t xml:space="preserve"> where the arbitration is to be held. Absent such agreement</w:t>
      </w:r>
      <w:r w:rsidR="00270EA2" w:rsidRPr="009F738C">
        <w:rPr>
          <w:color w:val="auto"/>
          <w:sz w:val="20"/>
          <w:szCs w:val="20"/>
        </w:rPr>
        <w:t xml:space="preserve">, the </w:t>
      </w:r>
      <w:r>
        <w:rPr>
          <w:color w:val="auto"/>
          <w:sz w:val="20"/>
          <w:szCs w:val="20"/>
        </w:rPr>
        <w:t>arbitrator will</w:t>
      </w:r>
      <w:r w:rsidR="00270EA2" w:rsidRPr="009F738C">
        <w:rPr>
          <w:color w:val="auto"/>
          <w:sz w:val="20"/>
          <w:szCs w:val="20"/>
        </w:rPr>
        <w:t xml:space="preserve"> determine the locale </w:t>
      </w:r>
      <w:r>
        <w:rPr>
          <w:color w:val="auto"/>
          <w:sz w:val="20"/>
          <w:szCs w:val="20"/>
        </w:rPr>
        <w:t>with</w:t>
      </w:r>
      <w:r w:rsidR="00270EA2" w:rsidRPr="009F738C">
        <w:rPr>
          <w:color w:val="auto"/>
          <w:sz w:val="20"/>
          <w:szCs w:val="20"/>
        </w:rPr>
        <w:t xml:space="preserve">in the </w:t>
      </w:r>
      <w:r>
        <w:rPr>
          <w:color w:val="auto"/>
          <w:sz w:val="20"/>
          <w:szCs w:val="20"/>
        </w:rPr>
        <w:t>United States based on the convenience of the parties and, if applicable, the relevant AAA Rules</w:t>
      </w:r>
      <w:r w:rsidR="00270EA2" w:rsidRPr="009F738C">
        <w:rPr>
          <w:color w:val="auto"/>
          <w:sz w:val="20"/>
          <w:szCs w:val="20"/>
        </w:rPr>
        <w:t>.</w:t>
      </w:r>
    </w:p>
    <w:p w:rsidR="009F738C" w:rsidRPr="009F738C" w:rsidRDefault="009F738C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</w:p>
    <w:p w:rsidR="00270EA2" w:rsidRPr="009F738C" w:rsidRDefault="002F1C5C" w:rsidP="009F738C">
      <w:pPr>
        <w:pStyle w:val="Heading2"/>
        <w:spacing w:before="0" w:beforeAutospacing="0" w:after="0" w:afterAutospacing="0" w:line="240" w:lineRule="auto"/>
        <w:ind w:left="720" w:hanging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7</w:t>
      </w:r>
      <w:r w:rsidR="00270EA2" w:rsidRPr="009F738C">
        <w:rPr>
          <w:color w:val="auto"/>
          <w:sz w:val="20"/>
          <w:szCs w:val="20"/>
        </w:rPr>
        <w:t xml:space="preserve">. </w:t>
      </w:r>
      <w:r w:rsidR="009F738C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 xml:space="preserve">Prohibition of Class or Representative Arbitration and </w:t>
      </w:r>
      <w:r w:rsidR="00270EA2" w:rsidRPr="009F738C">
        <w:rPr>
          <w:color w:val="auto"/>
          <w:sz w:val="20"/>
          <w:szCs w:val="20"/>
        </w:rPr>
        <w:t>Consolidation of Arbitrations</w:t>
      </w:r>
    </w:p>
    <w:p w:rsidR="00A741AA" w:rsidRPr="009F738C" w:rsidRDefault="002F1C5C" w:rsidP="005D592B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</w:rPr>
      </w:pPr>
      <w:r>
        <w:rPr>
          <w:kern w:val="2"/>
          <w:sz w:val="20"/>
          <w:szCs w:val="20"/>
        </w:rPr>
        <w:t>Notwithstanding any provision of the AAA Rules, class or representative arbitration is not permitted.</w:t>
      </w:r>
      <w:r w:rsidR="00D5709D" w:rsidRPr="00D5709D">
        <w:rPr>
          <w:kern w:val="2"/>
          <w:sz w:val="20"/>
          <w:szCs w:val="20"/>
        </w:rPr>
        <w:t xml:space="preserve"> </w:t>
      </w:r>
      <w:r w:rsidR="00D5709D">
        <w:rPr>
          <w:kern w:val="2"/>
          <w:sz w:val="20"/>
          <w:szCs w:val="20"/>
        </w:rPr>
        <w:t>Arbitrations shall not be joined or consolidated, unless</w:t>
      </w:r>
      <w:r w:rsidR="005D592B">
        <w:rPr>
          <w:color w:val="auto"/>
          <w:sz w:val="20"/>
          <w:szCs w:val="20"/>
        </w:rPr>
        <w:t xml:space="preserve"> </w:t>
      </w:r>
      <w:bookmarkStart w:id="0" w:name="_GoBack"/>
      <w:r w:rsidR="00D5709D">
        <w:t>all</w:t>
      </w:r>
      <w:r w:rsidR="00D5709D" w:rsidRPr="009F738C">
        <w:rPr>
          <w:color w:val="auto"/>
        </w:rPr>
        <w:t xml:space="preserve"> </w:t>
      </w:r>
      <w:bookmarkEnd w:id="0"/>
      <w:r w:rsidR="00270EA2" w:rsidRPr="009F738C">
        <w:rPr>
          <w:color w:val="auto"/>
        </w:rPr>
        <w:t xml:space="preserve">of the parties </w:t>
      </w:r>
      <w:proofErr w:type="gramStart"/>
      <w:r w:rsidR="00270EA2" w:rsidRPr="009F738C">
        <w:rPr>
          <w:color w:val="auto"/>
        </w:rPr>
        <w:t xml:space="preserve">to </w:t>
      </w:r>
      <w:r w:rsidR="00D5709D">
        <w:t>each</w:t>
      </w:r>
      <w:r w:rsidR="00270EA2" w:rsidRPr="009F738C">
        <w:rPr>
          <w:color w:val="auto"/>
        </w:rPr>
        <w:t xml:space="preserve"> arbitration</w:t>
      </w:r>
      <w:proofErr w:type="gramEnd"/>
      <w:r w:rsidR="00270EA2" w:rsidRPr="009F738C">
        <w:rPr>
          <w:color w:val="auto"/>
        </w:rPr>
        <w:t xml:space="preserve"> </w:t>
      </w:r>
      <w:r w:rsidR="00D5709D">
        <w:t>expressly consent</w:t>
      </w:r>
      <w:r w:rsidR="00270EA2" w:rsidRPr="009F738C">
        <w:rPr>
          <w:color w:val="auto"/>
        </w:rPr>
        <w:t xml:space="preserve"> to </w:t>
      </w:r>
      <w:r w:rsidR="00D5709D">
        <w:t>do so after the arbitration has been initiated</w:t>
      </w:r>
      <w:r w:rsidR="00270EA2" w:rsidRPr="009F738C">
        <w:rPr>
          <w:color w:val="auto"/>
        </w:rPr>
        <w:t>.</w:t>
      </w:r>
    </w:p>
    <w:p w:rsidR="009F738C" w:rsidRPr="009F738C" w:rsidRDefault="009F738C" w:rsidP="009F738C">
      <w:pPr>
        <w:ind w:right="720"/>
        <w:jc w:val="both"/>
        <w:rPr>
          <w:rFonts w:cs="Arial"/>
          <w:sz w:val="20"/>
          <w:szCs w:val="20"/>
        </w:rPr>
      </w:pPr>
    </w:p>
    <w:p w:rsidR="00270EA2" w:rsidRPr="009F738C" w:rsidRDefault="00D5709D" w:rsidP="009F738C">
      <w:pPr>
        <w:pStyle w:val="Heading2"/>
        <w:spacing w:before="0" w:beforeAutospacing="0" w:after="0" w:afterAutospacing="0" w:line="240" w:lineRule="auto"/>
        <w:ind w:left="720" w:hanging="720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8</w:t>
      </w:r>
      <w:r w:rsidR="00270EA2" w:rsidRPr="009F738C">
        <w:rPr>
          <w:color w:val="auto"/>
          <w:sz w:val="20"/>
          <w:szCs w:val="20"/>
        </w:rPr>
        <w:t xml:space="preserve">. </w:t>
      </w:r>
      <w:r w:rsidR="009F738C">
        <w:rPr>
          <w:color w:val="auto"/>
          <w:sz w:val="20"/>
          <w:szCs w:val="20"/>
        </w:rPr>
        <w:tab/>
      </w:r>
      <w:r>
        <w:rPr>
          <w:color w:val="auto"/>
          <w:sz w:val="20"/>
          <w:szCs w:val="20"/>
        </w:rPr>
        <w:t>Attorney Work Product Doctrine and Attorney-Client Privilege</w:t>
      </w:r>
    </w:p>
    <w:p w:rsidR="00270EA2" w:rsidRDefault="00270EA2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  <w:r w:rsidRPr="009F738C">
        <w:rPr>
          <w:color w:val="auto"/>
          <w:sz w:val="20"/>
          <w:szCs w:val="20"/>
        </w:rPr>
        <w:t xml:space="preserve">The arbitrator must apply the attorney work product doctrine </w:t>
      </w:r>
      <w:r w:rsidR="00D5709D">
        <w:rPr>
          <w:color w:val="auto"/>
          <w:sz w:val="20"/>
          <w:szCs w:val="20"/>
        </w:rPr>
        <w:t>and attorney-client privilege under the same principles that a court would apply in the jurisdiction where the arbitration is held,</w:t>
      </w:r>
      <w:r w:rsidRPr="009F738C">
        <w:rPr>
          <w:color w:val="auto"/>
          <w:sz w:val="20"/>
          <w:szCs w:val="20"/>
        </w:rPr>
        <w:t xml:space="preserve"> whether the attorney work product doctrine </w:t>
      </w:r>
      <w:r w:rsidR="00D5709D">
        <w:rPr>
          <w:color w:val="auto"/>
          <w:sz w:val="20"/>
          <w:szCs w:val="20"/>
        </w:rPr>
        <w:t xml:space="preserve">or attorney-client privilege </w:t>
      </w:r>
      <w:r w:rsidRPr="009F738C">
        <w:rPr>
          <w:color w:val="auto"/>
          <w:sz w:val="20"/>
          <w:szCs w:val="20"/>
        </w:rPr>
        <w:t>is considered a legal privilege or a procedural discovery rule</w:t>
      </w:r>
      <w:r w:rsidR="00D5709D">
        <w:rPr>
          <w:color w:val="auto"/>
          <w:sz w:val="20"/>
          <w:szCs w:val="20"/>
        </w:rPr>
        <w:t xml:space="preserve"> under the law of the jurisdiction where the land is located</w:t>
      </w:r>
      <w:r w:rsidRPr="009F738C">
        <w:rPr>
          <w:color w:val="auto"/>
          <w:sz w:val="20"/>
          <w:szCs w:val="20"/>
        </w:rPr>
        <w:t>.</w:t>
      </w:r>
    </w:p>
    <w:p w:rsidR="009F738C" w:rsidRPr="009F738C" w:rsidRDefault="009F738C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</w:p>
    <w:p w:rsidR="00270EA2" w:rsidRPr="009F738C" w:rsidRDefault="00270EA2" w:rsidP="009F738C">
      <w:pPr>
        <w:pStyle w:val="Heading2"/>
        <w:spacing w:before="0" w:beforeAutospacing="0" w:after="0" w:afterAutospacing="0" w:line="240" w:lineRule="auto"/>
        <w:ind w:left="720" w:hanging="720"/>
        <w:jc w:val="both"/>
        <w:rPr>
          <w:color w:val="auto"/>
          <w:sz w:val="20"/>
          <w:szCs w:val="20"/>
        </w:rPr>
      </w:pPr>
      <w:r w:rsidRPr="009F738C">
        <w:rPr>
          <w:color w:val="auto"/>
          <w:sz w:val="20"/>
          <w:szCs w:val="20"/>
        </w:rPr>
        <w:t xml:space="preserve">9. </w:t>
      </w:r>
      <w:r w:rsidR="009F738C">
        <w:rPr>
          <w:color w:val="auto"/>
          <w:sz w:val="20"/>
          <w:szCs w:val="20"/>
        </w:rPr>
        <w:tab/>
      </w:r>
      <w:r w:rsidRPr="009F738C">
        <w:rPr>
          <w:color w:val="auto"/>
          <w:sz w:val="20"/>
          <w:szCs w:val="20"/>
        </w:rPr>
        <w:t>Fee Schedule for Arbitration</w:t>
      </w:r>
    </w:p>
    <w:p w:rsidR="00270EA2" w:rsidRPr="009F738C" w:rsidRDefault="00270EA2" w:rsidP="009F738C">
      <w:pPr>
        <w:pStyle w:val="NormalWeb"/>
        <w:spacing w:before="0" w:beforeAutospacing="0" w:after="0" w:afterAutospacing="0" w:line="240" w:lineRule="auto"/>
        <w:ind w:left="720"/>
        <w:jc w:val="both"/>
        <w:rPr>
          <w:color w:val="auto"/>
          <w:sz w:val="20"/>
          <w:szCs w:val="20"/>
        </w:rPr>
      </w:pPr>
      <w:r w:rsidRPr="009F738C">
        <w:rPr>
          <w:color w:val="auto"/>
          <w:sz w:val="20"/>
          <w:szCs w:val="20"/>
        </w:rPr>
        <w:t xml:space="preserve">The provisions of the </w:t>
      </w:r>
      <w:r w:rsidR="00D5709D">
        <w:rPr>
          <w:color w:val="auto"/>
          <w:sz w:val="20"/>
          <w:szCs w:val="20"/>
        </w:rPr>
        <w:t xml:space="preserve">relevant AAA Rules, as modified by the Title Insurance Contract, </w:t>
      </w:r>
      <w:r w:rsidRPr="009F738C">
        <w:rPr>
          <w:color w:val="auto"/>
          <w:sz w:val="20"/>
          <w:szCs w:val="20"/>
        </w:rPr>
        <w:t xml:space="preserve">regarding payment of </w:t>
      </w:r>
      <w:r w:rsidR="00D5709D">
        <w:rPr>
          <w:color w:val="auto"/>
          <w:sz w:val="20"/>
          <w:szCs w:val="20"/>
        </w:rPr>
        <w:t xml:space="preserve">the </w:t>
      </w:r>
      <w:r w:rsidRPr="009F738C">
        <w:rPr>
          <w:color w:val="auto"/>
          <w:sz w:val="20"/>
          <w:szCs w:val="20"/>
        </w:rPr>
        <w:t xml:space="preserve">fees </w:t>
      </w:r>
      <w:r w:rsidR="00D5709D">
        <w:rPr>
          <w:color w:val="auto"/>
          <w:sz w:val="20"/>
          <w:szCs w:val="20"/>
        </w:rPr>
        <w:t xml:space="preserve">for arbitration </w:t>
      </w:r>
      <w:r w:rsidRPr="009F738C">
        <w:rPr>
          <w:color w:val="auto"/>
          <w:sz w:val="20"/>
          <w:szCs w:val="20"/>
        </w:rPr>
        <w:t xml:space="preserve">(including compensation </w:t>
      </w:r>
      <w:r w:rsidR="00D5709D">
        <w:rPr>
          <w:color w:val="auto"/>
          <w:sz w:val="20"/>
          <w:szCs w:val="20"/>
        </w:rPr>
        <w:t>of the</w:t>
      </w:r>
      <w:r w:rsidRPr="009F738C">
        <w:rPr>
          <w:color w:val="auto"/>
          <w:sz w:val="20"/>
          <w:szCs w:val="20"/>
        </w:rPr>
        <w:t xml:space="preserve"> arbitrator) shall apply.</w:t>
      </w:r>
    </w:p>
    <w:sectPr w:rsidR="00270EA2" w:rsidRPr="009F738C" w:rsidSect="00A741A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E37C8" w:rsidRDefault="002E37C8">
      <w:r>
        <w:separator/>
      </w:r>
    </w:p>
  </w:endnote>
  <w:endnote w:type="continuationSeparator" w:id="0">
    <w:p w:rsidR="002E37C8" w:rsidRDefault="002E37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C8" w:rsidRDefault="002E37C8" w:rsidP="00D5709D">
    <w:pPr>
      <w:rPr>
        <w:rStyle w:val="ALTAHeader"/>
        <w:rFonts w:cs="Times New Roman"/>
      </w:rPr>
    </w:pPr>
  </w:p>
  <w:p w:rsidR="002E37C8" w:rsidRDefault="002E37C8" w:rsidP="00D5709D">
    <w:pPr>
      <w:pBdr>
        <w:top w:val="single" w:sz="18" w:space="3" w:color="auto"/>
      </w:pBdr>
      <w:tabs>
        <w:tab w:val="center" w:pos="4320"/>
        <w:tab w:val="right" w:pos="8640"/>
      </w:tabs>
      <w:rPr>
        <w:rStyle w:val="ALTAHeader"/>
      </w:rPr>
    </w:pPr>
    <w:r>
      <w:rPr>
        <w:noProof/>
      </w:rPr>
      <w:drawing>
        <wp:anchor distT="0" distB="0" distL="114300" distR="114300" simplePos="0" relativeHeight="251658240" behindDoc="1" locked="0" layoutInCell="0" allowOverlap="1">
          <wp:simplePos x="0" y="0"/>
          <wp:positionH relativeFrom="margin">
            <wp:posOffset>5431155</wp:posOffset>
          </wp:positionH>
          <wp:positionV relativeFrom="margin">
            <wp:posOffset>7954010</wp:posOffset>
          </wp:positionV>
          <wp:extent cx="533400" cy="748665"/>
          <wp:effectExtent l="0" t="0" r="0" b="0"/>
          <wp:wrapNone/>
          <wp:docPr id="1" name="Picture 7" descr="ALTA Logo - 1 color - TradeMar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ALTA Logo - 1 color - TradeMar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748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2E37C8" w:rsidRDefault="002E37C8" w:rsidP="00D5709D">
    <w:pPr>
      <w:pBdr>
        <w:top w:val="single" w:sz="18" w:space="3" w:color="auto"/>
      </w:pBdr>
      <w:tabs>
        <w:tab w:val="center" w:pos="4320"/>
        <w:tab w:val="right" w:pos="8640"/>
      </w:tabs>
      <w:rPr>
        <w:rStyle w:val="ALTAHeader"/>
      </w:rPr>
    </w:pPr>
    <w:r>
      <w:rPr>
        <w:rStyle w:val="ALTAHeader"/>
      </w:rPr>
      <w:t>Copyright 2006</w:t>
    </w:r>
    <w:r>
      <w:rPr>
        <w:rStyle w:val="ALTAHeader"/>
      </w:rPr>
      <w:sym w:font="Symbol" w:char="F02D"/>
    </w:r>
    <w:r>
      <w:rPr>
        <w:rStyle w:val="ALTAHeader"/>
      </w:rPr>
      <w:t>2017</w:t>
    </w:r>
    <w:r w:rsidRPr="00D5709D">
      <w:rPr>
        <w:rStyle w:val="ALTAHeader"/>
        <w:color w:val="31849B"/>
      </w:rPr>
      <w:t xml:space="preserve"> </w:t>
    </w:r>
    <w:r>
      <w:rPr>
        <w:rStyle w:val="ALTAHeader"/>
      </w:rPr>
      <w:t xml:space="preserve">American Land Title Association. All rights reserved. </w:t>
    </w:r>
  </w:p>
  <w:p w:rsidR="002E37C8" w:rsidRPr="00D5709D" w:rsidRDefault="002E37C8" w:rsidP="00D5709D">
    <w:pPr>
      <w:tabs>
        <w:tab w:val="center" w:pos="4320"/>
        <w:tab w:val="right" w:pos="8640"/>
      </w:tabs>
      <w:rPr>
        <w:rStyle w:val="ALTAHeader"/>
        <w:b w:val="0"/>
      </w:rPr>
    </w:pPr>
    <w:r w:rsidRPr="00D5709D">
      <w:rPr>
        <w:rStyle w:val="ALTAHeader"/>
        <w:b w:val="0"/>
      </w:rPr>
      <w:t xml:space="preserve">The use of this Form (or any derivative thereof) is restricted to ALTA licensees and </w:t>
    </w:r>
  </w:p>
  <w:p w:rsidR="002E37C8" w:rsidRPr="00D5709D" w:rsidRDefault="002E37C8" w:rsidP="00D5709D">
    <w:pPr>
      <w:tabs>
        <w:tab w:val="center" w:pos="4320"/>
        <w:tab w:val="right" w:pos="8640"/>
      </w:tabs>
      <w:rPr>
        <w:rStyle w:val="ALTAHeader"/>
        <w:b w:val="0"/>
      </w:rPr>
    </w:pPr>
    <w:r w:rsidRPr="00D5709D">
      <w:rPr>
        <w:rStyle w:val="ALTAHeader"/>
        <w:b w:val="0"/>
      </w:rPr>
      <w:t>ALTA members in good standing as of the date of use. All other uses are prohibited.</w:t>
    </w:r>
  </w:p>
  <w:p w:rsidR="002E37C8" w:rsidRPr="00D5709D" w:rsidRDefault="002E37C8" w:rsidP="00D5709D">
    <w:pPr>
      <w:tabs>
        <w:tab w:val="center" w:pos="4320"/>
        <w:tab w:val="right" w:pos="8640"/>
      </w:tabs>
      <w:rPr>
        <w:b/>
      </w:rPr>
    </w:pPr>
    <w:r w:rsidRPr="00D5709D">
      <w:rPr>
        <w:rStyle w:val="ALTAHeader"/>
        <w:b w:val="0"/>
      </w:rPr>
      <w:t>Reprinted under license from the American Land Title Association.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E37C8" w:rsidRDefault="002E37C8">
      <w:r>
        <w:separator/>
      </w:r>
    </w:p>
  </w:footnote>
  <w:footnote w:type="continuationSeparator" w:id="0">
    <w:p w:rsidR="002E37C8" w:rsidRDefault="002E37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37C8" w:rsidRPr="00956C2F" w:rsidRDefault="002E37C8" w:rsidP="009F738C">
    <w:pPr>
      <w:pStyle w:val="Heading1"/>
      <w:tabs>
        <w:tab w:val="right" w:pos="9360"/>
      </w:tabs>
      <w:spacing w:before="0" w:after="0"/>
      <w:rPr>
        <w:rFonts w:ascii="Arial" w:hAnsi="Arial" w:cs="Arial"/>
        <w:sz w:val="18"/>
        <w:szCs w:val="18"/>
      </w:rPr>
    </w:pPr>
    <w:r w:rsidRPr="009F738C">
      <w:rPr>
        <w:rFonts w:ascii="Arial" w:hAnsi="Arial" w:cs="Arial"/>
        <w:sz w:val="18"/>
        <w:szCs w:val="18"/>
      </w:rPr>
      <w:t>American Land Title Association</w:t>
    </w:r>
    <w:r w:rsidRPr="009F738C">
      <w:rPr>
        <w:rFonts w:ascii="Arial" w:hAnsi="Arial" w:cs="Arial"/>
        <w:sz w:val="18"/>
        <w:szCs w:val="18"/>
      </w:rPr>
      <w:tab/>
    </w:r>
    <w:r w:rsidRPr="00956C2F">
      <w:rPr>
        <w:rFonts w:ascii="Arial" w:hAnsi="Arial" w:cs="Arial"/>
        <w:sz w:val="18"/>
        <w:szCs w:val="18"/>
      </w:rPr>
      <w:t>Title Insurance Arbitration Rules</w:t>
    </w:r>
  </w:p>
  <w:p w:rsidR="002E37C8" w:rsidRPr="00956C2F" w:rsidRDefault="002E37C8" w:rsidP="009F738C">
    <w:pPr>
      <w:pBdr>
        <w:bottom w:val="single" w:sz="12" w:space="1" w:color="auto"/>
      </w:pBdr>
      <w:tabs>
        <w:tab w:val="right" w:pos="9360"/>
      </w:tabs>
      <w:rPr>
        <w:rFonts w:cs="Arial"/>
        <w:b/>
        <w:bCs/>
        <w:sz w:val="18"/>
        <w:szCs w:val="18"/>
      </w:rPr>
    </w:pPr>
    <w:r w:rsidRPr="00956C2F">
      <w:rPr>
        <w:rFonts w:cs="Arial"/>
        <w:b/>
        <w:sz w:val="18"/>
        <w:szCs w:val="18"/>
      </w:rPr>
      <w:tab/>
    </w:r>
    <w:r w:rsidRPr="00956C2F">
      <w:rPr>
        <w:rFonts w:cs="Arial"/>
        <w:b/>
        <w:bCs/>
        <w:sz w:val="18"/>
        <w:szCs w:val="18"/>
      </w:rPr>
      <w:t>Adopted 06-01-1987</w:t>
    </w:r>
  </w:p>
  <w:p w:rsidR="002E37C8" w:rsidRDefault="002E37C8" w:rsidP="005D592B">
    <w:pPr>
      <w:pBdr>
        <w:bottom w:val="single" w:sz="12" w:space="1" w:color="auto"/>
      </w:pBdr>
      <w:tabs>
        <w:tab w:val="right" w:pos="9360"/>
      </w:tabs>
      <w:jc w:val="right"/>
      <w:rPr>
        <w:rFonts w:cs="Arial"/>
        <w:b/>
        <w:bCs/>
        <w:sz w:val="18"/>
        <w:szCs w:val="18"/>
      </w:rPr>
    </w:pPr>
    <w:r w:rsidRPr="00956C2F">
      <w:rPr>
        <w:rFonts w:cs="Arial"/>
        <w:b/>
        <w:bCs/>
        <w:sz w:val="18"/>
        <w:szCs w:val="18"/>
      </w:rPr>
      <w:t xml:space="preserve">Revised </w:t>
    </w:r>
    <w:r>
      <w:rPr>
        <w:rFonts w:cs="Arial"/>
        <w:b/>
        <w:bCs/>
        <w:sz w:val="18"/>
        <w:szCs w:val="18"/>
      </w:rPr>
      <w:t>01-01-2000</w:t>
    </w:r>
    <w:r w:rsidR="008F0DB1">
      <w:rPr>
        <w:rFonts w:cs="Arial"/>
        <w:b/>
        <w:bCs/>
        <w:sz w:val="18"/>
        <w:szCs w:val="18"/>
      </w:rPr>
      <w:t xml:space="preserve">, </w:t>
    </w:r>
    <w:r w:rsidRPr="00956C2F">
      <w:rPr>
        <w:rFonts w:cs="Arial"/>
        <w:b/>
        <w:bCs/>
        <w:sz w:val="18"/>
        <w:szCs w:val="18"/>
      </w:rPr>
      <w:t>01-01-2006</w:t>
    </w:r>
    <w:r w:rsidR="008F0DB1">
      <w:rPr>
        <w:rFonts w:cs="Arial"/>
        <w:b/>
        <w:bCs/>
        <w:sz w:val="18"/>
        <w:szCs w:val="18"/>
      </w:rPr>
      <w:t>, 08-01-2017</w:t>
    </w:r>
  </w:p>
  <w:p w:rsidR="002E37C8" w:rsidRPr="009F738C" w:rsidRDefault="002E37C8" w:rsidP="009F738C">
    <w:pPr>
      <w:pStyle w:val="Header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D016E7"/>
    <w:multiLevelType w:val="hybridMultilevel"/>
    <w:tmpl w:val="8E42E11E"/>
    <w:lvl w:ilvl="0" w:tplc="B83099FA">
      <w:start w:val="1"/>
      <w:numFmt w:val="decimal"/>
      <w:lvlText w:val="%1."/>
      <w:lvlJc w:val="left"/>
      <w:pPr>
        <w:ind w:left="2160" w:hanging="72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6320187C"/>
    <w:multiLevelType w:val="hybridMultilevel"/>
    <w:tmpl w:val="843ED882"/>
    <w:lvl w:ilvl="0" w:tplc="BB86A1C4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66615AA8"/>
    <w:multiLevelType w:val="hybridMultilevel"/>
    <w:tmpl w:val="5B82158E"/>
    <w:lvl w:ilvl="0" w:tplc="2950642E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10"/>
  <w:displayHorizontalDrawingGridEvery w:val="2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/>
  <w:rsids>
    <w:rsidRoot w:val="00270EA2"/>
    <w:rsid w:val="0004166B"/>
    <w:rsid w:val="000F3ECF"/>
    <w:rsid w:val="002015A3"/>
    <w:rsid w:val="002072BF"/>
    <w:rsid w:val="00263E58"/>
    <w:rsid w:val="00270EA2"/>
    <w:rsid w:val="002E37C8"/>
    <w:rsid w:val="002F1C5C"/>
    <w:rsid w:val="003312A3"/>
    <w:rsid w:val="00440811"/>
    <w:rsid w:val="0048265B"/>
    <w:rsid w:val="004A0291"/>
    <w:rsid w:val="00544E53"/>
    <w:rsid w:val="005D592B"/>
    <w:rsid w:val="00766599"/>
    <w:rsid w:val="007E607B"/>
    <w:rsid w:val="008F0DB1"/>
    <w:rsid w:val="00956C2F"/>
    <w:rsid w:val="009B62A0"/>
    <w:rsid w:val="009F738C"/>
    <w:rsid w:val="00A741AA"/>
    <w:rsid w:val="00A844CB"/>
    <w:rsid w:val="00B12B79"/>
    <w:rsid w:val="00D5709D"/>
    <w:rsid w:val="00DB3967"/>
    <w:rsid w:val="00E4618B"/>
    <w:rsid w:val="00EA699F"/>
    <w:rsid w:val="00EF24D6"/>
    <w:rsid w:val="00F174B3"/>
    <w:rsid w:val="00FC57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74B3"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A741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rsid w:val="00F174B3"/>
    <w:pPr>
      <w:spacing w:before="100" w:beforeAutospacing="1" w:after="100" w:afterAutospacing="1" w:line="255" w:lineRule="atLeast"/>
      <w:outlineLvl w:val="1"/>
    </w:pPr>
    <w:rPr>
      <w:rFonts w:eastAsia="Arial Unicode MS" w:cs="Arial"/>
      <w:b/>
      <w:bCs/>
      <w:color w:val="000066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F174B3"/>
    <w:pPr>
      <w:spacing w:before="100" w:beforeAutospacing="1" w:after="100" w:afterAutospacing="1" w:line="240" w:lineRule="atLeast"/>
    </w:pPr>
    <w:rPr>
      <w:rFonts w:eastAsia="Arial Unicode MS" w:cs="Arial"/>
      <w:color w:val="000000"/>
      <w:sz w:val="18"/>
      <w:szCs w:val="18"/>
    </w:rPr>
  </w:style>
  <w:style w:type="paragraph" w:styleId="Header">
    <w:name w:val="header"/>
    <w:basedOn w:val="Normal"/>
    <w:rsid w:val="00F174B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174B3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A741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9F7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738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F73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738C"/>
    <w:rPr>
      <w:rFonts w:ascii="Arial" w:hAnsi="Arial"/>
    </w:rPr>
  </w:style>
  <w:style w:type="character" w:styleId="CommentReference">
    <w:name w:val="annotation reference"/>
    <w:unhideWhenUsed/>
    <w:rsid w:val="009F738C"/>
    <w:rPr>
      <w:sz w:val="16"/>
      <w:szCs w:val="16"/>
    </w:rPr>
  </w:style>
  <w:style w:type="character" w:styleId="Hyperlink">
    <w:name w:val="Hyperlink"/>
    <w:basedOn w:val="DefaultParagraphFont"/>
    <w:rsid w:val="002F1C5C"/>
    <w:rPr>
      <w:color w:val="0000FF" w:themeColor="hyperlink"/>
      <w:u w:val="single"/>
    </w:rPr>
  </w:style>
  <w:style w:type="character" w:customStyle="1" w:styleId="ALTAHeader">
    <w:name w:val="ALTA Header"/>
    <w:uiPriority w:val="1"/>
    <w:qFormat/>
    <w:rsid w:val="00D5709D"/>
    <w:rPr>
      <w:rFonts w:ascii="Arial" w:hAnsi="Arial" w:cs="Arial" w:hint="default"/>
      <w:b/>
      <w:bCs w:val="0"/>
      <w:color w:val="auto"/>
      <w:spacing w:val="0"/>
      <w:w w:val="100"/>
      <w:kern w:val="18"/>
      <w:position w:val="0"/>
      <w:sz w:val="18"/>
    </w:rPr>
  </w:style>
  <w:style w:type="paragraph" w:styleId="CommentSubject">
    <w:name w:val="annotation subject"/>
    <w:basedOn w:val="CommentText"/>
    <w:next w:val="CommentText"/>
    <w:link w:val="CommentSubjectChar"/>
    <w:rsid w:val="004408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408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qFormat/>
    <w:rsid w:val="00A741A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qFormat/>
    <w:pPr>
      <w:spacing w:before="100" w:beforeAutospacing="1" w:after="100" w:afterAutospacing="1" w:line="255" w:lineRule="atLeast"/>
      <w:outlineLvl w:val="1"/>
    </w:pPr>
    <w:rPr>
      <w:rFonts w:eastAsia="Arial Unicode MS" w:cs="Arial"/>
      <w:b/>
      <w:bCs/>
      <w:color w:val="000066"/>
      <w:sz w:val="23"/>
      <w:szCs w:val="23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spacing w:before="100" w:beforeAutospacing="1" w:after="100" w:afterAutospacing="1" w:line="240" w:lineRule="atLeast"/>
    </w:pPr>
    <w:rPr>
      <w:rFonts w:eastAsia="Arial Unicode MS" w:cs="Arial"/>
      <w:color w:val="000000"/>
      <w:sz w:val="18"/>
      <w:szCs w:val="1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A741AA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9F73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F738C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F738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F738C"/>
    <w:rPr>
      <w:rFonts w:ascii="Arial" w:hAnsi="Arial"/>
    </w:rPr>
  </w:style>
  <w:style w:type="character" w:styleId="CommentReference">
    <w:name w:val="annotation reference"/>
    <w:unhideWhenUsed/>
    <w:rsid w:val="009F738C"/>
    <w:rPr>
      <w:sz w:val="16"/>
      <w:szCs w:val="16"/>
    </w:rPr>
  </w:style>
  <w:style w:type="character" w:styleId="Hyperlink">
    <w:name w:val="Hyperlink"/>
    <w:basedOn w:val="DefaultParagraphFont"/>
    <w:rsid w:val="002F1C5C"/>
    <w:rPr>
      <w:color w:val="0000FF" w:themeColor="hyperlink"/>
      <w:u w:val="single"/>
    </w:rPr>
  </w:style>
  <w:style w:type="character" w:customStyle="1" w:styleId="ALTAHeader">
    <w:name w:val="ALTA Header"/>
    <w:uiPriority w:val="1"/>
    <w:qFormat/>
    <w:rsid w:val="00D5709D"/>
    <w:rPr>
      <w:rFonts w:ascii="Arial" w:hAnsi="Arial" w:cs="Arial" w:hint="default"/>
      <w:b/>
      <w:bCs w:val="0"/>
      <w:color w:val="auto"/>
      <w:spacing w:val="0"/>
      <w:w w:val="100"/>
      <w:kern w:val="18"/>
      <w:position w:val="0"/>
      <w:sz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8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4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lta.org/arbitratio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dr.org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1C9C36-AD69-4135-A7BA-CFB61695C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440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ALTA</Company>
  <LinksUpToDate>false</LinksUpToDate>
  <CharactersWithSpaces>2985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kelly</cp:lastModifiedBy>
  <cp:revision>3</cp:revision>
  <cp:lastPrinted>2017-06-02T20:45:00Z</cp:lastPrinted>
  <dcterms:created xsi:type="dcterms:W3CDTF">2017-07-06T20:55:00Z</dcterms:created>
  <dcterms:modified xsi:type="dcterms:W3CDTF">2017-07-06T20:58:00Z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-2093420309</vt:i4>
  </property>
  <property fmtid="{D5CDD505-2E9C-101B-9397-08002B2CF9AE}" pid="3" name="_NewReviewCycle">
    <vt:lpwstr/>
  </property>
  <property fmtid="{D5CDD505-2E9C-101B-9397-08002B2CF9AE}" pid="4" name="_EmailSubject">
    <vt:lpwstr>ALTA Arbitration Rules Proposal</vt:lpwstr>
  </property>
  <property fmtid="{D5CDD505-2E9C-101B-9397-08002B2CF9AE}" pid="5" name="_AuthorEmail">
    <vt:lpwstr>allison.smith@stewart.com</vt:lpwstr>
  </property>
  <property fmtid="{D5CDD505-2E9C-101B-9397-08002B2CF9AE}" pid="6" name="_AuthorEmailDisplayName">
    <vt:lpwstr>Allison Smith</vt:lpwstr>
  </property>
  <property fmtid="{D5CDD505-2E9C-101B-9397-08002B2CF9AE}" pid="7" name="_ReviewingToolsShownOnce">
    <vt:lpwstr/>
  </property>
</Properties>
</file>