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 Havre de Paix – Tarifs chambres Assinie 2026</w:t>
      </w:r>
    </w:p>
    <w:p>
      <w:r>
        <w:t>Chers clients,</w:t>
        <w:br/>
        <w:br/>
        <w:t>Nous vous présentons ci-dessous nos tarifs pour Le Havre de Paix, en tenant compte que le restaurant n’est pas encore fonctionnel et que la piscine est commune.</w:t>
      </w:r>
    </w:p>
    <w:p>
      <w:pPr>
        <w:pStyle w:val="Heading1"/>
      </w:pPr>
      <w:r>
        <w:t>Périodes</w:t>
      </w:r>
    </w:p>
    <w:p>
      <w:r>
        <w:t>• Basse saison : Avril – Juin / Septembre – Octobre</w:t>
        <w:br/>
        <w:t>• Haute saison : Décembre – Mars / Juillet – Août</w:t>
        <w:br/>
        <w:t>• Week-end : vendredi et samedi (+10 % sur le tarif de la saison correspondante)</w:t>
      </w:r>
    </w:p>
    <w:p>
      <w:pPr>
        <w:pStyle w:val="Heading1"/>
      </w:pPr>
      <w:r>
        <w:t>Tarifs par chambre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Chambre / Type</w:t>
            </w:r>
          </w:p>
        </w:tc>
        <w:tc>
          <w:tcPr>
            <w:tcW w:type="dxa" w:w="1440"/>
          </w:tcPr>
          <w:p>
            <w:r>
              <w:t>Basse saison</w:t>
            </w:r>
          </w:p>
        </w:tc>
        <w:tc>
          <w:tcPr>
            <w:tcW w:type="dxa" w:w="1440"/>
          </w:tcPr>
          <w:p>
            <w:r>
              <w:t>Haute saison</w:t>
            </w:r>
          </w:p>
        </w:tc>
        <w:tc>
          <w:tcPr>
            <w:tcW w:type="dxa" w:w="1440"/>
          </w:tcPr>
          <w:p>
            <w:r>
              <w:t>Week-end BS</w:t>
            </w:r>
          </w:p>
        </w:tc>
        <w:tc>
          <w:tcPr>
            <w:tcW w:type="dxa" w:w="1440"/>
          </w:tcPr>
          <w:p>
            <w:r>
              <w:t>Week-end HS</w:t>
            </w:r>
          </w:p>
        </w:tc>
        <w:tc>
          <w:tcPr>
            <w:tcW w:type="dxa" w:w="1440"/>
          </w:tcPr>
          <w:p>
            <w:r>
              <w:t>Capacité</w:t>
            </w:r>
          </w:p>
        </w:tc>
      </w:tr>
      <w:tr>
        <w:tc>
          <w:tcPr>
            <w:tcW w:type="dxa" w:w="1440"/>
          </w:tcPr>
          <w:p>
            <w:r>
              <w:t>Chambre Standard</w:t>
            </w:r>
          </w:p>
        </w:tc>
        <w:tc>
          <w:tcPr>
            <w:tcW w:type="dxa" w:w="1440"/>
          </w:tcPr>
          <w:p>
            <w:r>
              <w:t>50 000 F</w:t>
            </w:r>
          </w:p>
        </w:tc>
        <w:tc>
          <w:tcPr>
            <w:tcW w:type="dxa" w:w="1440"/>
          </w:tcPr>
          <w:p>
            <w:r>
              <w:t>65 000 F</w:t>
            </w:r>
          </w:p>
        </w:tc>
        <w:tc>
          <w:tcPr>
            <w:tcW w:type="dxa" w:w="1440"/>
          </w:tcPr>
          <w:p>
            <w:r>
              <w:t>55 000 F</w:t>
            </w:r>
          </w:p>
        </w:tc>
        <w:tc>
          <w:tcPr>
            <w:tcW w:type="dxa" w:w="1440"/>
          </w:tcPr>
          <w:p>
            <w:r>
              <w:t>70 000 F</w:t>
            </w:r>
          </w:p>
        </w:tc>
        <w:tc>
          <w:tcPr>
            <w:tcW w:type="dxa" w:w="1440"/>
          </w:tcPr>
          <w:p>
            <w:r>
              <w:t>2 pers.</w:t>
            </w:r>
          </w:p>
        </w:tc>
      </w:tr>
      <w:tr>
        <w:tc>
          <w:tcPr>
            <w:tcW w:type="dxa" w:w="1440"/>
          </w:tcPr>
          <w:p>
            <w:r>
              <w:t>Chambre Standard</w:t>
            </w:r>
          </w:p>
        </w:tc>
        <w:tc>
          <w:tcPr>
            <w:tcW w:type="dxa" w:w="1440"/>
          </w:tcPr>
          <w:p>
            <w:r>
              <w:t>50 000 F</w:t>
            </w:r>
          </w:p>
        </w:tc>
        <w:tc>
          <w:tcPr>
            <w:tcW w:type="dxa" w:w="1440"/>
          </w:tcPr>
          <w:p>
            <w:r>
              <w:t>65 000 F</w:t>
            </w:r>
          </w:p>
        </w:tc>
        <w:tc>
          <w:tcPr>
            <w:tcW w:type="dxa" w:w="1440"/>
          </w:tcPr>
          <w:p>
            <w:r>
              <w:t>55 000 F</w:t>
            </w:r>
          </w:p>
        </w:tc>
        <w:tc>
          <w:tcPr>
            <w:tcW w:type="dxa" w:w="1440"/>
          </w:tcPr>
          <w:p>
            <w:r>
              <w:t>70 000 F</w:t>
            </w:r>
          </w:p>
        </w:tc>
        <w:tc>
          <w:tcPr>
            <w:tcW w:type="dxa" w:w="1440"/>
          </w:tcPr>
          <w:p>
            <w:r>
              <w:t>2 pers.</w:t>
            </w:r>
          </w:p>
        </w:tc>
      </w:tr>
      <w:tr>
        <w:tc>
          <w:tcPr>
            <w:tcW w:type="dxa" w:w="1440"/>
          </w:tcPr>
          <w:p>
            <w:r>
              <w:t>Chambre Premium</w:t>
            </w:r>
          </w:p>
        </w:tc>
        <w:tc>
          <w:tcPr>
            <w:tcW w:type="dxa" w:w="1440"/>
          </w:tcPr>
          <w:p>
            <w:r>
              <w:t>60 000 F</w:t>
            </w:r>
          </w:p>
        </w:tc>
        <w:tc>
          <w:tcPr>
            <w:tcW w:type="dxa" w:w="1440"/>
          </w:tcPr>
          <w:p>
            <w:r>
              <w:t>75 000 F</w:t>
            </w:r>
          </w:p>
        </w:tc>
        <w:tc>
          <w:tcPr>
            <w:tcW w:type="dxa" w:w="1440"/>
          </w:tcPr>
          <w:p>
            <w:r>
              <w:t>66 000 F</w:t>
            </w:r>
          </w:p>
        </w:tc>
        <w:tc>
          <w:tcPr>
            <w:tcW w:type="dxa" w:w="1440"/>
          </w:tcPr>
          <w:p>
            <w:r>
              <w:t>85 000 F</w:t>
            </w:r>
          </w:p>
        </w:tc>
        <w:tc>
          <w:tcPr>
            <w:tcW w:type="dxa" w:w="1440"/>
          </w:tcPr>
          <w:p>
            <w:r>
              <w:t>2 pers.</w:t>
            </w:r>
          </w:p>
        </w:tc>
      </w:tr>
      <w:tr>
        <w:tc>
          <w:tcPr>
            <w:tcW w:type="dxa" w:w="1440"/>
          </w:tcPr>
          <w:p>
            <w:r>
              <w:t>Chambre Premium</w:t>
            </w:r>
          </w:p>
        </w:tc>
        <w:tc>
          <w:tcPr>
            <w:tcW w:type="dxa" w:w="1440"/>
          </w:tcPr>
          <w:p>
            <w:r>
              <w:t>60 000 F</w:t>
            </w:r>
          </w:p>
        </w:tc>
        <w:tc>
          <w:tcPr>
            <w:tcW w:type="dxa" w:w="1440"/>
          </w:tcPr>
          <w:p>
            <w:r>
              <w:t>75 000 F</w:t>
            </w:r>
          </w:p>
        </w:tc>
        <w:tc>
          <w:tcPr>
            <w:tcW w:type="dxa" w:w="1440"/>
          </w:tcPr>
          <w:p>
            <w:r>
              <w:t>66 000 F</w:t>
            </w:r>
          </w:p>
        </w:tc>
        <w:tc>
          <w:tcPr>
            <w:tcW w:type="dxa" w:w="1440"/>
          </w:tcPr>
          <w:p>
            <w:r>
              <w:t>85 000 F</w:t>
            </w:r>
          </w:p>
        </w:tc>
        <w:tc>
          <w:tcPr>
            <w:tcW w:type="dxa" w:w="1440"/>
          </w:tcPr>
          <w:p>
            <w:r>
              <w:t>2 pers.</w:t>
            </w:r>
          </w:p>
        </w:tc>
      </w:tr>
      <w:tr>
        <w:tc>
          <w:tcPr>
            <w:tcW w:type="dxa" w:w="1440"/>
          </w:tcPr>
          <w:p>
            <w:r>
              <w:t>Suite</w:t>
            </w:r>
          </w:p>
        </w:tc>
        <w:tc>
          <w:tcPr>
            <w:tcW w:type="dxa" w:w="1440"/>
          </w:tcPr>
          <w:p>
            <w:r>
              <w:t>80 000 F</w:t>
            </w:r>
          </w:p>
        </w:tc>
        <w:tc>
          <w:tcPr>
            <w:tcW w:type="dxa" w:w="1440"/>
          </w:tcPr>
          <w:p>
            <w:r>
              <w:t>100 000 F</w:t>
            </w:r>
          </w:p>
        </w:tc>
        <w:tc>
          <w:tcPr>
            <w:tcW w:type="dxa" w:w="1440"/>
          </w:tcPr>
          <w:p>
            <w:r>
              <w:t>88 000 F</w:t>
            </w:r>
          </w:p>
        </w:tc>
        <w:tc>
          <w:tcPr>
            <w:tcW w:type="dxa" w:w="1440"/>
          </w:tcPr>
          <w:p>
            <w:r>
              <w:t>115 000 F</w:t>
            </w:r>
          </w:p>
        </w:tc>
        <w:tc>
          <w:tcPr>
            <w:tcW w:type="dxa" w:w="1440"/>
          </w:tcPr>
          <w:p>
            <w:r>
              <w:t>2–3 pers.</w:t>
            </w:r>
          </w:p>
        </w:tc>
      </w:tr>
      <w:tr>
        <w:tc>
          <w:tcPr>
            <w:tcW w:type="dxa" w:w="1440"/>
          </w:tcPr>
          <w:p>
            <w:r>
              <w:t>Suite Premium</w:t>
            </w:r>
          </w:p>
        </w:tc>
        <w:tc>
          <w:tcPr>
            <w:tcW w:type="dxa" w:w="1440"/>
          </w:tcPr>
          <w:p>
            <w:r>
              <w:t>110 000 F</w:t>
            </w:r>
          </w:p>
        </w:tc>
        <w:tc>
          <w:tcPr>
            <w:tcW w:type="dxa" w:w="1440"/>
          </w:tcPr>
          <w:p>
            <w:r>
              <w:t>140 000 F</w:t>
            </w:r>
          </w:p>
        </w:tc>
        <w:tc>
          <w:tcPr>
            <w:tcW w:type="dxa" w:w="1440"/>
          </w:tcPr>
          <w:p>
            <w:r>
              <w:t>120 000 F</w:t>
            </w:r>
          </w:p>
        </w:tc>
        <w:tc>
          <w:tcPr>
            <w:tcW w:type="dxa" w:w="1440"/>
          </w:tcPr>
          <w:p>
            <w:r>
              <w:t>160 000 F</w:t>
            </w:r>
          </w:p>
        </w:tc>
        <w:tc>
          <w:tcPr>
            <w:tcW w:type="dxa" w:w="1440"/>
          </w:tcPr>
          <w:p>
            <w:r>
              <w:t>2–4 pers.</w:t>
            </w:r>
          </w:p>
        </w:tc>
      </w:tr>
      <w:tr>
        <w:tc>
          <w:tcPr>
            <w:tcW w:type="dxa" w:w="1440"/>
          </w:tcPr>
          <w:p>
            <w:r>
              <w:t>Duplex (2 chambres standard)</w:t>
            </w:r>
          </w:p>
        </w:tc>
        <w:tc>
          <w:tcPr>
            <w:tcW w:type="dxa" w:w="1440"/>
          </w:tcPr>
          <w:p>
            <w:r>
              <w:t>90 000 F</w:t>
            </w:r>
          </w:p>
        </w:tc>
        <w:tc>
          <w:tcPr>
            <w:tcW w:type="dxa" w:w="1440"/>
          </w:tcPr>
          <w:p>
            <w:r>
              <w:t>120 000 F</w:t>
            </w:r>
          </w:p>
        </w:tc>
        <w:tc>
          <w:tcPr>
            <w:tcW w:type="dxa" w:w="1440"/>
          </w:tcPr>
          <w:p>
            <w:r>
              <w:t>100 000 F</w:t>
            </w:r>
          </w:p>
        </w:tc>
        <w:tc>
          <w:tcPr>
            <w:tcW w:type="dxa" w:w="1440"/>
          </w:tcPr>
          <w:p>
            <w:r>
              <w:t>140 000 F</w:t>
            </w:r>
          </w:p>
        </w:tc>
        <w:tc>
          <w:tcPr>
            <w:tcW w:type="dxa" w:w="1440"/>
          </w:tcPr>
          <w:p>
            <w:r>
              <w:t>4 pers.</w:t>
            </w:r>
          </w:p>
        </w:tc>
      </w:tr>
    </w:tbl>
    <w:p>
      <w:pPr>
        <w:pStyle w:val="Heading1"/>
      </w:pPr>
      <w:r>
        <w:t>Inclus</w:t>
      </w:r>
    </w:p>
    <w:p>
      <w:r>
        <w:t>• Petit-déjeuner</w:t>
        <w:br/>
        <w:t>• Wifi</w:t>
        <w:br/>
        <w:t>• Climatisation</w:t>
      </w:r>
    </w:p>
    <w:p>
      <w:pPr>
        <w:pStyle w:val="Heading1"/>
      </w:pPr>
      <w:r>
        <w:t>Non inclus / à noter</w:t>
      </w:r>
    </w:p>
    <w:p>
      <w:r>
        <w:t>• Restaurant non fonctionnel</w:t>
        <w:br/>
        <w:t>• Piscine commune (accessible sans surcoût)</w:t>
      </w:r>
    </w:p>
    <w:p>
      <w:pPr>
        <w:pStyle w:val="Heading1"/>
      </w:pPr>
      <w:r>
        <w:t>Stratégie tarifaire</w:t>
      </w:r>
    </w:p>
    <w:p>
      <w:r>
        <w:t>• Week-end : +10 % par rapport à la saison correspondante</w:t>
        <w:br/>
        <w:t>• Haute saison : +25–30 % par rapport à la basse saison</w:t>
        <w:br/>
        <w:t>• Les tarifs restent attractifs pour compenser l’absence du restaurant et la piscine non privative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