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Ephemeral Consensus Pods</w:t>
      </w:r>
    </w:p>
    <w:p>
      <w:pPr>
        <w:pStyle w:val="Subtitle"/>
      </w:pPr>
      <w:r>
        <w:t xml:space="preserve">Temporal Data Sovereignty Architecture — Implementation Roadmap</w:t>
      </w:r>
    </w:p>
    <w:p>
      <w:pPr>
        <w:spacing w:after="600"/>
        <w:jc w:val="center"/>
      </w:pPr>
      <w:r>
        <w:rPr>
          <w:color w:val="888888"/>
          <w:sz w:val="20"/>
          <w:szCs w:val="20"/>
        </w:rPr>
        <w:t xml:space="preserve">Version 1.0 — December 2025</w:t>
      </w:r>
    </w:p>
    <w:p>
      <w:pPr>
        <w:pStyle w:val="Heading1"/>
      </w:pPr>
      <w:r>
        <w:t xml:space="preserve">1. Executive Summary</w:t>
      </w:r>
    </w:p>
    <w:p>
      <w:pPr>
        <w:spacing w:after="200"/>
      </w:pPr>
      <w:r>
        <w:t xml:space="preserve">The Ephemeral Consensus Pods (ECP) architecture represents a genuinely novel integration of personal data sovereignty, blockchain-based temporal attestation, and cryptographically-enforced access windows. This document synthesizes the original architectural vision with critical feedback, provides an updated technology assessment based on the current (December 2025) landscape, and outlines a phased implementation roadmap.</w:t>
      </w:r>
    </w:p>
    <w:p>
      <w:pPr>
        <w:spacing w:after="200"/>
      </w:pPr>
      <w:r>
        <w:t xml:space="preserve">The core innovation — </w:t>
      </w:r>
      <w:r>
        <w:rPr>
          <w:b/>
          <w:bCs/>
        </w:rPr>
        <w:t xml:space="preserve">temporal data sovereignty</w:t>
      </w:r>
      <w:r>
        <w:t xml:space="preserve"> — enables control over </w:t>
      </w:r>
      <w:r>
        <w:rPr>
          <w:i/>
          <w:iCs/>
        </w:rPr>
        <w:t xml:space="preserve">when</w:t>
      </w:r>
      <w:r>
        <w:t xml:space="preserve"> data is accessible, not merely </w:t>
      </w:r>
      <w:r>
        <w:rPr>
          <w:i/>
          <w:iCs/>
        </w:rPr>
        <w:t xml:space="preserve">to whom</w:t>
      </w:r>
      <w:r>
        <w:t xml:space="preserve">. This creates 'geological strata' of data accessibility where each temporal layer maintains its own cryptographic access boundaries while preserving immutable proofs of participation.</w:t>
      </w:r>
    </w:p>
    <w:p>
      <w:pPr>
        <w:spacing w:after="200"/>
      </w:pPr>
      <w:r>
        <w:rPr>
          <w:b/>
          <w:bCs/>
        </w:rPr>
        <w:t xml:space="preserve">Key Architectural Refinements Incorporated:</w:t>
      </w:r>
    </w:p>
    <w:p>
      <w:pPr>
        <w:pStyle w:val="ListParagraph"/>
        <w:numPr>
          <w:ilvl w:val="0"/>
          <w:numId w:val="2"/>
        </w:numPr>
      </w:pPr>
      <w:r>
        <w:t xml:space="preserve">Explicit separation of Visibility Layer (historical proofs) from Access Layer (current permissions)</w:t>
      </w:r>
    </w:p>
    <w:p>
      <w:pPr>
        <w:pStyle w:val="ListParagraph"/>
        <w:numPr>
          <w:ilvl w:val="0"/>
          <w:numId w:val="2"/>
        </w:numPr>
      </w:pPr>
      <w:r>
        <w:t xml:space="preserve">Formal Temporal Rights Algebra with Grant, Revoke, Extend, Freeze, and Slice operators</w:t>
      </w:r>
    </w:p>
    <w:p>
      <w:pPr>
        <w:pStyle w:val="ListParagraph"/>
        <w:numPr>
          <w:ilvl w:val="0"/>
          <w:numId w:val="2"/>
        </w:numPr>
      </w:pPr>
      <w:r>
        <w:t xml:space="preserve">Meta-Blind Commitment Layer for metadata shielding</w:t>
      </w:r>
    </w:p>
    <w:p>
      <w:pPr>
        <w:pStyle w:val="ListParagraph"/>
        <w:numPr>
          <w:ilvl w:val="0"/>
          <w:numId w:val="2"/>
        </w:numPr>
      </w:pPr>
      <w:r>
        <w:t xml:space="preserve">Multi-layer blockchain attestation (Trust Anchors → Temporal Rollup → Application Layer)</w:t>
      </w:r>
    </w:p>
    <w:p>
      <w:pPr>
        <w:pStyle w:val="ListParagraph"/>
        <w:numPr>
          <w:ilvl w:val="0"/>
          <w:numId w:val="2"/>
        </w:numPr>
      </w:pPr>
      <w:r>
        <w:t xml:space="preserve">Enhanced threat model addressing retroactive decryption and correlation attacks</w:t>
      </w:r>
    </w:p>
    <w:p>
      <w:pPr>
        <w:spacing w:after="200"/>
      </w:pPr>
    </w:p>
    <w:p>
      <w:pPr>
        <w:pStyle w:val="Heading1"/>
      </w:pPr>
      <w:r>
        <w:t xml:space="preserve">2. Synthesized Architecture</w:t>
      </w:r>
    </w:p>
    <w:p>
      <w:pPr>
        <w:pStyle w:val="Heading2"/>
      </w:pPr>
      <w:r>
        <w:t xml:space="preserve">2.1 Refined Layered Model</w:t>
      </w:r>
    </w:p>
    <w:p>
      <w:pPr>
        <w:spacing w:after="200"/>
      </w:pPr>
      <w:r>
        <w:t xml:space="preserve">The original three-tier hierarchy (Immutable → Revocable → Ephemeral) is preserved but enhanced with explicit separation of concerns: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6213e" w:val="clear"/>
          </w:tcPr>
          <w:p>
            <w:pPr>
              <w:jc w:val="center"/>
            </w:pPr>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6213e" w:val="clear"/>
          </w:tcPr>
          <w:p>
            <w:pPr>
              <w:jc w:val="center"/>
            </w:pPr>
            <w:r>
              <w:rPr>
                <w:b/>
                <w:bCs/>
                <w:color w:val="FFFFFF"/>
                <w:sz w:val="20"/>
                <w:szCs w:val="20"/>
              </w:rPr>
              <w:t xml:space="preserve">Function</w:t>
            </w:r>
          </w:p>
        </w:tc>
        <w:tc>
          <w:tcPr>
            <w:tcW w:type="dxa" w:w="3760"/>
            <w:tcBorders>
              <w:top w:val="single" w:color="CCCCCC" w:sz="1"/>
              <w:left w:val="single" w:color="CCCCCC" w:sz="1"/>
              <w:bottom w:val="single" w:color="CCCCCC" w:sz="1"/>
              <w:right w:val="single" w:color="CCCCCC" w:sz="1"/>
            </w:tcBorders>
            <w:shd w:fill="16213e" w:val="clear"/>
          </w:tcPr>
          <w:p>
            <w:pPr>
              <w:jc w:val="center"/>
            </w:pPr>
            <w:r>
              <w:rPr>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Layer 0: Trust Anchors</w:t>
            </w:r>
          </w:p>
        </w:tc>
        <w:tc>
          <w:tcPr>
            <w:tcW w:type="dxa" w:w="3200"/>
            <w:tcBorders>
              <w:top w:val="single" w:color="CCCCCC" w:sz="1"/>
              <w:left w:val="single" w:color="CCCCCC" w:sz="1"/>
              <w:bottom w:val="single" w:color="CCCCCC" w:sz="1"/>
              <w:right w:val="single" w:color="CCCCCC" w:sz="1"/>
            </w:tcBorders>
          </w:tcPr>
          <w:p>
            <w:r>
              <w:rPr>
                <w:sz w:val="20"/>
                <w:szCs w:val="20"/>
              </w:rPr>
              <w:t xml:space="preserve">DIDs, Pod commitments, master public parameters</w:t>
            </w:r>
          </w:p>
        </w:tc>
        <w:tc>
          <w:tcPr>
            <w:tcW w:type="dxa" w:w="3760"/>
            <w:tcBorders>
              <w:top w:val="single" w:color="CCCCCC" w:sz="1"/>
              <w:left w:val="single" w:color="CCCCCC" w:sz="1"/>
              <w:bottom w:val="single" w:color="CCCCCC" w:sz="1"/>
              <w:right w:val="single" w:color="CCCCCC" w:sz="1"/>
            </w:tcBorders>
          </w:tcPr>
          <w:p>
            <w:r>
              <w:rPr>
                <w:sz w:val="20"/>
                <w:szCs w:val="20"/>
              </w:rPr>
              <w:t xml:space="preserve">Ethereum L1 (or equivalent high-security base layer)</w:t>
            </w:r>
          </w:p>
        </w:tc>
      </w:tr>
      <w:tr>
        <w:tc>
          <w:tcPr>
            <w:tcW w:type="dxa" w:w="2400"/>
            <w:tcBorders>
              <w:top w:val="single" w:color="CCCCCC" w:sz="1"/>
              <w:left w:val="single" w:color="CCCCCC" w:sz="1"/>
              <w:bottom w:val="single" w:color="CCCCCC" w:sz="1"/>
              <w:right w:val="single" w:color="CCCCCC" w:sz="1"/>
            </w:tcBorders>
            <w:shd w:fill="f0f0f0" w:val="clear"/>
          </w:tcPr>
          <w:p>
            <w:r>
              <w:rPr>
                <w:b/>
                <w:bCs/>
                <w:sz w:val="20"/>
                <w:szCs w:val="20"/>
              </w:rPr>
              <w:t xml:space="preserve">Layer 1: Temporal Attestation</w:t>
            </w:r>
          </w:p>
        </w:tc>
        <w:tc>
          <w:tcPr>
            <w:tcW w:type="dxa" w:w="3200"/>
            <w:tcBorders>
              <w:top w:val="single" w:color="CCCCCC" w:sz="1"/>
              <w:left w:val="single" w:color="CCCCCC" w:sz="1"/>
              <w:bottom w:val="single" w:color="CCCCCC" w:sz="1"/>
              <w:right w:val="single" w:color="CCCCCC" w:sz="1"/>
            </w:tcBorders>
            <w:shd w:fill="f0f0f0" w:val="clear"/>
          </w:tcPr>
          <w:p>
            <w:r>
              <w:rPr>
                <w:sz w:val="20"/>
                <w:szCs w:val="20"/>
              </w:rPr>
              <w:t xml:space="preserve">ZK participation proofs, temporal access logs, revocation commitments</w:t>
            </w:r>
          </w:p>
        </w:tc>
        <w:tc>
          <w:tcPr>
            <w:tcW w:type="dxa" w:w="3760"/>
            <w:tcBorders>
              <w:top w:val="single" w:color="CCCCCC" w:sz="1"/>
              <w:left w:val="single" w:color="CCCCCC" w:sz="1"/>
              <w:bottom w:val="single" w:color="CCCCCC" w:sz="1"/>
              <w:right w:val="single" w:color="CCCCCC" w:sz="1"/>
            </w:tcBorders>
            <w:shd w:fill="f0f0f0" w:val="clear"/>
          </w:tcPr>
          <w:p>
            <w:r>
              <w:rPr>
                <w:sz w:val="20"/>
                <w:szCs w:val="20"/>
              </w:rPr>
              <w:t xml:space="preserve">Aztec Network (privacy L2) + Celestia DA</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Layer 2: Data Sovereignty</w:t>
            </w:r>
          </w:p>
        </w:tc>
        <w:tc>
          <w:tcPr>
            <w:tcW w:type="dxa" w:w="3200"/>
            <w:tcBorders>
              <w:top w:val="single" w:color="CCCCCC" w:sz="1"/>
              <w:left w:val="single" w:color="CCCCCC" w:sz="1"/>
              <w:bottom w:val="single" w:color="CCCCCC" w:sz="1"/>
              <w:right w:val="single" w:color="CCCCCC" w:sz="1"/>
            </w:tcBorders>
          </w:tcPr>
          <w:p>
            <w:r>
              <w:rPr>
                <w:sz w:val="20"/>
                <w:szCs w:val="20"/>
              </w:rPr>
              <w:t xml:space="preserve">Personal data stores with fine-grained permissions</w:t>
            </w:r>
          </w:p>
        </w:tc>
        <w:tc>
          <w:tcPr>
            <w:tcW w:type="dxa" w:w="3760"/>
            <w:tcBorders>
              <w:top w:val="single" w:color="CCCCCC" w:sz="1"/>
              <w:left w:val="single" w:color="CCCCCC" w:sz="1"/>
              <w:bottom w:val="single" w:color="CCCCCC" w:sz="1"/>
              <w:right w:val="single" w:color="CCCCCC" w:sz="1"/>
            </w:tcBorders>
          </w:tcPr>
          <w:p>
            <w:r>
              <w:rPr>
                <w:sz w:val="20"/>
                <w:szCs w:val="20"/>
              </w:rPr>
              <w:t xml:space="preserve">Solid Pods (Inrupt ESS) or ATProto PDSes</w:t>
            </w:r>
          </w:p>
        </w:tc>
      </w:tr>
      <w:tr>
        <w:tc>
          <w:tcPr>
            <w:tcW w:type="dxa" w:w="2400"/>
            <w:tcBorders>
              <w:top w:val="single" w:color="CCCCCC" w:sz="1"/>
              <w:left w:val="single" w:color="CCCCCC" w:sz="1"/>
              <w:bottom w:val="single" w:color="CCCCCC" w:sz="1"/>
              <w:right w:val="single" w:color="CCCCCC" w:sz="1"/>
            </w:tcBorders>
            <w:shd w:fill="f0f0f0" w:val="clear"/>
          </w:tcPr>
          <w:p>
            <w:r>
              <w:rPr>
                <w:b/>
                <w:bCs/>
                <w:sz w:val="20"/>
                <w:szCs w:val="20"/>
              </w:rPr>
              <w:t xml:space="preserve">Layer 3: Ephemeral Enclaves</w:t>
            </w:r>
          </w:p>
        </w:tc>
        <w:tc>
          <w:tcPr>
            <w:tcW w:type="dxa" w:w="3200"/>
            <w:tcBorders>
              <w:top w:val="single" w:color="CCCCCC" w:sz="1"/>
              <w:left w:val="single" w:color="CCCCCC" w:sz="1"/>
              <w:bottom w:val="single" w:color="CCCCCC" w:sz="1"/>
              <w:right w:val="single" w:color="CCCCCC" w:sz="1"/>
            </w:tcBorders>
            <w:shd w:fill="f0f0f0" w:val="clear"/>
          </w:tcPr>
          <w:p>
            <w:r>
              <w:rPr>
                <w:sz w:val="20"/>
                <w:szCs w:val="20"/>
              </w:rPr>
              <w:t xml:space="preserve">Time-bound encrypted containers, rotating keys</w:t>
            </w:r>
          </w:p>
        </w:tc>
        <w:tc>
          <w:tcPr>
            <w:tcW w:type="dxa" w:w="3760"/>
            <w:tcBorders>
              <w:top w:val="single" w:color="CCCCCC" w:sz="1"/>
              <w:left w:val="single" w:color="CCCCCC" w:sz="1"/>
              <w:bottom w:val="single" w:color="CCCCCC" w:sz="1"/>
              <w:right w:val="single" w:color="CCCCCC" w:sz="1"/>
            </w:tcBorders>
            <w:shd w:fill="f0f0f0" w:val="clear"/>
          </w:tcPr>
          <w:p>
            <w:r>
              <w:rPr>
                <w:sz w:val="20"/>
                <w:szCs w:val="20"/>
              </w:rPr>
              <w:t xml:space="preserve">Custom enclave layer + VDF time-locks</w:t>
            </w:r>
          </w:p>
        </w:tc>
      </w:tr>
    </w:tbl>
    <w:p>
      <w:pPr>
        <w:spacing w:after="200"/>
      </w:pPr>
    </w:p>
    <w:p>
      <w:pPr>
        <w:pStyle w:val="Heading2"/>
      </w:pPr>
      <w:r>
        <w:t xml:space="preserve">2.2 Temporal Rights Algebra</w:t>
      </w:r>
    </w:p>
    <w:p>
      <w:pPr>
        <w:spacing w:after="200"/>
      </w:pPr>
      <w:r>
        <w:t xml:space="preserve">A formalized algebra prevents contradictions across use cases (supply chain vs. medical compliance vs. legal discovery). The following operators are defined:</w:t>
      </w:r>
    </w:p>
    <w:p>
      <w:pPr>
        <w:pStyle w:val="ListParagraph"/>
        <w:numPr>
          <w:ilvl w:val="0"/>
          <w:numId w:val="2"/>
        </w:numPr>
      </w:pPr>
      <w:r>
        <w:rPr>
          <w:b/>
          <w:bCs/>
        </w:rPr>
        <w:t xml:space="preserve">Grant(user, interval)</w:t>
      </w:r>
      <w:r>
        <w:t xml:space="preserve"> — Issues time-bounded access rights with optional purpose-binding</w:t>
      </w:r>
    </w:p>
    <w:p>
      <w:pPr>
        <w:pStyle w:val="ListParagraph"/>
        <w:numPr>
          <w:ilvl w:val="0"/>
          <w:numId w:val="2"/>
        </w:numPr>
      </w:pPr>
      <w:r>
        <w:rPr>
          <w:b/>
          <w:bCs/>
        </w:rPr>
        <w:t xml:space="preserve">Revoke(user, t)</w:t>
      </w:r>
      <w:r>
        <w:t xml:space="preserve"> — Terminates forward access at timestamp t; historical visibility preserved</w:t>
      </w:r>
    </w:p>
    <w:p>
      <w:pPr>
        <w:pStyle w:val="ListParagraph"/>
        <w:numPr>
          <w:ilvl w:val="0"/>
          <w:numId w:val="2"/>
        </w:numPr>
      </w:pPr>
      <w:r>
        <w:rPr>
          <w:b/>
          <w:bCs/>
        </w:rPr>
        <w:t xml:space="preserve">Extend(user, new_interval)</w:t>
      </w:r>
      <w:r>
        <w:t xml:space="preserve"> — Prolongs existing grant without creating new attestation chain</w:t>
      </w:r>
    </w:p>
    <w:p>
      <w:pPr>
        <w:pStyle w:val="ListParagraph"/>
        <w:numPr>
          <w:ilvl w:val="0"/>
          <w:numId w:val="2"/>
        </w:numPr>
      </w:pPr>
      <w:r>
        <w:rPr>
          <w:b/>
          <w:bCs/>
        </w:rPr>
        <w:t xml:space="preserve">Freeze(interval)</w:t>
      </w:r>
      <w:r>
        <w:t xml:space="preserve"> — Prevents retroactive modification; creates immutable snapshot</w:t>
      </w:r>
    </w:p>
    <w:p>
      <w:pPr>
        <w:pStyle w:val="ListParagraph"/>
        <w:numPr>
          <w:ilvl w:val="0"/>
          <w:numId w:val="2"/>
        </w:numPr>
      </w:pPr>
      <w:r>
        <w:rPr>
          <w:b/>
          <w:bCs/>
        </w:rPr>
        <w:t xml:space="preserve">Scope(rights)</w:t>
      </w:r>
      <w:r>
        <w:t xml:space="preserve"> — Constrains access type: read-only, compute-only, redact-only</w:t>
      </w:r>
    </w:p>
    <w:p>
      <w:pPr>
        <w:pStyle w:val="ListParagraph"/>
        <w:numPr>
          <w:ilvl w:val="0"/>
          <w:numId w:val="2"/>
        </w:numPr>
      </w:pPr>
      <w:r>
        <w:rPr>
          <w:b/>
          <w:bCs/>
        </w:rPr>
        <w:t xml:space="preserve">Slice(interval)</w:t>
      </w:r>
      <w:r>
        <w:t xml:space="preserve"> — Retrieves a temporal layer for audit or migration</w:t>
      </w:r>
    </w:p>
    <w:p>
      <w:pPr>
        <w:spacing w:before="200" w:after="200"/>
      </w:pPr>
      <w:r>
        <w:t xml:space="preserve">This algebra enables complex permission compositions, such as: </w:t>
      </w:r>
      <w:r>
        <w:rPr>
          <w:i/>
          <w:iCs/>
        </w:rPr>
        <w:t xml:space="preserve">Grant(researcher, [Jan-Mar 2024]) ∧ Scope(compute-only) ∧ Freeze([Jan-Mar 2024])</w:t>
      </w:r>
      <w:r>
        <w:t xml:space="preserve"> — granting statistical analysis rights during a fixed window with no ability to export raw data.</w:t>
      </w:r>
    </w:p>
    <w:p>
      <w:pPr>
        <w:pStyle w:val="Heading2"/>
      </w:pPr>
      <w:r>
        <w:t xml:space="preserve">2.3 Enhanced Smart Contract Model</w:t>
      </w:r>
    </w:p>
    <w:p>
      <w:pPr>
        <w:spacing w:after="200"/>
      </w:pPr>
      <w:r>
        <w:t xml:space="preserve">The original DataGrant and TemporalProof structures are extended with regulatory compliance fields:</w:t>
      </w:r>
    </w:p>
    <w:p>
      <w:pPr>
        <w:shd w:fill="f5f5f5" w:val="clear"/>
        <w:spacing w:after="100"/>
      </w:pPr>
      <w:r>
        <w:rPr>
          <w:rFonts w:ascii="Courier New" w:cs="Courier New" w:eastAsia="Courier New" w:hAnsi="Courier New"/>
          <w:sz w:val="20"/>
          <w:szCs w:val="20"/>
        </w:rPr>
        <w:t xml:space="preserve">struct DataGrant {</w:t>
      </w:r>
    </w:p>
    <w:p>
      <w:pPr>
        <w:shd w:fill="f5f5f5" w:val="clear"/>
        <w:ind w:left="360"/>
      </w:pPr>
      <w:r>
        <w:rPr>
          <w:rFonts w:ascii="Courier New" w:cs="Courier New" w:eastAsia="Courier New" w:hAnsi="Courier New"/>
          <w:sz w:val="20"/>
          <w:szCs w:val="20"/>
        </w:rPr>
        <w:t xml:space="preserve">bytes32 podPointer;           // Solid Pod resource reference</w:t>
      </w:r>
    </w:p>
    <w:p>
      <w:pPr>
        <w:shd w:fill="f5f5f5" w:val="clear"/>
        <w:ind w:left="360"/>
      </w:pPr>
      <w:r>
        <w:rPr>
          <w:rFonts w:ascii="Courier New" w:cs="Courier New" w:eastAsia="Courier New" w:hAnsi="Courier New"/>
          <w:sz w:val="20"/>
          <w:szCs w:val="20"/>
        </w:rPr>
        <w:t xml:space="preserve">bytes32 enclaveKeyHash;       // Ephemeral encryption key hash</w:t>
      </w:r>
    </w:p>
    <w:p>
      <w:pPr>
        <w:shd w:fill="f5f5f5" w:val="clear"/>
        <w:ind w:left="360"/>
      </w:pPr>
      <w:r>
        <w:rPr>
          <w:rFonts w:ascii="Courier New" w:cs="Courier New" w:eastAsia="Courier New" w:hAnsi="Courier New"/>
          <w:sz w:val="20"/>
          <w:szCs w:val="20"/>
        </w:rPr>
        <w:t xml:space="preserve">uint256 grantStart;           // Access window start</w:t>
      </w:r>
    </w:p>
    <w:p>
      <w:pPr>
        <w:shd w:fill="f5f5f5" w:val="clear"/>
        <w:ind w:left="360"/>
      </w:pPr>
      <w:r>
        <w:rPr>
          <w:rFonts w:ascii="Courier New" w:cs="Courier New" w:eastAsia="Courier New" w:hAnsi="Courier New"/>
          <w:sz w:val="20"/>
          <w:szCs w:val="20"/>
        </w:rPr>
        <w:t xml:space="preserve">uint256 grantEnd;             // Access window end (optional)</w:t>
      </w:r>
    </w:p>
    <w:p>
      <w:pPr>
        <w:shd w:fill="f5f5f5" w:val="clear"/>
        <w:ind w:left="360"/>
      </w:pPr>
      <w:r>
        <w:rPr>
          <w:rFonts w:ascii="Courier New" w:cs="Courier New" w:eastAsia="Courier New" w:hAnsi="Courier New"/>
          <w:color w:val="0066cc"/>
          <w:sz w:val="20"/>
          <w:szCs w:val="20"/>
        </w:rPr>
        <w:t xml:space="preserve">bytes32 purposeTag;           // GDPR/HIPAA purpose-binding</w:t>
      </w:r>
    </w:p>
    <w:p>
      <w:pPr>
        <w:shd w:fill="f5f5f5" w:val="clear"/>
        <w:ind w:left="360"/>
      </w:pPr>
      <w:r>
        <w:rPr>
          <w:rFonts w:ascii="Courier New" w:cs="Courier New" w:eastAsia="Courier New" w:hAnsi="Courier New"/>
          <w:color w:val="0066cc"/>
          <w:sz w:val="20"/>
          <w:szCs w:val="20"/>
        </w:rPr>
        <w:t xml:space="preserve">bytes32 contextHash;          // Jurisdiction/audit context</w:t>
      </w:r>
    </w:p>
    <w:p>
      <w:pPr>
        <w:shd w:fill="f5f5f5" w:val="clear"/>
        <w:ind w:left="360"/>
      </w:pPr>
      <w:r>
        <w:rPr>
          <w:rFonts w:ascii="Courier New" w:cs="Courier New" w:eastAsia="Courier New" w:hAnsi="Courier New"/>
          <w:color w:val="0066cc"/>
          <w:sz w:val="20"/>
          <w:szCs w:val="20"/>
        </w:rPr>
        <w:t xml:space="preserve">bool requiresKeyRotation;     // Forward-secrecy guarantee</w:t>
      </w:r>
    </w:p>
    <w:p>
      <w:pPr>
        <w:shd w:fill="f5f5f5" w:val="clear"/>
        <w:ind w:left="360"/>
      </w:pPr>
      <w:r>
        <w:rPr>
          <w:rFonts w:ascii="Courier New" w:cs="Courier New" w:eastAsia="Courier New" w:hAnsi="Courier New"/>
          <w:sz w:val="20"/>
          <w:szCs w:val="20"/>
        </w:rPr>
        <w:t xml:space="preserve">address[] participants;       // Current participant list</w:t>
      </w:r>
    </w:p>
    <w:p>
      <w:pPr>
        <w:shd w:fill="f5f5f5" w:val="clear"/>
        <w:spacing w:after="200"/>
      </w:pPr>
      <w:r>
        <w:rPr>
          <w:rFonts w:ascii="Courier New" w:cs="Courier New" w:eastAsia="Courier New" w:hAnsi="Courier New"/>
          <w:sz w:val="20"/>
          <w:szCs w:val="20"/>
        </w:rPr>
        <w:t xml:space="preserve">}</w:t>
      </w:r>
    </w:p>
    <w:p>
      <w:pPr>
        <w:spacing w:after="200"/>
      </w:pPr>
      <w:r>
        <w:t xml:space="preserve">The additions (highlighted) enable regulatory compliance without compromising the privacy model.</w:t>
      </w:r>
    </w:p>
    <w:p>
      <w:pPr>
        <w:spacing w:after="200"/>
      </w:pPr>
    </w:p>
    <w:p>
      <w:pPr>
        <w:pStyle w:val="Heading1"/>
      </w:pPr>
      <w:r>
        <w:t xml:space="preserve">3. Technology Landscape Assessment (December 2025)</w:t>
      </w:r>
    </w:p>
    <w:p>
      <w:pPr>
        <w:pStyle w:val="Heading2"/>
      </w:pPr>
      <w:r>
        <w:t xml:space="preserve">3.1 Personal Data Sovereignty Layer</w:t>
      </w:r>
    </w:p>
    <w:p>
      <w:pPr>
        <w:pStyle w:val="Heading3"/>
      </w:pPr>
      <w:r>
        <w:t xml:space="preserve">Solid Protocol / Inrupt ESS</w:t>
      </w:r>
    </w:p>
    <w:p>
      <w:pPr>
        <w:spacing w:after="200"/>
      </w:pPr>
      <w:r>
        <w:t xml:space="preserve">The Solid ecosystem has matured significantly. Inrupt's Enterprise Solid Server (ESS) is production-ready with deployments at scale (Flanders government, BBC, Visa partnerships). Key developments include MCP integration for AI agent permissioning ("Agentic Wallets"), Data Wallet infrastructure with React Native SDK, and active W3C standardization. The integration with Anthropic's Model Context Protocol creates a natural bridge for AI-assisted workflows within the ECP framework.</w:t>
      </w:r>
    </w:p>
    <w:p>
      <w:pPr>
        <w:spacing w:after="100"/>
      </w:pPr>
      <w:r>
        <w:rPr>
          <w:b/>
          <w:bCs/>
        </w:rPr>
        <w:t xml:space="preserve">Assessment: </w:t>
      </w:r>
      <w:r>
        <w:t xml:space="preserve">Production-ready. Strong choice for data sovereignty layer. Consider hybrid approach with ATProto for social/federated use cases.</w:t>
      </w:r>
    </w:p>
    <w:p>
      <w:pPr>
        <w:pStyle w:val="Heading3"/>
      </w:pPr>
      <w:r>
        <w:t xml:space="preserve">ATProto (Bluesky)</w:t>
      </w:r>
    </w:p>
    <w:p>
      <w:pPr>
        <w:spacing w:after="200"/>
      </w:pPr>
      <w:r>
        <w:t xml:space="preserve">Alternative protocol with different trade-offs: more opinionated about social/federated use cases, simpler developer experience, growing ecosystem. Personal Data Servers (PDSes) provide similar sovereignty guarantees. May be preferable for consumer-facing social applications where Solid's RDF complexity is unnecessary overhead.</w:t>
      </w:r>
    </w:p>
    <w:p>
      <w:pPr>
        <w:pStyle w:val="Heading2"/>
      </w:pPr>
      <w:r>
        <w:t xml:space="preserve">3.2 Privacy &amp; Attestation Layer</w:t>
      </w:r>
    </w:p>
    <w:p>
      <w:pPr>
        <w:pStyle w:val="Heading3"/>
      </w:pPr>
      <w:r>
        <w:t xml:space="preserve">Aztec Network</w:t>
      </w:r>
    </w:p>
    <w:p>
      <w:pPr>
        <w:spacing w:after="200"/>
      </w:pPr>
      <w:r>
        <w:t xml:space="preserve">Major milestone achieved: Ignition Chain launched November 2025 as the first fully decentralized privacy-focused L2 on Ethereum mainnet. Key features include programmable privacy (selective disclosure), Noir programming language for ZK circuits, PLONK proving system with client-side proof generation, and native account abstraction. The AZTEC token launched December 2025 with decentralized governance from day one.</w:t>
      </w:r>
    </w:p>
    <w:p>
      <w:pPr>
        <w:spacing w:after="100"/>
      </w:pPr>
      <w:r>
        <w:rPr>
          <w:b/>
          <w:bCs/>
        </w:rPr>
        <w:t xml:space="preserve">Assessment: </w:t>
      </w:r>
      <w:r>
        <w:t xml:space="preserve">Highly aligned with ECP requirements. The programmable privacy model maps directly to temporal access control needs. Non-EVM compatibility requires Noir expertise but provides superior privacy guarantees.</w:t>
      </w:r>
    </w:p>
    <w:p>
      <w:pPr>
        <w:pStyle w:val="Heading3"/>
      </w:pPr>
      <w:r>
        <w:t xml:space="preserve">Alternative: Polygon zkEVM / zkSync</w:t>
      </w:r>
    </w:p>
    <w:p>
      <w:pPr>
        <w:spacing w:after="200"/>
      </w:pPr>
      <w:r>
        <w:t xml:space="preserve">EVM-compatible options with stronger developer familiarity but weaker native privacy. May be suitable for initial prototyping or hybrid deployments where full Aztec privacy isn't required.</w:t>
      </w:r>
    </w:p>
    <w:p>
      <w:pPr>
        <w:pStyle w:val="Heading2"/>
      </w:pPr>
      <w:r>
        <w:t xml:space="preserve">3.3 Data Availability Layer</w:t>
      </w:r>
    </w:p>
    <w:p>
      <w:pPr>
        <w:pStyle w:val="Heading3"/>
      </w:pPr>
      <w:r>
        <w:t xml:space="preserve">Celestia</w:t>
      </w:r>
    </w:p>
    <w:p>
      <w:pPr>
        <w:spacing w:after="200"/>
      </w:pPr>
      <w:r>
        <w:t xml:space="preserve">The original architecture proposed IPFS, but Celestia offers significant advantages for the ECP use case: Data Availability Sampling enables light clients to verify without full downloads, Namespaced Merkle Trees allow selective data retrieval, modular architecture separates consensus from execution, and the roadmap targets 1GB/s throughput. The mamo-1 testnet achieved 21.33MB/s with 128MB blocks.</w:t>
      </w:r>
    </w:p>
    <w:p>
      <w:pPr>
        <w:spacing w:after="100"/>
      </w:pPr>
      <w:r>
        <w:rPr>
          <w:b/>
          <w:bCs/>
        </w:rPr>
        <w:t xml:space="preserve">Recommendation: </w:t>
      </w:r>
      <w:r>
        <w:t xml:space="preserve">Replace IPFS with Celestia for encrypted blob storage. Use Private DA (as demonstrated by Hibachi) for confidential data posting.</w:t>
      </w:r>
    </w:p>
    <w:p>
      <w:pPr>
        <w:pStyle w:val="Heading2"/>
      </w:pPr>
      <w:r>
        <w:t xml:space="preserve">3.4 Temporal Cryptography</w:t>
      </w:r>
    </w:p>
    <w:p>
      <w:pPr>
        <w:pStyle w:val="Heading3"/>
      </w:pPr>
      <w:r>
        <w:t xml:space="preserve">VDFs and Time-Lock Encryption</w:t>
      </w:r>
    </w:p>
    <w:p>
      <w:pPr>
        <w:spacing w:after="200"/>
      </w:pPr>
      <w:r>
        <w:t xml:space="preserve">Verifiable Delay Functions remain the most promising approach for trustless time-locking. The Wesolowski and Pietrzak constructions are practical with reasonable proof sizes. Key considerations: VDFs require sequential computation that cannot be parallelized (this is a feature, not a bug), delay encryption schemes can derive time-bound keys from VDF outputs, and threshold time-oracles (n-of-m) provide more practical clock guarantees than pure VDFs alone.</w:t>
      </w:r>
    </w:p>
    <w:p>
      <w:pPr>
        <w:spacing w:after="100"/>
      </w:pPr>
      <w:r>
        <w:rPr>
          <w:b/>
          <w:bCs/>
        </w:rPr>
        <w:t xml:space="preserve">Assessment: </w:t>
      </w:r>
      <w:r>
        <w:t xml:space="preserve">VDFs are mature enough for production use but require careful parameter selection. Hybrid approach recommended: VDF time-locks for hard guarantees, threshold oracles for practical UX.</w:t>
      </w:r>
    </w:p>
    <w:p>
      <w:pPr>
        <w:spacing w:after="200"/>
      </w:pPr>
    </w:p>
    <w:p>
      <w:pPr>
        <w:pStyle w:val="Heading1"/>
      </w:pPr>
      <w:r>
        <w:t xml:space="preserve">4. Critical Assessment &amp; Risk Analysis</w:t>
      </w:r>
    </w:p>
    <w:p>
      <w:pPr>
        <w:pStyle w:val="Heading2"/>
      </w:pPr>
      <w:r>
        <w:t xml:space="preserve">4.1 Architectural Strengths</w:t>
      </w:r>
    </w:p>
    <w:p>
      <w:pPr>
        <w:spacing w:after="200"/>
      </w:pPr>
      <w:r>
        <w:t xml:space="preserve">The architecture successfully navigates several difficult trade-offs. It achieves eventual consistency + immutable proofs + ephemeral permissions without fundamental contradictions. The separation of visibility from access prevents the common confusion between 'what you had access to' and 'what you can decrypt now.' Verifiable absence is a genuinely novel primitive — the ability to prove non-access is valuable for regulatory compliance.</w:t>
      </w:r>
    </w:p>
    <w:p>
      <w:pPr>
        <w:pStyle w:val="Heading2"/>
      </w:pPr>
      <w:r>
        <w:t xml:space="preserve">4.2 Critical Risks</w:t>
      </w:r>
    </w:p>
    <w:p>
      <w:pPr>
        <w:spacing w:after="100"/>
      </w:pPr>
      <w:r>
        <w:rPr>
          <w:b/>
          <w:bCs/>
        </w:rPr>
        <w:t xml:space="preserve">Metadata Leakage:</w:t>
      </w:r>
      <w:r>
        <w:t xml:space="preserve"> Even with encrypted content, conversation IDs, block timestamps, and participant lists leak information. The proposed Meta-Blind Commitment Layer partially addresses this, but metadata correlation attacks remain a concern. ZK membership proofs for salted participant sets add significant complexity.</w:t>
      </w:r>
    </w:p>
    <w:p>
      <w:pPr>
        <w:spacing w:after="100"/>
      </w:pPr>
      <w:r>
        <w:rPr>
          <w:b/>
          <w:bCs/>
        </w:rPr>
        <w:t xml:space="preserve">Key Management Burden:</w:t>
      </w:r>
      <w:r>
        <w:t xml:space="preserve"> The hierarchical key graph (UserRoot → ConversationRoot → EpochKeys → MessageKeys) is sound but creates UX friction. Social recovery mechanisms must be robust — key loss means permanent data loss. This is the most likely adoption barrier.</w:t>
      </w:r>
    </w:p>
    <w:p>
      <w:pPr>
        <w:spacing w:after="100"/>
      </w:pPr>
      <w:r>
        <w:rPr>
          <w:b/>
          <w:bCs/>
        </w:rPr>
        <w:t xml:space="preserve">Retroactive Decryption:</w:t>
      </w:r>
      <w:r>
        <w:t xml:space="preserve"> If Alice's Pod is compromised in the future, an attacker could potentially decrypt historical 'Bob-only' periods. The proposed mitigation (deriving epoch keys from both parties' states) helps but requires careful cryptographic design.</w:t>
      </w:r>
    </w:p>
    <w:p>
      <w:pPr>
        <w:spacing w:after="100"/>
      </w:pPr>
      <w:r>
        <w:rPr>
          <w:b/>
          <w:bCs/>
        </w:rPr>
        <w:t xml:space="preserve">GDPR Tension:</w:t>
      </w:r>
      <w:r>
        <w:t xml:space="preserve"> The 'right to erasure' conflicts with blockchain immutability. The architecture's proofs are designed to be content-agnostic, but regulators may still object to permanent participation proofs. This requires legal analysis specific to target jurisdictions.</w:t>
      </w:r>
    </w:p>
    <w:p>
      <w:pPr>
        <w:spacing w:after="200"/>
      </w:pPr>
      <w:r>
        <w:rPr>
          <w:b/>
          <w:bCs/>
        </w:rPr>
        <w:t xml:space="preserve">Integration Complexity:</w:t>
      </w:r>
      <w:r>
        <w:t xml:space="preserve"> The proposed stack (Solid + Aztec + Celestia + VDFs + DIDs) spans multiple bleeding-edge technologies. Finding engineers with expertise across all layers will be challenging.</w:t>
      </w:r>
    </w:p>
    <w:p>
      <w:pPr>
        <w:pStyle w:val="Heading2"/>
      </w:pPr>
      <w:r>
        <w:t xml:space="preserve">4.3 Missing Elements</w:t>
      </w:r>
    </w:p>
    <w:p>
      <w:pPr>
        <w:spacing w:after="200"/>
      </w:pPr>
      <w:r>
        <w:t xml:space="preserve">Several critical components require additional design work:</w:t>
      </w:r>
    </w:p>
    <w:p>
      <w:pPr>
        <w:pStyle w:val="ListParagraph"/>
        <w:numPr>
          <w:ilvl w:val="0"/>
          <w:numId w:val="2"/>
        </w:numPr>
      </w:pPr>
      <w:r>
        <w:rPr>
          <w:b/>
          <w:bCs/>
        </w:rPr>
        <w:t xml:space="preserve">Economic Incentive Design:</w:t>
      </w:r>
      <w:r>
        <w:t xml:space="preserve"> Who pays for storage, computation, verification? Without clear economics, the system won't sustain.</w:t>
      </w:r>
    </w:p>
    <w:p>
      <w:pPr>
        <w:pStyle w:val="ListParagraph"/>
        <w:numPr>
          <w:ilvl w:val="0"/>
          <w:numId w:val="2"/>
        </w:numPr>
      </w:pPr>
      <w:r>
        <w:rPr>
          <w:b/>
          <w:bCs/>
        </w:rPr>
        <w:t xml:space="preserve">Governance:</w:t>
      </w:r>
      <w:r>
        <w:t xml:space="preserve"> How do protocol upgrades happen? Who decides on parameter changes?</w:t>
      </w:r>
    </w:p>
    <w:p>
      <w:pPr>
        <w:pStyle w:val="ListParagraph"/>
        <w:numPr>
          <w:ilvl w:val="0"/>
          <w:numId w:val="2"/>
        </w:numPr>
      </w:pPr>
      <w:r>
        <w:rPr>
          <w:b/>
          <w:bCs/>
        </w:rPr>
        <w:t xml:space="preserve">Migration Paths:</w:t>
      </w:r>
      <w:r>
        <w:t xml:space="preserve"> How do users move between systems or exit entirely?</w:t>
      </w:r>
    </w:p>
    <w:p>
      <w:pPr>
        <w:pStyle w:val="ListParagraph"/>
        <w:numPr>
          <w:ilvl w:val="0"/>
          <w:numId w:val="2"/>
        </w:numPr>
      </w:pPr>
      <w:r>
        <w:rPr>
          <w:b/>
          <w:bCs/>
        </w:rPr>
        <w:t xml:space="preserve">Disaster Recovery:</w:t>
      </w:r>
      <w:r>
        <w:t xml:space="preserve"> What happens when keys are lost, enclaves fail, or chain reorgs occur?</w:t>
      </w:r>
    </w:p>
    <w:p>
      <w:pPr>
        <w:spacing w:after="200"/>
      </w:pPr>
    </w:p>
    <w:p>
      <w:pPr>
        <w:pStyle w:val="Heading1"/>
      </w:pPr>
      <w:r>
        <w:t xml:space="preserve">5. Revised Technology Stack</w:t>
      </w:r>
    </w:p>
    <w:p>
      <w:pPr>
        <w:spacing w:after="200"/>
      </w:pPr>
      <w:r>
        <w:t xml:space="preserve">Based on the December 2025 landscape assessment, the following stack is recommended: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f3460" w:val="clear"/>
          </w:tcPr>
          <w:p>
            <w:pPr>
              <w:jc w:val="center"/>
            </w:pPr>
            <w:r>
              <w:rPr>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f3460" w:val="clear"/>
          </w:tcPr>
          <w:p>
            <w:pPr>
              <w:jc w:val="center"/>
            </w:pPr>
            <w:r>
              <w:rPr>
                <w:b/>
                <w:bCs/>
                <w:color w:val="FFFFFF"/>
                <w:sz w:val="20"/>
                <w:szCs w:val="20"/>
              </w:rPr>
              <w:t xml:space="preserve">Primary Choice</w:t>
            </w:r>
          </w:p>
        </w:tc>
        <w:tc>
          <w:tcPr>
            <w:tcW w:type="dxa" w:w="3360"/>
            <w:tcBorders>
              <w:top w:val="single" w:color="CCCCCC" w:sz="1"/>
              <w:left w:val="single" w:color="CCCCCC" w:sz="1"/>
              <w:bottom w:val="single" w:color="CCCCCC" w:sz="1"/>
              <w:right w:val="single" w:color="CCCCCC" w:sz="1"/>
            </w:tcBorders>
            <w:shd w:fill="0f3460" w:val="clear"/>
          </w:tcPr>
          <w:p>
            <w:pPr>
              <w:jc w:val="center"/>
            </w:pPr>
            <w:r>
              <w:rPr>
                <w:b/>
                <w:bCs/>
                <w:color w:val="FFFFFF"/>
                <w:sz w:val="20"/>
                <w:szCs w:val="20"/>
              </w:rPr>
              <w:t xml:space="preserve">Alternative</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Identity</w:t>
            </w:r>
          </w:p>
        </w:tc>
        <w:tc>
          <w:tcPr>
            <w:tcW w:type="dxa" w:w="3200"/>
            <w:tcBorders>
              <w:top w:val="single" w:color="CCCCCC" w:sz="1"/>
              <w:left w:val="single" w:color="CCCCCC" w:sz="1"/>
              <w:bottom w:val="single" w:color="CCCCCC" w:sz="1"/>
              <w:right w:val="single" w:color="CCCCCC" w:sz="1"/>
            </w:tcBorders>
          </w:tcPr>
          <w:p>
            <w:r>
              <w:rPr>
                <w:sz w:val="20"/>
                <w:szCs w:val="20"/>
              </w:rPr>
              <w:t xml:space="preserve">DIDs (did:web, did:key)</w:t>
            </w:r>
          </w:p>
        </w:tc>
        <w:tc>
          <w:tcPr>
            <w:tcW w:type="dxa" w:w="3360"/>
            <w:tcBorders>
              <w:top w:val="single" w:color="CCCCCC" w:sz="1"/>
              <w:left w:val="single" w:color="CCCCCC" w:sz="1"/>
              <w:bottom w:val="single" w:color="CCCCCC" w:sz="1"/>
              <w:right w:val="single" w:color="CCCCCC" w:sz="1"/>
            </w:tcBorders>
          </w:tcPr>
          <w:p>
            <w:r>
              <w:rPr>
                <w:sz w:val="20"/>
                <w:szCs w:val="20"/>
              </w:rPr>
              <w:t xml:space="preserve">ENS + Verifiable Credentials</w:t>
            </w:r>
          </w:p>
        </w:tc>
      </w:tr>
      <w:tr>
        <w:tc>
          <w:tcPr>
            <w:tcW w:type="dxa" w:w="2800"/>
            <w:tcBorders>
              <w:top w:val="single" w:color="CCCCCC" w:sz="1"/>
              <w:left w:val="single" w:color="CCCCCC" w:sz="1"/>
              <w:bottom w:val="single" w:color="CCCCCC" w:sz="1"/>
              <w:right w:val="single" w:color="CCCCCC" w:sz="1"/>
            </w:tcBorders>
            <w:shd w:fill="f0f0f0" w:val="clear"/>
          </w:tcPr>
          <w:p>
            <w:r>
              <w:rPr>
                <w:sz w:val="20"/>
                <w:szCs w:val="20"/>
              </w:rPr>
              <w:t xml:space="preserve">Data Sovereignty</w:t>
            </w:r>
          </w:p>
        </w:tc>
        <w:tc>
          <w:tcPr>
            <w:tcW w:type="dxa" w:w="3200"/>
            <w:tcBorders>
              <w:top w:val="single" w:color="CCCCCC" w:sz="1"/>
              <w:left w:val="single" w:color="CCCCCC" w:sz="1"/>
              <w:bottom w:val="single" w:color="CCCCCC" w:sz="1"/>
              <w:right w:val="single" w:color="CCCCCC" w:sz="1"/>
            </w:tcBorders>
            <w:shd w:fill="f0f0f0" w:val="clear"/>
          </w:tcPr>
          <w:p>
            <w:r>
              <w:rPr>
                <w:sz w:val="20"/>
                <w:szCs w:val="20"/>
              </w:rPr>
              <w:t xml:space="preserve">Inrupt ESS (Solid)</w:t>
            </w:r>
          </w:p>
        </w:tc>
        <w:tc>
          <w:tcPr>
            <w:tcW w:type="dxa" w:w="3360"/>
            <w:tcBorders>
              <w:top w:val="single" w:color="CCCCCC" w:sz="1"/>
              <w:left w:val="single" w:color="CCCCCC" w:sz="1"/>
              <w:bottom w:val="single" w:color="CCCCCC" w:sz="1"/>
              <w:right w:val="single" w:color="CCCCCC" w:sz="1"/>
            </w:tcBorders>
            <w:shd w:fill="f0f0f0" w:val="clear"/>
          </w:tcPr>
          <w:p>
            <w:r>
              <w:rPr>
                <w:sz w:val="20"/>
                <w:szCs w:val="20"/>
              </w:rPr>
              <w:t xml:space="preserve">ATProto PDS</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Privacy Layer</w:t>
            </w:r>
          </w:p>
        </w:tc>
        <w:tc>
          <w:tcPr>
            <w:tcW w:type="dxa" w:w="3200"/>
            <w:tcBorders>
              <w:top w:val="single" w:color="CCCCCC" w:sz="1"/>
              <w:left w:val="single" w:color="CCCCCC" w:sz="1"/>
              <w:bottom w:val="single" w:color="CCCCCC" w:sz="1"/>
              <w:right w:val="single" w:color="CCCCCC" w:sz="1"/>
            </w:tcBorders>
          </w:tcPr>
          <w:p>
            <w:r>
              <w:rPr>
                <w:sz w:val="20"/>
                <w:szCs w:val="20"/>
              </w:rPr>
              <w:t xml:space="preserve">Aztec Network</w:t>
            </w:r>
          </w:p>
        </w:tc>
        <w:tc>
          <w:tcPr>
            <w:tcW w:type="dxa" w:w="3360"/>
            <w:tcBorders>
              <w:top w:val="single" w:color="CCCCCC" w:sz="1"/>
              <w:left w:val="single" w:color="CCCCCC" w:sz="1"/>
              <w:bottom w:val="single" w:color="CCCCCC" w:sz="1"/>
              <w:right w:val="single" w:color="CCCCCC" w:sz="1"/>
            </w:tcBorders>
          </w:tcPr>
          <w:p>
            <w:r>
              <w:rPr>
                <w:sz w:val="20"/>
                <w:szCs w:val="20"/>
              </w:rPr>
              <w:t xml:space="preserve">Polygon zkEVM (partial privacy)</w:t>
            </w:r>
          </w:p>
        </w:tc>
      </w:tr>
      <w:tr>
        <w:tc>
          <w:tcPr>
            <w:tcW w:type="dxa" w:w="2800"/>
            <w:tcBorders>
              <w:top w:val="single" w:color="CCCCCC" w:sz="1"/>
              <w:left w:val="single" w:color="CCCCCC" w:sz="1"/>
              <w:bottom w:val="single" w:color="CCCCCC" w:sz="1"/>
              <w:right w:val="single" w:color="CCCCCC" w:sz="1"/>
            </w:tcBorders>
            <w:shd w:fill="f0f0f0" w:val="clear"/>
          </w:tcPr>
          <w:p>
            <w:r>
              <w:rPr>
                <w:sz w:val="20"/>
                <w:szCs w:val="20"/>
              </w:rPr>
              <w:t xml:space="preserve">Data Availability</w:t>
            </w:r>
          </w:p>
        </w:tc>
        <w:tc>
          <w:tcPr>
            <w:tcW w:type="dxa" w:w="3200"/>
            <w:tcBorders>
              <w:top w:val="single" w:color="CCCCCC" w:sz="1"/>
              <w:left w:val="single" w:color="CCCCCC" w:sz="1"/>
              <w:bottom w:val="single" w:color="CCCCCC" w:sz="1"/>
              <w:right w:val="single" w:color="CCCCCC" w:sz="1"/>
            </w:tcBorders>
            <w:shd w:fill="f0f0f0" w:val="clear"/>
          </w:tcPr>
          <w:p>
            <w:r>
              <w:rPr>
                <w:sz w:val="20"/>
                <w:szCs w:val="20"/>
              </w:rPr>
              <w:t xml:space="preserve">Celestia (Private DA)</w:t>
            </w:r>
          </w:p>
        </w:tc>
        <w:tc>
          <w:tcPr>
            <w:tcW w:type="dxa" w:w="3360"/>
            <w:tcBorders>
              <w:top w:val="single" w:color="CCCCCC" w:sz="1"/>
              <w:left w:val="single" w:color="CCCCCC" w:sz="1"/>
              <w:bottom w:val="single" w:color="CCCCCC" w:sz="1"/>
              <w:right w:val="single" w:color="CCCCCC" w:sz="1"/>
            </w:tcBorders>
            <w:shd w:fill="f0f0f0" w:val="clear"/>
          </w:tcPr>
          <w:p>
            <w:r>
              <w:rPr>
                <w:sz w:val="20"/>
                <w:szCs w:val="20"/>
              </w:rPr>
              <w:t xml:space="preserve">Avail / EigenDA</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Base Layer</w:t>
            </w:r>
          </w:p>
        </w:tc>
        <w:tc>
          <w:tcPr>
            <w:tcW w:type="dxa" w:w="3200"/>
            <w:tcBorders>
              <w:top w:val="single" w:color="CCCCCC" w:sz="1"/>
              <w:left w:val="single" w:color="CCCCCC" w:sz="1"/>
              <w:bottom w:val="single" w:color="CCCCCC" w:sz="1"/>
              <w:right w:val="single" w:color="CCCCCC" w:sz="1"/>
            </w:tcBorders>
          </w:tcPr>
          <w:p>
            <w:r>
              <w:rPr>
                <w:sz w:val="20"/>
                <w:szCs w:val="20"/>
              </w:rPr>
              <w:t xml:space="preserve">Ethereum L1</w:t>
            </w:r>
          </w:p>
        </w:tc>
        <w:tc>
          <w:tcPr>
            <w:tcW w:type="dxa" w:w="3360"/>
            <w:tcBorders>
              <w:top w:val="single" w:color="CCCCCC" w:sz="1"/>
              <w:left w:val="single" w:color="CCCCCC" w:sz="1"/>
              <w:bottom w:val="single" w:color="CCCCCC" w:sz="1"/>
              <w:right w:val="single" w:color="CCCCCC" w:sz="1"/>
            </w:tcBorders>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0f0f0" w:val="clear"/>
          </w:tcPr>
          <w:p>
            <w:r>
              <w:rPr>
                <w:sz w:val="20"/>
                <w:szCs w:val="20"/>
              </w:rPr>
              <w:t xml:space="preserve">Time-Lock Crypto</w:t>
            </w:r>
          </w:p>
        </w:tc>
        <w:tc>
          <w:tcPr>
            <w:tcW w:type="dxa" w:w="3200"/>
            <w:tcBorders>
              <w:top w:val="single" w:color="CCCCCC" w:sz="1"/>
              <w:left w:val="single" w:color="CCCCCC" w:sz="1"/>
              <w:bottom w:val="single" w:color="CCCCCC" w:sz="1"/>
              <w:right w:val="single" w:color="CCCCCC" w:sz="1"/>
            </w:tcBorders>
            <w:shd w:fill="f0f0f0" w:val="clear"/>
          </w:tcPr>
          <w:p>
            <w:r>
              <w:rPr>
                <w:sz w:val="20"/>
                <w:szCs w:val="20"/>
              </w:rPr>
              <w:t xml:space="preserve">VDFs (Wesolowski) + Threshold Oracles</w:t>
            </w:r>
          </w:p>
        </w:tc>
        <w:tc>
          <w:tcPr>
            <w:tcW w:type="dxa" w:w="3360"/>
            <w:tcBorders>
              <w:top w:val="single" w:color="CCCCCC" w:sz="1"/>
              <w:left w:val="single" w:color="CCCCCC" w:sz="1"/>
              <w:bottom w:val="single" w:color="CCCCCC" w:sz="1"/>
              <w:right w:val="single" w:color="CCCCCC" w:sz="1"/>
            </w:tcBorders>
            <w:shd w:fill="f0f0f0" w:val="clear"/>
          </w:tcPr>
          <w:p>
            <w:r>
              <w:rPr>
                <w:sz w:val="20"/>
                <w:szCs w:val="20"/>
              </w:rPr>
              <w:t xml:space="preserve">Delay Encryption (isogeny-based)</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Encryption</w:t>
            </w:r>
          </w:p>
        </w:tc>
        <w:tc>
          <w:tcPr>
            <w:tcW w:type="dxa" w:w="3200"/>
            <w:tcBorders>
              <w:top w:val="single" w:color="CCCCCC" w:sz="1"/>
              <w:left w:val="single" w:color="CCCCCC" w:sz="1"/>
              <w:bottom w:val="single" w:color="CCCCCC" w:sz="1"/>
              <w:right w:val="single" w:color="CCCCCC" w:sz="1"/>
            </w:tcBorders>
          </w:tcPr>
          <w:p>
            <w:r>
              <w:rPr>
                <w:sz w:val="20"/>
                <w:szCs w:val="20"/>
              </w:rPr>
              <w:t xml:space="preserve">HPKE + AES-GCM</w:t>
            </w:r>
          </w:p>
        </w:tc>
        <w:tc>
          <w:tcPr>
            <w:tcW w:type="dxa" w:w="3360"/>
            <w:tcBorders>
              <w:top w:val="single" w:color="CCCCCC" w:sz="1"/>
              <w:left w:val="single" w:color="CCCCCC" w:sz="1"/>
              <w:bottom w:val="single" w:color="CCCCCC" w:sz="1"/>
              <w:right w:val="single" w:color="CCCCCC" w:sz="1"/>
            </w:tcBorders>
          </w:tcPr>
          <w:p>
            <w:r>
              <w:rPr>
                <w:sz w:val="20"/>
                <w:szCs w:val="20"/>
              </w:rPr>
              <w:t xml:space="preserve">MLS for group messaging</w:t>
            </w:r>
          </w:p>
        </w:tc>
      </w:tr>
      <w:tr>
        <w:tc>
          <w:tcPr>
            <w:tcW w:type="dxa" w:w="2800"/>
            <w:tcBorders>
              <w:top w:val="single" w:color="CCCCCC" w:sz="1"/>
              <w:left w:val="single" w:color="CCCCCC" w:sz="1"/>
              <w:bottom w:val="single" w:color="CCCCCC" w:sz="1"/>
              <w:right w:val="single" w:color="CCCCCC" w:sz="1"/>
            </w:tcBorders>
            <w:shd w:fill="f0f0f0" w:val="clear"/>
          </w:tcPr>
          <w:p>
            <w:r>
              <w:rPr>
                <w:sz w:val="20"/>
                <w:szCs w:val="20"/>
              </w:rPr>
              <w:t xml:space="preserve">Frontend</w:t>
            </w:r>
          </w:p>
        </w:tc>
        <w:tc>
          <w:tcPr>
            <w:tcW w:type="dxa" w:w="3200"/>
            <w:tcBorders>
              <w:top w:val="single" w:color="CCCCCC" w:sz="1"/>
              <w:left w:val="single" w:color="CCCCCC" w:sz="1"/>
              <w:bottom w:val="single" w:color="CCCCCC" w:sz="1"/>
              <w:right w:val="single" w:color="CCCCCC" w:sz="1"/>
            </w:tcBorders>
            <w:shd w:fill="f0f0f0" w:val="clear"/>
          </w:tcPr>
          <w:p>
            <w:r>
              <w:rPr>
                <w:sz w:val="20"/>
                <w:szCs w:val="20"/>
              </w:rPr>
              <w:t xml:space="preserve">React + Inrupt SDK + WalletConnect</w:t>
            </w:r>
          </w:p>
        </w:tc>
        <w:tc>
          <w:tcPr>
            <w:tcW w:type="dxa" w:w="3360"/>
            <w:tcBorders>
              <w:top w:val="single" w:color="CCCCCC" w:sz="1"/>
              <w:left w:val="single" w:color="CCCCCC" w:sz="1"/>
              <w:bottom w:val="single" w:color="CCCCCC" w:sz="1"/>
              <w:right w:val="single" w:color="CCCCCC" w:sz="1"/>
            </w:tcBorders>
            <w:shd w:fill="f0f0f0" w:val="clear"/>
          </w:tcPr>
          <w:p>
            <w:r>
              <w:rPr>
                <w:sz w:val="20"/>
                <w:szCs w:val="20"/>
              </w:rPr>
              <w:t xml:space="preserve">React Native (mobile)</w:t>
            </w:r>
          </w:p>
        </w:tc>
      </w:tr>
    </w:tbl>
    <w:p>
      <w:pPr>
        <w:spacing w:after="200"/>
      </w:pPr>
    </w:p>
    <w:p>
      <w:pPr>
        <w:pStyle w:val="Heading1"/>
      </w:pPr>
      <w:r>
        <w:t xml:space="preserve">6. Implementation Roadmap</w:t>
      </w:r>
    </w:p>
    <w:p>
      <w:pPr>
        <w:pStyle w:val="Heading2"/>
      </w:pPr>
      <w:r>
        <w:t xml:space="preserve">Phase 1: Foundation (Months 1-4)</w:t>
      </w:r>
    </w:p>
    <w:p>
      <w:pPr>
        <w:spacing w:after="100"/>
      </w:pPr>
      <w:r>
        <w:rPr>
          <w:b/>
          <w:bCs/>
        </w:rPr>
        <w:t xml:space="preserve">Goal:</w:t>
      </w:r>
      <w:r>
        <w:t xml:space="preserve"> Establish core identity and data sovereignty infrastructure with minimal blockchain integration.</w:t>
      </w:r>
    </w:p>
    <w:p>
      <w:pPr>
        <w:pStyle w:val="ListParagraph"/>
        <w:numPr>
          <w:ilvl w:val="0"/>
          <w:numId w:val="3"/>
        </w:numPr>
      </w:pPr>
      <w:r>
        <w:t xml:space="preserve">Deploy Inrupt ESS instance with temporal metadata extensions</w:t>
      </w:r>
    </w:p>
    <w:p>
      <w:pPr>
        <w:pStyle w:val="ListParagraph"/>
        <w:numPr>
          <w:ilvl w:val="0"/>
          <w:numId w:val="3"/>
        </w:numPr>
      </w:pPr>
      <w:r>
        <w:t xml:space="preserve">Implement DID resolver supporting did:web and did:key</w:t>
      </w:r>
    </w:p>
    <w:p>
      <w:pPr>
        <w:pStyle w:val="ListParagraph"/>
        <w:numPr>
          <w:ilvl w:val="0"/>
          <w:numId w:val="3"/>
        </w:numPr>
      </w:pPr>
      <w:r>
        <w:t xml:space="preserve">Build basic Temporal Rights Algebra library (Grant, Revoke, Slice)</w:t>
      </w:r>
    </w:p>
    <w:p>
      <w:pPr>
        <w:pStyle w:val="ListParagraph"/>
        <w:numPr>
          <w:ilvl w:val="0"/>
          <w:numId w:val="3"/>
        </w:numPr>
      </w:pPr>
      <w:r>
        <w:t xml:space="preserve">Create simple enclave prototype with symmetric key rotation</w:t>
      </w:r>
    </w:p>
    <w:p>
      <w:pPr>
        <w:pStyle w:val="ListParagraph"/>
        <w:numPr>
          <w:ilvl w:val="0"/>
          <w:numId w:val="3"/>
        </w:numPr>
      </w:pPr>
      <w:r>
        <w:t xml:space="preserve">Develop reference chat application demonstrating temporal access</w:t>
      </w:r>
    </w:p>
    <w:p>
      <w:pPr>
        <w:spacing w:before="100" w:after="200"/>
      </w:pPr>
      <w:r>
        <w:rPr>
          <w:b/>
          <w:bCs/>
        </w:rPr>
        <w:t xml:space="preserve">Deliverables:</w:t>
      </w:r>
      <w:r>
        <w:t xml:space="preserve"> Functional prototype with Pod-based storage, basic encryption, and UI demonstrating time-bounded access revocation.</w:t>
      </w:r>
    </w:p>
    <w:p>
      <w:pPr>
        <w:pStyle w:val="Heading2"/>
      </w:pPr>
      <w:r>
        <w:t xml:space="preserve">Phase 2: Attestation Layer (Months 5-9)</w:t>
      </w:r>
    </w:p>
    <w:p>
      <w:pPr>
        <w:spacing w:after="100"/>
      </w:pPr>
      <w:r>
        <w:rPr>
          <w:b/>
          <w:bCs/>
        </w:rPr>
        <w:t xml:space="preserve">Goal:</w:t>
      </w:r>
      <w:r>
        <w:t xml:space="preserve"> Integrate blockchain attestation for temporal proofs.</w:t>
      </w:r>
    </w:p>
    <w:p>
      <w:pPr>
        <w:pStyle w:val="ListParagraph"/>
        <w:numPr>
          <w:ilvl w:val="0"/>
          <w:numId w:val="4"/>
        </w:numPr>
      </w:pPr>
      <w:r>
        <w:t xml:space="preserve">Deploy DataGrant smart contract on Aztec testnet (Noir implementation)</w:t>
      </w:r>
    </w:p>
    <w:p>
      <w:pPr>
        <w:pStyle w:val="ListParagraph"/>
        <w:numPr>
          <w:ilvl w:val="0"/>
          <w:numId w:val="4"/>
        </w:numPr>
      </w:pPr>
      <w:r>
        <w:t xml:space="preserve">Implement TemporalProof structure with Merkle commitment</w:t>
      </w:r>
    </w:p>
    <w:p>
      <w:pPr>
        <w:pStyle w:val="ListParagraph"/>
        <w:numPr>
          <w:ilvl w:val="0"/>
          <w:numId w:val="4"/>
        </w:numPr>
      </w:pPr>
      <w:r>
        <w:t xml:space="preserve">Build bridge between Solid Pod events and on-chain attestations</w:t>
      </w:r>
    </w:p>
    <w:p>
      <w:pPr>
        <w:pStyle w:val="ListParagraph"/>
        <w:numPr>
          <w:ilvl w:val="0"/>
          <w:numId w:val="4"/>
        </w:numPr>
      </w:pPr>
      <w:r>
        <w:t xml:space="preserve">Integrate Celestia for encrypted blob storage</w:t>
      </w:r>
    </w:p>
    <w:p>
      <w:pPr>
        <w:pStyle w:val="ListParagraph"/>
        <w:numPr>
          <w:ilvl w:val="0"/>
          <w:numId w:val="4"/>
        </w:numPr>
      </w:pPr>
      <w:r>
        <w:t xml:space="preserve">Implement basic Verifiable Absence proofs</w:t>
      </w:r>
    </w:p>
    <w:p>
      <w:pPr>
        <w:spacing w:before="100" w:after="200"/>
      </w:pPr>
      <w:r>
        <w:rPr>
          <w:b/>
          <w:bCs/>
        </w:rPr>
        <w:t xml:space="preserve">Deliverables:</w:t>
      </w:r>
      <w:r>
        <w:t xml:space="preserve"> Testnet deployment with on-chain participation proofs, blob storage on Celestia, and SDK for third-party integration.</w:t>
      </w:r>
    </w:p>
    <w:p>
      <w:pPr>
        <w:pStyle w:val="Heading2"/>
      </w:pPr>
      <w:r>
        <w:t xml:space="preserve">Phase 3: Privacy Hardening (Months 10-14)</w:t>
      </w:r>
    </w:p>
    <w:p>
      <w:pPr>
        <w:spacing w:after="100"/>
      </w:pPr>
      <w:r>
        <w:rPr>
          <w:b/>
          <w:bCs/>
        </w:rPr>
        <w:t xml:space="preserve">Goal:</w:t>
      </w:r>
      <w:r>
        <w:t xml:space="preserve"> Address metadata leakage and implement advanced cryptographic protections.</w:t>
      </w:r>
    </w:p>
    <w:p>
      <w:pPr>
        <w:pStyle w:val="ListParagraph"/>
        <w:numPr>
          <w:ilvl w:val="0"/>
          <w:numId w:val="5"/>
        </w:numPr>
      </w:pPr>
      <w:r>
        <w:t xml:space="preserve">Implement Meta-Blind Commitment Layer with ZK membership proofs</w:t>
      </w:r>
    </w:p>
    <w:p>
      <w:pPr>
        <w:pStyle w:val="ListParagraph"/>
        <w:numPr>
          <w:ilvl w:val="0"/>
          <w:numId w:val="5"/>
        </w:numPr>
      </w:pPr>
      <w:r>
        <w:t xml:space="preserve">Integrate VDF time-locks for deterministic temporal windows</w:t>
      </w:r>
    </w:p>
    <w:p>
      <w:pPr>
        <w:pStyle w:val="ListParagraph"/>
        <w:numPr>
          <w:ilvl w:val="0"/>
          <w:numId w:val="5"/>
        </w:numPr>
      </w:pPr>
      <w:r>
        <w:t xml:space="preserve">Deploy hierarchical key derivation with epoch rotation</w:t>
      </w:r>
    </w:p>
    <w:p>
      <w:pPr>
        <w:pStyle w:val="ListParagraph"/>
        <w:numPr>
          <w:ilvl w:val="0"/>
          <w:numId w:val="5"/>
        </w:numPr>
      </w:pPr>
      <w:r>
        <w:t xml:space="preserve">Build 'Conversation Obliviousness' mode for deniable participation</w:t>
      </w:r>
    </w:p>
    <w:p>
      <w:pPr>
        <w:pStyle w:val="ListParagraph"/>
        <w:numPr>
          <w:ilvl w:val="0"/>
          <w:numId w:val="5"/>
        </w:numPr>
      </w:pPr>
      <w:r>
        <w:t xml:space="preserve">Implement retroactive decryption protections (multi-party key derivation)</w:t>
      </w:r>
    </w:p>
    <w:p>
      <w:pPr>
        <w:pStyle w:val="ListParagraph"/>
        <w:numPr>
          <w:ilvl w:val="0"/>
          <w:numId w:val="5"/>
        </w:numPr>
      </w:pPr>
      <w:r>
        <w:t xml:space="preserve">Security audit by external cryptography specialists</w:t>
      </w:r>
    </w:p>
    <w:p>
      <w:pPr>
        <w:spacing w:before="100" w:after="200"/>
      </w:pPr>
      <w:r>
        <w:rPr>
          <w:b/>
          <w:bCs/>
        </w:rPr>
        <w:t xml:space="preserve">Deliverables:</w:t>
      </w:r>
      <w:r>
        <w:t xml:space="preserve"> Hardened privacy implementation with formal security analysis, audit report, and threat model documentation.</w:t>
      </w:r>
    </w:p>
    <w:p>
      <w:pPr>
        <w:pStyle w:val="Heading2"/>
      </w:pPr>
      <w:r>
        <w:t xml:space="preserve">Phase 4: Production &amp; Ecosystem (Months 15-20)</w:t>
      </w:r>
    </w:p>
    <w:p>
      <w:pPr>
        <w:spacing w:after="100"/>
      </w:pPr>
      <w:r>
        <w:rPr>
          <w:b/>
          <w:bCs/>
        </w:rPr>
        <w:t xml:space="preserve">Goal:</w:t>
      </w:r>
      <w:r>
        <w:t xml:space="preserve"> Mainnet deployment, governance establishment, and ecosystem growth.</w:t>
      </w:r>
    </w:p>
    <w:p>
      <w:pPr>
        <w:pStyle w:val="ListParagraph"/>
        <w:numPr>
          <w:ilvl w:val="0"/>
          <w:numId w:val="6"/>
        </w:numPr>
      </w:pPr>
      <w:r>
        <w:t xml:space="preserve">Migrate to Aztec mainnet (Ignition Chain)</w:t>
      </w:r>
    </w:p>
    <w:p>
      <w:pPr>
        <w:pStyle w:val="ListParagraph"/>
        <w:numPr>
          <w:ilvl w:val="0"/>
          <w:numId w:val="6"/>
        </w:numPr>
      </w:pPr>
      <w:r>
        <w:t xml:space="preserve">Establish governance framework and upgrade mechanisms</w:t>
      </w:r>
    </w:p>
    <w:p>
      <w:pPr>
        <w:pStyle w:val="ListParagraph"/>
        <w:numPr>
          <w:ilvl w:val="0"/>
          <w:numId w:val="6"/>
        </w:numPr>
      </w:pPr>
      <w:r>
        <w:t xml:space="preserve">Launch economic incentive model (storage subsidies, verification rewards)</w:t>
      </w:r>
    </w:p>
    <w:p>
      <w:pPr>
        <w:pStyle w:val="ListParagraph"/>
        <w:numPr>
          <w:ilvl w:val="0"/>
          <w:numId w:val="6"/>
        </w:numPr>
      </w:pPr>
      <w:r>
        <w:t xml:space="preserve">Release developer documentation and integration guides</w:t>
      </w:r>
    </w:p>
    <w:p>
      <w:pPr>
        <w:pStyle w:val="ListParagraph"/>
        <w:numPr>
          <w:ilvl w:val="0"/>
          <w:numId w:val="6"/>
        </w:numPr>
      </w:pPr>
      <w:r>
        <w:t xml:space="preserve">Pilot with 2-3 enterprise partners (medical research, legal discovery, supply chain)</w:t>
      </w:r>
    </w:p>
    <w:p>
      <w:pPr>
        <w:pStyle w:val="ListParagraph"/>
        <w:numPr>
          <w:ilvl w:val="0"/>
          <w:numId w:val="6"/>
        </w:numPr>
      </w:pPr>
      <w:r>
        <w:t xml:space="preserve">Implement Temporal Garbage Collection with Merkle checkpoints</w:t>
      </w:r>
    </w:p>
    <w:p>
      <w:pPr>
        <w:spacing w:before="100" w:after="200"/>
      </w:pPr>
      <w:r>
        <w:rPr>
          <w:b/>
          <w:bCs/>
        </w:rPr>
        <w:t xml:space="preserve">Deliverables:</w:t>
      </w:r>
      <w:r>
        <w:t xml:space="preserve"> Production mainnet deployment, governance token/DAO (if applicable), enterprise pilot results, public SDK and documentation.</w:t>
      </w:r>
    </w:p>
    <w:p>
      <w:pPr>
        <w:spacing w:after="200"/>
      </w:pPr>
    </w:p>
    <w:p>
      <w:pPr>
        <w:pStyle w:val="Heading1"/>
      </w:pPr>
      <w:r>
        <w:t xml:space="preserve">7. Open Questions &amp; Decision Points</w:t>
      </w:r>
    </w:p>
    <w:p>
      <w:pPr>
        <w:spacing w:after="200"/>
      </w:pPr>
      <w:r>
        <w:t xml:space="preserve">The following require resolution before or during implementation:</w:t>
      </w:r>
    </w:p>
    <w:p>
      <w:pPr>
        <w:pStyle w:val="ListParagraph"/>
        <w:numPr>
          <w:ilvl w:val="0"/>
          <w:numId w:val="2"/>
        </w:numPr>
      </w:pPr>
      <w:r>
        <w:rPr>
          <w:b/>
          <w:bCs/>
        </w:rPr>
        <w:t xml:space="preserve">Solid vs. ATProto:</w:t>
      </w:r>
      <w:r>
        <w:t xml:space="preserve"> Should the system support both protocols, or commit to one? Solid offers stronger enterprise story; ATProto offers simpler DX and social primitives.</w:t>
      </w:r>
    </w:p>
    <w:p>
      <w:pPr>
        <w:pStyle w:val="ListParagraph"/>
        <w:numPr>
          <w:ilvl w:val="0"/>
          <w:numId w:val="2"/>
        </w:numPr>
      </w:pPr>
      <w:r>
        <w:rPr>
          <w:b/>
          <w:bCs/>
        </w:rPr>
        <w:t xml:space="preserve">Token Economics:</w:t>
      </w:r>
      <w:r>
        <w:t xml:space="preserve"> Is a native token necessary? If so, what utility does it provide beyond governance? Consider storage credits, verification staking, or spam prevention.</w:t>
      </w:r>
    </w:p>
    <w:p>
      <w:pPr>
        <w:pStyle w:val="ListParagraph"/>
        <w:numPr>
          <w:ilvl w:val="0"/>
          <w:numId w:val="2"/>
        </w:numPr>
      </w:pPr>
      <w:r>
        <w:rPr>
          <w:b/>
          <w:bCs/>
        </w:rPr>
        <w:t xml:space="preserve">Jurisdiction Strategy:</w:t>
      </w:r>
      <w:r>
        <w:t xml:space="preserve"> Which regulatory regimes are primary targets? GDPR (EU), HIPAA (US healthcare), CCPA (California) have different requirements.</w:t>
      </w:r>
    </w:p>
    <w:p>
      <w:pPr>
        <w:pStyle w:val="ListParagraph"/>
        <w:numPr>
          <w:ilvl w:val="0"/>
          <w:numId w:val="2"/>
        </w:numPr>
      </w:pPr>
      <w:r>
        <w:rPr>
          <w:b/>
          <w:bCs/>
        </w:rPr>
        <w:t xml:space="preserve">Key Recovery:</w:t>
      </w:r>
      <w:r>
        <w:t xml:space="preserve"> What social recovery mechanisms are acceptable? Shamir secret sharing among trusted contacts? Institutional custodians? Hardware security modules?</w:t>
      </w:r>
    </w:p>
    <w:p>
      <w:pPr>
        <w:pStyle w:val="ListParagraph"/>
        <w:numPr>
          <w:ilvl w:val="0"/>
          <w:numId w:val="2"/>
        </w:numPr>
      </w:pPr>
      <w:r>
        <w:rPr>
          <w:b/>
          <w:bCs/>
        </w:rPr>
        <w:t xml:space="preserve">VDF Parameter Selection:</w:t>
      </w:r>
      <w:r>
        <w:t xml:space="preserve"> What delay parameters are practical? 1 hour? 24 hours? This affects UX significantly.</w:t>
      </w:r>
    </w:p>
    <w:p>
      <w:pPr>
        <w:pStyle w:val="ListParagraph"/>
        <w:numPr>
          <w:ilvl w:val="0"/>
          <w:numId w:val="2"/>
        </w:numPr>
      </w:pPr>
      <w:r>
        <w:rPr>
          <w:b/>
          <w:bCs/>
        </w:rPr>
        <w:t xml:space="preserve">Cross-Chain Strategy:</w:t>
      </w:r>
      <w:r>
        <w:t xml:space="preserve"> Should the system eventually support non-Ethereum ecosystems? Cosmos IBC? Polkadot XCMP?</w:t>
      </w:r>
    </w:p>
    <w:p>
      <w:pPr>
        <w:spacing w:after="200"/>
      </w:pPr>
    </w:p>
    <w:p>
      <w:pPr>
        <w:pStyle w:val="Heading1"/>
      </w:pPr>
      <w:r>
        <w:t xml:space="preserve">8. Recommended Next Steps</w:t>
      </w:r>
    </w:p>
    <w:p>
      <w:pPr>
        <w:pStyle w:val="ListParagraph"/>
        <w:numPr>
          <w:ilvl w:val="0"/>
          <w:numId w:val="2"/>
        </w:numPr>
      </w:pPr>
      <w:r>
        <w:rPr>
          <w:b/>
          <w:bCs/>
        </w:rPr>
        <w:t xml:space="preserve">1. Formalize Temporal Rights Algebra </w:t>
      </w:r>
      <w:r>
        <w:t xml:space="preserve">— produce a specification document with formal semantics and edge case handling</w:t>
      </w:r>
    </w:p>
    <w:p>
      <w:pPr>
        <w:pStyle w:val="ListParagraph"/>
        <w:numPr>
          <w:ilvl w:val="0"/>
          <w:numId w:val="2"/>
        </w:numPr>
      </w:pPr>
      <w:r>
        <w:rPr>
          <w:b/>
          <w:bCs/>
        </w:rPr>
        <w:t xml:space="preserve">2. Build Minimal Prototype </w:t>
      </w:r>
      <w:r>
        <w:t xml:space="preserve">— a simple chat application demonstrating Pod storage + basic encryption + time-bounded access, without blockchain (for rapid iteration)</w:t>
      </w:r>
    </w:p>
    <w:p>
      <w:pPr>
        <w:pStyle w:val="ListParagraph"/>
        <w:numPr>
          <w:ilvl w:val="0"/>
          <w:numId w:val="2"/>
        </w:numPr>
      </w:pPr>
      <w:r>
        <w:rPr>
          <w:b/>
          <w:bCs/>
        </w:rPr>
        <w:t xml:space="preserve">3. Engage Cryptography Review </w:t>
      </w:r>
      <w:r>
        <w:t xml:space="preserve">— before full implementation, have the key derivation and VDF integration reviewed by specialists</w:t>
      </w:r>
    </w:p>
    <w:p>
      <w:pPr>
        <w:pStyle w:val="ListParagraph"/>
        <w:numPr>
          <w:ilvl w:val="0"/>
          <w:numId w:val="2"/>
        </w:numPr>
      </w:pPr>
      <w:r>
        <w:rPr>
          <w:b/>
          <w:bCs/>
        </w:rPr>
        <w:t xml:space="preserve">4. Select Pilot Use Case </w:t>
      </w:r>
      <w:r>
        <w:t xml:space="preserve">— identify one specific application (medical research consortium, legal discovery, or collaborative IP licensing) to drive concrete requirements</w:t>
      </w:r>
    </w:p>
    <w:p>
      <w:pPr>
        <w:pStyle w:val="ListParagraph"/>
        <w:numPr>
          <w:ilvl w:val="0"/>
          <w:numId w:val="2"/>
        </w:numPr>
      </w:pPr>
      <w:r>
        <w:rPr>
          <w:b/>
          <w:bCs/>
        </w:rPr>
        <w:t xml:space="preserve">5. Write Whitepaper </w:t>
      </w:r>
      <w:r>
        <w:t xml:space="preserve">— comprehensive technical document suitable for academic review and ecosystem signaling</w:t>
      </w:r>
    </w:p>
    <w:p>
      <w:pPr>
        <w:spacing w:after="200"/>
      </w:pPr>
    </w:p>
    <w:p>
      <w:pPr>
        <w:pStyle w:val="Heading1"/>
      </w:pPr>
      <w:r>
        <w:t xml:space="preserve">Appendix A: Glossary</w:t>
      </w:r>
    </w:p>
    <w:p>
      <w:pPr>
        <w:spacing w:after="100"/>
      </w:pPr>
      <w:r>
        <w:rPr>
          <w:b/>
          <w:bCs/>
        </w:rPr>
        <w:t xml:space="preserve">DID:</w:t>
      </w:r>
      <w:r>
        <w:t xml:space="preserve"> Decentralized Identifier — a W3C standard for self-sovereign identity</w:t>
      </w:r>
    </w:p>
    <w:p>
      <w:pPr>
        <w:spacing w:after="100"/>
      </w:pPr>
      <w:r>
        <w:rPr>
          <w:b/>
          <w:bCs/>
        </w:rPr>
        <w:t xml:space="preserve">VDF:</w:t>
      </w:r>
      <w:r>
        <w:t xml:space="preserve"> Verifiable Delay Function — a function requiring sequential computation that cannot be parallelized, with efficient verification</w:t>
      </w:r>
    </w:p>
    <w:p>
      <w:pPr>
        <w:spacing w:after="100"/>
      </w:pPr>
      <w:r>
        <w:rPr>
          <w:b/>
          <w:bCs/>
        </w:rPr>
        <w:t xml:space="preserve">HPKE:</w:t>
      </w:r>
      <w:r>
        <w:t xml:space="preserve"> Hybrid Public Key Encryption — RFC 9180, combining asymmetric and symmetric encryption</w:t>
      </w:r>
    </w:p>
    <w:p>
      <w:pPr>
        <w:spacing w:after="100"/>
      </w:pPr>
      <w:r>
        <w:rPr>
          <w:b/>
          <w:bCs/>
        </w:rPr>
        <w:t xml:space="preserve">DA:</w:t>
      </w:r>
      <w:r>
        <w:t xml:space="preserve"> Data Availability — the guarantee that transaction data is accessible for verification</w:t>
      </w:r>
    </w:p>
    <w:p>
      <w:pPr>
        <w:spacing w:after="100"/>
      </w:pPr>
      <w:r>
        <w:rPr>
          <w:b/>
          <w:bCs/>
        </w:rPr>
        <w:t xml:space="preserve">DAS:</w:t>
      </w:r>
      <w:r>
        <w:t xml:space="preserve"> Data Availability Sampling — light client technique for verifying data availability without full download</w:t>
      </w:r>
    </w:p>
    <w:p>
      <w:pPr>
        <w:spacing w:after="100"/>
      </w:pPr>
      <w:r>
        <w:rPr>
          <w:b/>
          <w:bCs/>
        </w:rPr>
        <w:t xml:space="preserve">ZK/ZKP:</w:t>
      </w:r>
      <w:r>
        <w:t xml:space="preserve"> Zero-Knowledge (Proof) — cryptographic proof that reveals nothing beyond the statement's truth</w:t>
      </w:r>
    </w:p>
    <w:p>
      <w:pPr>
        <w:spacing w:after="100"/>
      </w:pPr>
      <w:r>
        <w:rPr>
          <w:b/>
          <w:bCs/>
        </w:rPr>
        <w:t xml:space="preserve">MPC:</w:t>
      </w:r>
      <w:r>
        <w:t xml:space="preserve"> Multi-Party Computation — protocols allowing joint computation without revealing individual inputs</w:t>
      </w:r>
    </w:p>
    <w:p>
      <w:pPr>
        <w:spacing w:after="200"/>
      </w:pPr>
    </w:p>
    <w:p>
      <w:pPr>
        <w:spacing w:before="600"/>
        <w:jc w:val="center"/>
      </w:pPr>
      <w:r>
        <w:rPr>
          <w:i/>
          <w:iCs/>
          <w:color w:val="888888"/>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Ephemeral Consensus Pods — Implementation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1a1a2e"/>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6213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 w:type="paragraph" w:styleId="Subtitle">
    <w:name w:val="Subtitle"/>
    <w:basedOn w:val="Normal"/>
    <w:pPr>
      <w:spacing w:after="400"/>
      <w:jc w:val="center"/>
    </w:pPr>
    <w:rPr>
      <w:rFonts w:ascii="Arial" w:cs="Arial" w:eastAsia="Arial" w:hAnsi="Arial"/>
      <w:i/>
      <w:i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2025-12-02T12:53:53.933Z</dcterms:created>
  <dcterms:modified xsi:type="dcterms:W3CDTF">2025-12-02T12:53:53.934Z</dcterms:modified>
</cp:coreProperties>
</file>

<file path=docProps/custom.xml><?xml version="1.0" encoding="utf-8"?>
<Properties xmlns="http://schemas.openxmlformats.org/officeDocument/2006/custom-properties" xmlns:vt="http://schemas.openxmlformats.org/officeDocument/2006/docPropsVTypes"/>
</file>