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A1025" w14:textId="27F95F1A" w:rsidR="00E06FDC" w:rsidRDefault="4C10709A" w:rsidP="4C10709A">
      <w:pPr>
        <w:pStyle w:val="NormalWeb"/>
        <w:shd w:val="clear" w:color="auto" w:fill="FFFFFF" w:themeFill="background1"/>
        <w:jc w:val="both"/>
        <w:rPr>
          <w:rFonts w:asciiTheme="minorHAnsi" w:eastAsiaTheme="minorEastAsia" w:hAnsiTheme="minorHAnsi" w:cstheme="minorBidi"/>
          <w:sz w:val="22"/>
          <w:szCs w:val="22"/>
        </w:rPr>
      </w:pPr>
      <w:bookmarkStart w:id="0" w:name="_GoBack"/>
      <w:bookmarkEnd w:id="0"/>
      <w:r w:rsidRPr="4C10709A">
        <w:rPr>
          <w:rFonts w:asciiTheme="minorHAnsi" w:eastAsiaTheme="minorEastAsia" w:hAnsiTheme="minorHAnsi" w:cstheme="minorBidi"/>
          <w:sz w:val="22"/>
          <w:szCs w:val="22"/>
        </w:rPr>
        <w:t xml:space="preserve">The data for this competition was collected </w:t>
      </w:r>
      <w:r w:rsidR="00DC1A8F">
        <w:rPr>
          <w:rFonts w:asciiTheme="minorHAnsi" w:eastAsiaTheme="minorEastAsia" w:hAnsiTheme="minorHAnsi" w:cstheme="minorBidi"/>
          <w:sz w:val="22"/>
          <w:szCs w:val="22"/>
        </w:rPr>
        <w:t xml:space="preserve">from 4 human subjects. All of those </w:t>
      </w:r>
      <w:r w:rsidRPr="4C10709A">
        <w:rPr>
          <w:rFonts w:asciiTheme="minorHAnsi" w:eastAsiaTheme="minorEastAsia" w:hAnsiTheme="minorHAnsi" w:cstheme="minorBidi"/>
          <w:sz w:val="22"/>
          <w:szCs w:val="22"/>
        </w:rPr>
        <w:t xml:space="preserve">subjects were epileptic patients at Harborview Hospital in Seattle, WA. </w:t>
      </w:r>
      <w:r w:rsidR="00DC1A8F">
        <w:rPr>
          <w:rFonts w:asciiTheme="minorHAnsi" w:eastAsiaTheme="minorEastAsia" w:hAnsiTheme="minorHAnsi" w:cstheme="minorBidi"/>
          <w:sz w:val="22"/>
          <w:szCs w:val="22"/>
        </w:rPr>
        <w:t xml:space="preserve">At most </w:t>
      </w:r>
      <w:r w:rsidRPr="4C10709A">
        <w:rPr>
          <w:rFonts w:asciiTheme="minorHAnsi" w:eastAsiaTheme="minorEastAsia" w:hAnsiTheme="minorHAnsi" w:cstheme="minorBidi"/>
          <w:sz w:val="22"/>
          <w:szCs w:val="22"/>
        </w:rPr>
        <w:t>64 electrodes were clinically placed over frontal, parietal, temporal, and occipital cortex</w:t>
      </w:r>
      <w:r w:rsidR="00DC1A8F">
        <w:rPr>
          <w:rFonts w:asciiTheme="minorHAnsi" w:eastAsiaTheme="minorEastAsia" w:hAnsiTheme="minorHAnsi" w:cstheme="minorBidi"/>
          <w:sz w:val="22"/>
          <w:szCs w:val="22"/>
        </w:rPr>
        <w:t>es</w:t>
      </w:r>
      <w:r w:rsidRPr="4C10709A">
        <w:rPr>
          <w:rFonts w:asciiTheme="minorHAnsi" w:eastAsiaTheme="minorEastAsia" w:hAnsiTheme="minorHAnsi" w:cstheme="minorBidi"/>
          <w:sz w:val="22"/>
          <w:szCs w:val="22"/>
        </w:rPr>
        <w:t xml:space="preserve">. </w:t>
      </w:r>
      <w:proofErr w:type="spellStart"/>
      <w:r w:rsidRPr="4C10709A">
        <w:rPr>
          <w:rFonts w:asciiTheme="minorHAnsi" w:eastAsiaTheme="minorEastAsia" w:hAnsiTheme="minorHAnsi" w:cstheme="minorBidi"/>
          <w:sz w:val="22"/>
          <w:szCs w:val="22"/>
        </w:rPr>
        <w:t>Electrocorticographic</w:t>
      </w:r>
      <w:proofErr w:type="spellEnd"/>
      <w:r w:rsidR="00DC1A8F">
        <w:rPr>
          <w:rFonts w:asciiTheme="minorHAnsi" w:eastAsiaTheme="minorEastAsia" w:hAnsiTheme="minorHAnsi" w:cstheme="minorBidi"/>
          <w:sz w:val="22"/>
          <w:szCs w:val="22"/>
        </w:rPr>
        <w:t xml:space="preserve"> </w:t>
      </w:r>
      <w:r w:rsidRPr="4C10709A">
        <w:rPr>
          <w:rFonts w:asciiTheme="minorHAnsi" w:eastAsiaTheme="minorEastAsia" w:hAnsiTheme="minorHAnsi" w:cstheme="minorBidi"/>
          <w:sz w:val="22"/>
          <w:szCs w:val="22"/>
        </w:rPr>
        <w:t>(</w:t>
      </w:r>
      <w:proofErr w:type="spellStart"/>
      <w:r w:rsidRPr="4C10709A">
        <w:rPr>
          <w:rFonts w:asciiTheme="minorHAnsi" w:eastAsiaTheme="minorEastAsia" w:hAnsiTheme="minorHAnsi" w:cstheme="minorBidi"/>
          <w:sz w:val="22"/>
          <w:szCs w:val="22"/>
        </w:rPr>
        <w:t>ECoG</w:t>
      </w:r>
      <w:proofErr w:type="spellEnd"/>
      <w:r w:rsidRPr="4C10709A">
        <w:rPr>
          <w:rFonts w:asciiTheme="minorHAnsi" w:eastAsiaTheme="minorEastAsia" w:hAnsiTheme="minorHAnsi" w:cstheme="minorBidi"/>
          <w:sz w:val="22"/>
          <w:szCs w:val="22"/>
        </w:rPr>
        <w:t xml:space="preserve">) signals were collected during the experiment (described below). For each patient, the number of electrodes with signals in training and testing data is the same. </w:t>
      </w:r>
    </w:p>
    <w:p w14:paraId="02EB1736" w14:textId="24886D29" w:rsidR="001E76AD" w:rsidRPr="004449CB" w:rsidRDefault="001E76AD" w:rsidP="4C10709A">
      <w:pPr>
        <w:pStyle w:val="NormalWeb"/>
        <w:shd w:val="clear" w:color="auto" w:fill="FFFFFF" w:themeFill="background1"/>
        <w:jc w:val="both"/>
        <w:rPr>
          <w:rFonts w:asciiTheme="minorHAnsi" w:eastAsiaTheme="minorEastAsia" w:hAnsiTheme="minorHAnsi" w:cstheme="minorBidi"/>
          <w:sz w:val="22"/>
          <w:szCs w:val="22"/>
        </w:rPr>
      </w:pPr>
      <w:r w:rsidRPr="4C10709A">
        <w:rPr>
          <w:rFonts w:asciiTheme="minorHAnsi" w:eastAsiaTheme="minorEastAsia" w:hAnsiTheme="minorHAnsi" w:cstheme="minorBidi"/>
          <w:sz w:val="22"/>
          <w:szCs w:val="22"/>
        </w:rPr>
        <w:t xml:space="preserve">The </w:t>
      </w:r>
      <w:r w:rsidRPr="4C10709A">
        <w:rPr>
          <w:rFonts w:asciiTheme="minorEastAsia" w:eastAsiaTheme="minorEastAsia" w:hAnsiTheme="minorEastAsia" w:cstheme="minorEastAsia"/>
          <w:i/>
          <w:iCs/>
          <w:sz w:val="22"/>
          <w:szCs w:val="22"/>
        </w:rPr>
        <w:t>n</w:t>
      </w:r>
      <w:r w:rsidRPr="4C10709A">
        <w:rPr>
          <w:rFonts w:asciiTheme="minorHAnsi" w:eastAsiaTheme="minorEastAsia" w:hAnsiTheme="minorHAnsi" w:cstheme="minorBidi"/>
          <w:sz w:val="22"/>
          <w:szCs w:val="22"/>
        </w:rPr>
        <w:t xml:space="preserve"> (</w:t>
      </w:r>
      <w:r w:rsidRPr="4C10709A">
        <w:rPr>
          <w:rFonts w:asciiTheme="minorEastAsia" w:eastAsiaTheme="minorEastAsia" w:hAnsiTheme="minorEastAsia" w:cstheme="minorEastAsia"/>
          <w:i/>
          <w:iCs/>
          <w:sz w:val="22"/>
          <w:szCs w:val="22"/>
        </w:rPr>
        <w:t>n</w:t>
      </w:r>
      <m:oMath>
        <m:r>
          <w:rPr>
            <w:rFonts w:ascii="Cambria Math" w:eastAsiaTheme="minorEastAsia" w:hAnsi="Cambria Math"/>
            <w:sz w:val="22"/>
            <w:szCs w:val="22"/>
          </w:rPr>
          <m:t>≤</m:t>
        </m:r>
      </m:oMath>
      <w:r w:rsidRPr="4C10709A">
        <w:rPr>
          <w:rFonts w:asciiTheme="minorEastAsia" w:eastAsiaTheme="minorEastAsia" w:hAnsiTheme="minorEastAsia" w:cstheme="minorEastAsia"/>
          <w:sz w:val="22"/>
          <w:szCs w:val="22"/>
        </w:rPr>
        <w:t>64</w:t>
      </w:r>
      <w:r w:rsidRPr="4C10709A">
        <w:rPr>
          <w:rFonts w:asciiTheme="minorHAnsi" w:eastAsiaTheme="minorEastAsia" w:hAnsiTheme="minorHAnsi" w:cstheme="minorBidi"/>
          <w:sz w:val="22"/>
          <w:szCs w:val="22"/>
        </w:rPr>
        <w:t xml:space="preserve">) </w:t>
      </w:r>
      <w:r w:rsidR="003C3586" w:rsidRPr="4C10709A">
        <w:rPr>
          <w:rFonts w:asciiTheme="minorHAnsi" w:eastAsiaTheme="minorEastAsia" w:hAnsiTheme="minorHAnsi" w:cstheme="minorBidi"/>
          <w:sz w:val="22"/>
          <w:szCs w:val="22"/>
        </w:rPr>
        <w:t>electrodes with signals</w:t>
      </w:r>
      <w:r w:rsidRPr="4C10709A">
        <w:rPr>
          <w:rFonts w:asciiTheme="minorHAnsi" w:eastAsiaTheme="minorEastAsia" w:hAnsiTheme="minorHAnsi" w:cstheme="minorBidi"/>
          <w:sz w:val="22"/>
          <w:szCs w:val="22"/>
        </w:rPr>
        <w:t xml:space="preserve"> that a patient has are labeled as </w:t>
      </w:r>
      <w:r w:rsidR="003C3586" w:rsidRPr="4C10709A">
        <w:rPr>
          <w:rFonts w:asciiTheme="minorHAnsi" w:eastAsiaTheme="minorEastAsia" w:hAnsiTheme="minorHAnsi" w:cstheme="minorBidi"/>
          <w:sz w:val="22"/>
          <w:szCs w:val="22"/>
        </w:rPr>
        <w:t>electrode</w:t>
      </w:r>
      <w:r w:rsidRPr="4C10709A">
        <w:rPr>
          <w:rFonts w:asciiTheme="minorHAnsi" w:eastAsiaTheme="minorEastAsia" w:hAnsiTheme="minorHAnsi" w:cstheme="minorBidi"/>
          <w:sz w:val="22"/>
          <w:szCs w:val="22"/>
        </w:rPr>
        <w:t xml:space="preserve"> 1 to </w:t>
      </w:r>
      <w:r w:rsidR="003C3586" w:rsidRPr="4C10709A">
        <w:rPr>
          <w:rFonts w:asciiTheme="minorHAnsi" w:eastAsiaTheme="minorEastAsia" w:hAnsiTheme="minorHAnsi" w:cstheme="minorBidi"/>
          <w:sz w:val="22"/>
          <w:szCs w:val="22"/>
        </w:rPr>
        <w:t>electrode</w:t>
      </w:r>
      <w:r w:rsidRPr="4C10709A">
        <w:rPr>
          <w:rFonts w:asciiTheme="minorHAnsi" w:eastAsiaTheme="minorEastAsia" w:hAnsiTheme="minorHAnsi" w:cstheme="minorBidi"/>
          <w:sz w:val="22"/>
          <w:szCs w:val="22"/>
        </w:rPr>
        <w:t xml:space="preserve"> </w:t>
      </w:r>
      <w:r w:rsidRPr="4C10709A">
        <w:rPr>
          <w:rFonts w:asciiTheme="minorEastAsia" w:eastAsiaTheme="minorEastAsia" w:hAnsiTheme="minorEastAsia" w:cstheme="minorEastAsia"/>
          <w:i/>
          <w:iCs/>
          <w:sz w:val="22"/>
          <w:szCs w:val="22"/>
        </w:rPr>
        <w:t>n</w:t>
      </w:r>
      <w:r w:rsidRPr="4C10709A">
        <w:rPr>
          <w:rFonts w:asciiTheme="minorHAnsi" w:eastAsiaTheme="minorEastAsia" w:hAnsiTheme="minorHAnsi" w:cstheme="minorBidi"/>
          <w:sz w:val="22"/>
          <w:szCs w:val="22"/>
        </w:rPr>
        <w:t xml:space="preserve">. The same </w:t>
      </w:r>
      <w:r w:rsidR="003C3586" w:rsidRPr="4C10709A">
        <w:rPr>
          <w:rFonts w:asciiTheme="minorHAnsi" w:eastAsiaTheme="minorEastAsia" w:hAnsiTheme="minorHAnsi" w:cstheme="minorBidi"/>
          <w:sz w:val="22"/>
          <w:szCs w:val="22"/>
        </w:rPr>
        <w:t>electrode</w:t>
      </w:r>
      <w:r w:rsidRPr="4C10709A">
        <w:rPr>
          <w:rFonts w:asciiTheme="minorHAnsi" w:eastAsiaTheme="minorEastAsia" w:hAnsiTheme="minorHAnsi" w:cstheme="minorBidi"/>
          <w:sz w:val="22"/>
          <w:szCs w:val="22"/>
        </w:rPr>
        <w:t xml:space="preserve"> ID in two different patients does not mean that it is from electrodes in the same cortical location. Even if the electrodes are implanted at the same cortical location in two different patients, you should not assume that they are recording the neural signals of the same neuron groups. The anatomical structures of the brains of two different patients might be </w:t>
      </w:r>
      <w:r w:rsidR="003C3586" w:rsidRPr="4C10709A">
        <w:rPr>
          <w:rFonts w:asciiTheme="minorHAnsi" w:eastAsiaTheme="minorEastAsia" w:hAnsiTheme="minorHAnsi" w:cstheme="minorBidi"/>
          <w:sz w:val="22"/>
          <w:szCs w:val="22"/>
        </w:rPr>
        <w:t xml:space="preserve">slightly </w:t>
      </w:r>
      <w:r w:rsidRPr="4C10709A">
        <w:rPr>
          <w:rFonts w:asciiTheme="minorHAnsi" w:eastAsiaTheme="minorEastAsia" w:hAnsiTheme="minorHAnsi" w:cstheme="minorBidi"/>
          <w:sz w:val="22"/>
          <w:szCs w:val="22"/>
        </w:rPr>
        <w:t xml:space="preserve">different. </w:t>
      </w:r>
    </w:p>
    <w:p w14:paraId="613762D4" w14:textId="4687D4F7" w:rsidR="00BF0677" w:rsidRDefault="00494AE0" w:rsidP="4C10709A">
      <w:pPr>
        <w:pStyle w:val="NormalWeb"/>
        <w:shd w:val="clear" w:color="auto" w:fill="FFFFFF" w:themeFill="background1"/>
        <w:jc w:val="both"/>
        <w:rPr>
          <w:rFonts w:asciiTheme="minorHAnsi" w:eastAsiaTheme="minorEastAsia" w:hAnsiTheme="minorHAnsi" w:cstheme="minorBidi"/>
          <w:sz w:val="22"/>
          <w:szCs w:val="22"/>
        </w:rPr>
      </w:pPr>
      <w:bookmarkStart w:id="1" w:name="article1.body1.sec2.sec2.p2"/>
      <w:bookmarkEnd w:id="1"/>
      <w:r w:rsidRPr="4C10709A">
        <w:rPr>
          <w:rFonts w:asciiTheme="minorHAnsi" w:eastAsiaTheme="minorEastAsia" w:hAnsiTheme="minorHAnsi" w:cstheme="minorBidi"/>
          <w:sz w:val="22"/>
          <w:szCs w:val="22"/>
        </w:rPr>
        <w:t xml:space="preserve">Subjects </w:t>
      </w:r>
      <w:r w:rsidR="003C3586" w:rsidRPr="4C10709A">
        <w:rPr>
          <w:rFonts w:asciiTheme="minorHAnsi" w:eastAsiaTheme="minorEastAsia" w:hAnsiTheme="minorHAnsi" w:cstheme="minorBidi"/>
          <w:sz w:val="22"/>
          <w:szCs w:val="22"/>
        </w:rPr>
        <w:t xml:space="preserve">in this experiment </w:t>
      </w:r>
      <w:r w:rsidRPr="4C10709A">
        <w:rPr>
          <w:rFonts w:asciiTheme="minorHAnsi" w:eastAsiaTheme="minorEastAsia" w:hAnsiTheme="minorHAnsi" w:cstheme="minorBidi"/>
          <w:sz w:val="22"/>
          <w:szCs w:val="22"/>
        </w:rPr>
        <w:t xml:space="preserve">performed a basic face and house stimulus discrimination task. They were presented with grayscale pictures of faces and houses (luminance- and contrast-matched) that were displayed in random order for 400ms each, with 400ms blank screen inter-stimulus interval (ISI) between the pictures. The 10cm-wide pictures were displayed at ~1m </w:t>
      </w:r>
      <w:r w:rsidR="003C3586" w:rsidRPr="4C10709A">
        <w:rPr>
          <w:rFonts w:asciiTheme="minorHAnsi" w:eastAsiaTheme="minorEastAsia" w:hAnsiTheme="minorHAnsi" w:cstheme="minorBidi"/>
          <w:sz w:val="22"/>
          <w:szCs w:val="22"/>
        </w:rPr>
        <w:t xml:space="preserve">distance </w:t>
      </w:r>
      <w:r w:rsidRPr="4C10709A">
        <w:rPr>
          <w:rFonts w:asciiTheme="minorHAnsi" w:eastAsiaTheme="minorEastAsia" w:hAnsiTheme="minorHAnsi" w:cstheme="minorBidi"/>
          <w:sz w:val="22"/>
          <w:szCs w:val="22"/>
        </w:rPr>
        <w:t xml:space="preserve">from the patients while they were seated at the bedside. There were 3 experimental runs with each patient, with 50 house pictures and 50 face pictures in each run (for a total of 300 stimuli). We called the 400ms ISI and the 400ms picture display time </w:t>
      </w:r>
      <w:r w:rsidR="00BF0677" w:rsidRPr="4C10709A">
        <w:rPr>
          <w:rFonts w:asciiTheme="minorHAnsi" w:eastAsiaTheme="minorEastAsia" w:hAnsiTheme="minorHAnsi" w:cstheme="minorBidi"/>
          <w:sz w:val="22"/>
          <w:szCs w:val="22"/>
        </w:rPr>
        <w:t xml:space="preserve">immediately </w:t>
      </w:r>
      <w:r w:rsidRPr="4C10709A">
        <w:rPr>
          <w:rFonts w:asciiTheme="minorHAnsi" w:eastAsiaTheme="minorEastAsia" w:hAnsiTheme="minorHAnsi" w:cstheme="minorBidi"/>
          <w:sz w:val="22"/>
          <w:szCs w:val="22"/>
        </w:rPr>
        <w:t xml:space="preserve">after that a </w:t>
      </w:r>
      <w:r w:rsidR="00DC1A8F">
        <w:rPr>
          <w:rFonts w:asciiTheme="minorHAnsi" w:eastAsiaTheme="minorEastAsia" w:hAnsiTheme="minorHAnsi" w:cstheme="minorBidi"/>
          <w:b/>
          <w:bCs/>
          <w:sz w:val="22"/>
          <w:szCs w:val="22"/>
        </w:rPr>
        <w:t>stimulus</w:t>
      </w:r>
      <w:r w:rsidRPr="4C10709A">
        <w:rPr>
          <w:rFonts w:asciiTheme="minorHAnsi" w:eastAsiaTheme="minorEastAsia" w:hAnsiTheme="minorHAnsi" w:cstheme="minorBidi"/>
          <w:b/>
          <w:bCs/>
          <w:sz w:val="22"/>
          <w:szCs w:val="22"/>
        </w:rPr>
        <w:t xml:space="preserve"> presentation cycle</w:t>
      </w:r>
      <w:r w:rsidRPr="4C10709A">
        <w:rPr>
          <w:rFonts w:asciiTheme="minorHAnsi" w:eastAsiaTheme="minorEastAsia" w:hAnsiTheme="minorHAnsi" w:cstheme="minorBidi"/>
          <w:sz w:val="22"/>
          <w:szCs w:val="22"/>
        </w:rPr>
        <w:t>.</w:t>
      </w:r>
      <w:r w:rsidR="00BF0677" w:rsidRPr="4C10709A">
        <w:rPr>
          <w:rFonts w:asciiTheme="minorHAnsi" w:eastAsiaTheme="minorEastAsia" w:hAnsiTheme="minorHAnsi" w:cstheme="minorBidi"/>
          <w:sz w:val="22"/>
          <w:szCs w:val="22"/>
        </w:rPr>
        <w:t xml:space="preserve"> The only </w:t>
      </w:r>
      <w:r w:rsidR="00BF0677" w:rsidRPr="4C10709A">
        <w:rPr>
          <w:rFonts w:asciiTheme="minorHAnsi" w:eastAsiaTheme="minorEastAsia" w:hAnsiTheme="minorHAnsi" w:cstheme="minorBidi"/>
          <w:b/>
          <w:bCs/>
          <w:sz w:val="22"/>
          <w:szCs w:val="22"/>
        </w:rPr>
        <w:t>exception</w:t>
      </w:r>
      <w:r w:rsidR="00BF0677" w:rsidRPr="4C10709A">
        <w:rPr>
          <w:rFonts w:asciiTheme="minorHAnsi" w:eastAsiaTheme="minorEastAsia" w:hAnsiTheme="minorHAnsi" w:cstheme="minorBidi"/>
          <w:sz w:val="22"/>
          <w:szCs w:val="22"/>
        </w:rPr>
        <w:t xml:space="preserve"> is that between two consecutive runs, the inter stimulus interval of the first stimulus presentation cycle might be longer than 400ms. </w:t>
      </w:r>
    </w:p>
    <w:p w14:paraId="31D87A88" w14:textId="2FAE9A2D" w:rsidR="00BF0677" w:rsidRDefault="4C10709A" w:rsidP="4C10709A">
      <w:pPr>
        <w:pStyle w:val="NormalWeb"/>
        <w:shd w:val="clear" w:color="auto" w:fill="FFFFFF" w:themeFill="background1"/>
        <w:jc w:val="both"/>
        <w:rPr>
          <w:rFonts w:asciiTheme="minorHAnsi" w:eastAsiaTheme="minorEastAsia" w:hAnsiTheme="minorHAnsi" w:cstheme="minorBidi"/>
          <w:sz w:val="22"/>
          <w:szCs w:val="22"/>
        </w:rPr>
      </w:pPr>
      <w:r w:rsidRPr="4C10709A">
        <w:rPr>
          <w:rFonts w:asciiTheme="minorHAnsi" w:eastAsiaTheme="minorEastAsia" w:hAnsiTheme="minorHAnsi" w:cstheme="minorBidi"/>
          <w:sz w:val="22"/>
          <w:szCs w:val="22"/>
        </w:rPr>
        <w:t xml:space="preserve">The </w:t>
      </w:r>
      <w:proofErr w:type="spellStart"/>
      <w:r w:rsidRPr="4C10709A">
        <w:rPr>
          <w:rFonts w:asciiTheme="minorHAnsi" w:eastAsiaTheme="minorEastAsia" w:hAnsiTheme="minorHAnsi" w:cstheme="minorBidi"/>
          <w:sz w:val="22"/>
          <w:szCs w:val="22"/>
        </w:rPr>
        <w:t>ECoG</w:t>
      </w:r>
      <w:proofErr w:type="spellEnd"/>
      <w:r w:rsidRPr="4C10709A">
        <w:rPr>
          <w:rFonts w:asciiTheme="minorHAnsi" w:eastAsiaTheme="minorEastAsia" w:hAnsiTheme="minorHAnsi" w:cstheme="minorBidi"/>
          <w:sz w:val="22"/>
          <w:szCs w:val="22"/>
        </w:rPr>
        <w:t xml:space="preserve"> sampling frequency is 1000 Hz, therefore the inter sampling interval is 1ms. In both training and </w:t>
      </w:r>
      <w:r w:rsidR="00DC1A8F">
        <w:rPr>
          <w:rFonts w:asciiTheme="minorHAnsi" w:eastAsiaTheme="minorEastAsia" w:hAnsiTheme="minorHAnsi" w:cstheme="minorBidi"/>
          <w:sz w:val="22"/>
          <w:szCs w:val="22"/>
        </w:rPr>
        <w:t xml:space="preserve">testing data, each row is </w:t>
      </w:r>
      <w:r w:rsidRPr="4C10709A">
        <w:rPr>
          <w:rFonts w:asciiTheme="minorHAnsi" w:eastAsiaTheme="minorEastAsia" w:hAnsiTheme="minorHAnsi" w:cstheme="minorBidi"/>
          <w:sz w:val="22"/>
          <w:szCs w:val="22"/>
        </w:rPr>
        <w:t xml:space="preserve">a sampling point. </w:t>
      </w:r>
    </w:p>
    <w:p w14:paraId="741B0112" w14:textId="05C25225" w:rsidR="000C5AE2" w:rsidRDefault="00494AE0" w:rsidP="4C10709A">
      <w:pPr>
        <w:pStyle w:val="Heading1"/>
        <w:shd w:val="clear" w:color="auto" w:fill="FFFFFF" w:themeFill="background1"/>
        <w:jc w:val="both"/>
        <w:rPr>
          <w:rFonts w:asciiTheme="minorHAnsi" w:eastAsiaTheme="minorEastAsia" w:hAnsiTheme="minorHAnsi" w:cstheme="minorBidi"/>
          <w:b w:val="0"/>
          <w:bCs w:val="0"/>
          <w:i/>
          <w:kern w:val="0"/>
          <w:sz w:val="22"/>
          <w:szCs w:val="22"/>
        </w:rPr>
      </w:pPr>
      <w:r w:rsidRPr="4C10709A">
        <w:rPr>
          <w:rFonts w:asciiTheme="minorHAnsi" w:eastAsiaTheme="minorEastAsia" w:hAnsiTheme="minorHAnsi" w:cstheme="minorBidi"/>
          <w:b w:val="0"/>
          <w:bCs w:val="0"/>
          <w:kern w:val="0"/>
          <w:sz w:val="22"/>
          <w:szCs w:val="22"/>
        </w:rPr>
        <w:t xml:space="preserve">More details about the experiment and the data can be found </w:t>
      </w:r>
      <w:r w:rsidR="00BF0677" w:rsidRPr="4C10709A">
        <w:rPr>
          <w:rFonts w:asciiTheme="minorHAnsi" w:eastAsiaTheme="minorEastAsia" w:hAnsiTheme="minorHAnsi" w:cstheme="minorBidi"/>
          <w:b w:val="0"/>
          <w:bCs w:val="0"/>
          <w:kern w:val="0"/>
          <w:sz w:val="22"/>
          <w:szCs w:val="22"/>
        </w:rPr>
        <w:t xml:space="preserve">in </w:t>
      </w:r>
      <w:r w:rsidRPr="4C10709A">
        <w:rPr>
          <w:rFonts w:asciiTheme="minorHAnsi" w:eastAsiaTheme="minorEastAsia" w:hAnsiTheme="minorHAnsi" w:cstheme="minorBidi"/>
          <w:b w:val="0"/>
          <w:bCs w:val="0"/>
          <w:kern w:val="0"/>
          <w:sz w:val="22"/>
          <w:szCs w:val="22"/>
        </w:rPr>
        <w:t xml:space="preserve">the </w:t>
      </w:r>
      <w:r w:rsidR="000C5AE2" w:rsidRPr="4C10709A">
        <w:rPr>
          <w:rFonts w:asciiTheme="minorHAnsi" w:eastAsiaTheme="minorEastAsia" w:hAnsiTheme="minorHAnsi" w:cstheme="minorBidi"/>
          <w:b w:val="0"/>
          <w:bCs w:val="0"/>
          <w:kern w:val="0"/>
          <w:sz w:val="22"/>
          <w:szCs w:val="22"/>
        </w:rPr>
        <w:t xml:space="preserve">paper </w:t>
      </w:r>
      <w:hyperlink r:id="rId8" w:history="1">
        <w:r w:rsidR="000C5AE2" w:rsidRPr="4C10709A">
          <w:rPr>
            <w:rStyle w:val="Hyperlink"/>
            <w:rFonts w:asciiTheme="minorHAnsi" w:eastAsiaTheme="minorEastAsia" w:hAnsiTheme="minorHAnsi" w:cstheme="minorBidi"/>
            <w:b w:val="0"/>
            <w:bCs w:val="0"/>
            <w:i/>
            <w:iCs/>
            <w:kern w:val="0"/>
            <w:sz w:val="22"/>
            <w:szCs w:val="22"/>
          </w:rPr>
          <w:t>Spontaneous Decoding of the Timing and Content of Human Object Perception from Cortical Surface Recordings Reveals Complementary Information in the Event-Related Potential and Broadband Spectral Change</w:t>
        </w:r>
      </w:hyperlink>
      <w:r w:rsidR="000C5AE2" w:rsidRPr="4C10709A">
        <w:rPr>
          <w:rFonts w:asciiTheme="minorHAnsi" w:eastAsiaTheme="minorEastAsia" w:hAnsiTheme="minorHAnsi" w:cstheme="minorBidi"/>
          <w:b w:val="0"/>
          <w:bCs w:val="0"/>
          <w:i/>
          <w:iCs/>
          <w:kern w:val="0"/>
          <w:sz w:val="22"/>
          <w:szCs w:val="22"/>
        </w:rPr>
        <w:t xml:space="preserve"> </w:t>
      </w:r>
      <w:r w:rsidR="00DC1A8F" w:rsidRPr="00DC1A8F">
        <w:rPr>
          <w:rFonts w:asciiTheme="minorHAnsi" w:eastAsiaTheme="minorEastAsia" w:hAnsiTheme="minorHAnsi" w:cstheme="minorBidi"/>
          <w:b w:val="0"/>
          <w:bCs w:val="0"/>
          <w:iCs/>
          <w:kern w:val="0"/>
          <w:sz w:val="22"/>
          <w:szCs w:val="22"/>
        </w:rPr>
        <w:t>b</w:t>
      </w:r>
      <w:r w:rsidR="000C5AE2" w:rsidRPr="00DC1A8F">
        <w:rPr>
          <w:rFonts w:asciiTheme="minorHAnsi" w:eastAsiaTheme="minorEastAsia" w:hAnsiTheme="minorHAnsi" w:cstheme="minorBidi"/>
          <w:b w:val="0"/>
          <w:bCs w:val="0"/>
          <w:iCs/>
          <w:kern w:val="0"/>
          <w:sz w:val="22"/>
          <w:szCs w:val="22"/>
        </w:rPr>
        <w:t>y</w:t>
      </w:r>
      <w:r w:rsidR="000C5AE2" w:rsidRPr="4C10709A">
        <w:rPr>
          <w:rFonts w:asciiTheme="minorHAnsi" w:eastAsiaTheme="minorEastAsia" w:hAnsiTheme="minorHAnsi" w:cstheme="minorBidi"/>
          <w:b w:val="0"/>
          <w:bCs w:val="0"/>
          <w:i/>
          <w:iCs/>
          <w:kern w:val="0"/>
          <w:sz w:val="22"/>
          <w:szCs w:val="22"/>
        </w:rPr>
        <w:t xml:space="preserve"> Kai J. Miller et al. </w:t>
      </w:r>
    </w:p>
    <w:p w14:paraId="11E3B261" w14:textId="6CDFE286" w:rsidR="00EC242B" w:rsidRDefault="4C10709A" w:rsidP="00EC242B">
      <w:pPr>
        <w:rPr>
          <w:color w:val="1F497D"/>
        </w:rPr>
      </w:pPr>
      <w:r w:rsidRPr="4C10709A">
        <w:t xml:space="preserve">In order to consolidate data from all four patients into a single csv file, we expand the data of patients who do not have 64 signal channels to exactly 64 signal channels, and </w:t>
      </w:r>
      <w:r w:rsidR="00DC1A8F">
        <w:t>pad t</w:t>
      </w:r>
      <w:r w:rsidRPr="4C10709A">
        <w:t xml:space="preserve">he channels without signals with </w:t>
      </w:r>
      <w:r w:rsidRPr="4C10709A">
        <w:rPr>
          <w:b/>
          <w:bCs/>
          <w:i/>
          <w:iCs/>
        </w:rPr>
        <w:t>-999999</w:t>
      </w:r>
      <w:r w:rsidRPr="4C10709A">
        <w:t xml:space="preserve">. We did this same operation on both training and testing data. </w:t>
      </w:r>
      <w:r w:rsidR="00EC242B">
        <w:rPr>
          <w:color w:val="1F497D"/>
        </w:rPr>
        <w:t>The data set of the 4 patients featured in this experiment is noisier than the 7 patients used in Dr. Miller’s paper, so while the performance may be worse, it more closely reflects the practical application.</w:t>
      </w:r>
    </w:p>
    <w:p w14:paraId="535394D2" w14:textId="502939D0" w:rsidR="00BF0677" w:rsidRDefault="00BF0677" w:rsidP="4C10709A">
      <w:pPr>
        <w:pStyle w:val="NormalWeb"/>
        <w:shd w:val="clear" w:color="auto" w:fill="FFFFFF" w:themeFill="background1"/>
        <w:jc w:val="both"/>
        <w:rPr>
          <w:rFonts w:asciiTheme="minorHAnsi" w:eastAsiaTheme="minorEastAsia" w:hAnsiTheme="minorHAnsi" w:cstheme="minorBidi"/>
          <w:sz w:val="22"/>
          <w:szCs w:val="22"/>
        </w:rPr>
      </w:pPr>
    </w:p>
    <w:p w14:paraId="25A0BB6C" w14:textId="5D7F33FC" w:rsidR="4C10709A" w:rsidRDefault="4C10709A" w:rsidP="4C10709A">
      <w:pPr>
        <w:pStyle w:val="NormalWeb"/>
        <w:shd w:val="clear" w:color="auto" w:fill="FFFFFF" w:themeFill="background1"/>
        <w:jc w:val="both"/>
      </w:pPr>
    </w:p>
    <w:p w14:paraId="4B04F8F6" w14:textId="77777777" w:rsidR="00116A94" w:rsidRDefault="4C10709A" w:rsidP="00116A94">
      <w:pPr>
        <w:jc w:val="both"/>
        <w:rPr>
          <w:b/>
        </w:rPr>
      </w:pPr>
      <w:r w:rsidRPr="4C10709A">
        <w:rPr>
          <w:b/>
          <w:bCs/>
        </w:rPr>
        <w:t>Training data:</w:t>
      </w:r>
    </w:p>
    <w:p w14:paraId="18CFE517" w14:textId="555D78AC" w:rsidR="00494AE0" w:rsidRPr="00494AE0" w:rsidRDefault="4C10709A" w:rsidP="00116A94">
      <w:pPr>
        <w:jc w:val="both"/>
      </w:pPr>
      <w:r>
        <w:t xml:space="preserve">For each patient, the data for the first 200 stimulus </w:t>
      </w:r>
      <w:r w:rsidRPr="4C10709A">
        <w:rPr>
          <w:rFonts w:ascii="Calibri" w:eastAsia="Calibri" w:hAnsi="Calibri" w:cs="Calibri"/>
        </w:rPr>
        <w:t xml:space="preserve">presentation </w:t>
      </w:r>
      <w:r>
        <w:t xml:space="preserve">cycles were put in the training data. The ending time of training data for each patient is exactly the last stimulus onset time plus 399 </w:t>
      </w:r>
      <w:proofErr w:type="spellStart"/>
      <w:r>
        <w:t>ms</w:t>
      </w:r>
      <w:proofErr w:type="spellEnd"/>
      <w:r>
        <w:t>, which is when the 200</w:t>
      </w:r>
      <w:r w:rsidRPr="4C10709A">
        <w:rPr>
          <w:vertAlign w:val="superscript"/>
        </w:rPr>
        <w:t>th</w:t>
      </w:r>
      <w:r>
        <w:t xml:space="preserve"> stimulus presentation cycle completes. In the training data, </w:t>
      </w:r>
      <w:r w:rsidRPr="4C10709A">
        <w:rPr>
          <w:b/>
          <w:bCs/>
        </w:rPr>
        <w:t>the signal of each electrode from the first row to the last row is continuous</w:t>
      </w:r>
      <w:r>
        <w:t>.</w:t>
      </w:r>
    </w:p>
    <w:tbl>
      <w:tblPr>
        <w:tblStyle w:val="TableGrid"/>
        <w:tblW w:w="0" w:type="auto"/>
        <w:tblLook w:val="04A0" w:firstRow="1" w:lastRow="0" w:firstColumn="1" w:lastColumn="0" w:noHBand="0" w:noVBand="1"/>
      </w:tblPr>
      <w:tblGrid>
        <w:gridCol w:w="1467"/>
        <w:gridCol w:w="2204"/>
        <w:gridCol w:w="1639"/>
        <w:gridCol w:w="4040"/>
      </w:tblGrid>
      <w:tr w:rsidR="00116A94" w14:paraId="3FDA6FA5" w14:textId="77777777" w:rsidTr="00DC1A8F">
        <w:tc>
          <w:tcPr>
            <w:tcW w:w="1467" w:type="dxa"/>
          </w:tcPr>
          <w:p w14:paraId="7A945029" w14:textId="77777777" w:rsidR="00116A94" w:rsidRDefault="4C10709A" w:rsidP="004449CB">
            <w:pPr>
              <w:jc w:val="both"/>
            </w:pPr>
            <w:r>
              <w:t>Column Index</w:t>
            </w:r>
          </w:p>
        </w:tc>
        <w:tc>
          <w:tcPr>
            <w:tcW w:w="2204" w:type="dxa"/>
          </w:tcPr>
          <w:p w14:paraId="26D42690" w14:textId="77777777" w:rsidR="00116A94" w:rsidRDefault="4C10709A" w:rsidP="004449CB">
            <w:pPr>
              <w:jc w:val="both"/>
            </w:pPr>
            <w:r>
              <w:t>Variable Name</w:t>
            </w:r>
          </w:p>
        </w:tc>
        <w:tc>
          <w:tcPr>
            <w:tcW w:w="1639" w:type="dxa"/>
          </w:tcPr>
          <w:p w14:paraId="33D82AEB" w14:textId="77777777" w:rsidR="00116A94" w:rsidRDefault="4C10709A" w:rsidP="004449CB">
            <w:pPr>
              <w:jc w:val="both"/>
            </w:pPr>
            <w:r>
              <w:t>Variable Type</w:t>
            </w:r>
          </w:p>
        </w:tc>
        <w:tc>
          <w:tcPr>
            <w:tcW w:w="4040" w:type="dxa"/>
          </w:tcPr>
          <w:p w14:paraId="06F35397" w14:textId="77777777" w:rsidR="00116A94" w:rsidRDefault="4C10709A" w:rsidP="004449CB">
            <w:pPr>
              <w:jc w:val="both"/>
            </w:pPr>
            <w:r>
              <w:t>Description</w:t>
            </w:r>
          </w:p>
        </w:tc>
      </w:tr>
      <w:tr w:rsidR="00116A94" w14:paraId="37A7C94B" w14:textId="77777777" w:rsidTr="00DC1A8F">
        <w:tc>
          <w:tcPr>
            <w:tcW w:w="1467" w:type="dxa"/>
          </w:tcPr>
          <w:p w14:paraId="39F9D1BA" w14:textId="77777777" w:rsidR="00116A94" w:rsidRDefault="4C10709A" w:rsidP="004449CB">
            <w:pPr>
              <w:jc w:val="both"/>
            </w:pPr>
            <w:r>
              <w:lastRenderedPageBreak/>
              <w:t>1</w:t>
            </w:r>
          </w:p>
        </w:tc>
        <w:tc>
          <w:tcPr>
            <w:tcW w:w="2204" w:type="dxa"/>
          </w:tcPr>
          <w:p w14:paraId="3FEF9CAB" w14:textId="77777777" w:rsidR="00116A94" w:rsidRDefault="4C10709A" w:rsidP="004449CB">
            <w:pPr>
              <w:jc w:val="both"/>
            </w:pPr>
            <w:proofErr w:type="spellStart"/>
            <w:r>
              <w:t>PatientID</w:t>
            </w:r>
            <w:proofErr w:type="spellEnd"/>
          </w:p>
        </w:tc>
        <w:tc>
          <w:tcPr>
            <w:tcW w:w="1639" w:type="dxa"/>
          </w:tcPr>
          <w:p w14:paraId="665A2CA0" w14:textId="77777777" w:rsidR="00116A94" w:rsidRDefault="4C10709A" w:rsidP="004449CB">
            <w:pPr>
              <w:jc w:val="both"/>
            </w:pPr>
            <w:r>
              <w:t>String</w:t>
            </w:r>
          </w:p>
        </w:tc>
        <w:tc>
          <w:tcPr>
            <w:tcW w:w="4040" w:type="dxa"/>
          </w:tcPr>
          <w:p w14:paraId="2C6EF488" w14:textId="77777777" w:rsidR="00116A94" w:rsidRDefault="4C10709A" w:rsidP="004449CB">
            <w:pPr>
              <w:jc w:val="both"/>
            </w:pPr>
            <w:r>
              <w:t>p1, p2, p3, and p4</w:t>
            </w:r>
          </w:p>
        </w:tc>
      </w:tr>
      <w:tr w:rsidR="00116A94" w14:paraId="0A7F52BF" w14:textId="77777777" w:rsidTr="00DC1A8F">
        <w:tc>
          <w:tcPr>
            <w:tcW w:w="1467" w:type="dxa"/>
          </w:tcPr>
          <w:p w14:paraId="3AE20B74" w14:textId="1ADCD3F1" w:rsidR="00116A94" w:rsidRDefault="00DC1A8F" w:rsidP="00DC1A8F">
            <w:pPr>
              <w:jc w:val="both"/>
            </w:pPr>
            <w:r>
              <w:rPr>
                <w:rFonts w:ascii="Times New Roman" w:hAnsi="Times New Roman" w:cs="Times New Roman"/>
                <w:i/>
              </w:rPr>
              <w:t>2 ... 65</w:t>
            </w:r>
            <w:r>
              <w:t xml:space="preserve">, </w:t>
            </w:r>
          </w:p>
        </w:tc>
        <w:tc>
          <w:tcPr>
            <w:tcW w:w="2204" w:type="dxa"/>
          </w:tcPr>
          <w:p w14:paraId="0CDE2661" w14:textId="2FB2CA17" w:rsidR="00116A94" w:rsidRDefault="4C10709A" w:rsidP="00DC1A8F">
            <w:pPr>
              <w:jc w:val="both"/>
            </w:pPr>
            <w:proofErr w:type="spellStart"/>
            <w:r>
              <w:t>Electrode_</w:t>
            </w:r>
            <w:r w:rsidR="00DC1A8F" w:rsidRPr="00DC1A8F">
              <w:rPr>
                <w:rFonts w:ascii="Times New Roman" w:hAnsi="Times New Roman" w:cs="Times New Roman"/>
                <w:i/>
              </w:rPr>
              <w:t>i</w:t>
            </w:r>
            <w:proofErr w:type="spellEnd"/>
          </w:p>
        </w:tc>
        <w:tc>
          <w:tcPr>
            <w:tcW w:w="1639" w:type="dxa"/>
          </w:tcPr>
          <w:p w14:paraId="4173046C" w14:textId="77777777" w:rsidR="00116A94" w:rsidRDefault="4C10709A" w:rsidP="004449CB">
            <w:pPr>
              <w:jc w:val="both"/>
            </w:pPr>
            <w:r>
              <w:t>Float</w:t>
            </w:r>
          </w:p>
        </w:tc>
        <w:tc>
          <w:tcPr>
            <w:tcW w:w="4040" w:type="dxa"/>
          </w:tcPr>
          <w:p w14:paraId="747D6B03" w14:textId="4E1B16B6" w:rsidR="00116A94" w:rsidRDefault="4C10709A" w:rsidP="00DC1A8F">
            <w:pPr>
              <w:jc w:val="both"/>
            </w:pPr>
            <w:proofErr w:type="spellStart"/>
            <w:r>
              <w:t>ECoG</w:t>
            </w:r>
            <w:proofErr w:type="spellEnd"/>
            <w:r>
              <w:t xml:space="preserve"> signal channel </w:t>
            </w:r>
            <w:r w:rsidR="00DC1A8F">
              <w:t>1…64</w:t>
            </w:r>
          </w:p>
        </w:tc>
      </w:tr>
      <w:tr w:rsidR="000C5AE2" w14:paraId="257CA19C" w14:textId="77777777" w:rsidTr="00DC1A8F">
        <w:tc>
          <w:tcPr>
            <w:tcW w:w="1467" w:type="dxa"/>
          </w:tcPr>
          <w:p w14:paraId="12A34F7E" w14:textId="77777777" w:rsidR="000C5AE2" w:rsidRDefault="4C10709A" w:rsidP="004449CB">
            <w:pPr>
              <w:jc w:val="both"/>
            </w:pPr>
            <w:r>
              <w:t>66</w:t>
            </w:r>
          </w:p>
        </w:tc>
        <w:tc>
          <w:tcPr>
            <w:tcW w:w="2204" w:type="dxa"/>
          </w:tcPr>
          <w:p w14:paraId="1E2D470D" w14:textId="77777777" w:rsidR="000C5AE2" w:rsidRDefault="4C10709A" w:rsidP="004449CB">
            <w:pPr>
              <w:jc w:val="both"/>
            </w:pPr>
            <w:proofErr w:type="spellStart"/>
            <w:r>
              <w:t>Stimulus_Type</w:t>
            </w:r>
            <w:proofErr w:type="spellEnd"/>
          </w:p>
        </w:tc>
        <w:tc>
          <w:tcPr>
            <w:tcW w:w="1639" w:type="dxa"/>
          </w:tcPr>
          <w:p w14:paraId="4A0B92FE" w14:textId="77777777" w:rsidR="000C5AE2" w:rsidRDefault="4C10709A" w:rsidP="004449CB">
            <w:pPr>
              <w:jc w:val="both"/>
            </w:pPr>
            <w:proofErr w:type="spellStart"/>
            <w:r>
              <w:t>Int</w:t>
            </w:r>
            <w:proofErr w:type="spellEnd"/>
          </w:p>
        </w:tc>
        <w:tc>
          <w:tcPr>
            <w:tcW w:w="4040" w:type="dxa"/>
          </w:tcPr>
          <w:p w14:paraId="3912E8E0" w14:textId="434701D4" w:rsidR="000C5AE2" w:rsidRPr="00484148" w:rsidRDefault="4C10709A" w:rsidP="0006187E">
            <w:pPr>
              <w:jc w:val="both"/>
              <w:rPr>
                <w:rFonts w:ascii="Calibri" w:hAnsi="Calibri"/>
                <w:color w:val="000000"/>
              </w:rPr>
            </w:pPr>
            <w:r w:rsidRPr="4C10709A">
              <w:rPr>
                <w:rFonts w:ascii="Calibri" w:eastAsia="Calibri" w:hAnsi="Calibri" w:cs="Calibri"/>
                <w:color w:val="000000" w:themeColor="text1"/>
              </w:rPr>
              <w:t>Integer between 0 and 101. 1-50 means house stimulus (</w:t>
            </w:r>
            <w:r w:rsidRPr="4C10709A">
              <w:rPr>
                <w:rFonts w:ascii="Calibri" w:eastAsia="Calibri" w:hAnsi="Calibri" w:cs="Calibri"/>
                <w:b/>
                <w:bCs/>
                <w:color w:val="000000" w:themeColor="text1"/>
              </w:rPr>
              <w:t>labeled as stimulus class 1 in this binary classification task</w:t>
            </w:r>
            <w:r w:rsidRPr="4C10709A">
              <w:rPr>
                <w:rFonts w:ascii="Calibri" w:eastAsia="Calibri" w:hAnsi="Calibri" w:cs="Calibri"/>
                <w:color w:val="000000" w:themeColor="text1"/>
              </w:rPr>
              <w:t>), 51-100 means face stimulus (</w:t>
            </w:r>
            <w:r w:rsidRPr="4C10709A">
              <w:rPr>
                <w:rFonts w:ascii="Calibri" w:eastAsia="Calibri" w:hAnsi="Calibri" w:cs="Calibri"/>
                <w:b/>
                <w:bCs/>
                <w:color w:val="000000" w:themeColor="text1"/>
              </w:rPr>
              <w:t>labeled as stimulus class 2 in this binary classification task</w:t>
            </w:r>
            <w:r w:rsidRPr="4C10709A">
              <w:rPr>
                <w:rFonts w:ascii="Calibri" w:eastAsia="Calibri" w:hAnsi="Calibri" w:cs="Calibri"/>
                <w:color w:val="000000" w:themeColor="text1"/>
              </w:rPr>
              <w:t>). 101 means it is inter-stimulus interval with blank image displayed. 0 also means that blank image is displayed. But 0 is not considered as inter-stimulus interval.</w:t>
            </w:r>
          </w:p>
        </w:tc>
      </w:tr>
      <w:tr w:rsidR="000C5AE2" w14:paraId="75ECD7E8" w14:textId="77777777" w:rsidTr="00DC1A8F">
        <w:tc>
          <w:tcPr>
            <w:tcW w:w="1467" w:type="dxa"/>
          </w:tcPr>
          <w:p w14:paraId="3950950B" w14:textId="77777777" w:rsidR="000C5AE2" w:rsidRDefault="4C10709A" w:rsidP="004449CB">
            <w:pPr>
              <w:jc w:val="both"/>
            </w:pPr>
            <w:r>
              <w:t>67</w:t>
            </w:r>
          </w:p>
        </w:tc>
        <w:tc>
          <w:tcPr>
            <w:tcW w:w="2204" w:type="dxa"/>
          </w:tcPr>
          <w:p w14:paraId="6372A9C0" w14:textId="77777777" w:rsidR="000C5AE2" w:rsidRDefault="4C10709A" w:rsidP="004449CB">
            <w:pPr>
              <w:jc w:val="both"/>
            </w:pPr>
            <w:proofErr w:type="spellStart"/>
            <w:r>
              <w:t>Stimulus_ID</w:t>
            </w:r>
            <w:proofErr w:type="spellEnd"/>
          </w:p>
        </w:tc>
        <w:tc>
          <w:tcPr>
            <w:tcW w:w="1639" w:type="dxa"/>
          </w:tcPr>
          <w:p w14:paraId="40E71406" w14:textId="77777777" w:rsidR="000C5AE2" w:rsidRDefault="4C10709A" w:rsidP="004449CB">
            <w:pPr>
              <w:jc w:val="both"/>
            </w:pPr>
            <w:proofErr w:type="spellStart"/>
            <w:r>
              <w:t>Int</w:t>
            </w:r>
            <w:proofErr w:type="spellEnd"/>
          </w:p>
        </w:tc>
        <w:tc>
          <w:tcPr>
            <w:tcW w:w="4040" w:type="dxa"/>
          </w:tcPr>
          <w:p w14:paraId="7BF80BE2" w14:textId="729D2A8D" w:rsidR="000C5AE2" w:rsidRPr="00484148" w:rsidRDefault="4C10709A" w:rsidP="00A65FF1">
            <w:pPr>
              <w:jc w:val="both"/>
              <w:rPr>
                <w:rFonts w:ascii="Calibri" w:hAnsi="Calibri"/>
                <w:color w:val="000000"/>
              </w:rPr>
            </w:pPr>
            <w:r w:rsidRPr="4C10709A">
              <w:rPr>
                <w:rFonts w:ascii="Calibri" w:eastAsia="Calibri" w:hAnsi="Calibri" w:cs="Calibri"/>
                <w:color w:val="000000" w:themeColor="text1"/>
              </w:rPr>
              <w:t xml:space="preserve">For each patient, valued 1-200 in training data. In testing data, </w:t>
            </w:r>
            <w:proofErr w:type="spellStart"/>
            <w:r w:rsidRPr="4C10709A">
              <w:rPr>
                <w:rFonts w:ascii="Calibri" w:eastAsia="Calibri" w:hAnsi="Calibri" w:cs="Calibri"/>
                <w:color w:val="000000" w:themeColor="text1"/>
              </w:rPr>
              <w:t>Stimulus_ID</w:t>
            </w:r>
            <w:proofErr w:type="spellEnd"/>
            <w:r w:rsidRPr="4C10709A">
              <w:rPr>
                <w:rFonts w:ascii="Calibri" w:eastAsia="Calibri" w:hAnsi="Calibri" w:cs="Calibri"/>
                <w:color w:val="000000" w:themeColor="text1"/>
              </w:rPr>
              <w:t xml:space="preserve"> is ranged 201-300, where in public testing data it is ranged between 201 and 240, and in private testing data, it is ranged between 241 and 300.</w:t>
            </w:r>
          </w:p>
        </w:tc>
      </w:tr>
    </w:tbl>
    <w:p w14:paraId="1A23D466" w14:textId="77777777" w:rsidR="00116A94" w:rsidRDefault="00116A94" w:rsidP="00116A94">
      <w:pPr>
        <w:jc w:val="both"/>
      </w:pPr>
    </w:p>
    <w:p w14:paraId="6B97FCEE" w14:textId="77777777" w:rsidR="00116A94" w:rsidRPr="008D5741" w:rsidRDefault="4C10709A" w:rsidP="00116A94">
      <w:pPr>
        <w:jc w:val="both"/>
        <w:rPr>
          <w:b/>
        </w:rPr>
      </w:pPr>
      <w:r w:rsidRPr="4C10709A">
        <w:rPr>
          <w:b/>
          <w:bCs/>
        </w:rPr>
        <w:t>Testing data:</w:t>
      </w:r>
    </w:p>
    <w:p w14:paraId="40CF3949" w14:textId="7E2CA6A3" w:rsidR="00116A94" w:rsidRDefault="00DC1A8F" w:rsidP="00116A94">
      <w:pPr>
        <w:jc w:val="both"/>
      </w:pPr>
      <w:r>
        <w:t xml:space="preserve">The testing data, </w:t>
      </w:r>
      <w:r w:rsidR="4C10709A">
        <w:t>that your submitte</w:t>
      </w:r>
      <w:r>
        <w:t>d web service API is c</w:t>
      </w:r>
      <w:r w:rsidR="4C10709A">
        <w:t>alled to predict</w:t>
      </w:r>
      <w:r>
        <w:t>,</w:t>
      </w:r>
      <w:r w:rsidR="4C10709A">
        <w:t xml:space="preserve"> has the same data schema as the training data. </w:t>
      </w:r>
      <w:r>
        <w:t>In order to hold out the true labels of the test data, the</w:t>
      </w:r>
      <w:r w:rsidR="4C10709A">
        <w:t xml:space="preserve"> true labels in column </w:t>
      </w:r>
      <w:proofErr w:type="spellStart"/>
      <w:r w:rsidR="4C10709A">
        <w:t>Stimulus_Type</w:t>
      </w:r>
      <w:proofErr w:type="spellEnd"/>
      <w:r w:rsidR="4C10709A">
        <w:t xml:space="preserve"> in the testing data are all replaced with 1s when the original stimulus type is between 1 and 100. </w:t>
      </w:r>
      <w:r w:rsidR="4C10709A" w:rsidRPr="4C10709A">
        <w:rPr>
          <w:b/>
          <w:bCs/>
        </w:rPr>
        <w:t>The testing data is fixed, but not shared with participants.</w:t>
      </w:r>
      <w:r w:rsidR="4C10709A">
        <w:t xml:space="preserve">  </w:t>
      </w:r>
    </w:p>
    <w:p w14:paraId="68D5850D" w14:textId="1AF8BE03" w:rsidR="0006187E" w:rsidRDefault="4C10709A" w:rsidP="00116A94">
      <w:pPr>
        <w:jc w:val="both"/>
        <w:rPr>
          <w:i/>
          <w:u w:val="single"/>
        </w:rPr>
      </w:pPr>
      <w:r w:rsidRPr="4C10709A">
        <w:rPr>
          <w:i/>
          <w:iCs/>
          <w:u w:val="single"/>
        </w:rPr>
        <w:t xml:space="preserve">Another difference is that the </w:t>
      </w:r>
      <w:r w:rsidRPr="4C10709A">
        <w:rPr>
          <w:b/>
          <w:bCs/>
          <w:i/>
          <w:iCs/>
          <w:u w:val="single"/>
        </w:rPr>
        <w:t>stimulus presentation cycles</w:t>
      </w:r>
      <w:r w:rsidRPr="4C10709A">
        <w:rPr>
          <w:i/>
          <w:iCs/>
          <w:u w:val="single"/>
        </w:rPr>
        <w:t xml:space="preserve"> in the testing data are </w:t>
      </w:r>
      <w:r w:rsidR="00DC1A8F">
        <w:rPr>
          <w:i/>
          <w:iCs/>
          <w:u w:val="single"/>
        </w:rPr>
        <w:t xml:space="preserve">randomly shuffled. </w:t>
      </w:r>
      <w:r w:rsidRPr="4C10709A">
        <w:rPr>
          <w:i/>
          <w:iCs/>
          <w:u w:val="single"/>
        </w:rPr>
        <w:t xml:space="preserve">The data within each stimulus presentation cycle </w:t>
      </w:r>
      <w:r w:rsidR="00DC1A8F">
        <w:rPr>
          <w:i/>
          <w:iCs/>
          <w:u w:val="single"/>
        </w:rPr>
        <w:t>keeps</w:t>
      </w:r>
      <w:r w:rsidRPr="4C10709A">
        <w:rPr>
          <w:i/>
          <w:iCs/>
          <w:u w:val="single"/>
        </w:rPr>
        <w:t xml:space="preserve"> its original sequence. But after shuffling, the </w:t>
      </w:r>
      <w:proofErr w:type="spellStart"/>
      <w:r w:rsidR="008126C9">
        <w:rPr>
          <w:i/>
          <w:iCs/>
          <w:u w:val="single"/>
        </w:rPr>
        <w:t>ECoG</w:t>
      </w:r>
      <w:proofErr w:type="spellEnd"/>
      <w:r w:rsidR="008126C9">
        <w:rPr>
          <w:i/>
          <w:iCs/>
          <w:u w:val="single"/>
        </w:rPr>
        <w:t xml:space="preserve"> </w:t>
      </w:r>
      <w:r w:rsidRPr="4C10709A">
        <w:rPr>
          <w:i/>
          <w:iCs/>
          <w:u w:val="single"/>
        </w:rPr>
        <w:t>signal between stimulus presentation cyc</w:t>
      </w:r>
      <w:r w:rsidR="008126C9">
        <w:rPr>
          <w:i/>
          <w:iCs/>
          <w:u w:val="single"/>
        </w:rPr>
        <w:t>le n and n+1 is not continuous</w:t>
      </w:r>
      <w:r w:rsidRPr="4C10709A">
        <w:rPr>
          <w:i/>
          <w:iCs/>
          <w:u w:val="single"/>
        </w:rPr>
        <w:t xml:space="preserve"> any more. </w:t>
      </w:r>
    </w:p>
    <w:p w14:paraId="07302391" w14:textId="289825E0" w:rsidR="00A65FF1" w:rsidRDefault="4C10709A" w:rsidP="00116A94">
      <w:pPr>
        <w:jc w:val="both"/>
      </w:pPr>
      <w:r>
        <w:t xml:space="preserve">Here is an example to show shuffling the stimulus </w:t>
      </w:r>
      <w:r w:rsidRPr="4C10709A">
        <w:rPr>
          <w:rFonts w:ascii="Calibri" w:eastAsia="Calibri" w:hAnsi="Calibri" w:cs="Calibri"/>
        </w:rPr>
        <w:t xml:space="preserve">presentation </w:t>
      </w:r>
      <w:r>
        <w:t xml:space="preserve">cycles in </w:t>
      </w:r>
      <w:r w:rsidRPr="4C10709A">
        <w:rPr>
          <w:b/>
          <w:bCs/>
        </w:rPr>
        <w:t>testing data</w:t>
      </w:r>
      <w:r>
        <w:t>:</w:t>
      </w:r>
    </w:p>
    <w:p w14:paraId="55CE6808" w14:textId="2B28FE77" w:rsidR="00A65FF1" w:rsidRDefault="001841DB" w:rsidP="00116A94">
      <w:pPr>
        <w:jc w:val="both"/>
        <w:rPr>
          <w:i/>
          <w:u w:val="single"/>
        </w:rPr>
      </w:pPr>
      <w:r w:rsidRPr="001841DB">
        <w:rPr>
          <w:noProof/>
          <w:lang w:eastAsia="en-US"/>
        </w:rPr>
        <w:drawing>
          <wp:inline distT="0" distB="0" distL="0" distR="0" wp14:anchorId="5EB6E09D" wp14:editId="5A06F4A8">
            <wp:extent cx="59436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huffling cycl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110BD0A0" w14:textId="56960D7F" w:rsidR="001841DB" w:rsidRDefault="4C10709A" w:rsidP="00116A94">
      <w:pPr>
        <w:jc w:val="both"/>
      </w:pPr>
      <w:r>
        <w:t>After shuffling, the original 1, 2</w:t>
      </w:r>
      <w:r w:rsidRPr="4C10709A">
        <w:rPr>
          <w:vertAlign w:val="superscript"/>
        </w:rPr>
        <w:t>nd</w:t>
      </w:r>
      <w:r>
        <w:t>, and 3</w:t>
      </w:r>
      <w:r w:rsidRPr="4C10709A">
        <w:rPr>
          <w:vertAlign w:val="superscript"/>
        </w:rPr>
        <w:t>rd</w:t>
      </w:r>
      <w:r>
        <w:t xml:space="preserve"> stimulus </w:t>
      </w:r>
      <w:r w:rsidRPr="4C10709A">
        <w:rPr>
          <w:rFonts w:ascii="Calibri" w:eastAsia="Calibri" w:hAnsi="Calibri" w:cs="Calibri"/>
        </w:rPr>
        <w:t xml:space="preserve">presentation </w:t>
      </w:r>
      <w:r>
        <w:t>cycles become 2</w:t>
      </w:r>
      <w:r w:rsidRPr="4C10709A">
        <w:rPr>
          <w:vertAlign w:val="superscript"/>
        </w:rPr>
        <w:t>nd</w:t>
      </w:r>
      <w:r>
        <w:t>, 3</w:t>
      </w:r>
      <w:r w:rsidRPr="4C10709A">
        <w:rPr>
          <w:vertAlign w:val="superscript"/>
        </w:rPr>
        <w:t>rd</w:t>
      </w:r>
      <w:r>
        <w:t>, and 1</w:t>
      </w:r>
      <w:r w:rsidRPr="4C10709A">
        <w:rPr>
          <w:vertAlign w:val="superscript"/>
        </w:rPr>
        <w:t>st</w:t>
      </w:r>
      <w:r>
        <w:t xml:space="preserve"> stimulus </w:t>
      </w:r>
      <w:r w:rsidRPr="4C10709A">
        <w:rPr>
          <w:rFonts w:ascii="Calibri" w:eastAsia="Calibri" w:hAnsi="Calibri" w:cs="Calibri"/>
        </w:rPr>
        <w:t xml:space="preserve">presentation </w:t>
      </w:r>
      <w:r>
        <w:t>cycles. Therefore, after shuffling</w:t>
      </w:r>
      <w:r w:rsidR="008126C9">
        <w:t xml:space="preserve">, the </w:t>
      </w:r>
      <w:proofErr w:type="spellStart"/>
      <w:r w:rsidR="008126C9">
        <w:t>ECoG</w:t>
      </w:r>
      <w:proofErr w:type="spellEnd"/>
      <w:r w:rsidR="008126C9">
        <w:t xml:space="preserve"> signals surrounding</w:t>
      </w:r>
      <w:r>
        <w:t xml:space="preserve"> the 800</w:t>
      </w:r>
      <w:r w:rsidRPr="4C10709A">
        <w:rPr>
          <w:vertAlign w:val="superscript"/>
        </w:rPr>
        <w:t>th</w:t>
      </w:r>
      <w:r>
        <w:t xml:space="preserve"> </w:t>
      </w:r>
      <w:r w:rsidR="008126C9">
        <w:t>sampling point</w:t>
      </w:r>
      <w:r>
        <w:t xml:space="preserve"> are not continuous any more. </w:t>
      </w:r>
    </w:p>
    <w:p w14:paraId="3FBE32B7" w14:textId="5A155C1F" w:rsidR="00B412D1" w:rsidRPr="001841DB" w:rsidRDefault="4C10709A" w:rsidP="00116A94">
      <w:pPr>
        <w:jc w:val="both"/>
      </w:pPr>
      <w:r>
        <w:t xml:space="preserve">The data within each stimulus </w:t>
      </w:r>
      <w:r w:rsidRPr="4C10709A">
        <w:rPr>
          <w:rFonts w:ascii="Calibri" w:eastAsia="Calibri" w:hAnsi="Calibri" w:cs="Calibri"/>
        </w:rPr>
        <w:t xml:space="preserve">presentation </w:t>
      </w:r>
      <w:r>
        <w:t xml:space="preserve">cycle is not shuffled. The continuity of signals in each stimulus </w:t>
      </w:r>
      <w:r w:rsidRPr="4C10709A">
        <w:rPr>
          <w:rFonts w:ascii="Calibri" w:eastAsia="Calibri" w:hAnsi="Calibri" w:cs="Calibri"/>
        </w:rPr>
        <w:t xml:space="preserve">presentation </w:t>
      </w:r>
      <w:r>
        <w:t xml:space="preserve">cycle is reserved. </w:t>
      </w:r>
    </w:p>
    <w:p w14:paraId="625E3443" w14:textId="111DD338" w:rsidR="00116A94" w:rsidRDefault="4C10709A" w:rsidP="00116A94">
      <w:pPr>
        <w:jc w:val="both"/>
        <w:rPr>
          <w:b/>
        </w:rPr>
      </w:pPr>
      <w:r w:rsidRPr="4C10709A">
        <w:rPr>
          <w:b/>
          <w:bCs/>
        </w:rPr>
        <w:t>How was data split into training and testing data?</w:t>
      </w:r>
    </w:p>
    <w:p w14:paraId="4F953952" w14:textId="0BFF09C1" w:rsidR="001841DB" w:rsidRDefault="008126C9" w:rsidP="00116A94">
      <w:pPr>
        <w:jc w:val="both"/>
      </w:pPr>
      <w:r>
        <w:lastRenderedPageBreak/>
        <w:t>For each patient, the data up to t</w:t>
      </w:r>
      <w:r w:rsidR="4C10709A">
        <w:t>he end of the 200</w:t>
      </w:r>
      <w:r w:rsidR="4C10709A" w:rsidRPr="4C10709A">
        <w:rPr>
          <w:vertAlign w:val="superscript"/>
        </w:rPr>
        <w:t>th</w:t>
      </w:r>
      <w:r w:rsidR="4C10709A">
        <w:t xml:space="preserve"> stimulus </w:t>
      </w:r>
      <w:r w:rsidR="4C10709A" w:rsidRPr="4C10709A">
        <w:rPr>
          <w:rFonts w:ascii="Calibri" w:eastAsia="Calibri" w:hAnsi="Calibri" w:cs="Calibri"/>
        </w:rPr>
        <w:t xml:space="preserve">presentation </w:t>
      </w:r>
      <w:r w:rsidR="4C10709A">
        <w:t xml:space="preserve">cycle are put into the training data. The remainder is put in the testing data. The stimulus </w:t>
      </w:r>
      <w:r w:rsidR="4C10709A" w:rsidRPr="4C10709A">
        <w:rPr>
          <w:rFonts w:ascii="Calibri" w:eastAsia="Calibri" w:hAnsi="Calibri" w:cs="Calibri"/>
        </w:rPr>
        <w:t xml:space="preserve">presentation </w:t>
      </w:r>
      <w:r w:rsidR="4C10709A">
        <w:t>cycles in the testing data are randomly shuffled, as described above.</w:t>
      </w:r>
    </w:p>
    <w:p w14:paraId="4E1F3CDA" w14:textId="08301DA0" w:rsidR="00116A94" w:rsidRDefault="4C10709A" w:rsidP="00116A94">
      <w:pPr>
        <w:jc w:val="both"/>
        <w:rPr>
          <w:b/>
        </w:rPr>
      </w:pPr>
      <w:r w:rsidRPr="4C10709A">
        <w:rPr>
          <w:b/>
          <w:bCs/>
        </w:rPr>
        <w:t>How was testing data split into public and private testing data?</w:t>
      </w:r>
    </w:p>
    <w:p w14:paraId="1F6E4A25" w14:textId="39C445DB" w:rsidR="00116A94" w:rsidRDefault="4C10709A" w:rsidP="00116A94">
      <w:pPr>
        <w:jc w:val="both"/>
      </w:pPr>
      <w:r>
        <w:t xml:space="preserve">The </w:t>
      </w:r>
      <w:r w:rsidR="008126C9">
        <w:t xml:space="preserve">shuffled </w:t>
      </w:r>
      <w:r>
        <w:t xml:space="preserve">testing data was further split into public and private testing data.  For each patient, the first 40 stimulus </w:t>
      </w:r>
      <w:r w:rsidRPr="4C10709A">
        <w:rPr>
          <w:rFonts w:ascii="Calibri" w:eastAsia="Calibri" w:hAnsi="Calibri" w:cs="Calibri"/>
        </w:rPr>
        <w:t xml:space="preserve">presentation </w:t>
      </w:r>
      <w:r>
        <w:t xml:space="preserve">cycles (stimulus ID 201 to 240) are put into public testing data. The remaining 60 stimulus </w:t>
      </w:r>
      <w:r w:rsidRPr="4C10709A">
        <w:rPr>
          <w:rFonts w:ascii="Calibri" w:eastAsia="Calibri" w:hAnsi="Calibri" w:cs="Calibri"/>
        </w:rPr>
        <w:t xml:space="preserve">presentation </w:t>
      </w:r>
      <w:r>
        <w:t>cycles (stimulus ID 241 to 300) are put into private testing data.</w:t>
      </w:r>
    </w:p>
    <w:sectPr w:rsidR="0011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F3832"/>
    <w:multiLevelType w:val="hybridMultilevel"/>
    <w:tmpl w:val="7F3C8066"/>
    <w:lvl w:ilvl="0" w:tplc="DE666AB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94"/>
    <w:rsid w:val="000318C9"/>
    <w:rsid w:val="0006187E"/>
    <w:rsid w:val="000C5AE2"/>
    <w:rsid w:val="00116A94"/>
    <w:rsid w:val="001841DB"/>
    <w:rsid w:val="001E76AD"/>
    <w:rsid w:val="00220A78"/>
    <w:rsid w:val="002238E5"/>
    <w:rsid w:val="00387AEE"/>
    <w:rsid w:val="003A6797"/>
    <w:rsid w:val="003C3586"/>
    <w:rsid w:val="004449CB"/>
    <w:rsid w:val="00494AE0"/>
    <w:rsid w:val="004E56F5"/>
    <w:rsid w:val="005B4306"/>
    <w:rsid w:val="00613664"/>
    <w:rsid w:val="00631911"/>
    <w:rsid w:val="008126C9"/>
    <w:rsid w:val="008A4C03"/>
    <w:rsid w:val="00A44ED7"/>
    <w:rsid w:val="00A65FF1"/>
    <w:rsid w:val="00B412D1"/>
    <w:rsid w:val="00BF0677"/>
    <w:rsid w:val="00BF2782"/>
    <w:rsid w:val="00C33432"/>
    <w:rsid w:val="00DC1A8F"/>
    <w:rsid w:val="00E06FDC"/>
    <w:rsid w:val="00EC242B"/>
    <w:rsid w:val="4C10709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2B29"/>
  <w15:chartTrackingRefBased/>
  <w15:docId w15:val="{68799BA5-B5E6-4FEA-AF85-CA615D57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6A94"/>
  </w:style>
  <w:style w:type="paragraph" w:styleId="Heading1">
    <w:name w:val="heading 1"/>
    <w:basedOn w:val="Normal"/>
    <w:link w:val="Heading1Char"/>
    <w:uiPriority w:val="9"/>
    <w:qFormat/>
    <w:rsid w:val="000C5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49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49CB"/>
    <w:rPr>
      <w:color w:val="0000FF"/>
      <w:u w:val="single"/>
    </w:rPr>
  </w:style>
  <w:style w:type="character" w:customStyle="1" w:styleId="Heading1Char">
    <w:name w:val="Heading 1 Char"/>
    <w:basedOn w:val="DefaultParagraphFont"/>
    <w:link w:val="Heading1"/>
    <w:uiPriority w:val="9"/>
    <w:rsid w:val="000C5AE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C5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AE2"/>
    <w:rPr>
      <w:rFonts w:ascii="Segoe UI" w:hAnsi="Segoe UI" w:cs="Segoe UI"/>
      <w:sz w:val="18"/>
      <w:szCs w:val="18"/>
    </w:rPr>
  </w:style>
  <w:style w:type="character" w:styleId="PlaceholderText">
    <w:name w:val="Placeholder Text"/>
    <w:basedOn w:val="DefaultParagraphFont"/>
    <w:uiPriority w:val="99"/>
    <w:semiHidden/>
    <w:rsid w:val="001E76AD"/>
    <w:rPr>
      <w:color w:val="808080"/>
    </w:rPr>
  </w:style>
  <w:style w:type="character" w:styleId="CommentReference">
    <w:name w:val="annotation reference"/>
    <w:basedOn w:val="DefaultParagraphFont"/>
    <w:uiPriority w:val="99"/>
    <w:semiHidden/>
    <w:unhideWhenUsed/>
    <w:rsid w:val="00C33432"/>
    <w:rPr>
      <w:sz w:val="16"/>
      <w:szCs w:val="16"/>
    </w:rPr>
  </w:style>
  <w:style w:type="paragraph" w:styleId="CommentText">
    <w:name w:val="annotation text"/>
    <w:basedOn w:val="Normal"/>
    <w:link w:val="CommentTextChar"/>
    <w:uiPriority w:val="99"/>
    <w:semiHidden/>
    <w:unhideWhenUsed/>
    <w:rsid w:val="00C33432"/>
    <w:pPr>
      <w:spacing w:line="240" w:lineRule="auto"/>
    </w:pPr>
    <w:rPr>
      <w:sz w:val="20"/>
      <w:szCs w:val="20"/>
    </w:rPr>
  </w:style>
  <w:style w:type="character" w:customStyle="1" w:styleId="CommentTextChar">
    <w:name w:val="Comment Text Char"/>
    <w:basedOn w:val="DefaultParagraphFont"/>
    <w:link w:val="CommentText"/>
    <w:uiPriority w:val="99"/>
    <w:semiHidden/>
    <w:rsid w:val="00C33432"/>
    <w:rPr>
      <w:sz w:val="20"/>
      <w:szCs w:val="20"/>
    </w:rPr>
  </w:style>
  <w:style w:type="paragraph" w:styleId="CommentSubject">
    <w:name w:val="annotation subject"/>
    <w:basedOn w:val="CommentText"/>
    <w:next w:val="CommentText"/>
    <w:link w:val="CommentSubjectChar"/>
    <w:uiPriority w:val="99"/>
    <w:semiHidden/>
    <w:unhideWhenUsed/>
    <w:rsid w:val="00C33432"/>
    <w:rPr>
      <w:b/>
      <w:bCs/>
    </w:rPr>
  </w:style>
  <w:style w:type="character" w:customStyle="1" w:styleId="CommentSubjectChar">
    <w:name w:val="Comment Subject Char"/>
    <w:basedOn w:val="CommentTextChar"/>
    <w:link w:val="CommentSubject"/>
    <w:uiPriority w:val="99"/>
    <w:semiHidden/>
    <w:rsid w:val="00C33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3522">
      <w:bodyDiv w:val="1"/>
      <w:marLeft w:val="0"/>
      <w:marRight w:val="0"/>
      <w:marTop w:val="0"/>
      <w:marBottom w:val="0"/>
      <w:divBdr>
        <w:top w:val="none" w:sz="0" w:space="0" w:color="auto"/>
        <w:left w:val="none" w:sz="0" w:space="0" w:color="auto"/>
        <w:bottom w:val="none" w:sz="0" w:space="0" w:color="auto"/>
        <w:right w:val="none" w:sz="0" w:space="0" w:color="auto"/>
      </w:divBdr>
    </w:div>
    <w:div w:id="172112514">
      <w:bodyDiv w:val="1"/>
      <w:marLeft w:val="0"/>
      <w:marRight w:val="0"/>
      <w:marTop w:val="0"/>
      <w:marBottom w:val="0"/>
      <w:divBdr>
        <w:top w:val="none" w:sz="0" w:space="0" w:color="auto"/>
        <w:left w:val="none" w:sz="0" w:space="0" w:color="auto"/>
        <w:bottom w:val="none" w:sz="0" w:space="0" w:color="auto"/>
        <w:right w:val="none" w:sz="0" w:space="0" w:color="auto"/>
      </w:divBdr>
    </w:div>
    <w:div w:id="1014263207">
      <w:bodyDiv w:val="1"/>
      <w:marLeft w:val="0"/>
      <w:marRight w:val="0"/>
      <w:marTop w:val="0"/>
      <w:marBottom w:val="0"/>
      <w:divBdr>
        <w:top w:val="none" w:sz="0" w:space="0" w:color="auto"/>
        <w:left w:val="none" w:sz="0" w:space="0" w:color="auto"/>
        <w:bottom w:val="none" w:sz="0" w:space="0" w:color="auto"/>
        <w:right w:val="none" w:sz="0" w:space="0" w:color="auto"/>
      </w:divBdr>
    </w:div>
    <w:div w:id="182323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compbiol/article?id=10.1371/journal.pcbi.100466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45D3B2A83DCF4C8E257097617A6412" ma:contentTypeVersion="3" ma:contentTypeDescription="Create a new document." ma:contentTypeScope="" ma:versionID="8b244b2243ef5cd7ff12cf1ff1df85e4">
  <xsd:schema xmlns:xsd="http://www.w3.org/2001/XMLSchema" xmlns:xs="http://www.w3.org/2001/XMLSchema" xmlns:p="http://schemas.microsoft.com/office/2006/metadata/properties" xmlns:ns2="908eda48-a286-41d9-b750-7982299abe6b" targetNamespace="http://schemas.microsoft.com/office/2006/metadata/properties" ma:root="true" ma:fieldsID="01604498e8124c769214ac1b728ca14c" ns2:_="">
    <xsd:import namespace="908eda48-a286-41d9-b750-7982299abe6b"/>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eda48-a286-41d9-b750-7982299abe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8C7AB-983C-45BD-B489-F8B8E4CDE858}">
  <ds:schemaRefs>
    <ds:schemaRef ds:uri="http://schemas.microsoft.com/sharepoint/v3/contenttype/forms"/>
  </ds:schemaRefs>
</ds:datastoreItem>
</file>

<file path=customXml/itemProps2.xml><?xml version="1.0" encoding="utf-8"?>
<ds:datastoreItem xmlns:ds="http://schemas.openxmlformats.org/officeDocument/2006/customXml" ds:itemID="{5A119DF1-EC73-4C8F-926D-57C4D14D1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eda48-a286-41d9-b750-7982299ab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67EAB0-5DF1-4401-9554-D294DA483FF2}">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908eda48-a286-41d9-b750-7982299abe6b"/>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Zhang</dc:creator>
  <cp:keywords/>
  <dc:description/>
  <cp:lastModifiedBy>Hai Ning</cp:lastModifiedBy>
  <cp:revision>2</cp:revision>
  <dcterms:created xsi:type="dcterms:W3CDTF">2016-04-04T19:21:00Z</dcterms:created>
  <dcterms:modified xsi:type="dcterms:W3CDTF">2016-04-04T19:21:00Z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0x0101008745D3B2A83DCF4C8E257097617A6412</vt:lpwstr>
  </property>
</Properties>
</file>