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40"/>
          <w:szCs w:val="40"/>
        </w:rPr>
        <w:t xml:space="preserve">GreenLeaf: An Autonomous Multi-Agent AI Planning Assistant with Critic-Reviewed Task Execution and Resilient Model Routing</w:t>
      </w:r>
    </w:p>
    <w:p>
      <w:pPr>
        <w:spacing w:after="60"/>
        <w:jc w:val="center"/>
      </w:pPr>
      <w:r>
        <w:rPr>
          <w:rFonts w:ascii="Times New Roman" w:cs="Times New Roman" w:eastAsia="Times New Roman" w:hAnsi="Times New Roman"/>
          <w:sz w:val="24"/>
          <w:szCs w:val="24"/>
        </w:rPr>
        <w:t xml:space="preserve">Justin Robinson and Anushka</w:t>
      </w:r>
    </w:p>
    <w:p>
      <w:pPr>
        <w:spacing w:after="300"/>
        <w:jc w:val="center"/>
      </w:pPr>
      <w:r>
        <w:rPr>
          <w:rFonts w:ascii="Times New Roman" w:cs="Times New Roman" w:eastAsia="Times New Roman" w:hAnsi="Times New Roman"/>
          <w:i/>
          <w:iCs/>
          <w:sz w:val="20"/>
          <w:szCs w:val="20"/>
        </w:rPr>
        <w:t xml:space="preserve">Department of Computer Science (Project: Equilibrium / GreenLeaf)</w:t>
      </w:r>
    </w:p>
    <w:p>
      <w:pPr>
        <w:sectPr>
          <w:headerReference w:type="default" r:id="rId7"/>
          <w:footerReference w:type="default" r:id="rId8"/>
          <w:pgSz w:w="12240" w:h="15840" w:orient="portrait"/>
          <w:pgMar w:top="900" w:right="900" w:bottom="900" w:left="900" w:header="708" w:footer="708" w:gutter="0"/>
          <w:pgNumType/>
          <w:docGrid w:linePitch="360"/>
        </w:sectPr>
      </w:pPr>
    </w:p>
    <w:p>
      <w:pPr>
        <w:spacing w:after="100"/>
        <w:jc w:val="both"/>
      </w:pPr>
      <w:r>
        <w:rPr>
          <w:rFonts w:ascii="Times New Roman" w:cs="Times New Roman" w:eastAsia="Times New Roman" w:hAnsi="Times New Roman"/>
          <w:b/>
          <w:bCs/>
          <w:i/>
          <w:iCs/>
          <w:sz w:val="20"/>
          <w:szCs w:val="20"/>
        </w:rPr>
        <w:t xml:space="preserve">Abstract— </w:t>
      </w:r>
      <w:r>
        <w:rPr>
          <w:rFonts w:ascii="Times New Roman" w:cs="Times New Roman" w:eastAsia="Times New Roman" w:hAnsi="Times New Roman"/>
          <w:i/>
          <w:iCs/>
          <w:sz w:val="20"/>
          <w:szCs w:val="20"/>
        </w:rPr>
        <w:t xml:space="preserve">Single large language model (LLM) assistants struggle with multi-step goals that require gathering current information, producing structured artifacts, and verifying their own output. This paper presents GreenLeaf (project codename Equilibrium), a full-stack autonomous planning assistant that decomposes a natural-language goal into a small set of role-specialized subtasks, executes them with tool-augmented specialist agents, and passes the synthesized answer through an automated critic before delivery. The system consists of a React/TypeScript front end connected over a persistent WebSocket to a Node.js orchestration server, which drives pretrained instruction-tuned models served by the NVIDIA NIM inference API. No models are trained in this work; instead, we contribute a system-level study: (i) an orchestrator–specialist–critic pipeline with shared task memory; (ii) an empirically selected, latency-aware model fallback chain that survives rate limits, model retirement, and a failure mode we characterize where reasoning-mode models return HTTP 200 with empty content after exhausting their token budget on hidden deliberation; and (iii) interface techniques that stream agent progress to the user in real time. On representative planning tasks, pipeline-level optimizations reduced end-to-end latency from 131 s to 44–48 s (~2.9×) while increasing plan fidelity, and a four-model tool-calling probe found a 5.2× latency spread between models with equivalent nominal capability. We report the architecture, implementation, evaluation, limitations, and directions for future work.</w:t>
      </w:r>
    </w:p>
    <w:p>
      <w:pPr>
        <w:spacing w:after="100"/>
        <w:jc w:val="both"/>
      </w:pPr>
      <w:r>
        <w:rPr>
          <w:rFonts w:ascii="Times New Roman" w:cs="Times New Roman" w:eastAsia="Times New Roman" w:hAnsi="Times New Roman"/>
          <w:b/>
          <w:bCs/>
          <w:i/>
          <w:iCs/>
          <w:sz w:val="20"/>
          <w:szCs w:val="20"/>
        </w:rPr>
        <w:t xml:space="preserve">Index Terms— </w:t>
      </w:r>
      <w:r>
        <w:rPr>
          <w:rFonts w:ascii="Times New Roman" w:cs="Times New Roman" w:eastAsia="Times New Roman" w:hAnsi="Times New Roman"/>
          <w:i/>
          <w:iCs/>
          <w:sz w:val="20"/>
          <w:szCs w:val="20"/>
        </w:rPr>
        <w:t xml:space="preserve">Autonomous agents, large language models, multi-agent systems, task planning, tool use, self-correction, model routing, human–computer interaction.</w:t>
      </w:r>
    </w:p>
    <w:p>
      <w:pPr>
        <w:pStyle w:val="Heading1"/>
        <w:spacing w:after="120" w:before="240"/>
        <w:jc w:val="center"/>
      </w:pPr>
      <w:r>
        <w:rPr>
          <w:rFonts w:ascii="Times New Roman" w:cs="Times New Roman" w:eastAsia="Times New Roman" w:hAnsi="Times New Roman"/>
          <w:smallCaps/>
          <w:sz w:val="20"/>
          <w:szCs w:val="20"/>
        </w:rPr>
        <w:t xml:space="preserve">I. INTRODUCTION</w:t>
      </w:r>
    </w:p>
    <w:p>
      <w:pPr>
        <w:spacing w:after="100"/>
        <w:jc w:val="both"/>
      </w:pPr>
      <w:r>
        <w:rPr>
          <w:rFonts w:ascii="Times New Roman" w:cs="Times New Roman" w:eastAsia="Times New Roman" w:hAnsi="Times New Roman"/>
          <w:sz w:val="20"/>
          <w:szCs w:val="20"/>
        </w:rPr>
        <w:t xml:space="preserve">Large language models are increasingly deployed not as chat interfaces but as agents: systems that plan, invoke external tools, and act over multiple steps to satisfy a user goal [9], [22]. Personal planning is a natural target domain. A request such as "plan me a 3-day trip to Moscow" requires decomposition into research and writing activities, retrieval of current information from the web, synthesis into a coherent schedule, and quality control — a workload that exceeds what a single forward pass of any LLM reliably produces.</w:t>
      </w:r>
    </w:p>
    <w:p>
      <w:pPr>
        <w:spacing w:after="100"/>
        <w:jc w:val="both"/>
      </w:pPr>
      <w:r>
        <w:rPr>
          <w:rFonts w:ascii="Times New Roman" w:cs="Times New Roman" w:eastAsia="Times New Roman" w:hAnsi="Times New Roman"/>
          <w:sz w:val="20"/>
          <w:szCs w:val="20"/>
        </w:rPr>
        <w:t xml:space="preserve">GreenLeaf addresses this workload with a compact multi-agent architecture. An orchestrator model splits the goal into two to three ordered subtasks and assigns each to a role specialist (researcher, writer, analyst, or generalist), each restricted to a whitelisted tool set (web search, file writing, code execution, HTTP calls). Specialists share task memory: every subtask receives the results of all earlier subtasks. A synthesizer consolidates the results into a Markdown answer, and a critic model reviews the answer against the goal, triggering at most one bounded revision. The user experiences this pipeline through a web interface that streams each agent action live and renders the final plan with downloadable artifacts.</w:t>
      </w:r>
    </w:p>
    <w:p>
      <w:pPr>
        <w:spacing w:after="100"/>
        <w:jc w:val="both"/>
      </w:pPr>
      <w:r>
        <w:rPr>
          <w:rFonts w:ascii="Times New Roman" w:cs="Times New Roman" w:eastAsia="Times New Roman" w:hAnsi="Times New Roman"/>
          <w:sz w:val="20"/>
          <w:szCs w:val="20"/>
        </w:rPr>
        <w:t xml:space="preserve">The engineering contribution of this paper is not a new model but a characterization of what it takes to make a pipeline of pretrained, API-served models reliable and fast enough for interactive use. We document three practically significant failure modes we encountered and resolved: reasoning-token starvation, in which a reasoning-mode model silently spends its entire completion budget on hidden deliberation and returns an empty answer with HTTP 200; structured-output degradation caused by injecting directives as a second system message rather than merging them into the first; and single-model brittleness, mitigated by a benchmarked fallback chain that treats empty responses, HTTP 404 model retirement, and HTTP 429 rate limits as routable events. All findings are reproducible from the open project code.</w:t>
      </w:r>
    </w:p>
    <w:p>
      <w:pPr>
        <w:spacing w:after="100"/>
        <w:jc w:val="both"/>
      </w:pPr>
      <w:r>
        <w:rPr>
          <w:rFonts w:ascii="Times New Roman" w:cs="Times New Roman" w:eastAsia="Times New Roman" w:hAnsi="Times New Roman"/>
          <w:sz w:val="20"/>
          <w:szCs w:val="20"/>
        </w:rPr>
        <w:t xml:space="preserve">The remainder of this paper is organized as follows. Section II reviews related work. Section III describes the system architecture and Section IV the methods used in the agent pipeline. Section V explains the code organization and functionality. Sections VI and VII discuss data sources and model selection in lieu of training. Section VIII presents the user interface, Section IX the results, and Sections X–XII limitations, future work, and conclusions.</w:t>
      </w:r>
    </w:p>
    <w:p>
      <w:pPr>
        <w:pStyle w:val="Heading1"/>
        <w:spacing w:after="120" w:before="240"/>
        <w:jc w:val="center"/>
      </w:pPr>
      <w:r>
        <w:rPr>
          <w:rFonts w:ascii="Times New Roman" w:cs="Times New Roman" w:eastAsia="Times New Roman" w:hAnsi="Times New Roman"/>
          <w:smallCaps/>
          <w:sz w:val="20"/>
          <w:szCs w:val="20"/>
        </w:rPr>
        <w:t xml:space="preserve">II. LITERATURE REVIEW</w:t>
      </w:r>
    </w:p>
    <w:p>
      <w:pPr>
        <w:pStyle w:val="Heading2"/>
        <w:spacing w:after="100" w:before="160"/>
      </w:pPr>
      <w:r>
        <w:rPr>
          <w:rFonts w:ascii="Times New Roman" w:cs="Times New Roman" w:eastAsia="Times New Roman" w:hAnsi="Times New Roman"/>
          <w:i/>
          <w:iCs/>
          <w:sz w:val="20"/>
          <w:szCs w:val="20"/>
        </w:rPr>
        <w:t xml:space="preserve">A. Multi-Agent LLM Systems</w:t>
      </w:r>
    </w:p>
    <w:p>
      <w:pPr>
        <w:spacing w:after="100"/>
        <w:jc w:val="both"/>
      </w:pPr>
      <w:r>
        <w:rPr>
          <w:rFonts w:ascii="Times New Roman" w:cs="Times New Roman" w:eastAsia="Times New Roman" w:hAnsi="Times New Roman"/>
          <w:sz w:val="20"/>
          <w:szCs w:val="20"/>
        </w:rPr>
        <w:t xml:space="preserve">Surveys of LLM-based multi-agent systems characterize collaboration along dimensions of actors, structure, and coordination protocol, and report that collectives of communicating agents outperform comparable single-agent baselines on complex tasks [1]. Qian et al. organize agents into directed acyclic collaboration networks and observe a collaborative scaling law across topologies of up to a thousand agents [2]. Centralized orchestration — a "puppeteer" that sequences worker agents — has been shown to improve quality while reducing coordination overhead relative to static organizations [3], and sequential worker–manager chains improve long-context task performance by up to 10% over strong retrieval baselines [4]. GreenLeaf adopts the centralized-orchestrator pattern at small scale: one planner, two to three sequential specialists with shared memory, one synthesizer, and one critic.</w:t>
      </w:r>
    </w:p>
    <w:p>
      <w:pPr>
        <w:pStyle w:val="Heading2"/>
        <w:spacing w:after="100" w:before="160"/>
      </w:pPr>
      <w:r>
        <w:rPr>
          <w:rFonts w:ascii="Times New Roman" w:cs="Times New Roman" w:eastAsia="Times New Roman" w:hAnsi="Times New Roman"/>
          <w:i/>
          <w:iCs/>
          <w:sz w:val="20"/>
          <w:szCs w:val="20"/>
        </w:rPr>
        <w:t xml:space="preserve">B. Planning and Task Decomposition</w:t>
      </w:r>
    </w:p>
    <w:p>
      <w:pPr>
        <w:spacing w:after="100"/>
        <w:jc w:val="both"/>
      </w:pPr>
      <w:r>
        <w:rPr>
          <w:rFonts w:ascii="Times New Roman" w:cs="Times New Roman" w:eastAsia="Times New Roman" w:hAnsi="Times New Roman"/>
          <w:sz w:val="20"/>
          <w:szCs w:val="20"/>
        </w:rPr>
        <w:t xml:space="preserve">Huang et al. taxonomize LLM-agent planning into task decomposition, plan selection, external modules, reflection, and memory [5]. Decomposition-first ("plan-and-execute") approaches risk cascading failure when a subtask is infeasible; ADaPT addresses this with recursive, as-needed decomposition and reports success-rate gains of up to 33% over fixed strategies [6]. Dynamic frameworks such as TDAG generate subagents per subtask to improve adaptability on travel-planning benchmarks [7], and TaskBench formalizes task automation as decomposition, tool selection, and parameter prediction [8]. GreenLeaf deliberately caps decomposition at 2–3 subtasks: our planner prompt instructs the orchestrator to produce the smallest sufficient plan, trading theoretical coverage for latency and legibility to the end user.</w:t>
      </w:r>
    </w:p>
    <w:p>
      <w:pPr>
        <w:pStyle w:val="Heading2"/>
        <w:spacing w:after="100" w:before="160"/>
      </w:pPr>
      <w:r>
        <w:rPr>
          <w:rFonts w:ascii="Times New Roman" w:cs="Times New Roman" w:eastAsia="Times New Roman" w:hAnsi="Times New Roman"/>
          <w:i/>
          <w:iCs/>
          <w:sz w:val="20"/>
          <w:szCs w:val="20"/>
        </w:rPr>
        <w:t xml:space="preserve">C. Tool Use and Acting</w:t>
      </w:r>
    </w:p>
    <w:p>
      <w:pPr>
        <w:spacing w:after="100"/>
        <w:jc w:val="both"/>
      </w:pPr>
      <w:r>
        <w:rPr>
          <w:rFonts w:ascii="Times New Roman" w:cs="Times New Roman" w:eastAsia="Times New Roman" w:hAnsi="Times New Roman"/>
          <w:sz w:val="20"/>
          <w:szCs w:val="20"/>
        </w:rPr>
        <w:t xml:space="preserve">Tool-augmented agents interleave reasoning with actions such as search and code execution [9], [11]. Function-calling reliability varies substantially across models and is now tracked by dedicated leaderboards [10]. Critical re-examinations of ReAct-style prompting show that much of its apparent reasoning benefit derives from exemplar–query similarity rather than the interleaved traces themselves [12], cautioning against over-attributing capability to prompt patterns — a caution our empirical model probes reinforce (Section IX). Conversational extensions such as ReSpAct integrate clarification dialogue into the acting loop [13]; GreenLeaf implements a lighter-weight variant in which an optional clarify step precedes planning and is skipped entirely by chat-style clients.</w:t>
      </w:r>
    </w:p>
    <w:p>
      <w:pPr>
        <w:pStyle w:val="Heading2"/>
        <w:spacing w:after="100" w:before="160"/>
      </w:pPr>
      <w:r>
        <w:rPr>
          <w:rFonts w:ascii="Times New Roman" w:cs="Times New Roman" w:eastAsia="Times New Roman" w:hAnsi="Times New Roman"/>
          <w:i/>
          <w:iCs/>
          <w:sz w:val="20"/>
          <w:szCs w:val="20"/>
        </w:rPr>
        <w:t xml:space="preserve">D. Self-Correction and Critics</w:t>
      </w:r>
    </w:p>
    <w:p>
      <w:pPr>
        <w:spacing w:after="100"/>
        <w:jc w:val="both"/>
      </w:pPr>
      <w:r>
        <w:rPr>
          <w:rFonts w:ascii="Times New Roman" w:cs="Times New Roman" w:eastAsia="Times New Roman" w:hAnsi="Times New Roman"/>
          <w:sz w:val="20"/>
          <w:szCs w:val="20"/>
        </w:rPr>
        <w:t xml:space="preserve">Self-Refine demonstrates that iterative self-feedback improves outputs by roughly 20% absolute across diverse tasks without any additional training [14]; CRITIC extends this with tool-interactive verification [15]. Fine-tuned critique models help human evaluators find flaws they would otherwise miss [16], and surveys of automated correction distinguish training-time, generation-time, and post-hoc strategies [17]. GreenLeaf uses a post-hoc critic with a strict JSON verdict and a single bounded revision — a deliberately conservative design choice ensuring the critic can only improve, never destabilize, a run.</w:t>
      </w:r>
    </w:p>
    <w:p>
      <w:pPr>
        <w:pStyle w:val="Heading2"/>
        <w:spacing w:after="100" w:before="160"/>
      </w:pPr>
      <w:r>
        <w:rPr>
          <w:rFonts w:ascii="Times New Roman" w:cs="Times New Roman" w:eastAsia="Times New Roman" w:hAnsi="Times New Roman"/>
          <w:i/>
          <w:iCs/>
          <w:sz w:val="20"/>
          <w:szCs w:val="20"/>
        </w:rPr>
        <w:t xml:space="preserve">E. Model Routing, Cascading, and Cost</w:t>
      </w:r>
    </w:p>
    <w:p>
      <w:pPr>
        <w:spacing w:after="100"/>
        <w:jc w:val="both"/>
      </w:pPr>
      <w:r>
        <w:rPr>
          <w:rFonts w:ascii="Times New Roman" w:cs="Times New Roman" w:eastAsia="Times New Roman" w:hAnsi="Times New Roman"/>
          <w:sz w:val="20"/>
          <w:szCs w:val="20"/>
        </w:rPr>
        <w:t xml:space="preserve">FrugalGPT showed that cascades of heterogeneous LLM APIs can match a flagship model at up to 98% lower cost [18]. Learned routers assign queries to small or large models based on predicted difficulty [19], [20], and unified routing–cascading formulations have been analyzed for optimality [21]. GreenLeaf implements a pragmatic, unlearned instance of this family: a static, empirically benchmarked fallback chain with per-model cooldowns, plus a "fast chain" that routes lightweight judgment calls (clarifier, critic) to an 8-billion-parameter model while reserving the 49-billion-parameter primary for planning, execution, and synthesis.</w:t>
      </w:r>
    </w:p>
    <w:p>
      <w:pPr>
        <w:pStyle w:val="Heading1"/>
        <w:spacing w:after="120" w:before="240"/>
        <w:jc w:val="center"/>
      </w:pPr>
      <w:r>
        <w:rPr>
          <w:rFonts w:ascii="Times New Roman" w:cs="Times New Roman" w:eastAsia="Times New Roman" w:hAnsi="Times New Roman"/>
          <w:smallCaps/>
          <w:sz w:val="20"/>
          <w:szCs w:val="20"/>
        </w:rPr>
        <w:t xml:space="preserve">III. SYSTEM ARCHITECTURE</w:t>
      </w:r>
    </w:p>
    <w:p>
      <w:pPr>
        <w:spacing w:after="100"/>
        <w:jc w:val="both"/>
      </w:pPr>
      <w:r>
        <w:rPr>
          <w:rFonts w:ascii="Times New Roman" w:cs="Times New Roman" w:eastAsia="Times New Roman" w:hAnsi="Times New Roman"/>
          <w:sz w:val="20"/>
          <w:szCs w:val="20"/>
        </w:rPr>
        <w:t xml:space="preserve">GreenLeaf is a two-tier web application. The presentation tier is a single-page React 18 + TypeScript application built with Vite and styled with Tailwind CSS. The orchestration tier is a Node.js server using Express for HTTP routes (authentication, artifact download, health) and the ws library for a persistent WebSocket per client session. All model inference is delegated to the NVIDIA NIM cloud API (integrate.api.nvidia.com), which exposes an OpenAI-compatible chat-completions interface; the server holds the API key and no model weights are hosted locally.</w:t>
      </w:r>
    </w:p>
    <w:p>
      <w:pPr>
        <w:spacing w:after="100"/>
        <w:jc w:val="both"/>
      </w:pPr>
      <w:r>
        <w:rPr>
          <w:rFonts w:ascii="Times New Roman" w:cs="Times New Roman" w:eastAsia="Times New Roman" w:hAnsi="Times New Roman"/>
          <w:sz w:val="20"/>
          <w:szCs w:val="20"/>
        </w:rPr>
        <w:t xml:space="preserve">A user request flows through six stages: (1) the client sends a start message containing the goal over the WebSocket; (2) an optional clarifier model decides whether the goal needs clarification (chat clients set skipClarify to bypass this stage); (3) the planner produces a JSON array of subtasks, each with a role assignment; (4) the executor runs each subtask in order in a bounded tool-calling loop, streaming task_start, tool_call, tool_result, and task_done events to the client; (5) the synthesizer consolidates all subtask results into a single Markdown answer; and (6) the critic issues a JSON verdict, optionally triggering one re-synthesis with its feedback attached. The final agent_done message carries the answer and metadata to the client.</w:t>
      </w:r>
    </w:p>
    <w:p>
      <w:pPr>
        <w:spacing w:after="60" w:before="140"/>
        <w:jc w:val="center"/>
      </w:pPr>
      <w:r>
        <w:rPr>
          <w:rFonts w:ascii="Times New Roman" w:cs="Times New Roman" w:eastAsia="Times New Roman" w:hAnsi="Times New Roman"/>
          <w:smallCaps/>
          <w:sz w:val="16"/>
          <w:szCs w:val="16"/>
        </w:rPr>
        <w:t xml:space="preserve">TABLE I. Role specialists and their tool whitelists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185"/>
        <w:gridCol w:w="1238"/>
        <w:gridCol w:w="2617"/>
      </w:tblGrid>
      <w:tr>
        <w:trPr>
          <w:tblHeader/>
        </w:trPr>
        <w:tc>
          <w:tcPr>
            <w:tcW w:type="dxa" w:w="1185"/>
            <w:tcBorders>
              <w:top w:val="single" w:color="999999" w:sz="1"/>
              <w:left w:val="single" w:color="999999" w:sz="1"/>
              <w:bottom w:val="single" w:color="999999" w:sz="1"/>
              <w:right w:val="single" w:color="999999" w:sz="1"/>
            </w:tcBorders>
            <w:shd w:fill="E8F0E9" w:val="clear"/>
            <w:tcMar>
              <w:top w:type="dxa" w:w="40"/>
              <w:left w:type="dxa" w:w="70"/>
              <w:bottom w:type="dxa" w:w="40"/>
              <w:right w:type="dxa" w:w="70"/>
            </w:tcMar>
          </w:tcPr>
          <w:p>
            <w:pPr>
              <w:jc w:val="left"/>
            </w:pPr>
            <w:r>
              <w:rPr>
                <w:rFonts w:ascii="Times New Roman" w:cs="Times New Roman" w:eastAsia="Times New Roman" w:hAnsi="Times New Roman"/>
                <w:b/>
                <w:bCs/>
                <w:sz w:val="16"/>
                <w:szCs w:val="16"/>
              </w:rPr>
              <w:t xml:space="preserve">Specialist</w:t>
            </w:r>
          </w:p>
        </w:tc>
        <w:tc>
          <w:tcPr>
            <w:tcW w:type="dxa" w:w="1238"/>
            <w:tcBorders>
              <w:top w:val="single" w:color="999999" w:sz="1"/>
              <w:left w:val="single" w:color="999999" w:sz="1"/>
              <w:bottom w:val="single" w:color="999999" w:sz="1"/>
              <w:right w:val="single" w:color="999999" w:sz="1"/>
            </w:tcBorders>
            <w:shd w:fill="E8F0E9" w:val="clear"/>
            <w:tcMar>
              <w:top w:type="dxa" w:w="40"/>
              <w:left w:type="dxa" w:w="70"/>
              <w:bottom w:type="dxa" w:w="40"/>
              <w:right w:type="dxa" w:w="70"/>
            </w:tcMar>
          </w:tcPr>
          <w:p>
            <w:pPr>
              <w:jc w:val="left"/>
            </w:pPr>
            <w:r>
              <w:rPr>
                <w:rFonts w:ascii="Times New Roman" w:cs="Times New Roman" w:eastAsia="Times New Roman" w:hAnsi="Times New Roman"/>
                <w:b/>
                <w:bCs/>
                <w:sz w:val="16"/>
                <w:szCs w:val="16"/>
              </w:rPr>
              <w:t xml:space="preserve">Tools</w:t>
            </w:r>
          </w:p>
        </w:tc>
        <w:tc>
          <w:tcPr>
            <w:tcW w:type="dxa" w:w="2617"/>
            <w:tcBorders>
              <w:top w:val="single" w:color="999999" w:sz="1"/>
              <w:left w:val="single" w:color="999999" w:sz="1"/>
              <w:bottom w:val="single" w:color="999999" w:sz="1"/>
              <w:right w:val="single" w:color="999999" w:sz="1"/>
            </w:tcBorders>
            <w:shd w:fill="E8F0E9" w:val="clear"/>
            <w:tcMar>
              <w:top w:type="dxa" w:w="40"/>
              <w:left w:type="dxa" w:w="70"/>
              <w:bottom w:type="dxa" w:w="40"/>
              <w:right w:type="dxa" w:w="70"/>
            </w:tcMar>
          </w:tcPr>
          <w:p>
            <w:pPr>
              <w:jc w:val="left"/>
            </w:pPr>
            <w:r>
              <w:rPr>
                <w:rFonts w:ascii="Times New Roman" w:cs="Times New Roman" w:eastAsia="Times New Roman" w:hAnsi="Times New Roman"/>
                <w:b/>
                <w:bCs/>
                <w:sz w:val="16"/>
                <w:szCs w:val="16"/>
              </w:rPr>
              <w:t xml:space="preserve">Responsibility</w:t>
            </w:r>
          </w:p>
        </w:tc>
      </w:tr>
      <w:tr>
        <w:tc>
          <w:tcPr>
            <w:tcW w:type="dxa" w:w="1185"/>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 Researcher</w:t>
            </w:r>
          </w:p>
        </w:tc>
        <w:tc>
          <w:tcPr>
            <w:tcW w:type="dxa" w:w="1238"/>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web_search</w:t>
            </w:r>
          </w:p>
        </w:tc>
        <w:tc>
          <w:tcPr>
            <w:tcW w:type="dxa" w:w="2617"/>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Gathers current information via DuckDuckGo HTML scraping with Brave/Wikipedia fallbacks</w:t>
            </w:r>
          </w:p>
        </w:tc>
      </w:tr>
      <w:tr>
        <w:tc>
          <w:tcPr>
            <w:tcW w:type="dxa" w:w="1185"/>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 Writer</w:t>
            </w:r>
          </w:p>
        </w:tc>
        <w:tc>
          <w:tcPr>
            <w:tcW w:type="dxa" w:w="1238"/>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write_file</w:t>
            </w:r>
          </w:p>
        </w:tc>
        <w:tc>
          <w:tcPr>
            <w:tcW w:type="dxa" w:w="2617"/>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Produces documents; writes are confined to a sandboxed agent_workspace directory</w:t>
            </w:r>
          </w:p>
        </w:tc>
      </w:tr>
      <w:tr>
        <w:tc>
          <w:tcPr>
            <w:tcW w:type="dxa" w:w="1185"/>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 Analyst</w:t>
            </w:r>
          </w:p>
        </w:tc>
        <w:tc>
          <w:tcPr>
            <w:tcW w:type="dxa" w:w="1238"/>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run_code, call_api</w:t>
            </w:r>
          </w:p>
        </w:tc>
        <w:tc>
          <w:tcPr>
            <w:tcW w:type="dxa" w:w="2617"/>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Computation in a subprocess with a 10 s timeout; external HTTP calls</w:t>
            </w:r>
          </w:p>
        </w:tc>
      </w:tr>
      <w:tr>
        <w:tc>
          <w:tcPr>
            <w:tcW w:type="dxa" w:w="1185"/>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 Generalist</w:t>
            </w:r>
          </w:p>
        </w:tc>
        <w:tc>
          <w:tcPr>
            <w:tcW w:type="dxa" w:w="1238"/>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all tools</w:t>
            </w:r>
          </w:p>
        </w:tc>
        <w:tc>
          <w:tcPr>
            <w:tcW w:type="dxa" w:w="2617"/>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Mixed tasks that do not fit a single specialty</w:t>
            </w:r>
          </w:p>
        </w:tc>
      </w:tr>
    </w:tbl>
    <w:p>
      <w:pPr>
        <w:spacing w:after="140"/>
      </w:pPr>
    </w:p>
    <w:p>
      <w:pPr>
        <w:spacing w:after="100"/>
        <w:jc w:val="both"/>
      </w:pPr>
      <w:r>
        <w:rPr>
          <w:rFonts w:ascii="Times New Roman" w:cs="Times New Roman" w:eastAsia="Times New Roman" w:hAnsi="Times New Roman"/>
          <w:sz w:val="20"/>
          <w:szCs w:val="20"/>
        </w:rPr>
        <w:t xml:space="preserve">Resilience mechanisms are layered onto this pipeline. The model client (llm.ts) wraps every completion in a fallback chain: on HTTP 429 the failing model receives a cooldown parsed from the providers retry hint; on HTTP 404 (retired or renamed model identifiers) a one-hour cooldown is applied; and a syntactically valid response whose message contains neither content nor tool calls is treated as a failure and routed to the next model. The server rate-limits authentication endpoints (10 attempts per IP per 5 minutes), validates WebSocket origins against a localhost allowlist, and confines both file-writing and file-download paths to the workspace directory to prevent traversal. The client, in turn, recovers from mid-run connection loss by unfreezing the input and re-establishing a fresh session on the next message.</w:t>
      </w:r>
    </w:p>
    <w:p>
      <w:pPr>
        <w:pStyle w:val="Heading1"/>
        <w:spacing w:after="120" w:before="240"/>
        <w:jc w:val="center"/>
      </w:pPr>
      <w:r>
        <w:rPr>
          <w:rFonts w:ascii="Times New Roman" w:cs="Times New Roman" w:eastAsia="Times New Roman" w:hAnsi="Times New Roman"/>
          <w:smallCaps/>
          <w:sz w:val="20"/>
          <w:szCs w:val="20"/>
        </w:rPr>
        <w:t xml:space="preserve">IV. METHODS</w:t>
      </w:r>
    </w:p>
    <w:p>
      <w:pPr>
        <w:pStyle w:val="Heading2"/>
        <w:spacing w:after="100" w:before="160"/>
      </w:pPr>
      <w:r>
        <w:rPr>
          <w:rFonts w:ascii="Times New Roman" w:cs="Times New Roman" w:eastAsia="Times New Roman" w:hAnsi="Times New Roman"/>
          <w:i/>
          <w:iCs/>
          <w:sz w:val="20"/>
          <w:szCs w:val="20"/>
        </w:rPr>
        <w:t xml:space="preserve">A. Orchestration Protocol</w:t>
      </w:r>
    </w:p>
    <w:p>
      <w:pPr>
        <w:spacing w:after="100"/>
        <w:jc w:val="both"/>
      </w:pPr>
      <w:r>
        <w:rPr>
          <w:rFonts w:ascii="Times New Roman" w:cs="Times New Roman" w:eastAsia="Times New Roman" w:hAnsi="Times New Roman"/>
          <w:sz w:val="20"/>
          <w:szCs w:val="20"/>
        </w:rPr>
        <w:t xml:space="preserve">The planner is prompted as the orchestrator of a team, instructed to produce the smallest set (2–3) of concrete, ordered subtasks as a strict JSON array with role assignments. Robust parsing salvages the outermost JSON array even when the model wraps it in prose; if parsing still fails, the system degrades to a single-task plan executed by the generalist, so a planning hiccup can never abort a run. Subtasks execute sequentially because later subtasks consume earlier results through an explicit shared-memory block injected into each specialist prompt.</w:t>
      </w:r>
    </w:p>
    <w:p>
      <w:pPr>
        <w:pStyle w:val="Heading2"/>
        <w:spacing w:after="100" w:before="160"/>
      </w:pPr>
      <w:r>
        <w:rPr>
          <w:rFonts w:ascii="Times New Roman" w:cs="Times New Roman" w:eastAsia="Times New Roman" w:hAnsi="Times New Roman"/>
          <w:i/>
          <w:iCs/>
          <w:sz w:val="20"/>
          <w:szCs w:val="20"/>
        </w:rPr>
        <w:t xml:space="preserve">B. Tool-Calling Execution Loop</w:t>
      </w:r>
    </w:p>
    <w:p>
      <w:pPr>
        <w:spacing w:after="100"/>
        <w:jc w:val="both"/>
      </w:pPr>
      <w:r>
        <w:rPr>
          <w:rFonts w:ascii="Times New Roman" w:cs="Times New Roman" w:eastAsia="Times New Roman" w:hAnsi="Times New Roman"/>
          <w:sz w:val="20"/>
          <w:szCs w:val="20"/>
        </w:rPr>
        <w:t xml:space="preserve">Each specialist runs a bounded loop of at most six model rounds. In each round the model may emit OpenAI-style function calls; the executor dispatches them (search, file write, code execution, HTTP call), truncates results to a token-budget-aware cap, and feeds them back as tool messages. Assistant messages are sanitized to standard fields before being re-sent, because provider-specific extras (e.g., reasoning_content) can cause rejections when echoed. If the budget is exhausted, a final pass without tools forces the model to summarize what it gathered rather than discarding it.</w:t>
      </w:r>
    </w:p>
    <w:p>
      <w:pPr>
        <w:pStyle w:val="Heading2"/>
        <w:spacing w:after="100" w:before="160"/>
      </w:pPr>
      <w:r>
        <w:rPr>
          <w:rFonts w:ascii="Times New Roman" w:cs="Times New Roman" w:eastAsia="Times New Roman" w:hAnsi="Times New Roman"/>
          <w:i/>
          <w:iCs/>
          <w:sz w:val="20"/>
          <w:szCs w:val="20"/>
        </w:rPr>
        <w:t xml:space="preserve">C. Critic Loop</w:t>
      </w:r>
    </w:p>
    <w:p>
      <w:pPr>
        <w:spacing w:after="100"/>
        <w:jc w:val="both"/>
      </w:pPr>
      <w:r>
        <w:rPr>
          <w:rFonts w:ascii="Times New Roman" w:cs="Times New Roman" w:eastAsia="Times New Roman" w:hAnsi="Times New Roman"/>
          <w:sz w:val="20"/>
          <w:szCs w:val="20"/>
        </w:rPr>
        <w:t xml:space="preserve">The critic receives the goal and the synthesized answer (truncated to 1,600 characters) and must return {"ok": true} or {"ok": false, "feedback": "..."}. On a negative verdict the synthesizer runs once more with the feedback appended. The critic never throws: any parsing or transport failure defaults to approval, following the principle that the reviewer may only improve the pipeline, mirroring conservative deployments of self-correction [14], [17].</w:t>
      </w:r>
    </w:p>
    <w:p>
      <w:pPr>
        <w:pStyle w:val="Heading2"/>
        <w:spacing w:after="100" w:before="160"/>
      </w:pPr>
      <w:r>
        <w:rPr>
          <w:rFonts w:ascii="Times New Roman" w:cs="Times New Roman" w:eastAsia="Times New Roman" w:hAnsi="Times New Roman"/>
          <w:i/>
          <w:iCs/>
          <w:sz w:val="20"/>
          <w:szCs w:val="20"/>
        </w:rPr>
        <w:t xml:space="preserve">D. Latency Engineering</w:t>
      </w:r>
    </w:p>
    <w:p>
      <w:pPr>
        <w:spacing w:after="100"/>
        <w:jc w:val="both"/>
      </w:pPr>
      <w:r>
        <w:rPr>
          <w:rFonts w:ascii="Times New Roman" w:cs="Times New Roman" w:eastAsia="Times New Roman" w:hAnsi="Times New Roman"/>
          <w:sz w:val="20"/>
          <w:szCs w:val="20"/>
        </w:rPr>
        <w:t xml:space="preserve">Four optimizations produced the 2.9× end-to-end speedup reported in Section IX: (1) chat clients skip the clarifier entirely, removing one full LLM round trip whose output they discarded; (2) the clarifier and critic route to a small fast model (Llama-3.1-8B) whose 1–2 s latency suits judgment calls; (3) the Nemotron primary runs with reasoning disabled via a /no_think directive merged into its first system message, and with the callers original token budget, since disabling reasoning removes the need for deliberation headroom; and (4) empty-content responses advance the fallback chain immediately instead of surfacing a degenerate answer.</w:t>
      </w:r>
    </w:p>
    <w:p>
      <w:pPr>
        <w:pStyle w:val="Heading1"/>
        <w:spacing w:after="120" w:before="240"/>
        <w:jc w:val="center"/>
      </w:pPr>
      <w:r>
        <w:rPr>
          <w:rFonts w:ascii="Times New Roman" w:cs="Times New Roman" w:eastAsia="Times New Roman" w:hAnsi="Times New Roman"/>
          <w:smallCaps/>
          <w:sz w:val="20"/>
          <w:szCs w:val="20"/>
        </w:rPr>
        <w:t xml:space="preserve">V. IMPLEMENTATION AND CODE EXPLANATION</w:t>
      </w:r>
    </w:p>
    <w:p>
      <w:pPr>
        <w:spacing w:after="100"/>
        <w:jc w:val="both"/>
      </w:pPr>
      <w:r>
        <w:rPr>
          <w:rFonts w:ascii="Times New Roman" w:cs="Times New Roman" w:eastAsia="Times New Roman" w:hAnsi="Times New Roman"/>
          <w:sz w:val="20"/>
          <w:szCs w:val="20"/>
        </w:rPr>
        <w:t xml:space="preserve">The codebase comprises roughly 3,700 lines of TypeScript across two packages. The layout below names the load-bearing modules; the complete source is listed in the accompanying code appendix.</w:t>
      </w:r>
    </w:p>
    <w:p>
      <w:pPr>
        <w:spacing w:after="60" w:before="140"/>
        <w:jc w:val="center"/>
      </w:pPr>
      <w:r>
        <w:rPr>
          <w:rFonts w:ascii="Times New Roman" w:cs="Times New Roman" w:eastAsia="Times New Roman" w:hAnsi="Times New Roman"/>
          <w:smallCaps/>
          <w:sz w:val="16"/>
          <w:szCs w:val="16"/>
        </w:rPr>
        <w:t xml:space="preserve">TABLE II. Principal modules and responsibilities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723"/>
        <w:gridCol w:w="3317"/>
      </w:tblGrid>
      <w:tr>
        <w:trPr>
          <w:tblHeader/>
        </w:trPr>
        <w:tc>
          <w:tcPr>
            <w:tcW w:type="dxa" w:w="1723"/>
            <w:tcBorders>
              <w:top w:val="single" w:color="999999" w:sz="1"/>
              <w:left w:val="single" w:color="999999" w:sz="1"/>
              <w:bottom w:val="single" w:color="999999" w:sz="1"/>
              <w:right w:val="single" w:color="999999" w:sz="1"/>
            </w:tcBorders>
            <w:shd w:fill="E8F0E9" w:val="clear"/>
            <w:tcMar>
              <w:top w:type="dxa" w:w="40"/>
              <w:left w:type="dxa" w:w="70"/>
              <w:bottom w:type="dxa" w:w="40"/>
              <w:right w:type="dxa" w:w="70"/>
            </w:tcMar>
          </w:tcPr>
          <w:p>
            <w:pPr>
              <w:jc w:val="left"/>
            </w:pPr>
            <w:r>
              <w:rPr>
                <w:rFonts w:ascii="Times New Roman" w:cs="Times New Roman" w:eastAsia="Times New Roman" w:hAnsi="Times New Roman"/>
                <w:b/>
                <w:bCs/>
                <w:sz w:val="16"/>
                <w:szCs w:val="16"/>
              </w:rPr>
              <w:t xml:space="preserve">Module</w:t>
            </w:r>
          </w:p>
        </w:tc>
        <w:tc>
          <w:tcPr>
            <w:tcW w:type="dxa" w:w="3317"/>
            <w:tcBorders>
              <w:top w:val="single" w:color="999999" w:sz="1"/>
              <w:left w:val="single" w:color="999999" w:sz="1"/>
              <w:bottom w:val="single" w:color="999999" w:sz="1"/>
              <w:right w:val="single" w:color="999999" w:sz="1"/>
            </w:tcBorders>
            <w:shd w:fill="E8F0E9" w:val="clear"/>
            <w:tcMar>
              <w:top w:type="dxa" w:w="40"/>
              <w:left w:type="dxa" w:w="70"/>
              <w:bottom w:type="dxa" w:w="40"/>
              <w:right w:type="dxa" w:w="70"/>
            </w:tcMar>
          </w:tcPr>
          <w:p>
            <w:pPr>
              <w:jc w:val="left"/>
            </w:pPr>
            <w:r>
              <w:rPr>
                <w:rFonts w:ascii="Times New Roman" w:cs="Times New Roman" w:eastAsia="Times New Roman" w:hAnsi="Times New Roman"/>
                <w:b/>
                <w:bCs/>
                <w:sz w:val="16"/>
                <w:szCs w:val="16"/>
              </w:rPr>
              <w:t xml:space="preserve">Functionality</w:t>
            </w:r>
          </w:p>
        </w:tc>
      </w:tr>
      <w:tr>
        <w:tc>
          <w:tcPr>
            <w:tcW w:type="dxa" w:w="1723"/>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server/index.ts</w:t>
            </w:r>
          </w:p>
        </w:tc>
        <w:tc>
          <w:tcPr>
            <w:tcW w:type="dxa" w:w="3317"/>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WebSocket session protocol (start / clarify / approve / followup), auth routes, artifact download endpoint with path confinement, boot-time API-key verification</w:t>
            </w:r>
          </w:p>
        </w:tc>
      </w:tr>
      <w:tr>
        <w:tc>
          <w:tcPr>
            <w:tcW w:type="dxa" w:w="1723"/>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server/agent/llm.ts</w:t>
            </w:r>
          </w:p>
        </w:tc>
        <w:tc>
          <w:tcPr>
            <w:tcW w:type="dxa" w:w="3317"/>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NVIDIA NIM client; fallback chain with per-model cooldowns; per-model request adaptation (/no_think, token budgets); &lt;think&gt; stripping; empty-response rerouting</w:t>
            </w:r>
          </w:p>
        </w:tc>
      </w:tr>
      <w:tr>
        <w:tc>
          <w:tcPr>
            <w:tcW w:type="dxa" w:w="1723"/>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server/agent/planner.ts</w:t>
            </w:r>
          </w:p>
        </w:tc>
        <w:tc>
          <w:tcPr>
            <w:tcW w:type="dxa" w:w="3317"/>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Orchestrator prompt; JSON plan parsing with array salvage and single-task fallback</w:t>
            </w:r>
          </w:p>
        </w:tc>
      </w:tr>
      <w:tr>
        <w:tc>
          <w:tcPr>
            <w:tcW w:type="dxa" w:w="1723"/>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server/agent/roles.ts</w:t>
            </w:r>
          </w:p>
        </w:tc>
        <w:tc>
          <w:tcPr>
            <w:tcW w:type="dxa" w:w="3317"/>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Specialist registry mapping roles to prompts and tool whitelists</w:t>
            </w:r>
          </w:p>
        </w:tc>
      </w:tr>
      <w:tr>
        <w:tc>
          <w:tcPr>
            <w:tcW w:type="dxa" w:w="1723"/>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server/agent/executor.ts</w:t>
            </w:r>
          </w:p>
        </w:tc>
        <w:tc>
          <w:tcPr>
            <w:tcW w:type="dxa" w:w="3317"/>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Bounded tool-calling loop; tool dispatch; message sanitization; synthesizer</w:t>
            </w:r>
          </w:p>
        </w:tc>
      </w:tr>
      <w:tr>
        <w:tc>
          <w:tcPr>
            <w:tcW w:type="dxa" w:w="1723"/>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server/agent/critic.ts</w:t>
            </w:r>
          </w:p>
        </w:tc>
        <w:tc>
          <w:tcPr>
            <w:tcW w:type="dxa" w:w="3317"/>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Post-hoc JSON-verdict review on the fast model chain</w:t>
            </w:r>
          </w:p>
        </w:tc>
      </w:tr>
      <w:tr>
        <w:tc>
          <w:tcPr>
            <w:tcW w:type="dxa" w:w="1723"/>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server/agent/tools.ts</w:t>
            </w:r>
          </w:p>
        </w:tc>
        <w:tc>
          <w:tcPr>
            <w:tcW w:type="dxa" w:w="3317"/>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web_search (DuckDuckGo scrape + fallbacks), write_file (sandboxed), run_code (10 s subprocess), call_api, SMTP e-mail</w:t>
            </w:r>
          </w:p>
        </w:tc>
      </w:tr>
      <w:tr>
        <w:tc>
          <w:tcPr>
            <w:tcW w:type="dxa" w:w="1723"/>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server/auth.ts</w:t>
            </w:r>
          </w:p>
        </w:tc>
        <w:tc>
          <w:tcPr>
            <w:tcW w:type="dxa" w:w="3317"/>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File-backed user store; scrypt password hashing; timing-safe comparison; session tokens</w:t>
            </w:r>
          </w:p>
        </w:tc>
      </w:tr>
      <w:tr>
        <w:tc>
          <w:tcPr>
            <w:tcW w:type="dxa" w:w="1723"/>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src/App.tsx</w:t>
            </w:r>
          </w:p>
        </w:tc>
        <w:tc>
          <w:tcPr>
            <w:tcW w:type="dxa" w:w="3317"/>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View router (landing / team / journal / AI chat), authentication state, localStorage persistence</w:t>
            </w:r>
          </w:p>
        </w:tc>
      </w:tr>
      <w:tr>
        <w:tc>
          <w:tcPr>
            <w:tcW w:type="dxa" w:w="1723"/>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src/components/ui/ai-model-view.tsx</w:t>
            </w:r>
          </w:p>
        </w:tc>
        <w:tc>
          <w:tcPr>
            <w:tcW w:type="dxa" w:w="3317"/>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Chat client: WebSocket lifecycle, live task-progress card, Markdown renderer, file-download chips, voice input, connection-loss recovery</w:t>
            </w:r>
          </w:p>
        </w:tc>
      </w:tr>
    </w:tbl>
    <w:p>
      <w:pPr>
        <w:spacing w:after="140"/>
      </w:pPr>
    </w:p>
    <w:p>
      <w:pPr>
        <w:spacing w:after="100"/>
        <w:jc w:val="both"/>
      </w:pPr>
      <w:r>
        <w:rPr>
          <w:rFonts w:ascii="Times New Roman" w:cs="Times New Roman" w:eastAsia="Times New Roman" w:hAnsi="Times New Roman"/>
          <w:sz w:val="20"/>
          <w:szCs w:val="20"/>
        </w:rPr>
        <w:t xml:space="preserve">Functionally, the application behaves as follows. A visitor lands on a marketing page with a 3-D hero scene (with an automatic static fallback after 8 s on slow networks) and authenticates through a modal backed by the scrypt user store. The AI view greets the user by name and accepts goals by text or voice. During a run, a progress card lists each planned subtask with its specialist badge and live status; on completion the answer renders as formatted Markdown, artifacts written by the writer appear as download chips served by the artifact endpoint, and contextual follow-up chips continue the conversation within the same session context. Conversations persist across page refreshes in localStorage.</w:t>
      </w:r>
    </w:p>
    <w:p>
      <w:pPr>
        <w:pStyle w:val="Heading1"/>
        <w:spacing w:after="120" w:before="240"/>
        <w:jc w:val="center"/>
      </w:pPr>
      <w:r>
        <w:rPr>
          <w:rFonts w:ascii="Times New Roman" w:cs="Times New Roman" w:eastAsia="Times New Roman" w:hAnsi="Times New Roman"/>
          <w:smallCaps/>
          <w:sz w:val="20"/>
          <w:szCs w:val="20"/>
        </w:rPr>
        <w:t xml:space="preserve">VI. DATASETS AND DATA SOURCES</w:t>
      </w:r>
    </w:p>
    <w:p>
      <w:pPr>
        <w:spacing w:after="100"/>
        <w:jc w:val="both"/>
      </w:pPr>
      <w:r>
        <w:rPr>
          <w:rFonts w:ascii="Times New Roman" w:cs="Times New Roman" w:eastAsia="Times New Roman" w:hAnsi="Times New Roman"/>
          <w:sz w:val="20"/>
          <w:szCs w:val="20"/>
        </w:rPr>
        <w:t xml:space="preserve">GreenLeaf involves no training and therefore no training datasets. The data the system touches falls into three categories, all handled at inference time:</w:t>
      </w:r>
    </w:p>
    <w:p>
      <w:pPr>
        <w:pStyle w:val="ListParagraph"/>
        <w:numPr>
          <w:ilvl w:val="0"/>
          <w:numId w:val="2"/>
        </w:numPr>
        <w:spacing w:after="60"/>
        <w:jc w:val="both"/>
      </w:pPr>
      <w:r>
        <w:rPr>
          <w:rFonts w:ascii="Times New Roman" w:cs="Times New Roman" w:eastAsia="Times New Roman" w:hAnsi="Times New Roman"/>
          <w:b/>
          <w:bCs/>
          <w:sz w:val="20"/>
          <w:szCs w:val="20"/>
        </w:rPr>
        <w:t xml:space="preserve">Live web data. </w:t>
      </w:r>
      <w:r>
        <w:rPr>
          <w:rFonts w:ascii="Times New Roman" w:cs="Times New Roman" w:eastAsia="Times New Roman" w:hAnsi="Times New Roman"/>
          <w:sz w:val="20"/>
          <w:szCs w:val="20"/>
        </w:rPr>
        <w:t xml:space="preserve">The researcher tool retrieves current information by scraping DuckDuckGo’s no-JavaScript HTML endpoint (top-5 titles and snippets), falling back to the Brave Search API when a key is configured, then the DuckDuckGo Instant Answer API, then Wikipedia OpenSearch. No retrieved content is stored beyond the run that requested it.</w:t>
      </w:r>
    </w:p>
    <w:p>
      <w:pPr>
        <w:pStyle w:val="ListParagraph"/>
        <w:numPr>
          <w:ilvl w:val="0"/>
          <w:numId w:val="2"/>
        </w:numPr>
        <w:spacing w:after="60"/>
        <w:jc w:val="both"/>
      </w:pPr>
      <w:r>
        <w:rPr>
          <w:rFonts w:ascii="Times New Roman" w:cs="Times New Roman" w:eastAsia="Times New Roman" w:hAnsi="Times New Roman"/>
          <w:b/>
          <w:bCs/>
          <w:sz w:val="20"/>
          <w:szCs w:val="20"/>
        </w:rPr>
        <w:t xml:space="preserve">User-generated data. </w:t>
      </w:r>
      <w:r>
        <w:rPr>
          <w:rFonts w:ascii="Times New Roman" w:cs="Times New Roman" w:eastAsia="Times New Roman" w:hAnsi="Times New Roman"/>
          <w:sz w:val="20"/>
          <w:szCs w:val="20"/>
        </w:rPr>
        <w:t xml:space="preserve">Goals, clarification answers, and follow-ups exist in per-connection session state on the server and in the client’s localStorage; account records (name, e-mail, scrypt hash, salt) persist in a JSON user store excluded from version control.</w:t>
      </w:r>
    </w:p>
    <w:p>
      <w:pPr>
        <w:pStyle w:val="ListParagraph"/>
        <w:numPr>
          <w:ilvl w:val="0"/>
          <w:numId w:val="2"/>
        </w:numPr>
        <w:spacing w:after="60"/>
        <w:jc w:val="both"/>
      </w:pPr>
      <w:r>
        <w:rPr>
          <w:rFonts w:ascii="Times New Roman" w:cs="Times New Roman" w:eastAsia="Times New Roman" w:hAnsi="Times New Roman"/>
          <w:b/>
          <w:bCs/>
          <w:sz w:val="20"/>
          <w:szCs w:val="20"/>
        </w:rPr>
        <w:t xml:space="preserve">Evaluation probes. </w:t>
      </w:r>
      <w:r>
        <w:rPr>
          <w:rFonts w:ascii="Times New Roman" w:cs="Times New Roman" w:eastAsia="Times New Roman" w:hAnsi="Times New Roman"/>
          <w:sz w:val="20"/>
          <w:szCs w:val="20"/>
        </w:rPr>
        <w:t xml:space="preserve">Model selection (Section VII) used a small fixed probe set: a factual one-liner, a tool-calling prompt requiring a web_search invocation, and the production planner prompt applied to a representative goal. Probes were issued directly against the inference API with production parameters.</w:t>
      </w:r>
    </w:p>
    <w:p>
      <w:pPr>
        <w:pStyle w:val="Heading1"/>
        <w:spacing w:after="120" w:before="240"/>
        <w:jc w:val="center"/>
      </w:pPr>
      <w:r>
        <w:rPr>
          <w:rFonts w:ascii="Times New Roman" w:cs="Times New Roman" w:eastAsia="Times New Roman" w:hAnsi="Times New Roman"/>
          <w:smallCaps/>
          <w:sz w:val="20"/>
          <w:szCs w:val="20"/>
        </w:rPr>
        <w:t xml:space="preserve">VII. MODEL SELECTION AND ADAPTATION (IN LIEU OF TRAINING)</w:t>
      </w:r>
    </w:p>
    <w:p>
      <w:pPr>
        <w:spacing w:after="100"/>
        <w:jc w:val="both"/>
      </w:pPr>
      <w:r>
        <w:rPr>
          <w:rFonts w:ascii="Times New Roman" w:cs="Times New Roman" w:eastAsia="Times New Roman" w:hAnsi="Times New Roman"/>
          <w:sz w:val="20"/>
          <w:szCs w:val="20"/>
        </w:rPr>
        <w:t xml:space="preserve">We state plainly: no model was trained, fine-tuned, or otherwise updated in this work. All capability derives from pretrained instruction-tuned checkpoints served by NVIDIA NIM. The engineering questions were instead which models to use, in what order, and under what request shape — decisions we made empirically.</w:t>
      </w:r>
    </w:p>
    <w:p>
      <w:pPr>
        <w:spacing w:after="100"/>
        <w:jc w:val="both"/>
      </w:pPr>
      <w:r>
        <w:rPr>
          <w:rFonts w:ascii="Times New Roman" w:cs="Times New Roman" w:eastAsia="Times New Roman" w:hAnsi="Times New Roman"/>
          <w:sz w:val="20"/>
          <w:szCs w:val="20"/>
        </w:rPr>
        <w:t xml:space="preserve">Candidate models were probed with the tool-calling test described in Section VI. Table III summarizes the outcome: two candidates with strong nominal capability were disqualified outright — MiniMax-M3 ignored the tools parameter entirely and answered as if toolless, while Kimi-K2.6 emitted corrupted, non-linguistic tool-call arguments on this deployment. Nemotron Super 49B v1.5 produced a correct call 5.2× faster than the next correct candidate and was selected as primary. The final chain is Nemotron-Super-49B → MiniMax-M2.7 → Llama-3.3-70B → Llama-3.1-8B, with the 8B model additionally serving as the primary of a fast chain used by the clarifier and critic.</w:t>
      </w:r>
    </w:p>
    <w:p>
      <w:pPr>
        <w:spacing w:after="100"/>
        <w:jc w:val="both"/>
      </w:pPr>
      <w:r>
        <w:rPr>
          <w:rFonts w:ascii="Times New Roman" w:cs="Times New Roman" w:eastAsia="Times New Roman" w:hAnsi="Times New Roman"/>
          <w:sz w:val="20"/>
          <w:szCs w:val="20"/>
        </w:rPr>
        <w:t xml:space="preserve">Adaptation is achieved through prompting and request shaping rather than weight updates: role prompts specialize behavior; the planner and critic are constrained to strict JSON; the Nemotron primary receives a /no_think directive merged into its first system message (a second system message measurably degraded its JSON reliability); and reasoning-capable fallbacks receive enlarged token budgets so hidden deliberation cannot starve the visible answer. This configuration-over-training approach is consistent with evidence that much agentic capability is unlocked at the system level [9], [18].</w:t>
      </w:r>
    </w:p>
    <w:p>
      <w:pPr>
        <w:pStyle w:val="Heading1"/>
        <w:spacing w:after="120" w:before="240"/>
        <w:jc w:val="center"/>
      </w:pPr>
      <w:r>
        <w:rPr>
          <w:rFonts w:ascii="Times New Roman" w:cs="Times New Roman" w:eastAsia="Times New Roman" w:hAnsi="Times New Roman"/>
          <w:smallCaps/>
          <w:sz w:val="20"/>
          <w:szCs w:val="20"/>
        </w:rPr>
        <w:t xml:space="preserve">VIII. USER INTERFACE</w:t>
      </w:r>
    </w:p>
    <w:p>
      <w:pPr>
        <w:spacing w:after="100"/>
        <w:jc w:val="both"/>
      </w:pPr>
      <w:r>
        <w:rPr>
          <w:rFonts w:ascii="Times New Roman" w:cs="Times New Roman" w:eastAsia="Times New Roman" w:hAnsi="Times New Roman"/>
          <w:sz w:val="20"/>
          <w:szCs w:val="20"/>
        </w:rPr>
        <w:t xml:space="preserve">The interface pursues a single goal: make an inherently slow pipeline feel alive and trustworthy. Three techniques carry most of that weight. First, progressive disclosure of agent work: the progress card materializes the plan as soon as it exists and animates each subtask through pending, running, and completed states, so a 45-second wait reads as visible teamwork rather than a stalled spinner. Second, honest failure surfaces: connection loss mid-run unfreezes the input and posts an explicit recovery message rather than hanging. Third, tangible artifacts: files written by agents surface as first-class download chips, closing the loop between agent action and user benefit.</w:t>
      </w:r>
    </w:p>
    <w:p>
      <w:pPr>
        <w:spacing w:after="100"/>
        <w:jc w:val="both"/>
      </w:pPr>
      <w:r>
        <w:rPr>
          <w:rFonts w:ascii="Times New Roman" w:cs="Times New Roman" w:eastAsia="Times New Roman" w:hAnsi="Times New Roman"/>
          <w:sz w:val="20"/>
          <w:szCs w:val="20"/>
        </w:rPr>
        <w:t xml:space="preserve">Secondary affordances include voice input via the Web Speech API (the control hides on unsupported browsers), one-click copying of answers, contextual follow-up suggestions, a per-user greeting, dark-theme visual identity with an ambient leaf-particle canvas that reacts to the cursor, and full conversation persistence across refreshes. Accessibility considerations include aria-labels on icon buttons and prefers-reduced-motion guards that disable all decorative animation.</w:t>
      </w:r>
    </w:p>
    <w:p>
      <w:pPr>
        <w:pStyle w:val="Heading1"/>
        <w:spacing w:after="120" w:before="240"/>
        <w:jc w:val="center"/>
      </w:pPr>
      <w:r>
        <w:rPr>
          <w:rFonts w:ascii="Times New Roman" w:cs="Times New Roman" w:eastAsia="Times New Roman" w:hAnsi="Times New Roman"/>
          <w:smallCaps/>
          <w:sz w:val="20"/>
          <w:szCs w:val="20"/>
        </w:rPr>
        <w:t xml:space="preserve">IX. RESULTS</w:t>
      </w:r>
    </w:p>
    <w:p>
      <w:pPr>
        <w:pStyle w:val="Heading2"/>
        <w:spacing w:after="100" w:before="160"/>
      </w:pPr>
      <w:r>
        <w:rPr>
          <w:rFonts w:ascii="Times New Roman" w:cs="Times New Roman" w:eastAsia="Times New Roman" w:hAnsi="Times New Roman"/>
          <w:i/>
          <w:iCs/>
          <w:sz w:val="20"/>
          <w:szCs w:val="20"/>
        </w:rPr>
        <w:t xml:space="preserve">A. Tool-Calling Model Probe</w:t>
      </w:r>
    </w:p>
    <w:p>
      <w:pPr>
        <w:spacing w:after="60" w:before="140"/>
        <w:jc w:val="center"/>
      </w:pPr>
      <w:r>
        <w:rPr>
          <w:rFonts w:ascii="Times New Roman" w:cs="Times New Roman" w:eastAsia="Times New Roman" w:hAnsi="Times New Roman"/>
          <w:smallCaps/>
          <w:sz w:val="16"/>
          <w:szCs w:val="16"/>
        </w:rPr>
        <w:t xml:space="preserve">TABLE III. Tool-calling probe across candidate models (single web_search prompt, production parameters)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777"/>
        <w:gridCol w:w="862"/>
        <w:gridCol w:w="808"/>
        <w:gridCol w:w="1593"/>
      </w:tblGrid>
      <w:tr>
        <w:trPr>
          <w:tblHeader/>
        </w:trPr>
        <w:tc>
          <w:tcPr>
            <w:tcW w:type="dxa" w:w="1777"/>
            <w:tcBorders>
              <w:top w:val="single" w:color="999999" w:sz="1"/>
              <w:left w:val="single" w:color="999999" w:sz="1"/>
              <w:bottom w:val="single" w:color="999999" w:sz="1"/>
              <w:right w:val="single" w:color="999999" w:sz="1"/>
            </w:tcBorders>
            <w:shd w:fill="E8F0E9" w:val="clear"/>
            <w:tcMar>
              <w:top w:type="dxa" w:w="40"/>
              <w:left w:type="dxa" w:w="70"/>
              <w:bottom w:type="dxa" w:w="40"/>
              <w:right w:type="dxa" w:w="70"/>
            </w:tcMar>
          </w:tcPr>
          <w:p>
            <w:pPr>
              <w:jc w:val="left"/>
            </w:pPr>
            <w:r>
              <w:rPr>
                <w:rFonts w:ascii="Times New Roman" w:cs="Times New Roman" w:eastAsia="Times New Roman" w:hAnsi="Times New Roman"/>
                <w:b/>
                <w:bCs/>
                <w:sz w:val="16"/>
                <w:szCs w:val="16"/>
              </w:rPr>
              <w:t xml:space="preserve">Model (NVIDIA NIM id)</w:t>
            </w:r>
          </w:p>
        </w:tc>
        <w:tc>
          <w:tcPr>
            <w:tcW w:type="dxa" w:w="862"/>
            <w:tcBorders>
              <w:top w:val="single" w:color="999999" w:sz="1"/>
              <w:left w:val="single" w:color="999999" w:sz="1"/>
              <w:bottom w:val="single" w:color="999999" w:sz="1"/>
              <w:right w:val="single" w:color="999999" w:sz="1"/>
            </w:tcBorders>
            <w:shd w:fill="E8F0E9" w:val="clear"/>
            <w:tcMar>
              <w:top w:type="dxa" w:w="40"/>
              <w:left w:type="dxa" w:w="70"/>
              <w:bottom w:type="dxa" w:w="40"/>
              <w:right w:type="dxa" w:w="70"/>
            </w:tcMar>
          </w:tcPr>
          <w:p>
            <w:pPr>
              <w:jc w:val="left"/>
            </w:pPr>
            <w:r>
              <w:rPr>
                <w:rFonts w:ascii="Times New Roman" w:cs="Times New Roman" w:eastAsia="Times New Roman" w:hAnsi="Times New Roman"/>
                <w:b/>
                <w:bCs/>
                <w:sz w:val="16"/>
                <w:szCs w:val="16"/>
              </w:rPr>
              <w:t xml:space="preserve">Tool call</w:t>
            </w:r>
          </w:p>
        </w:tc>
        <w:tc>
          <w:tcPr>
            <w:tcW w:type="dxa" w:w="808"/>
            <w:tcBorders>
              <w:top w:val="single" w:color="999999" w:sz="1"/>
              <w:left w:val="single" w:color="999999" w:sz="1"/>
              <w:bottom w:val="single" w:color="999999" w:sz="1"/>
              <w:right w:val="single" w:color="999999" w:sz="1"/>
            </w:tcBorders>
            <w:shd w:fill="E8F0E9" w:val="clear"/>
            <w:tcMar>
              <w:top w:type="dxa" w:w="40"/>
              <w:left w:type="dxa" w:w="70"/>
              <w:bottom w:type="dxa" w:w="40"/>
              <w:right w:type="dxa" w:w="70"/>
            </w:tcMar>
          </w:tcPr>
          <w:p>
            <w:pPr>
              <w:jc w:val="left"/>
            </w:pPr>
            <w:r>
              <w:rPr>
                <w:rFonts w:ascii="Times New Roman" w:cs="Times New Roman" w:eastAsia="Times New Roman" w:hAnsi="Times New Roman"/>
                <w:b/>
                <w:bCs/>
                <w:sz w:val="16"/>
                <w:szCs w:val="16"/>
              </w:rPr>
              <w:t xml:space="preserve">Latency</w:t>
            </w:r>
          </w:p>
        </w:tc>
        <w:tc>
          <w:tcPr>
            <w:tcW w:type="dxa" w:w="1593"/>
            <w:tcBorders>
              <w:top w:val="single" w:color="999999" w:sz="1"/>
              <w:left w:val="single" w:color="999999" w:sz="1"/>
              <w:bottom w:val="single" w:color="999999" w:sz="1"/>
              <w:right w:val="single" w:color="999999" w:sz="1"/>
            </w:tcBorders>
            <w:shd w:fill="E8F0E9" w:val="clear"/>
            <w:tcMar>
              <w:top w:type="dxa" w:w="40"/>
              <w:left w:type="dxa" w:w="70"/>
              <w:bottom w:type="dxa" w:w="40"/>
              <w:right w:type="dxa" w:w="70"/>
            </w:tcMar>
          </w:tcPr>
          <w:p>
            <w:pPr>
              <w:jc w:val="left"/>
            </w:pPr>
            <w:r>
              <w:rPr>
                <w:rFonts w:ascii="Times New Roman" w:cs="Times New Roman" w:eastAsia="Times New Roman" w:hAnsi="Times New Roman"/>
                <w:b/>
                <w:bCs/>
                <w:sz w:val="16"/>
                <w:szCs w:val="16"/>
              </w:rPr>
              <w:t xml:space="preserve">Verdict</w:t>
            </w:r>
          </w:p>
        </w:tc>
      </w:tr>
      <w:tr>
        <w:tc>
          <w:tcPr>
            <w:tcW w:type="dxa" w:w="1777"/>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nvidia/llama-3.3-nemotron-super-49b-v1.5</w:t>
            </w:r>
          </w:p>
        </w:tc>
        <w:tc>
          <w:tcPr>
            <w:tcW w:type="dxa" w:w="862"/>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Correct</w:t>
            </w:r>
          </w:p>
        </w:tc>
        <w:tc>
          <w:tcPr>
            <w:tcW w:type="dxa" w:w="808"/>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5 s</w:t>
            </w:r>
          </w:p>
        </w:tc>
        <w:tc>
          <w:tcPr>
            <w:tcW w:type="dxa" w:w="1593"/>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Selected as primary</w:t>
            </w:r>
          </w:p>
        </w:tc>
      </w:tr>
      <w:tr>
        <w:tc>
          <w:tcPr>
            <w:tcW w:type="dxa" w:w="1777"/>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minimaxai/minimax-m2.7</w:t>
            </w:r>
          </w:p>
        </w:tc>
        <w:tc>
          <w:tcPr>
            <w:tcW w:type="dxa" w:w="862"/>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Correct</w:t>
            </w:r>
          </w:p>
        </w:tc>
        <w:tc>
          <w:tcPr>
            <w:tcW w:type="dxa" w:w="808"/>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26 s</w:t>
            </w:r>
          </w:p>
        </w:tc>
        <w:tc>
          <w:tcPr>
            <w:tcW w:type="dxa" w:w="1593"/>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First fallback</w:t>
            </w:r>
          </w:p>
        </w:tc>
      </w:tr>
      <w:tr>
        <w:tc>
          <w:tcPr>
            <w:tcW w:type="dxa" w:w="1777"/>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minimaxai/minimax-m3</w:t>
            </w:r>
          </w:p>
        </w:tc>
        <w:tc>
          <w:tcPr>
            <w:tcW w:type="dxa" w:w="862"/>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Ignored tools</w:t>
            </w:r>
          </w:p>
        </w:tc>
        <w:tc>
          <w:tcPr>
            <w:tcW w:type="dxa" w:w="808"/>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49 s</w:t>
            </w:r>
          </w:p>
        </w:tc>
        <w:tc>
          <w:tcPr>
            <w:tcW w:type="dxa" w:w="1593"/>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Disqualified</w:t>
            </w:r>
          </w:p>
        </w:tc>
      </w:tr>
      <w:tr>
        <w:tc>
          <w:tcPr>
            <w:tcW w:type="dxa" w:w="1777"/>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moonshotai/kimi-k2.6</w:t>
            </w:r>
          </w:p>
        </w:tc>
        <w:tc>
          <w:tcPr>
            <w:tcW w:type="dxa" w:w="862"/>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Corrupted arguments</w:t>
            </w:r>
          </w:p>
        </w:tc>
        <w:tc>
          <w:tcPr>
            <w:tcW w:type="dxa" w:w="808"/>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18 s</w:t>
            </w:r>
          </w:p>
        </w:tc>
        <w:tc>
          <w:tcPr>
            <w:tcW w:type="dxa" w:w="1593"/>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Disqualified</w:t>
            </w:r>
          </w:p>
        </w:tc>
      </w:tr>
    </w:tbl>
    <w:p>
      <w:pPr>
        <w:spacing w:after="140"/>
      </w:pPr>
    </w:p>
    <w:p>
      <w:pPr>
        <w:pStyle w:val="Heading2"/>
        <w:spacing w:after="100" w:before="160"/>
      </w:pPr>
      <w:r>
        <w:rPr>
          <w:rFonts w:ascii="Times New Roman" w:cs="Times New Roman" w:eastAsia="Times New Roman" w:hAnsi="Times New Roman"/>
          <w:i/>
          <w:iCs/>
          <w:sz w:val="20"/>
          <w:szCs w:val="20"/>
        </w:rPr>
        <w:t xml:space="preserve">B. End-to-End Latency</w:t>
      </w:r>
    </w:p>
    <w:p>
      <w:pPr>
        <w:spacing w:after="60" w:before="140"/>
        <w:jc w:val="center"/>
      </w:pPr>
      <w:r>
        <w:rPr>
          <w:rFonts w:ascii="Times New Roman" w:cs="Times New Roman" w:eastAsia="Times New Roman" w:hAnsi="Times New Roman"/>
          <w:smallCaps/>
          <w:sz w:val="16"/>
          <w:szCs w:val="16"/>
        </w:rPr>
        <w:t xml:space="preserve">TABLE IV. End-to-end latency before and after pipeline optimization (~2.9× speedup)</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531"/>
        <w:gridCol w:w="1238"/>
        <w:gridCol w:w="1271"/>
      </w:tblGrid>
      <w:tr>
        <w:trPr>
          <w:tblHeader/>
        </w:trPr>
        <w:tc>
          <w:tcPr>
            <w:tcW w:type="dxa" w:w="2531"/>
            <w:tcBorders>
              <w:top w:val="single" w:color="999999" w:sz="1"/>
              <w:left w:val="single" w:color="999999" w:sz="1"/>
              <w:bottom w:val="single" w:color="999999" w:sz="1"/>
              <w:right w:val="single" w:color="999999" w:sz="1"/>
            </w:tcBorders>
            <w:shd w:fill="E8F0E9" w:val="clear"/>
            <w:tcMar>
              <w:top w:type="dxa" w:w="40"/>
              <w:left w:type="dxa" w:w="70"/>
              <w:bottom w:type="dxa" w:w="40"/>
              <w:right w:type="dxa" w:w="70"/>
            </w:tcMar>
          </w:tcPr>
          <w:p>
            <w:pPr>
              <w:jc w:val="left"/>
            </w:pPr>
            <w:r>
              <w:rPr>
                <w:rFonts w:ascii="Times New Roman" w:cs="Times New Roman" w:eastAsia="Times New Roman" w:hAnsi="Times New Roman"/>
                <w:b/>
                <w:bCs/>
                <w:sz w:val="16"/>
                <w:szCs w:val="16"/>
              </w:rPr>
              <w:t xml:space="preserve">Configuration</w:t>
            </w:r>
          </w:p>
        </w:tc>
        <w:tc>
          <w:tcPr>
            <w:tcW w:type="dxa" w:w="1238"/>
            <w:tcBorders>
              <w:top w:val="single" w:color="999999" w:sz="1"/>
              <w:left w:val="single" w:color="999999" w:sz="1"/>
              <w:bottom w:val="single" w:color="999999" w:sz="1"/>
              <w:right w:val="single" w:color="999999" w:sz="1"/>
            </w:tcBorders>
            <w:shd w:fill="E8F0E9" w:val="clear"/>
            <w:tcMar>
              <w:top w:type="dxa" w:w="40"/>
              <w:left w:type="dxa" w:w="70"/>
              <w:bottom w:type="dxa" w:w="40"/>
              <w:right w:type="dxa" w:w="70"/>
            </w:tcMar>
          </w:tcPr>
          <w:p>
            <w:pPr>
              <w:jc w:val="left"/>
            </w:pPr>
            <w:r>
              <w:rPr>
                <w:rFonts w:ascii="Times New Roman" w:cs="Times New Roman" w:eastAsia="Times New Roman" w:hAnsi="Times New Roman"/>
                <w:b/>
                <w:bCs/>
                <w:sz w:val="16"/>
                <w:szCs w:val="16"/>
              </w:rPr>
              <w:t xml:space="preserve">Representative run</w:t>
            </w:r>
          </w:p>
        </w:tc>
        <w:tc>
          <w:tcPr>
            <w:tcW w:type="dxa" w:w="1271"/>
            <w:tcBorders>
              <w:top w:val="single" w:color="999999" w:sz="1"/>
              <w:left w:val="single" w:color="999999" w:sz="1"/>
              <w:bottom w:val="single" w:color="999999" w:sz="1"/>
              <w:right w:val="single" w:color="999999" w:sz="1"/>
            </w:tcBorders>
            <w:shd w:fill="E8F0E9" w:val="clear"/>
            <w:tcMar>
              <w:top w:type="dxa" w:w="40"/>
              <w:left w:type="dxa" w:w="70"/>
              <w:bottom w:type="dxa" w:w="40"/>
              <w:right w:type="dxa" w:w="70"/>
            </w:tcMar>
          </w:tcPr>
          <w:p>
            <w:pPr>
              <w:jc w:val="left"/>
            </w:pPr>
            <w:r>
              <w:rPr>
                <w:rFonts w:ascii="Times New Roman" w:cs="Times New Roman" w:eastAsia="Times New Roman" w:hAnsi="Times New Roman"/>
                <w:b/>
                <w:bCs/>
                <w:sz w:val="16"/>
                <w:szCs w:val="16"/>
              </w:rPr>
              <w:t xml:space="preserve">Wall-clock</w:t>
            </w:r>
          </w:p>
        </w:tc>
      </w:tr>
      <w:tr>
        <w:tc>
          <w:tcPr>
            <w:tcW w:type="dxa" w:w="2531"/>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Baseline pipeline (clarifier on primary, critic on primary, 4096-token budgets)</w:t>
            </w:r>
          </w:p>
        </w:tc>
        <w:tc>
          <w:tcPr>
            <w:tcW w:type="dxa" w:w="1238"/>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2-task run with web search + file write</w:t>
            </w:r>
          </w:p>
        </w:tc>
        <w:tc>
          <w:tcPr>
            <w:tcW w:type="dxa" w:w="1271"/>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131 s</w:t>
            </w:r>
          </w:p>
        </w:tc>
      </w:tr>
      <w:tr>
        <w:tc>
          <w:tcPr>
            <w:tcW w:type="dxa" w:w="2531"/>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Optimized pipeline (skip clarifier, fast-chain critic, /no_think, tight budgets)</w:t>
            </w:r>
          </w:p>
        </w:tc>
        <w:tc>
          <w:tcPr>
            <w:tcW w:type="dxa" w:w="1238"/>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multi-step runs incl. tool use</w:t>
            </w:r>
          </w:p>
        </w:tc>
        <w:tc>
          <w:tcPr>
            <w:tcW w:type="dxa" w:w="1271"/>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6"/>
                <w:szCs w:val="16"/>
              </w:rPr>
              <w:t xml:space="preserve">44–48 s</w:t>
            </w:r>
          </w:p>
        </w:tc>
      </w:tr>
    </w:tbl>
    <w:p>
      <w:pPr>
        <w:spacing w:after="140"/>
      </w:pPr>
    </w:p>
    <w:p>
      <w:pPr>
        <w:pStyle w:val="Heading2"/>
        <w:spacing w:after="100" w:before="160"/>
      </w:pPr>
      <w:r>
        <w:rPr>
          <w:rFonts w:ascii="Times New Roman" w:cs="Times New Roman" w:eastAsia="Times New Roman" w:hAnsi="Times New Roman"/>
          <w:i/>
          <w:iCs/>
          <w:sz w:val="20"/>
          <w:szCs w:val="20"/>
        </w:rPr>
        <w:t xml:space="preserve">C. Reliability Findings</w:t>
      </w:r>
    </w:p>
    <w:p>
      <w:pPr>
        <w:pStyle w:val="ListParagraph"/>
        <w:numPr>
          <w:ilvl w:val="0"/>
          <w:numId w:val="2"/>
        </w:numPr>
        <w:spacing w:after="60"/>
        <w:jc w:val="both"/>
      </w:pPr>
      <w:r>
        <w:rPr>
          <w:rFonts w:ascii="Times New Roman" w:cs="Times New Roman" w:eastAsia="Times New Roman" w:hAnsi="Times New Roman"/>
          <w:sz w:val="20"/>
          <w:szCs w:val="20"/>
        </w:rPr>
        <w:t xml:space="preserve">Reasoning-token starvation: with a 1,024-token budget, the reasoning-mode primary returned HTTP 200 with empty content after spending the entire budget on hidden deliberation; every downstream stage silently degraded to fallback text. The signature — implausibly fast "successful" runs with generic answers and zero logged errors — is now detected and rerouted.</w:t>
      </w:r>
    </w:p>
    <w:p>
      <w:pPr>
        <w:pStyle w:val="ListParagraph"/>
        <w:numPr>
          <w:ilvl w:val="0"/>
          <w:numId w:val="2"/>
        </w:numPr>
        <w:spacing w:after="60"/>
        <w:jc w:val="both"/>
      </w:pPr>
      <w:r>
        <w:rPr>
          <w:rFonts w:ascii="Times New Roman" w:cs="Times New Roman" w:eastAsia="Times New Roman" w:hAnsi="Times New Roman"/>
          <w:sz w:val="20"/>
          <w:szCs w:val="20"/>
        </w:rPr>
        <w:t xml:space="preserve">Structured-output degradation: injecting /no_think as a second system message intermittently broke the planner’s JSON (single-task fallback plans); merging the directive into the first system message restored reliable 2–3-task plans.</w:t>
      </w:r>
    </w:p>
    <w:p>
      <w:pPr>
        <w:pStyle w:val="ListParagraph"/>
        <w:numPr>
          <w:ilvl w:val="0"/>
          <w:numId w:val="2"/>
        </w:numPr>
        <w:spacing w:after="60"/>
        <w:jc w:val="both"/>
      </w:pPr>
      <w:r>
        <w:rPr>
          <w:rFonts w:ascii="Times New Roman" w:cs="Times New Roman" w:eastAsia="Times New Roman" w:hAnsi="Times New Roman"/>
          <w:sz w:val="20"/>
          <w:szCs w:val="20"/>
        </w:rPr>
        <w:t xml:space="preserve">Resilience drills: killing the server mid-run produced the recovery message and a usable input within 4 s, with a successful fresh run after restart; a cross-origin WebSocket is refused; 11 rapid authentication attempts trigger HTTP 429; path-traversal probes against the artifact endpoint return HTTP 400.</w:t>
      </w:r>
    </w:p>
    <w:p>
      <w:pPr>
        <w:pStyle w:val="ListParagraph"/>
        <w:numPr>
          <w:ilvl w:val="0"/>
          <w:numId w:val="2"/>
        </w:numPr>
        <w:spacing w:after="60"/>
        <w:jc w:val="both"/>
      </w:pPr>
      <w:r>
        <w:rPr>
          <w:rFonts w:ascii="Times New Roman" w:cs="Times New Roman" w:eastAsia="Times New Roman" w:hAnsi="Times New Roman"/>
          <w:sz w:val="20"/>
          <w:szCs w:val="20"/>
        </w:rPr>
        <w:t xml:space="preserve">Qualitative output: representative goals ("plan my week", "plan me a 3-day trip to Moscow") produce day-structured, Markdown-formatted plans with actionable detail, and the critic’s bounded revision engages on weak drafts.</w:t>
      </w:r>
    </w:p>
    <w:p>
      <w:pPr>
        <w:pStyle w:val="Heading1"/>
        <w:spacing w:after="120" w:before="240"/>
        <w:jc w:val="center"/>
      </w:pPr>
      <w:r>
        <w:rPr>
          <w:rFonts w:ascii="Times New Roman" w:cs="Times New Roman" w:eastAsia="Times New Roman" w:hAnsi="Times New Roman"/>
          <w:smallCaps/>
          <w:sz w:val="20"/>
          <w:szCs w:val="20"/>
        </w:rPr>
        <w:t xml:space="preserve">X. LIMITATIONS</w:t>
      </w:r>
    </w:p>
    <w:p>
      <w:pPr>
        <w:pStyle w:val="ListParagraph"/>
        <w:numPr>
          <w:ilvl w:val="0"/>
          <w:numId w:val="2"/>
        </w:numPr>
        <w:spacing w:after="60"/>
        <w:jc w:val="both"/>
      </w:pPr>
      <w:r>
        <w:rPr>
          <w:rFonts w:ascii="Times New Roman" w:cs="Times New Roman" w:eastAsia="Times New Roman" w:hAnsi="Times New Roman"/>
          <w:sz w:val="20"/>
          <w:szCs w:val="20"/>
        </w:rPr>
        <w:t xml:space="preserve">No controlled user study or standardized agent benchmark (e.g., TaskBench [8]) was run; quality evidence is qualitative and latency numbers come from small-N measurements on one network.</w:t>
      </w:r>
    </w:p>
    <w:p>
      <w:pPr>
        <w:pStyle w:val="ListParagraph"/>
        <w:numPr>
          <w:ilvl w:val="0"/>
          <w:numId w:val="2"/>
        </w:numPr>
        <w:spacing w:after="60"/>
        <w:jc w:val="both"/>
      </w:pPr>
      <w:r>
        <w:rPr>
          <w:rFonts w:ascii="Times New Roman" w:cs="Times New Roman" w:eastAsia="Times New Roman" w:hAnsi="Times New Roman"/>
          <w:sz w:val="20"/>
          <w:szCs w:val="20"/>
        </w:rPr>
        <w:t xml:space="preserve">Subtasks execute strictly sequentially; independent subtasks are not parallelized, leaving latency on the table.</w:t>
      </w:r>
    </w:p>
    <w:p>
      <w:pPr>
        <w:pStyle w:val="ListParagraph"/>
        <w:numPr>
          <w:ilvl w:val="0"/>
          <w:numId w:val="2"/>
        </w:numPr>
        <w:spacing w:after="60"/>
        <w:jc w:val="both"/>
      </w:pPr>
      <w:r>
        <w:rPr>
          <w:rFonts w:ascii="Times New Roman" w:cs="Times New Roman" w:eastAsia="Times New Roman" w:hAnsi="Times New Roman"/>
          <w:sz w:val="20"/>
          <w:szCs w:val="20"/>
        </w:rPr>
        <w:t xml:space="preserve">Web research relies on scraping a search engine’s HTML endpoint, which is brittle against markup changes and rate limiting, and retrieved snippets are shallow (top-5 titles/snippets).</w:t>
      </w:r>
    </w:p>
    <w:p>
      <w:pPr>
        <w:pStyle w:val="ListParagraph"/>
        <w:numPr>
          <w:ilvl w:val="0"/>
          <w:numId w:val="2"/>
        </w:numPr>
        <w:spacing w:after="60"/>
        <w:jc w:val="both"/>
      </w:pPr>
      <w:r>
        <w:rPr>
          <w:rFonts w:ascii="Times New Roman" w:cs="Times New Roman" w:eastAsia="Times New Roman" w:hAnsi="Times New Roman"/>
          <w:sz w:val="20"/>
          <w:szCs w:val="20"/>
        </w:rPr>
        <w:t xml:space="preserve">The critic is a single-pass judge with a 1,600-character view of the answer; it cannot verify factual claims against sources [15].</w:t>
      </w:r>
    </w:p>
    <w:p>
      <w:pPr>
        <w:pStyle w:val="ListParagraph"/>
        <w:numPr>
          <w:ilvl w:val="0"/>
          <w:numId w:val="2"/>
        </w:numPr>
        <w:spacing w:after="60"/>
        <w:jc w:val="both"/>
      </w:pPr>
      <w:r>
        <w:rPr>
          <w:rFonts w:ascii="Times New Roman" w:cs="Times New Roman" w:eastAsia="Times New Roman" w:hAnsi="Times New Roman"/>
          <w:sz w:val="20"/>
          <w:szCs w:val="20"/>
        </w:rPr>
        <w:t xml:space="preserve">run_code executes model-written JavaScript in a subprocess with a timeout but without OS-level sandboxing — acceptable for a demonstrator, not for production multi-tenancy.</w:t>
      </w:r>
    </w:p>
    <w:p>
      <w:pPr>
        <w:pStyle w:val="ListParagraph"/>
        <w:numPr>
          <w:ilvl w:val="0"/>
          <w:numId w:val="2"/>
        </w:numPr>
        <w:spacing w:after="60"/>
        <w:jc w:val="both"/>
      </w:pPr>
      <w:r>
        <w:rPr>
          <w:rFonts w:ascii="Times New Roman" w:cs="Times New Roman" w:eastAsia="Times New Roman" w:hAnsi="Times New Roman"/>
          <w:sz w:val="20"/>
          <w:szCs w:val="20"/>
        </w:rPr>
        <w:t xml:space="preserve">Session memory is per-connection and evaporates on server restart; there is no long-term user memory or preference learning.</w:t>
      </w:r>
    </w:p>
    <w:p>
      <w:pPr>
        <w:pStyle w:val="ListParagraph"/>
        <w:numPr>
          <w:ilvl w:val="0"/>
          <w:numId w:val="2"/>
        </w:numPr>
        <w:spacing w:after="60"/>
        <w:jc w:val="both"/>
      </w:pPr>
      <w:r>
        <w:rPr>
          <w:rFonts w:ascii="Times New Roman" w:cs="Times New Roman" w:eastAsia="Times New Roman" w:hAnsi="Times New Roman"/>
          <w:sz w:val="20"/>
          <w:szCs w:val="20"/>
        </w:rPr>
        <w:t xml:space="preserve">The deployment targets localhost; the WebSocket URL is compile-time constant and the origin allowlist admits only local clients.</w:t>
      </w:r>
    </w:p>
    <w:p>
      <w:pPr>
        <w:pStyle w:val="Heading1"/>
        <w:spacing w:after="120" w:before="240"/>
        <w:jc w:val="center"/>
      </w:pPr>
      <w:r>
        <w:rPr>
          <w:rFonts w:ascii="Times New Roman" w:cs="Times New Roman" w:eastAsia="Times New Roman" w:hAnsi="Times New Roman"/>
          <w:smallCaps/>
          <w:sz w:val="20"/>
          <w:szCs w:val="20"/>
        </w:rPr>
        <w:t xml:space="preserve">XI. FUTURE WORK</w:t>
      </w:r>
    </w:p>
    <w:p>
      <w:pPr>
        <w:pStyle w:val="ListParagraph"/>
        <w:numPr>
          <w:ilvl w:val="0"/>
          <w:numId w:val="2"/>
        </w:numPr>
        <w:spacing w:after="60"/>
        <w:jc w:val="both"/>
      </w:pPr>
      <w:r>
        <w:rPr>
          <w:rFonts w:ascii="Times New Roman" w:cs="Times New Roman" w:eastAsia="Times New Roman" w:hAnsi="Times New Roman"/>
          <w:sz w:val="20"/>
          <w:szCs w:val="20"/>
        </w:rPr>
        <w:t xml:space="preserve">Evaluation: adopt TaskBench-style decomposition/tool-selection metrics [8] and a small within-subjects user study comparing single-model vs. swarm outputs on identical goals.</w:t>
      </w:r>
    </w:p>
    <w:p>
      <w:pPr>
        <w:pStyle w:val="ListParagraph"/>
        <w:numPr>
          <w:ilvl w:val="0"/>
          <w:numId w:val="2"/>
        </w:numPr>
        <w:spacing w:after="60"/>
        <w:jc w:val="both"/>
      </w:pPr>
      <w:r>
        <w:rPr>
          <w:rFonts w:ascii="Times New Roman" w:cs="Times New Roman" w:eastAsia="Times New Roman" w:hAnsi="Times New Roman"/>
          <w:sz w:val="20"/>
          <w:szCs w:val="20"/>
        </w:rPr>
        <w:t xml:space="preserve">Parallel execution: let the planner emit a dependency DAG and execute independent branches concurrently, following evidence that decoupled sub-task contexts improve robustness and cost [2], [7].</w:t>
      </w:r>
    </w:p>
    <w:p>
      <w:pPr>
        <w:pStyle w:val="ListParagraph"/>
        <w:numPr>
          <w:ilvl w:val="0"/>
          <w:numId w:val="2"/>
        </w:numPr>
        <w:spacing w:after="60"/>
        <w:jc w:val="both"/>
      </w:pPr>
      <w:r>
        <w:rPr>
          <w:rFonts w:ascii="Times New Roman" w:cs="Times New Roman" w:eastAsia="Times New Roman" w:hAnsi="Times New Roman"/>
          <w:sz w:val="20"/>
          <w:szCs w:val="20"/>
        </w:rPr>
        <w:t xml:space="preserve">Learned routing: replace the static fallback order with difficulty-aware routing [19], [21], using logged run traces as supervision.</w:t>
      </w:r>
    </w:p>
    <w:p>
      <w:pPr>
        <w:pStyle w:val="ListParagraph"/>
        <w:numPr>
          <w:ilvl w:val="0"/>
          <w:numId w:val="2"/>
        </w:numPr>
        <w:spacing w:after="60"/>
        <w:jc w:val="both"/>
      </w:pPr>
      <w:r>
        <w:rPr>
          <w:rFonts w:ascii="Times New Roman" w:cs="Times New Roman" w:eastAsia="Times New Roman" w:hAnsi="Times New Roman"/>
          <w:sz w:val="20"/>
          <w:szCs w:val="20"/>
        </w:rPr>
        <w:t xml:space="preserve">Grounded criticism: upgrade the critic to tool-interactive verification of claims against retrieved sources [15].</w:t>
      </w:r>
    </w:p>
    <w:p>
      <w:pPr>
        <w:pStyle w:val="ListParagraph"/>
        <w:numPr>
          <w:ilvl w:val="0"/>
          <w:numId w:val="2"/>
        </w:numPr>
        <w:spacing w:after="60"/>
        <w:jc w:val="both"/>
      </w:pPr>
      <w:r>
        <w:rPr>
          <w:rFonts w:ascii="Times New Roman" w:cs="Times New Roman" w:eastAsia="Times New Roman" w:hAnsi="Times New Roman"/>
          <w:sz w:val="20"/>
          <w:szCs w:val="20"/>
        </w:rPr>
        <w:t xml:space="preserve">Public deployment: environment-based endpoints, TLS, per-user rate limits, and containerized code execution.</w:t>
      </w:r>
    </w:p>
    <w:p>
      <w:pPr>
        <w:pStyle w:val="ListParagraph"/>
        <w:numPr>
          <w:ilvl w:val="0"/>
          <w:numId w:val="2"/>
        </w:numPr>
        <w:spacing w:after="60"/>
        <w:jc w:val="both"/>
      </w:pPr>
      <w:r>
        <w:rPr>
          <w:rFonts w:ascii="Times New Roman" w:cs="Times New Roman" w:eastAsia="Times New Roman" w:hAnsi="Times New Roman"/>
          <w:sz w:val="20"/>
          <w:szCs w:val="20"/>
        </w:rPr>
        <w:t xml:space="preserve">Product surface: e-mail/PDF delivery (the pipeline exists behind an SMTP credential), calendar integration, and long-term preference memory.</w:t>
      </w:r>
    </w:p>
    <w:p>
      <w:pPr>
        <w:pStyle w:val="Heading1"/>
        <w:spacing w:after="120" w:before="240"/>
        <w:jc w:val="center"/>
      </w:pPr>
      <w:r>
        <w:rPr>
          <w:rFonts w:ascii="Times New Roman" w:cs="Times New Roman" w:eastAsia="Times New Roman" w:hAnsi="Times New Roman"/>
          <w:smallCaps/>
          <w:sz w:val="20"/>
          <w:szCs w:val="20"/>
        </w:rPr>
        <w:t xml:space="preserve">XII. CONCLUSION</w:t>
      </w:r>
    </w:p>
    <w:p>
      <w:pPr>
        <w:spacing w:after="100"/>
        <w:jc w:val="both"/>
      </w:pPr>
      <w:r>
        <w:rPr>
          <w:rFonts w:ascii="Times New Roman" w:cs="Times New Roman" w:eastAsia="Times New Roman" w:hAnsi="Times New Roman"/>
          <w:sz w:val="20"/>
          <w:szCs w:val="20"/>
        </w:rPr>
        <w:t xml:space="preserve">GreenLeaf demonstrates that a small, carefully engineered team of pretrained LLM agents — one planner, a few tool-scoped specialists, a synthesizer, and a bounded critic — can turn open-ended natural-language goals into structured, artifact-producing plans at interactive latency, without training a single parameter. The projects durable lessons are systemic rather than model-centric: reliability came from treating the model tier as an unreliable network service (fallback chains, cooldowns, empty-response rerouting, request shaping), and perceived quality came as much from the interface’s honest, live rendering of agent work as from the answers themselves. We offer the failure modes documented here — reasoning-token starvation, second-system-message degradation, and silently corrupted tool calls on specific deployments — as practical checkpoints for anyone assembling agentic systems from hosted models.</w:t>
      </w:r>
    </w:p>
    <w:p>
      <w:pPr>
        <w:pStyle w:val="Heading1"/>
        <w:spacing w:after="120" w:before="240"/>
        <w:jc w:val="center"/>
      </w:pPr>
      <w:r>
        <w:rPr>
          <w:rFonts w:ascii="Times New Roman" w:cs="Times New Roman" w:eastAsia="Times New Roman" w:hAnsi="Times New Roman"/>
          <w:smallCaps/>
          <w:sz w:val="20"/>
          <w:szCs w:val="20"/>
        </w:rPr>
        <w:t xml:space="preserve">REFERENCES</w:t>
      </w:r>
    </w:p>
    <w:p>
      <w:pPr>
        <w:spacing w:after="40"/>
        <w:ind w:left="360" w:hanging="360"/>
        <w:jc w:val="left"/>
      </w:pPr>
      <w:r>
        <w:rPr>
          <w:rFonts w:ascii="Times New Roman" w:cs="Times New Roman" w:eastAsia="Times New Roman" w:hAnsi="Times New Roman"/>
          <w:sz w:val="16"/>
          <w:szCs w:val="16"/>
        </w:rPr>
        <w:t xml:space="preserve">[1] K.-T. Tran et al., "Multi-Agent Collaboration Mechanisms: A Survey of LLMs," arXiv preprint, 2025.</w:t>
      </w:r>
    </w:p>
    <w:p>
      <w:pPr>
        <w:spacing w:after="40"/>
        <w:ind w:left="360" w:hanging="360"/>
        <w:jc w:val="left"/>
      </w:pPr>
      <w:r>
        <w:rPr>
          <w:rFonts w:ascii="Times New Roman" w:cs="Times New Roman" w:eastAsia="Times New Roman" w:hAnsi="Times New Roman"/>
          <w:sz w:val="16"/>
          <w:szCs w:val="16"/>
        </w:rPr>
        <w:t xml:space="preserve">[2] C. Qian et al., "Scaling Large-Language-Model-based Multi-Agent Collaboration," arXiv preprint, 2024.</w:t>
      </w:r>
    </w:p>
    <w:p>
      <w:pPr>
        <w:spacing w:after="40"/>
        <w:ind w:left="360" w:hanging="360"/>
        <w:jc w:val="left"/>
      </w:pPr>
      <w:r>
        <w:rPr>
          <w:rFonts w:ascii="Times New Roman" w:cs="Times New Roman" w:eastAsia="Times New Roman" w:hAnsi="Times New Roman"/>
          <w:sz w:val="16"/>
          <w:szCs w:val="16"/>
        </w:rPr>
        <w:t xml:space="preserve">[3] Y. Dang et al., "Multi-Agent Collaboration via Evolving Orchestration," arXiv preprint, 2025.</w:t>
      </w:r>
    </w:p>
    <w:p>
      <w:pPr>
        <w:spacing w:after="40"/>
        <w:ind w:left="360" w:hanging="360"/>
        <w:jc w:val="left"/>
      </w:pPr>
      <w:r>
        <w:rPr>
          <w:rFonts w:ascii="Times New Roman" w:cs="Times New Roman" w:eastAsia="Times New Roman" w:hAnsi="Times New Roman"/>
          <w:sz w:val="16"/>
          <w:szCs w:val="16"/>
        </w:rPr>
        <w:t xml:space="preserve">[4] Y. Zhang et al., "Chain of Agents: Large Language Models Collaborating on Long-Context Tasks," arXiv preprint, 2024.</w:t>
      </w:r>
    </w:p>
    <w:p>
      <w:pPr>
        <w:spacing w:after="40"/>
        <w:ind w:left="360" w:hanging="360"/>
        <w:jc w:val="left"/>
      </w:pPr>
      <w:r>
        <w:rPr>
          <w:rFonts w:ascii="Times New Roman" w:cs="Times New Roman" w:eastAsia="Times New Roman" w:hAnsi="Times New Roman"/>
          <w:sz w:val="16"/>
          <w:szCs w:val="16"/>
        </w:rPr>
        <w:t xml:space="preserve">[5] X. Huang et al., "Understanding the Planning of LLM Agents: A Survey," arXiv preprint, 2024.</w:t>
      </w:r>
    </w:p>
    <w:p>
      <w:pPr>
        <w:spacing w:after="40"/>
        <w:ind w:left="360" w:hanging="360"/>
        <w:jc w:val="left"/>
      </w:pPr>
      <w:r>
        <w:rPr>
          <w:rFonts w:ascii="Times New Roman" w:cs="Times New Roman" w:eastAsia="Times New Roman" w:hAnsi="Times New Roman"/>
          <w:sz w:val="16"/>
          <w:szCs w:val="16"/>
        </w:rPr>
        <w:t xml:space="preserve">[6] A. Prasad et al., "ADaPT: As-Needed Decomposition and Planning with Language Models," Proc. NAACL Findings, 2024.</w:t>
      </w:r>
    </w:p>
    <w:p>
      <w:pPr>
        <w:spacing w:after="40"/>
        <w:ind w:left="360" w:hanging="360"/>
        <w:jc w:val="left"/>
      </w:pPr>
      <w:r>
        <w:rPr>
          <w:rFonts w:ascii="Times New Roman" w:cs="Times New Roman" w:eastAsia="Times New Roman" w:hAnsi="Times New Roman"/>
          <w:sz w:val="16"/>
          <w:szCs w:val="16"/>
        </w:rPr>
        <w:t xml:space="preserve">[7] Y. Wang et al., "TDAG: A Multi-Agent Framework Based on Dynamic Task Decomposition and Agent Generation," Neural Networks, vol. 183, 2025.</w:t>
      </w:r>
    </w:p>
    <w:p>
      <w:pPr>
        <w:spacing w:after="40"/>
        <w:ind w:left="360" w:hanging="360"/>
        <w:jc w:val="left"/>
      </w:pPr>
      <w:r>
        <w:rPr>
          <w:rFonts w:ascii="Times New Roman" w:cs="Times New Roman" w:eastAsia="Times New Roman" w:hAnsi="Times New Roman"/>
          <w:sz w:val="16"/>
          <w:szCs w:val="16"/>
        </w:rPr>
        <w:t xml:space="preserve">[8] Y. Shen et al., "TaskBench: Benchmarking Large Language Models for Task Automation," arXiv preprint, 2023.</w:t>
      </w:r>
    </w:p>
    <w:p>
      <w:pPr>
        <w:spacing w:after="40"/>
        <w:ind w:left="360" w:hanging="360"/>
        <w:jc w:val="left"/>
      </w:pPr>
      <w:r>
        <w:rPr>
          <w:rFonts w:ascii="Times New Roman" w:cs="Times New Roman" w:eastAsia="Times New Roman" w:hAnsi="Times New Roman"/>
          <w:sz w:val="16"/>
          <w:szCs w:val="16"/>
        </w:rPr>
        <w:t xml:space="preserve">[9] A. Plaat et al., "Agentic Large Language Models, a Survey," arXiv preprint, 2025.</w:t>
      </w:r>
    </w:p>
    <w:p>
      <w:pPr>
        <w:spacing w:after="40"/>
        <w:ind w:left="360" w:hanging="360"/>
        <w:jc w:val="left"/>
      </w:pPr>
      <w:r>
        <w:rPr>
          <w:rFonts w:ascii="Times New Roman" w:cs="Times New Roman" w:eastAsia="Times New Roman" w:hAnsi="Times New Roman"/>
          <w:sz w:val="16"/>
          <w:szCs w:val="16"/>
        </w:rPr>
        <w:t xml:space="preserve">[10] S. G. Patil et al., "The Berkeley Function Calling Leaderboard (BFCL): From Tool Use to Agentic Evaluation of Large Language Models," 2025.</w:t>
      </w:r>
    </w:p>
    <w:p>
      <w:pPr>
        <w:spacing w:after="40"/>
        <w:ind w:left="360" w:hanging="360"/>
        <w:jc w:val="left"/>
      </w:pPr>
      <w:r>
        <w:rPr>
          <w:rFonts w:ascii="Times New Roman" w:cs="Times New Roman" w:eastAsia="Times New Roman" w:hAnsi="Times New Roman"/>
          <w:sz w:val="16"/>
          <w:szCs w:val="16"/>
        </w:rPr>
        <w:t xml:space="preserve">[11] B. Paranjape et al., "ART: Automatic Multi-Step Reasoning and Tool-Use for Large Language Models," arXiv preprint, 2023.</w:t>
      </w:r>
    </w:p>
    <w:p>
      <w:pPr>
        <w:spacing w:after="40"/>
        <w:ind w:left="360" w:hanging="360"/>
        <w:jc w:val="left"/>
      </w:pPr>
      <w:r>
        <w:rPr>
          <w:rFonts w:ascii="Times New Roman" w:cs="Times New Roman" w:eastAsia="Times New Roman" w:hAnsi="Times New Roman"/>
          <w:sz w:val="16"/>
          <w:szCs w:val="16"/>
        </w:rPr>
        <w:t xml:space="preserve">[12] M. Verma, S. Bhambri, and S. Kambhampati, "On the Brittle Foundations of ReAct Prompting for Agentic Large Language Models," arXiv preprint, 2024.</w:t>
      </w:r>
    </w:p>
    <w:p>
      <w:pPr>
        <w:spacing w:after="40"/>
        <w:ind w:left="360" w:hanging="360"/>
        <w:jc w:val="left"/>
      </w:pPr>
      <w:r>
        <w:rPr>
          <w:rFonts w:ascii="Times New Roman" w:cs="Times New Roman" w:eastAsia="Times New Roman" w:hAnsi="Times New Roman"/>
          <w:sz w:val="16"/>
          <w:szCs w:val="16"/>
        </w:rPr>
        <w:t xml:space="preserve">[13] V. Dongre et al., "ReSpAct: Harmonizing Reasoning, Speaking, and Acting Towards Building Large Language Model-Based Conversational AI Agents," arXiv preprint, 2024.</w:t>
      </w:r>
    </w:p>
    <w:p>
      <w:pPr>
        <w:spacing w:after="40"/>
        <w:ind w:left="360" w:hanging="360"/>
        <w:jc w:val="left"/>
      </w:pPr>
      <w:r>
        <w:rPr>
          <w:rFonts w:ascii="Times New Roman" w:cs="Times New Roman" w:eastAsia="Times New Roman" w:hAnsi="Times New Roman"/>
          <w:sz w:val="16"/>
          <w:szCs w:val="16"/>
        </w:rPr>
        <w:t xml:space="preserve">[14] A. Madaan et al., "Self-Refine: Iterative Refinement with Self-Feedback," Proc. NeurIPS, 2023.</w:t>
      </w:r>
    </w:p>
    <w:p>
      <w:pPr>
        <w:spacing w:after="40"/>
        <w:ind w:left="360" w:hanging="360"/>
        <w:jc w:val="left"/>
      </w:pPr>
      <w:r>
        <w:rPr>
          <w:rFonts w:ascii="Times New Roman" w:cs="Times New Roman" w:eastAsia="Times New Roman" w:hAnsi="Times New Roman"/>
          <w:sz w:val="16"/>
          <w:szCs w:val="16"/>
        </w:rPr>
        <w:t xml:space="preserve">[15] Z. Gou et al., "CRITIC: Large Language Models Can Self-Correct with Tool-Interactive Critiquing," Proc. ICLR, 2024.</w:t>
      </w:r>
    </w:p>
    <w:p>
      <w:pPr>
        <w:spacing w:after="40"/>
        <w:ind w:left="360" w:hanging="360"/>
        <w:jc w:val="left"/>
      </w:pPr>
      <w:r>
        <w:rPr>
          <w:rFonts w:ascii="Times New Roman" w:cs="Times New Roman" w:eastAsia="Times New Roman" w:hAnsi="Times New Roman"/>
          <w:sz w:val="16"/>
          <w:szCs w:val="16"/>
        </w:rPr>
        <w:t xml:space="preserve">[16] W. Saunders et al., "Self-Critiquing Models for Assisting Human Evaluators," arXiv preprint, 2022.</w:t>
      </w:r>
    </w:p>
    <w:p>
      <w:pPr>
        <w:spacing w:after="40"/>
        <w:ind w:left="360" w:hanging="360"/>
        <w:jc w:val="left"/>
      </w:pPr>
      <w:r>
        <w:rPr>
          <w:rFonts w:ascii="Times New Roman" w:cs="Times New Roman" w:eastAsia="Times New Roman" w:hAnsi="Times New Roman"/>
          <w:sz w:val="16"/>
          <w:szCs w:val="16"/>
        </w:rPr>
        <w:t xml:space="preserve">[17] L. Pan et al., "Automatically Correcting Large Language Models: Surveying the Landscape of Diverse Self-Correction Strategies," Trans. ACL, 2024.</w:t>
      </w:r>
    </w:p>
    <w:p>
      <w:pPr>
        <w:spacing w:after="40"/>
        <w:ind w:left="360" w:hanging="360"/>
        <w:jc w:val="left"/>
      </w:pPr>
      <w:r>
        <w:rPr>
          <w:rFonts w:ascii="Times New Roman" w:cs="Times New Roman" w:eastAsia="Times New Roman" w:hAnsi="Times New Roman"/>
          <w:sz w:val="16"/>
          <w:szCs w:val="16"/>
        </w:rPr>
        <w:t xml:space="preserve">[18] L. Chen, M. Zaharia, and J. Zou, "FrugalGPT: How to Use Large Language Models While Reducing Cost and Improving Performance," arXiv preprint, 2023.</w:t>
      </w:r>
    </w:p>
    <w:p>
      <w:pPr>
        <w:spacing w:after="40"/>
        <w:ind w:left="360" w:hanging="360"/>
        <w:jc w:val="left"/>
      </w:pPr>
      <w:r>
        <w:rPr>
          <w:rFonts w:ascii="Times New Roman" w:cs="Times New Roman" w:eastAsia="Times New Roman" w:hAnsi="Times New Roman"/>
          <w:sz w:val="16"/>
          <w:szCs w:val="16"/>
        </w:rPr>
        <w:t xml:space="preserve">[19] I. Ong et al., "RouteLLM: Learning to Route LLMs with Preference Data," arXiv preprint, 2024.</w:t>
      </w:r>
    </w:p>
    <w:p>
      <w:pPr>
        <w:spacing w:after="40"/>
        <w:ind w:left="360" w:hanging="360"/>
        <w:jc w:val="left"/>
      </w:pPr>
      <w:r>
        <w:rPr>
          <w:rFonts w:ascii="Times New Roman" w:cs="Times New Roman" w:eastAsia="Times New Roman" w:hAnsi="Times New Roman"/>
          <w:sz w:val="16"/>
          <w:szCs w:val="16"/>
        </w:rPr>
        <w:t xml:space="preserve">[20] D. Ding et al., "Hybrid LLM: Cost-Efficient and Quality-Aware Query Routing," Proc. ICLR, 2024.</w:t>
      </w:r>
    </w:p>
    <w:p>
      <w:pPr>
        <w:spacing w:after="40"/>
        <w:ind w:left="360" w:hanging="360"/>
        <w:jc w:val="left"/>
      </w:pPr>
      <w:r>
        <w:rPr>
          <w:rFonts w:ascii="Times New Roman" w:cs="Times New Roman" w:eastAsia="Times New Roman" w:hAnsi="Times New Roman"/>
          <w:sz w:val="16"/>
          <w:szCs w:val="16"/>
        </w:rPr>
        <w:t xml:space="preserve">[21] J. Dekoninck, M. Baader, and M. Vechev, "A Unified Approach to Routing and Cascading for LLMs," arXiv preprint, 2024.</w:t>
      </w:r>
    </w:p>
    <w:p>
      <w:pPr>
        <w:spacing w:after="40"/>
        <w:ind w:left="360" w:hanging="360"/>
        <w:jc w:val="left"/>
      </w:pPr>
      <w:r>
        <w:rPr>
          <w:rFonts w:ascii="Times New Roman" w:cs="Times New Roman" w:eastAsia="Times New Roman" w:hAnsi="Times New Roman"/>
          <w:sz w:val="16"/>
          <w:szCs w:val="16"/>
        </w:rPr>
        <w:t xml:space="preserve">[22] M. A. Ferrag et al., "From LLM Reasoning to Autonomous AI Agents: A Comprehensive Review," IEEE Access, vol. 13, 2025.</w:t>
      </w:r>
    </w:p>
    <w:sectPr>
      <w:type w:val="continuous"/>
      <w:pgSz w:w="12240" w:h="15840" w:orient="portrait"/>
      <w:pgMar w:top="900" w:right="900" w:bottom="900" w:left="900" w:header="708" w:footer="708" w:gutter="0"/>
      <w:pgNumType/>
      <w:cols w:space="3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t xml:space="preserve">Page </w:t>
    </w: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66666"/>
        <w:sz w:val="16"/>
        <w:szCs w:val="16"/>
      </w:rPr>
      <w:t xml:space="preserve">GreenLeaf — Multi-Agent AI Planning Assistant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val="false"/>
      <w:bCs w:val="false"/>
      <w:smallCaps/>
      <w:sz w:val="20"/>
      <w:szCs w:val="20"/>
    </w:rPr>
  </w:style>
  <w:style w:type="paragraph" w:styleId="Heading2">
    <w:name w:val="Heading 2"/>
    <w:basedOn w:val="Normal"/>
    <w:next w:val="Normal"/>
    <w:qFormat/>
    <w:pPr>
      <w:spacing w:after="100" w:before="160"/>
      <w:outlineLvl w:val="1"/>
    </w:pPr>
    <w:rPr>
      <w:rFonts w:ascii="Times New Roman" w:cs="Times New Roman" w:eastAsia="Times New Roman" w:hAnsi="Times New Roman"/>
      <w:b w:val="false"/>
      <w:bCs w:val="false"/>
      <w:i/>
      <w:iC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2026-07-10T18:43:22.526Z</dcterms:created>
  <dcterms:modified xsi:type="dcterms:W3CDTF">2026-07-10T18:43:22.530Z</dcterms:modified>
</cp:coreProperties>
</file>

<file path=docProps/custom.xml><?xml version="1.0" encoding="utf-8"?>
<Properties xmlns="http://schemas.openxmlformats.org/officeDocument/2006/custom-properties" xmlns:vt="http://schemas.openxmlformats.org/officeDocument/2006/docPropsVTypes"/>
</file>