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5113" w14:textId="6FB2EFCD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 xml:space="preserve">Nombre completo: </w:t>
      </w:r>
      <w:r w:rsidRPr="0043225B">
        <w:rPr>
          <w:rFonts w:ascii="Arial Narrow" w:hAnsi="Arial Narrow"/>
          <w:sz w:val="24"/>
          <w:szCs w:val="24"/>
        </w:rPr>
        <w:t xml:space="preserve">Justin Alexaner Antón Hernández </w:t>
      </w:r>
    </w:p>
    <w:p w14:paraId="6293F482" w14:textId="4B886F90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 xml:space="preserve">Número de carné: </w:t>
      </w:r>
      <w:r w:rsidRPr="0043225B">
        <w:rPr>
          <w:rFonts w:ascii="Arial Narrow" w:hAnsi="Arial Narrow"/>
          <w:sz w:val="24"/>
          <w:szCs w:val="24"/>
        </w:rPr>
        <w:t>9941-25-20386</w:t>
      </w:r>
    </w:p>
    <w:p w14:paraId="6117F851" w14:textId="4877DD38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 xml:space="preserve">Curso y sección: </w:t>
      </w:r>
      <w:proofErr w:type="spellStart"/>
      <w:r w:rsidRPr="0043225B">
        <w:rPr>
          <w:rFonts w:ascii="Arial Narrow" w:hAnsi="Arial Narrow"/>
          <w:sz w:val="24"/>
          <w:szCs w:val="24"/>
        </w:rPr>
        <w:t>ing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en sistemas </w:t>
      </w:r>
    </w:p>
    <w:p w14:paraId="6F9E1423" w14:textId="77777777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>Nombre de la tarea: Sistema de Cálculo de Envíos</w:t>
      </w:r>
    </w:p>
    <w:p w14:paraId="3EF8A2DB" w14:textId="005086A4" w:rsidR="00FC1399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C49E0FA" wp14:editId="041C3D1B">
            <wp:extent cx="4782000" cy="4610100"/>
            <wp:effectExtent l="0" t="0" r="0" b="0"/>
            <wp:docPr id="568456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697" name="Imagen 56845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089" cy="46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D13C" w14:textId="5C3E4429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5BC9AF83" wp14:editId="578C5AA2">
            <wp:extent cx="4324350" cy="2796540"/>
            <wp:effectExtent l="0" t="0" r="0" b="3810"/>
            <wp:docPr id="12748944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4422" name="Imagen 1274894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7" cy="27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5FAB" w14:textId="062E4037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37623C66" wp14:editId="63E426C6">
            <wp:extent cx="4534533" cy="6401693"/>
            <wp:effectExtent l="0" t="0" r="0" b="0"/>
            <wp:docPr id="10240137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3743" name="Imagen 1024013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FA0D" w14:textId="77777777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 xml:space="preserve">La clase </w:t>
      </w:r>
      <w:proofErr w:type="spellStart"/>
      <w:r w:rsidRPr="0043225B">
        <w:rPr>
          <w:rFonts w:ascii="Arial Narrow" w:hAnsi="Arial Narrow"/>
          <w:sz w:val="24"/>
          <w:szCs w:val="24"/>
        </w:rPr>
        <w:t>Envio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funciona como superclase, mientras que </w:t>
      </w:r>
      <w:proofErr w:type="spellStart"/>
      <w:r w:rsidRPr="0043225B">
        <w:rPr>
          <w:rFonts w:ascii="Arial Narrow" w:hAnsi="Arial Narrow"/>
          <w:sz w:val="24"/>
          <w:szCs w:val="24"/>
        </w:rPr>
        <w:t>EnvioNacional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y </w:t>
      </w:r>
      <w:proofErr w:type="spellStart"/>
      <w:r w:rsidRPr="0043225B">
        <w:rPr>
          <w:rFonts w:ascii="Arial Narrow" w:hAnsi="Arial Narrow"/>
          <w:sz w:val="24"/>
          <w:szCs w:val="24"/>
        </w:rPr>
        <w:t>EnvioInternacional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heredan de ella. </w:t>
      </w:r>
    </w:p>
    <w:p w14:paraId="094B901B" w14:textId="77777777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 xml:space="preserve">El método </w:t>
      </w:r>
      <w:proofErr w:type="spellStart"/>
      <w:r w:rsidRPr="0043225B">
        <w:rPr>
          <w:rFonts w:ascii="Arial Narrow" w:hAnsi="Arial Narrow"/>
          <w:sz w:val="24"/>
          <w:szCs w:val="24"/>
        </w:rPr>
        <w:t>calcularCostoFinal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fue sobrescrito en ambas subclases para implementar reglas de cálculo específicas. </w:t>
      </w:r>
    </w:p>
    <w:p w14:paraId="32E404F2" w14:textId="77777777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 xml:space="preserve">El método </w:t>
      </w:r>
      <w:proofErr w:type="spellStart"/>
      <w:r w:rsidRPr="0043225B">
        <w:rPr>
          <w:rFonts w:ascii="Arial Narrow" w:hAnsi="Arial Narrow"/>
          <w:sz w:val="24"/>
          <w:szCs w:val="24"/>
        </w:rPr>
        <w:t>mostrarResumen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fue sobrecargado, ofreciendo una versión simple y otra con desglose completo. </w:t>
      </w:r>
    </w:p>
    <w:p w14:paraId="709E8709" w14:textId="77777777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lastRenderedPageBreak/>
        <w:t xml:space="preserve">El polimorfismo se demuestra en Main cuando una variable de tipo </w:t>
      </w:r>
      <w:proofErr w:type="spellStart"/>
      <w:r w:rsidRPr="0043225B">
        <w:rPr>
          <w:rFonts w:ascii="Arial Narrow" w:hAnsi="Arial Narrow"/>
          <w:sz w:val="24"/>
          <w:szCs w:val="24"/>
        </w:rPr>
        <w:t>Envio</w:t>
      </w:r>
      <w:proofErr w:type="spellEnd"/>
      <w:r w:rsidRPr="0043225B">
        <w:rPr>
          <w:rFonts w:ascii="Arial Narrow" w:hAnsi="Arial Narrow"/>
          <w:sz w:val="24"/>
          <w:szCs w:val="24"/>
        </w:rPr>
        <w:t xml:space="preserve"> almacena objetos de las subclases, </w:t>
      </w:r>
    </w:p>
    <w:p w14:paraId="023F9618" w14:textId="0CAF5D48" w:rsidR="0043225B" w:rsidRPr="0043225B" w:rsidRDefault="0043225B" w:rsidP="0043225B">
      <w:pPr>
        <w:jc w:val="both"/>
        <w:rPr>
          <w:rFonts w:ascii="Arial Narrow" w:hAnsi="Arial Narrow"/>
          <w:sz w:val="24"/>
          <w:szCs w:val="24"/>
        </w:rPr>
      </w:pPr>
      <w:r w:rsidRPr="0043225B">
        <w:rPr>
          <w:rFonts w:ascii="Arial Narrow" w:hAnsi="Arial Narrow"/>
          <w:sz w:val="24"/>
          <w:szCs w:val="24"/>
        </w:rPr>
        <w:t>invocando los métodos sobrescritos según el tipo real del objeto en tiempo de ejecución.</w:t>
      </w:r>
    </w:p>
    <w:sectPr w:rsidR="0043225B" w:rsidRPr="0043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5B"/>
    <w:rsid w:val="00191C57"/>
    <w:rsid w:val="001B49F3"/>
    <w:rsid w:val="0043225B"/>
    <w:rsid w:val="00FC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82D7D"/>
  <w15:chartTrackingRefBased/>
  <w15:docId w15:val="{522E0FDC-9DBE-4B64-ACEA-50D6124C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2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2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2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2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2026-08-23T21:26:00Z</dcterms:created>
  <dcterms:modified xsi:type="dcterms:W3CDTF">2026-08-23T21:37:00Z</dcterms:modified>
</cp:coreProperties>
</file>