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E1D6A" w14:textId="77777777" w:rsidR="004A550F" w:rsidRPr="0010784B" w:rsidRDefault="004A550F" w:rsidP="0027208E">
      <w:pPr>
        <w:tabs>
          <w:tab w:val="left" w:pos="990"/>
        </w:tabs>
        <w:contextualSpacing/>
        <w:jc w:val="center"/>
        <w:rPr>
          <w:rFonts w:ascii="Arial" w:hAnsi="Arial" w:cs="Arial"/>
        </w:rPr>
      </w:pPr>
      <w:bookmarkStart w:id="0" w:name="_GoBack"/>
      <w:bookmarkEnd w:id="0"/>
    </w:p>
    <w:p w14:paraId="090F92DE" w14:textId="5DBAC88B" w:rsidR="00B20456" w:rsidRPr="0010784B" w:rsidRDefault="00A3569C" w:rsidP="0027208E">
      <w:pPr>
        <w:tabs>
          <w:tab w:val="left" w:pos="990"/>
        </w:tabs>
        <w:contextualSpacing/>
        <w:jc w:val="center"/>
        <w:rPr>
          <w:rFonts w:ascii="Arial" w:hAnsi="Arial" w:cs="Arial"/>
          <w:b/>
        </w:rPr>
      </w:pPr>
      <w:r w:rsidRPr="0010784B">
        <w:rPr>
          <w:rFonts w:ascii="Arial" w:hAnsi="Arial" w:cs="Arial"/>
          <w:b/>
        </w:rPr>
        <w:t>ARCH Newsletter</w:t>
      </w:r>
    </w:p>
    <w:p w14:paraId="61AC719B" w14:textId="73C0E1EC" w:rsidR="00A3569C" w:rsidRPr="0010784B" w:rsidRDefault="00B57260" w:rsidP="0027208E">
      <w:pPr>
        <w:tabs>
          <w:tab w:val="left" w:pos="990"/>
        </w:tabs>
        <w:contextualSpacing/>
        <w:jc w:val="center"/>
        <w:rPr>
          <w:rFonts w:ascii="Arial" w:hAnsi="Arial" w:cs="Arial"/>
          <w:b/>
        </w:rPr>
      </w:pPr>
      <w:r w:rsidRPr="0010784B">
        <w:rPr>
          <w:rFonts w:ascii="Arial" w:hAnsi="Arial" w:cs="Arial"/>
          <w:b/>
        </w:rPr>
        <w:t>December</w:t>
      </w:r>
      <w:r w:rsidR="009341F8" w:rsidRPr="0010784B">
        <w:rPr>
          <w:rFonts w:ascii="Arial" w:hAnsi="Arial" w:cs="Arial"/>
          <w:b/>
        </w:rPr>
        <w:t xml:space="preserve"> </w:t>
      </w:r>
      <w:r w:rsidR="00A3569C" w:rsidRPr="0010784B">
        <w:rPr>
          <w:rFonts w:ascii="Arial" w:hAnsi="Arial" w:cs="Arial"/>
          <w:b/>
        </w:rPr>
        <w:t>2013</w:t>
      </w:r>
    </w:p>
    <w:p w14:paraId="54558FC0" w14:textId="77777777" w:rsidR="00145262" w:rsidRPr="0010784B" w:rsidRDefault="00145262" w:rsidP="0027208E">
      <w:pPr>
        <w:tabs>
          <w:tab w:val="left" w:pos="990"/>
        </w:tabs>
        <w:contextualSpacing/>
        <w:jc w:val="center"/>
        <w:rPr>
          <w:rFonts w:ascii="Arial" w:hAnsi="Arial" w:cs="Arial"/>
          <w:b/>
        </w:rPr>
      </w:pPr>
    </w:p>
    <w:p w14:paraId="7C58E458" w14:textId="77777777" w:rsidR="00A3569C" w:rsidRPr="0010784B" w:rsidRDefault="00A3569C" w:rsidP="0027208E">
      <w:pPr>
        <w:tabs>
          <w:tab w:val="left" w:pos="990"/>
        </w:tabs>
        <w:contextualSpacing/>
        <w:jc w:val="center"/>
        <w:rPr>
          <w:rFonts w:ascii="Arial" w:hAnsi="Arial" w:cs="Arial"/>
        </w:rPr>
      </w:pPr>
    </w:p>
    <w:p w14:paraId="2F9DDD89" w14:textId="3BD19F56" w:rsidR="00CF07AA" w:rsidRPr="0010784B" w:rsidRDefault="00CF07AA" w:rsidP="00145262">
      <w:pPr>
        <w:pStyle w:val="ListParagraph"/>
        <w:numPr>
          <w:ilvl w:val="0"/>
          <w:numId w:val="7"/>
        </w:numPr>
        <w:tabs>
          <w:tab w:val="left" w:pos="990"/>
        </w:tabs>
        <w:ind w:left="360"/>
        <w:rPr>
          <w:rFonts w:ascii="Arial" w:hAnsi="Arial" w:cs="Arial"/>
        </w:rPr>
      </w:pPr>
      <w:r w:rsidRPr="0010784B">
        <w:rPr>
          <w:rFonts w:ascii="Arial" w:hAnsi="Arial" w:cs="Arial"/>
        </w:rPr>
        <w:t>Updates:</w:t>
      </w:r>
    </w:p>
    <w:p w14:paraId="5B496C2A" w14:textId="74AE672C" w:rsidR="00CF07AA" w:rsidRPr="0010784B" w:rsidRDefault="00CF07AA" w:rsidP="00145262">
      <w:pPr>
        <w:pStyle w:val="ListParagraph"/>
        <w:tabs>
          <w:tab w:val="left" w:pos="990"/>
        </w:tabs>
        <w:ind w:left="360"/>
        <w:rPr>
          <w:rFonts w:ascii="Arial" w:hAnsi="Arial" w:cs="Arial"/>
          <w:bCs/>
        </w:rPr>
      </w:pPr>
      <w:r w:rsidRPr="0010784B">
        <w:rPr>
          <w:rFonts w:ascii="Arial" w:hAnsi="Arial" w:cs="Arial"/>
        </w:rPr>
        <w:t xml:space="preserve">We have added materials from the </w:t>
      </w:r>
      <w:r w:rsidRPr="0010784B">
        <w:rPr>
          <w:rFonts w:ascii="Arial" w:hAnsi="Arial" w:cs="Arial"/>
          <w:b/>
          <w:bCs/>
        </w:rPr>
        <w:t xml:space="preserve">Health Research Partnership in Asian Communities (HRPAC) </w:t>
      </w:r>
      <w:r w:rsidRPr="0010784B">
        <w:rPr>
          <w:rFonts w:ascii="Arial" w:hAnsi="Arial" w:cs="Arial"/>
          <w:bCs/>
        </w:rPr>
        <w:t xml:space="preserve">Research Partnership Development and Grant Writing Training Program to the Research Resources page. This is a program that was led by Dr. Bang Nguyen at the Cancer Prevention Institute of California and with the collaborations of ARCH members at UCSF and the Vietnamese Reach for Health Coalition. Included are presentations on how to form community-based participatory research (CBPR) partnerships and how to write CBPR grants. </w:t>
      </w:r>
    </w:p>
    <w:p w14:paraId="5919DA71" w14:textId="77777777" w:rsidR="00CF07AA" w:rsidRPr="0010784B" w:rsidRDefault="00CF07AA" w:rsidP="00145262">
      <w:pPr>
        <w:pStyle w:val="ListParagraph"/>
        <w:tabs>
          <w:tab w:val="left" w:pos="990"/>
        </w:tabs>
        <w:ind w:left="360"/>
        <w:rPr>
          <w:rFonts w:ascii="Arial" w:hAnsi="Arial" w:cs="Arial"/>
          <w:bCs/>
        </w:rPr>
      </w:pPr>
    </w:p>
    <w:p w14:paraId="37A39508" w14:textId="14483648" w:rsidR="00145262" w:rsidRPr="0010784B" w:rsidRDefault="00CB70C0" w:rsidP="00145262">
      <w:pPr>
        <w:pStyle w:val="ListParagraph"/>
        <w:numPr>
          <w:ilvl w:val="0"/>
          <w:numId w:val="7"/>
        </w:numPr>
        <w:tabs>
          <w:tab w:val="left" w:pos="990"/>
        </w:tabs>
        <w:ind w:left="360"/>
        <w:rPr>
          <w:rFonts w:ascii="Arial" w:hAnsi="Arial" w:cs="Arial"/>
        </w:rPr>
      </w:pPr>
      <w:r w:rsidRPr="0010784B">
        <w:rPr>
          <w:rFonts w:ascii="Arial" w:hAnsi="Arial" w:cs="Arial"/>
        </w:rPr>
        <w:t xml:space="preserve">ARCH members </w:t>
      </w:r>
      <w:r w:rsidRPr="000F62E5">
        <w:rPr>
          <w:rFonts w:ascii="Arial" w:hAnsi="Arial" w:cs="Arial"/>
          <w:b/>
        </w:rPr>
        <w:t xml:space="preserve">Jun Wang, Adam Burke, Janice Tsoh, Gem Le, </w:t>
      </w:r>
      <w:r w:rsidR="00D93CD8" w:rsidRPr="000F62E5">
        <w:rPr>
          <w:rFonts w:ascii="Arial" w:hAnsi="Arial" w:cs="Arial"/>
          <w:b/>
        </w:rPr>
        <w:t>Tung Nguyen, and Elaine Chow (NICOS Chinese Health Coalition)</w:t>
      </w:r>
      <w:r w:rsidR="00D93CD8" w:rsidRPr="0010784B">
        <w:rPr>
          <w:rFonts w:ascii="Arial" w:hAnsi="Arial" w:cs="Arial"/>
        </w:rPr>
        <w:t xml:space="preserve"> </w:t>
      </w:r>
      <w:r w:rsidR="00597D88" w:rsidRPr="0010784B">
        <w:rPr>
          <w:rFonts w:ascii="Arial" w:hAnsi="Arial" w:cs="Arial"/>
        </w:rPr>
        <w:t>recently published an article</w:t>
      </w:r>
      <w:r w:rsidR="00247421" w:rsidRPr="0010784B">
        <w:rPr>
          <w:rFonts w:ascii="Arial" w:hAnsi="Arial" w:cs="Arial"/>
        </w:rPr>
        <w:t xml:space="preserve"> entitled “Exploring a culturally relevant model of cancer prevention involving traditional Chinese medicine providers in a Chinese American community” in the </w:t>
      </w:r>
      <w:r w:rsidR="00247421" w:rsidRPr="0010784B">
        <w:rPr>
          <w:rFonts w:ascii="Arial" w:hAnsi="Arial" w:cs="Arial"/>
          <w:u w:val="single"/>
        </w:rPr>
        <w:t>European Journal of Integrative Medicine</w:t>
      </w:r>
      <w:r w:rsidR="00247421" w:rsidRPr="0010784B">
        <w:rPr>
          <w:rFonts w:ascii="Arial" w:hAnsi="Arial" w:cs="Arial"/>
        </w:rPr>
        <w:t xml:space="preserve"> </w:t>
      </w:r>
      <w:r w:rsidR="00A225D3">
        <w:rPr>
          <w:rFonts w:ascii="Arial" w:hAnsi="Arial" w:cs="Arial"/>
        </w:rPr>
        <w:t xml:space="preserve">which described a process of integrating biomedicine and traditional Chinese medicine (TCM) concepts to engage TCM providers to teach their clients and social networks about colorectal cancer screening </w:t>
      </w:r>
      <w:r w:rsidR="00247421" w:rsidRPr="0010784B">
        <w:rPr>
          <w:rFonts w:ascii="Arial" w:hAnsi="Arial" w:cs="Arial"/>
        </w:rPr>
        <w:t>(see Abstracts).</w:t>
      </w:r>
    </w:p>
    <w:p w14:paraId="0A8E4085" w14:textId="77777777" w:rsidR="00247421" w:rsidRPr="0010784B" w:rsidRDefault="00247421" w:rsidP="00247421">
      <w:pPr>
        <w:pStyle w:val="ListParagraph"/>
        <w:tabs>
          <w:tab w:val="left" w:pos="990"/>
        </w:tabs>
        <w:ind w:left="360"/>
        <w:rPr>
          <w:rFonts w:ascii="Arial" w:hAnsi="Arial" w:cs="Arial"/>
        </w:rPr>
      </w:pPr>
    </w:p>
    <w:p w14:paraId="1922186E" w14:textId="1E032298" w:rsidR="00CF07AA" w:rsidRPr="0010784B" w:rsidRDefault="003C0D69" w:rsidP="00145262">
      <w:pPr>
        <w:pStyle w:val="ListParagraph"/>
        <w:numPr>
          <w:ilvl w:val="0"/>
          <w:numId w:val="7"/>
        </w:numPr>
        <w:tabs>
          <w:tab w:val="left" w:pos="990"/>
        </w:tabs>
        <w:ind w:left="360"/>
        <w:rPr>
          <w:rFonts w:ascii="Arial" w:hAnsi="Arial" w:cs="Arial"/>
        </w:rPr>
      </w:pPr>
      <w:r w:rsidRPr="0010784B">
        <w:rPr>
          <w:rFonts w:ascii="Arial" w:hAnsi="Arial" w:cs="Arial"/>
        </w:rPr>
        <w:t>Abstract Highlights</w:t>
      </w:r>
    </w:p>
    <w:p w14:paraId="32786C76" w14:textId="44E90CCF" w:rsidR="00922A4E" w:rsidRPr="0010784B" w:rsidRDefault="00922A4E" w:rsidP="00922A4E">
      <w:pPr>
        <w:tabs>
          <w:tab w:val="left" w:pos="990"/>
        </w:tabs>
        <w:rPr>
          <w:rFonts w:ascii="Arial" w:hAnsi="Arial" w:cs="Arial"/>
        </w:rPr>
      </w:pPr>
      <w:r>
        <w:rPr>
          <w:rFonts w:ascii="Arial" w:hAnsi="Arial" w:cs="Arial"/>
        </w:rPr>
        <w:t>In yet another study that show</w:t>
      </w:r>
      <w:r w:rsidR="002E7C19">
        <w:rPr>
          <w:rFonts w:ascii="Arial" w:hAnsi="Arial" w:cs="Arial"/>
        </w:rPr>
        <w:t>s</w:t>
      </w:r>
      <w:r>
        <w:rPr>
          <w:rFonts w:ascii="Arial" w:hAnsi="Arial" w:cs="Arial"/>
        </w:rPr>
        <w:t xml:space="preserve"> the problem of diabetes among Asian Americans and Pacific Islanders</w:t>
      </w:r>
      <w:r w:rsidR="00896236">
        <w:rPr>
          <w:rFonts w:ascii="Arial" w:hAnsi="Arial" w:cs="Arial"/>
        </w:rPr>
        <w:t xml:space="preserve"> may be dependent on factors other than </w:t>
      </w:r>
      <w:r>
        <w:rPr>
          <w:rFonts w:ascii="Arial" w:hAnsi="Arial" w:cs="Arial"/>
        </w:rPr>
        <w:t xml:space="preserve">obesity, in a large population-based study of women who gave birth in California from 2007-2009 published in the American Journal of Public Health, the estimated prevalence for gestational diabetes among Asian/Pacific Islander women was 11.9% compared to 5.4% for White women. This is in spite of the </w:t>
      </w:r>
      <w:proofErr w:type="gramStart"/>
      <w:r>
        <w:rPr>
          <w:rFonts w:ascii="Arial" w:hAnsi="Arial" w:cs="Arial"/>
        </w:rPr>
        <w:t>fact  that</w:t>
      </w:r>
      <w:proofErr w:type="gramEnd"/>
      <w:r>
        <w:rPr>
          <w:rFonts w:ascii="Arial" w:hAnsi="Arial" w:cs="Arial"/>
        </w:rPr>
        <w:t xml:space="preserve"> the percentage of gestational diabetes attributed to overweight and obesity among APIs was only 17.8% compared to 41.2% among Whites. </w:t>
      </w:r>
      <w:r w:rsidR="00C817F3">
        <w:rPr>
          <w:rFonts w:ascii="Arial" w:hAnsi="Arial" w:cs="Arial"/>
        </w:rPr>
        <w:t xml:space="preserve"> The highest rates among any racial/ethnic group were among Filipinos, Asian Indians, and Vietnamese.</w:t>
      </w:r>
    </w:p>
    <w:p w14:paraId="50E5B45F" w14:textId="77777777" w:rsidR="00922A4E" w:rsidRDefault="00922A4E" w:rsidP="002504E5">
      <w:pPr>
        <w:tabs>
          <w:tab w:val="left" w:pos="990"/>
        </w:tabs>
        <w:rPr>
          <w:rFonts w:ascii="Arial" w:hAnsi="Arial" w:cs="Arial"/>
        </w:rPr>
      </w:pPr>
    </w:p>
    <w:p w14:paraId="78D78D3D" w14:textId="7E69CCCB" w:rsidR="002504E5" w:rsidRDefault="002504E5" w:rsidP="002504E5">
      <w:pPr>
        <w:tabs>
          <w:tab w:val="left" w:pos="990"/>
        </w:tabs>
        <w:rPr>
          <w:rFonts w:ascii="Arial" w:hAnsi="Arial" w:cs="Arial"/>
        </w:rPr>
      </w:pPr>
      <w:r w:rsidRPr="0010784B">
        <w:rPr>
          <w:rFonts w:ascii="Arial" w:hAnsi="Arial" w:cs="Arial"/>
        </w:rPr>
        <w:t xml:space="preserve">Dr. Moon Chen </w:t>
      </w:r>
      <w:r w:rsidR="00A12FA7" w:rsidRPr="0010784B">
        <w:rPr>
          <w:rFonts w:ascii="Arial" w:hAnsi="Arial" w:cs="Arial"/>
        </w:rPr>
        <w:t xml:space="preserve">at UC Davis and his colleagues published the results of a randomized controlled trial of lay health workers’ efficacy in promoting hepatitis B screening among </w:t>
      </w:r>
      <w:r w:rsidR="00AB2900" w:rsidRPr="0010784B">
        <w:rPr>
          <w:rFonts w:ascii="Arial" w:hAnsi="Arial" w:cs="Arial"/>
        </w:rPr>
        <w:t>Hmong Americans, a highly underserved and understudied Asian American group. Lay health worker outreach led to a higher rate of self-reported serologic testing for HBV (24% vs. 10%, P = 0.0056) than control group participants.</w:t>
      </w:r>
    </w:p>
    <w:p w14:paraId="4A065D82" w14:textId="77777777" w:rsidR="009A29FF" w:rsidRDefault="009A29FF" w:rsidP="002504E5">
      <w:pPr>
        <w:tabs>
          <w:tab w:val="left" w:pos="990"/>
        </w:tabs>
        <w:rPr>
          <w:rFonts w:ascii="Arial" w:hAnsi="Arial" w:cs="Arial"/>
        </w:rPr>
      </w:pPr>
    </w:p>
    <w:p w14:paraId="713E2E3F" w14:textId="7A92F332" w:rsidR="009A29FF" w:rsidRDefault="000A5A60" w:rsidP="002504E5">
      <w:pPr>
        <w:tabs>
          <w:tab w:val="left" w:pos="990"/>
        </w:tabs>
        <w:rPr>
          <w:rFonts w:ascii="Arial" w:hAnsi="Arial" w:cs="Arial"/>
        </w:rPr>
      </w:pPr>
      <w:r>
        <w:rPr>
          <w:rFonts w:ascii="Arial" w:hAnsi="Arial" w:cs="Arial"/>
        </w:rPr>
        <w:t>Does it seem</w:t>
      </w:r>
      <w:r w:rsidR="009A29FF">
        <w:rPr>
          <w:rFonts w:ascii="Arial" w:hAnsi="Arial" w:cs="Arial"/>
        </w:rPr>
        <w:t xml:space="preserve"> that </w:t>
      </w:r>
      <w:r w:rsidR="0081656A">
        <w:rPr>
          <w:rFonts w:ascii="Arial" w:hAnsi="Arial" w:cs="Arial"/>
        </w:rPr>
        <w:t xml:space="preserve">more </w:t>
      </w:r>
      <w:r w:rsidR="009A29FF">
        <w:rPr>
          <w:rFonts w:ascii="Arial" w:hAnsi="Arial" w:cs="Arial"/>
        </w:rPr>
        <w:t xml:space="preserve">Asian American children have </w:t>
      </w:r>
      <w:r>
        <w:rPr>
          <w:rFonts w:ascii="Arial" w:hAnsi="Arial" w:cs="Arial"/>
        </w:rPr>
        <w:t>myopia than White children? T</w:t>
      </w:r>
      <w:r w:rsidR="009A29FF">
        <w:rPr>
          <w:rFonts w:ascii="Arial" w:hAnsi="Arial" w:cs="Arial"/>
        </w:rPr>
        <w:t>hat is true in a large population-based study from Southern California.</w:t>
      </w:r>
    </w:p>
    <w:p w14:paraId="21DEA306" w14:textId="77777777" w:rsidR="007D517B" w:rsidRPr="0010784B" w:rsidRDefault="007D517B" w:rsidP="002504E5">
      <w:pPr>
        <w:tabs>
          <w:tab w:val="left" w:pos="990"/>
        </w:tabs>
        <w:rPr>
          <w:rFonts w:ascii="Arial" w:hAnsi="Arial" w:cs="Arial"/>
        </w:rPr>
      </w:pPr>
    </w:p>
    <w:p w14:paraId="7520D2D3" w14:textId="77777777" w:rsidR="007D517B" w:rsidRPr="0010784B" w:rsidRDefault="007D517B" w:rsidP="002504E5">
      <w:pPr>
        <w:tabs>
          <w:tab w:val="left" w:pos="990"/>
        </w:tabs>
        <w:rPr>
          <w:rFonts w:ascii="Arial" w:hAnsi="Arial" w:cs="Arial"/>
        </w:rPr>
      </w:pPr>
    </w:p>
    <w:p w14:paraId="0744EAF5" w14:textId="77777777" w:rsidR="007D517B" w:rsidRPr="0010784B" w:rsidRDefault="007D517B" w:rsidP="002504E5">
      <w:pPr>
        <w:tabs>
          <w:tab w:val="left" w:pos="990"/>
        </w:tabs>
        <w:rPr>
          <w:rFonts w:ascii="Arial" w:hAnsi="Arial" w:cs="Arial"/>
        </w:rPr>
      </w:pPr>
    </w:p>
    <w:p w14:paraId="79F667AE" w14:textId="77777777" w:rsidR="007D517B" w:rsidRPr="0010784B" w:rsidRDefault="007D517B" w:rsidP="002504E5">
      <w:pPr>
        <w:tabs>
          <w:tab w:val="left" w:pos="990"/>
        </w:tabs>
        <w:rPr>
          <w:rFonts w:ascii="Arial" w:hAnsi="Arial" w:cs="Arial"/>
        </w:rPr>
      </w:pPr>
    </w:p>
    <w:p w14:paraId="0492AB0F" w14:textId="77777777" w:rsidR="002504E5" w:rsidRPr="0010784B" w:rsidRDefault="002504E5" w:rsidP="00EB710A">
      <w:pPr>
        <w:pStyle w:val="ListParagraph"/>
        <w:tabs>
          <w:tab w:val="left" w:pos="990"/>
        </w:tabs>
        <w:ind w:left="0"/>
        <w:rPr>
          <w:rFonts w:ascii="Arial" w:eastAsia="MS Mincho" w:hAnsi="Arial" w:cs="Arial"/>
          <w:lang w:eastAsia="ja-JP"/>
        </w:rPr>
      </w:pPr>
    </w:p>
    <w:p w14:paraId="6F1246A1" w14:textId="356239B5" w:rsidR="00214404" w:rsidRPr="007412A5" w:rsidRDefault="007D517B" w:rsidP="007412A5">
      <w:pPr>
        <w:rPr>
          <w:rFonts w:ascii="Arial" w:eastAsia="Cambria" w:hAnsi="Arial" w:cs="Arial"/>
          <w:b/>
          <w:lang w:eastAsia="en-US"/>
        </w:rPr>
      </w:pPr>
      <w:r w:rsidRPr="0010784B">
        <w:rPr>
          <w:rFonts w:ascii="Arial" w:hAnsi="Arial" w:cs="Arial"/>
          <w:b/>
        </w:rPr>
        <w:br w:type="page"/>
      </w:r>
      <w:r w:rsidR="00214404" w:rsidRPr="0010784B">
        <w:rPr>
          <w:rFonts w:ascii="Arial" w:hAnsi="Arial" w:cs="Arial"/>
          <w:b/>
        </w:rPr>
        <w:lastRenderedPageBreak/>
        <w:t xml:space="preserve">Kim SY, Saraiva C, Curtis M, et al. Fraction of gestational diabetes mellitus attributable to overweight and obesity by race/ethnicity, California, 2007-2009. </w:t>
      </w:r>
      <w:proofErr w:type="gramStart"/>
      <w:r w:rsidR="00214404" w:rsidRPr="0010784B">
        <w:rPr>
          <w:rFonts w:ascii="Arial" w:hAnsi="Arial" w:cs="Arial"/>
          <w:b/>
        </w:rPr>
        <w:t>Am</w:t>
      </w:r>
      <w:proofErr w:type="gramEnd"/>
      <w:r w:rsidR="00214404" w:rsidRPr="0010784B">
        <w:rPr>
          <w:rFonts w:ascii="Arial" w:hAnsi="Arial" w:cs="Arial"/>
          <w:b/>
        </w:rPr>
        <w:t xml:space="preserve"> J Public Health. 2013 Oct</w:t>
      </w:r>
      <w:proofErr w:type="gramStart"/>
      <w:r w:rsidR="00214404" w:rsidRPr="0010784B">
        <w:rPr>
          <w:rFonts w:ascii="Arial" w:hAnsi="Arial" w:cs="Arial"/>
          <w:b/>
        </w:rPr>
        <w:t>;103</w:t>
      </w:r>
      <w:proofErr w:type="gramEnd"/>
      <w:r w:rsidR="00214404" w:rsidRPr="0010784B">
        <w:rPr>
          <w:rFonts w:ascii="Arial" w:hAnsi="Arial" w:cs="Arial"/>
          <w:b/>
        </w:rPr>
        <w:t xml:space="preserve">(10):e65-72. </w:t>
      </w:r>
      <w:proofErr w:type="gramStart"/>
      <w:r w:rsidR="00214404" w:rsidRPr="0010784B">
        <w:rPr>
          <w:rFonts w:ascii="Arial" w:hAnsi="Arial" w:cs="Arial"/>
          <w:b/>
        </w:rPr>
        <w:t>doi</w:t>
      </w:r>
      <w:proofErr w:type="gramEnd"/>
      <w:r w:rsidR="00214404" w:rsidRPr="0010784B">
        <w:rPr>
          <w:rFonts w:ascii="Arial" w:hAnsi="Arial" w:cs="Arial"/>
          <w:b/>
        </w:rPr>
        <w:t xml:space="preserve">: 10.2105/AJPH.2013.301469. </w:t>
      </w:r>
      <w:proofErr w:type="gramStart"/>
      <w:r w:rsidR="00214404" w:rsidRPr="0010784B">
        <w:rPr>
          <w:rFonts w:ascii="Arial" w:hAnsi="Arial" w:cs="Arial"/>
          <w:b/>
        </w:rPr>
        <w:t>Epub 2013 Aug 15.</w:t>
      </w:r>
      <w:proofErr w:type="gramEnd"/>
      <w:r w:rsidR="00214404" w:rsidRPr="0010784B">
        <w:rPr>
          <w:rFonts w:ascii="Arial" w:hAnsi="Arial" w:cs="Arial"/>
          <w:b/>
        </w:rPr>
        <w:t xml:space="preserve"> http://www.ncbi.nlm.nih.gov/pubmed/23947320</w:t>
      </w:r>
    </w:p>
    <w:p w14:paraId="64547189" w14:textId="77777777" w:rsidR="00214404" w:rsidRPr="0010784B" w:rsidRDefault="00214404" w:rsidP="00214404">
      <w:pPr>
        <w:tabs>
          <w:tab w:val="left" w:pos="990"/>
        </w:tabs>
        <w:rPr>
          <w:rFonts w:ascii="Arial" w:hAnsi="Arial" w:cs="Arial"/>
          <w:b/>
          <w:bCs/>
        </w:rPr>
      </w:pPr>
      <w:r w:rsidRPr="0010784B">
        <w:rPr>
          <w:rFonts w:ascii="Arial" w:hAnsi="Arial" w:cs="Arial"/>
          <w:b/>
          <w:bCs/>
        </w:rPr>
        <w:t>OBJECTIVES:</w:t>
      </w:r>
    </w:p>
    <w:p w14:paraId="169482EB" w14:textId="77777777" w:rsidR="00214404" w:rsidRPr="0010784B" w:rsidRDefault="00214404" w:rsidP="00214404">
      <w:pPr>
        <w:tabs>
          <w:tab w:val="left" w:pos="990"/>
        </w:tabs>
        <w:rPr>
          <w:rFonts w:ascii="Arial" w:hAnsi="Arial" w:cs="Arial"/>
        </w:rPr>
      </w:pPr>
      <w:r w:rsidRPr="0010784B">
        <w:rPr>
          <w:rFonts w:ascii="Arial" w:hAnsi="Arial" w:cs="Arial"/>
        </w:rPr>
        <w:t>We calculated the racial/ethnic-specific percentages of gestational diabetes mellitus (GDM) attributable to overweight and obesity.</w:t>
      </w:r>
    </w:p>
    <w:p w14:paraId="5A6F254C" w14:textId="77777777" w:rsidR="00214404" w:rsidRPr="0010784B" w:rsidRDefault="00214404" w:rsidP="00214404">
      <w:pPr>
        <w:tabs>
          <w:tab w:val="left" w:pos="990"/>
        </w:tabs>
        <w:rPr>
          <w:rFonts w:ascii="Arial" w:hAnsi="Arial" w:cs="Arial"/>
          <w:b/>
          <w:bCs/>
        </w:rPr>
      </w:pPr>
      <w:r w:rsidRPr="0010784B">
        <w:rPr>
          <w:rFonts w:ascii="Arial" w:hAnsi="Arial" w:cs="Arial"/>
          <w:b/>
          <w:bCs/>
        </w:rPr>
        <w:t>METHODS:</w:t>
      </w:r>
    </w:p>
    <w:p w14:paraId="74F6A9BA" w14:textId="77777777" w:rsidR="00214404" w:rsidRPr="0010784B" w:rsidRDefault="00214404" w:rsidP="00214404">
      <w:pPr>
        <w:tabs>
          <w:tab w:val="left" w:pos="990"/>
        </w:tabs>
        <w:rPr>
          <w:rFonts w:ascii="Arial" w:hAnsi="Arial" w:cs="Arial"/>
        </w:rPr>
      </w:pPr>
      <w:r w:rsidRPr="0010784B">
        <w:rPr>
          <w:rFonts w:ascii="Arial" w:hAnsi="Arial" w:cs="Arial"/>
        </w:rPr>
        <w:t>We analyzed 1 228 265 records of women aged 20 years or older with a live, singleton birth in California during 2007 to 2009. Using logistic regression, we estimated the magnitude of the association between prepregnancy body mass index and GDM and calculated the percentages of GDM attributable to overweight and obesity overall and by race/ethnicity.</w:t>
      </w:r>
    </w:p>
    <w:p w14:paraId="35DA2B99" w14:textId="77777777" w:rsidR="00214404" w:rsidRPr="0010784B" w:rsidRDefault="00214404" w:rsidP="00214404">
      <w:pPr>
        <w:tabs>
          <w:tab w:val="left" w:pos="990"/>
        </w:tabs>
        <w:rPr>
          <w:rFonts w:ascii="Arial" w:hAnsi="Arial" w:cs="Arial"/>
          <w:b/>
          <w:bCs/>
        </w:rPr>
      </w:pPr>
      <w:r w:rsidRPr="0010784B">
        <w:rPr>
          <w:rFonts w:ascii="Arial" w:hAnsi="Arial" w:cs="Arial"/>
          <w:b/>
          <w:bCs/>
        </w:rPr>
        <w:t>RESULTS:</w:t>
      </w:r>
    </w:p>
    <w:p w14:paraId="0DC75D22" w14:textId="77777777" w:rsidR="00214404" w:rsidRPr="0010784B" w:rsidRDefault="00214404" w:rsidP="00214404">
      <w:pPr>
        <w:tabs>
          <w:tab w:val="left" w:pos="990"/>
        </w:tabs>
        <w:rPr>
          <w:rFonts w:ascii="Arial" w:hAnsi="Arial" w:cs="Arial"/>
        </w:rPr>
      </w:pPr>
      <w:r w:rsidRPr="0010784B">
        <w:rPr>
          <w:rFonts w:ascii="Arial" w:hAnsi="Arial" w:cs="Arial"/>
        </w:rPr>
        <w:t xml:space="preserve">The overall estimated GDM prevalence ranged from 5.4% among White women to 11.9% among Asian/Pacific Islander women. The adjusted percentages of GDM deliveries attributable to overweight and obesity were 17.8% among Asians/Pacific Islander, 41.2% among White, 44.2% </w:t>
      </w:r>
      <w:proofErr w:type="gramStart"/>
      <w:r w:rsidRPr="0010784B">
        <w:rPr>
          <w:rFonts w:ascii="Arial" w:hAnsi="Arial" w:cs="Arial"/>
        </w:rPr>
        <w:t>among Hispanic</w:t>
      </w:r>
      <w:proofErr w:type="gramEnd"/>
      <w:r w:rsidRPr="0010784B">
        <w:rPr>
          <w:rFonts w:ascii="Arial" w:hAnsi="Arial" w:cs="Arial"/>
        </w:rPr>
        <w:t>, 51.2% among Black, and 57.8% among American Indian women. Select Asian subgroups, such as Vietnamese (13.0%), Asian Indian (14.0%), and Filipino (14.2%), had the highest GDM prevalence, but the lowest percentage attributable to obesity.</w:t>
      </w:r>
    </w:p>
    <w:p w14:paraId="344C9EF2" w14:textId="77777777" w:rsidR="00214404" w:rsidRPr="0010784B" w:rsidRDefault="00214404" w:rsidP="00214404">
      <w:pPr>
        <w:tabs>
          <w:tab w:val="left" w:pos="990"/>
        </w:tabs>
        <w:rPr>
          <w:rFonts w:ascii="Arial" w:hAnsi="Arial" w:cs="Arial"/>
          <w:b/>
          <w:bCs/>
        </w:rPr>
      </w:pPr>
      <w:r w:rsidRPr="0010784B">
        <w:rPr>
          <w:rFonts w:ascii="Arial" w:hAnsi="Arial" w:cs="Arial"/>
          <w:b/>
          <w:bCs/>
        </w:rPr>
        <w:t>CONCLUSIONS:</w:t>
      </w:r>
    </w:p>
    <w:p w14:paraId="7A7A693A" w14:textId="77777777" w:rsidR="00214404" w:rsidRPr="0010784B" w:rsidRDefault="00214404" w:rsidP="00214404">
      <w:pPr>
        <w:tabs>
          <w:tab w:val="left" w:pos="990"/>
        </w:tabs>
        <w:rPr>
          <w:rFonts w:ascii="Arial" w:hAnsi="Arial" w:cs="Arial"/>
        </w:rPr>
      </w:pPr>
      <w:r w:rsidRPr="0010784B">
        <w:rPr>
          <w:rFonts w:ascii="Arial" w:hAnsi="Arial" w:cs="Arial"/>
        </w:rPr>
        <w:t>Elevated prepregnancy body mass index contributed to GDM in all racial/ethnic groups, which suggests that decreasing overweight and obesity among women of reproductive age could reduce GDM, associated delivery complications, and future risk of diabetes in both the mother and offspring.</w:t>
      </w:r>
    </w:p>
    <w:p w14:paraId="4523C291" w14:textId="77777777" w:rsidR="00214404" w:rsidRDefault="00214404" w:rsidP="00EB710A">
      <w:pPr>
        <w:pStyle w:val="ListParagraph"/>
        <w:tabs>
          <w:tab w:val="left" w:pos="990"/>
        </w:tabs>
        <w:ind w:left="0"/>
        <w:rPr>
          <w:rFonts w:ascii="Arial" w:hAnsi="Arial" w:cs="Arial"/>
          <w:b/>
        </w:rPr>
      </w:pPr>
    </w:p>
    <w:p w14:paraId="065A6808" w14:textId="2BCF9E1A" w:rsidR="003C0D69" w:rsidRPr="0010784B" w:rsidRDefault="003C0D69" w:rsidP="00EB710A">
      <w:pPr>
        <w:pStyle w:val="ListParagraph"/>
        <w:tabs>
          <w:tab w:val="left" w:pos="990"/>
        </w:tabs>
        <w:ind w:left="0"/>
        <w:rPr>
          <w:rFonts w:ascii="Arial" w:hAnsi="Arial" w:cs="Arial"/>
          <w:b/>
        </w:rPr>
      </w:pPr>
      <w:r w:rsidRPr="0010784B">
        <w:rPr>
          <w:rFonts w:ascii="Arial" w:hAnsi="Arial" w:cs="Arial"/>
          <w:b/>
        </w:rPr>
        <w:t>Chen MS Jr, Fang DM, Stewart SL, et al. Increasing hepatitis B screening for hmong adults: results from a randomized controlled community-based study. Cancer Epidemiol Biomarke</w:t>
      </w:r>
      <w:r w:rsidR="00071886" w:rsidRPr="0010784B">
        <w:rPr>
          <w:rFonts w:ascii="Arial" w:hAnsi="Arial" w:cs="Arial"/>
          <w:b/>
        </w:rPr>
        <w:t>rs Prev. 2013 May</w:t>
      </w:r>
      <w:proofErr w:type="gramStart"/>
      <w:r w:rsidR="00071886" w:rsidRPr="0010784B">
        <w:rPr>
          <w:rFonts w:ascii="Arial" w:hAnsi="Arial" w:cs="Arial"/>
          <w:b/>
        </w:rPr>
        <w:t>;22</w:t>
      </w:r>
      <w:proofErr w:type="gramEnd"/>
      <w:r w:rsidR="00071886" w:rsidRPr="0010784B">
        <w:rPr>
          <w:rFonts w:ascii="Arial" w:hAnsi="Arial" w:cs="Arial"/>
          <w:b/>
        </w:rPr>
        <w:t>(5):782-91.</w:t>
      </w:r>
      <w:r w:rsidR="009153EB">
        <w:rPr>
          <w:rFonts w:ascii="Arial" w:hAnsi="Arial" w:cs="Arial"/>
          <w:b/>
        </w:rPr>
        <w:t xml:space="preserve"> </w:t>
      </w:r>
      <w:hyperlink r:id="rId8" w:history="1">
        <w:r w:rsidR="00071886" w:rsidRPr="0010784B">
          <w:rPr>
            <w:rStyle w:val="Hyperlink"/>
            <w:rFonts w:ascii="Arial" w:hAnsi="Arial" w:cs="Arial"/>
            <w:b/>
          </w:rPr>
          <w:t>http://www.ncbi.nlm.nih.gov/pubmed/23613027</w:t>
        </w:r>
      </w:hyperlink>
    </w:p>
    <w:p w14:paraId="68430E33" w14:textId="77777777" w:rsidR="00071886" w:rsidRPr="0010784B" w:rsidRDefault="00071886" w:rsidP="00EB710A">
      <w:pPr>
        <w:pStyle w:val="ListParagraph"/>
        <w:tabs>
          <w:tab w:val="left" w:pos="990"/>
        </w:tabs>
        <w:ind w:left="0"/>
        <w:rPr>
          <w:rFonts w:ascii="Arial" w:hAnsi="Arial" w:cs="Arial"/>
        </w:rPr>
      </w:pPr>
    </w:p>
    <w:p w14:paraId="4EB8B6D8" w14:textId="77777777" w:rsidR="00CC19CE" w:rsidRPr="0010784B" w:rsidRDefault="00CC19CE" w:rsidP="00EB710A">
      <w:pPr>
        <w:pStyle w:val="ListParagraph"/>
        <w:tabs>
          <w:tab w:val="left" w:pos="990"/>
        </w:tabs>
        <w:ind w:left="0"/>
        <w:rPr>
          <w:rFonts w:ascii="Arial" w:hAnsi="Arial" w:cs="Arial"/>
          <w:b/>
          <w:bCs/>
        </w:rPr>
      </w:pPr>
      <w:r w:rsidRPr="0010784B">
        <w:rPr>
          <w:rFonts w:ascii="Arial" w:hAnsi="Arial" w:cs="Arial"/>
          <w:b/>
          <w:bCs/>
        </w:rPr>
        <w:t>BACKGROUND:</w:t>
      </w:r>
    </w:p>
    <w:p w14:paraId="1F4B4FA4" w14:textId="77777777" w:rsidR="00CC19CE" w:rsidRPr="0010784B" w:rsidRDefault="00CC19CE" w:rsidP="00EB710A">
      <w:pPr>
        <w:pStyle w:val="ListParagraph"/>
        <w:tabs>
          <w:tab w:val="left" w:pos="990"/>
        </w:tabs>
        <w:ind w:left="0"/>
        <w:rPr>
          <w:rFonts w:ascii="Arial" w:hAnsi="Arial" w:cs="Arial"/>
        </w:rPr>
      </w:pPr>
      <w:r w:rsidRPr="0010784B">
        <w:rPr>
          <w:rFonts w:ascii="Arial" w:hAnsi="Arial" w:cs="Arial"/>
        </w:rPr>
        <w:t>Hepatitis B-linked liver cancer disproportionately affects Hmong Americans. With an incidence rate of 18.9 per 100,000, Hmong Americans experience liver cancer at a rate that is 6 to 7 times more than that of non-Hispanic Whites. Serologic testing for the hepatitis B virus (HBV) is a principal means to prevent liver cancer-related deaths through earlier identification of those at risk.</w:t>
      </w:r>
    </w:p>
    <w:p w14:paraId="273B11E2" w14:textId="77777777" w:rsidR="00CC19CE" w:rsidRPr="0010784B" w:rsidRDefault="00CC19CE" w:rsidP="00EB710A">
      <w:pPr>
        <w:pStyle w:val="ListParagraph"/>
        <w:tabs>
          <w:tab w:val="left" w:pos="990"/>
        </w:tabs>
        <w:ind w:left="0"/>
        <w:rPr>
          <w:rFonts w:ascii="Arial" w:hAnsi="Arial" w:cs="Arial"/>
          <w:b/>
          <w:bCs/>
        </w:rPr>
      </w:pPr>
      <w:r w:rsidRPr="0010784B">
        <w:rPr>
          <w:rFonts w:ascii="Arial" w:hAnsi="Arial" w:cs="Arial"/>
          <w:b/>
          <w:bCs/>
        </w:rPr>
        <w:t>METHODS:</w:t>
      </w:r>
    </w:p>
    <w:p w14:paraId="2029D3A2" w14:textId="77777777" w:rsidR="00CC19CE" w:rsidRPr="0010784B" w:rsidRDefault="00CC19CE" w:rsidP="00EB710A">
      <w:pPr>
        <w:pStyle w:val="ListParagraph"/>
        <w:tabs>
          <w:tab w:val="left" w:pos="990"/>
        </w:tabs>
        <w:ind w:left="0"/>
        <w:rPr>
          <w:rFonts w:ascii="Arial" w:hAnsi="Arial" w:cs="Arial"/>
        </w:rPr>
      </w:pPr>
      <w:r w:rsidRPr="0010784B">
        <w:rPr>
          <w:rFonts w:ascii="Arial" w:hAnsi="Arial" w:cs="Arial"/>
        </w:rPr>
        <w:t>Academic researchers and Hmong leaders collaborated in the design, conduct, and evaluation of a 5-year randomized controlled trial testing a lay health worker (LHW) intervention to promote HBV testing among 260 Hmong adults through in-home education and patient navigation.</w:t>
      </w:r>
    </w:p>
    <w:p w14:paraId="7FA8C118" w14:textId="77777777" w:rsidR="00CC19CE" w:rsidRPr="0010784B" w:rsidRDefault="00CC19CE" w:rsidP="00EB710A">
      <w:pPr>
        <w:pStyle w:val="ListParagraph"/>
        <w:tabs>
          <w:tab w:val="left" w:pos="990"/>
        </w:tabs>
        <w:ind w:left="0"/>
        <w:rPr>
          <w:rFonts w:ascii="Arial" w:hAnsi="Arial" w:cs="Arial"/>
          <w:b/>
          <w:bCs/>
        </w:rPr>
      </w:pPr>
      <w:r w:rsidRPr="0010784B">
        <w:rPr>
          <w:rFonts w:ascii="Arial" w:hAnsi="Arial" w:cs="Arial"/>
          <w:b/>
          <w:bCs/>
        </w:rPr>
        <w:t>RESULTS:</w:t>
      </w:r>
    </w:p>
    <w:p w14:paraId="0804AE5B" w14:textId="77777777" w:rsidR="00CC19CE" w:rsidRPr="0010784B" w:rsidRDefault="00CC19CE" w:rsidP="00EB710A">
      <w:pPr>
        <w:pStyle w:val="ListParagraph"/>
        <w:tabs>
          <w:tab w:val="left" w:pos="990"/>
        </w:tabs>
        <w:ind w:left="0"/>
        <w:rPr>
          <w:rFonts w:ascii="Arial" w:hAnsi="Arial" w:cs="Arial"/>
        </w:rPr>
      </w:pPr>
      <w:r w:rsidRPr="0010784B">
        <w:rPr>
          <w:rFonts w:ascii="Arial" w:hAnsi="Arial" w:cs="Arial"/>
        </w:rPr>
        <w:t xml:space="preserve">Intervention group participants were more likely to report receiving serologic testing for HBV (24% vs. 10%, P = 0.0056) and showed a greater mean increase in knowledge score (1.3 vs. </w:t>
      </w:r>
      <w:r w:rsidRPr="0010784B">
        <w:rPr>
          <w:rFonts w:ascii="Arial" w:hAnsi="Arial" w:cs="Arial"/>
        </w:rPr>
        <w:lastRenderedPageBreak/>
        <w:t>0.3 points, P = 0.0003) than control group participants. Multivariable modeling indicated that self-reported test receipt was associated with intervention group assignment [OR 3.5; 95% confidence interval (CI) 1.3-9.2], improvement in knowledge score (OR 1.3 per point; 95% CI 1.02-1.7), female gender (OR 5.3; 95% CI 1.7-16.6), and having seen a doctor in the past year at baseline (OR 4.8; 95% CI 1.3-17.6). The most often cited reason for testing was a doctor's recommendation.</w:t>
      </w:r>
    </w:p>
    <w:p w14:paraId="36A19D9E" w14:textId="77777777" w:rsidR="00CC19CE" w:rsidRPr="0010784B" w:rsidRDefault="00CC19CE" w:rsidP="00EB710A">
      <w:pPr>
        <w:pStyle w:val="ListParagraph"/>
        <w:tabs>
          <w:tab w:val="left" w:pos="990"/>
        </w:tabs>
        <w:ind w:left="0"/>
        <w:rPr>
          <w:rFonts w:ascii="Arial" w:hAnsi="Arial" w:cs="Arial"/>
          <w:b/>
          <w:bCs/>
        </w:rPr>
      </w:pPr>
      <w:r w:rsidRPr="0010784B">
        <w:rPr>
          <w:rFonts w:ascii="Arial" w:hAnsi="Arial" w:cs="Arial"/>
          <w:b/>
          <w:bCs/>
        </w:rPr>
        <w:t>CONCLUSIONS:</w:t>
      </w:r>
    </w:p>
    <w:p w14:paraId="712897F4" w14:textId="77777777" w:rsidR="00CC19CE" w:rsidRPr="0010784B" w:rsidRDefault="00CC19CE" w:rsidP="00EB710A">
      <w:pPr>
        <w:pStyle w:val="ListParagraph"/>
        <w:tabs>
          <w:tab w:val="left" w:pos="990"/>
        </w:tabs>
        <w:ind w:left="0"/>
        <w:rPr>
          <w:rFonts w:ascii="Arial" w:hAnsi="Arial" w:cs="Arial"/>
        </w:rPr>
      </w:pPr>
      <w:r w:rsidRPr="0010784B">
        <w:rPr>
          <w:rFonts w:ascii="Arial" w:hAnsi="Arial" w:cs="Arial"/>
        </w:rPr>
        <w:t>LHWs were effective in bringing about HBV screening. Doctor visits and adherence to doctors' recommendations were pivotal. Participation of health care providers is essential to increase HBV testing.</w:t>
      </w:r>
    </w:p>
    <w:p w14:paraId="3D5A5883" w14:textId="77777777" w:rsidR="00CC19CE" w:rsidRPr="0010784B" w:rsidRDefault="00CC19CE" w:rsidP="00EB710A">
      <w:pPr>
        <w:pStyle w:val="ListParagraph"/>
        <w:tabs>
          <w:tab w:val="left" w:pos="990"/>
        </w:tabs>
        <w:ind w:left="0"/>
        <w:rPr>
          <w:rFonts w:ascii="Arial" w:hAnsi="Arial" w:cs="Arial"/>
          <w:b/>
          <w:bCs/>
        </w:rPr>
      </w:pPr>
      <w:r w:rsidRPr="0010784B">
        <w:rPr>
          <w:rFonts w:ascii="Arial" w:hAnsi="Arial" w:cs="Arial"/>
          <w:b/>
          <w:bCs/>
        </w:rPr>
        <w:t>IMPACT:</w:t>
      </w:r>
    </w:p>
    <w:p w14:paraId="187CFAB9" w14:textId="249B296E" w:rsidR="005E1218" w:rsidRPr="0010784B" w:rsidRDefault="00CC19CE" w:rsidP="009153EB">
      <w:pPr>
        <w:pStyle w:val="ListParagraph"/>
        <w:tabs>
          <w:tab w:val="left" w:pos="990"/>
        </w:tabs>
        <w:ind w:left="0"/>
        <w:rPr>
          <w:rFonts w:ascii="Arial" w:hAnsi="Arial" w:cs="Arial"/>
        </w:rPr>
      </w:pPr>
      <w:r w:rsidRPr="0010784B">
        <w:rPr>
          <w:rFonts w:ascii="Arial" w:hAnsi="Arial" w:cs="Arial"/>
        </w:rPr>
        <w:t>LHWs can significantly increase HBV screening rates for Hmong but their doctors' recommendation is highly influential and should be pursued.</w:t>
      </w:r>
    </w:p>
    <w:p w14:paraId="0082851C" w14:textId="77777777" w:rsidR="001C5C13" w:rsidRDefault="005E1218" w:rsidP="005E1218">
      <w:pPr>
        <w:tabs>
          <w:tab w:val="left" w:pos="990"/>
        </w:tabs>
        <w:rPr>
          <w:rFonts w:ascii="Arial" w:hAnsi="Arial" w:cs="Arial"/>
          <w:b/>
        </w:rPr>
      </w:pPr>
      <w:r w:rsidRPr="00CB13E2">
        <w:rPr>
          <w:rFonts w:ascii="Arial" w:hAnsi="Arial" w:cs="Arial"/>
          <w:b/>
        </w:rPr>
        <w:t>Wang J, Burke A, Tsoh JY, et al. Exploring a culturally relevant model of cancer prevention involving traditional Chinese medicine providers in a Chinese American community. </w:t>
      </w:r>
      <w:r w:rsidRPr="00CB13E2">
        <w:rPr>
          <w:rFonts w:ascii="Arial" w:hAnsi="Arial" w:cs="Arial"/>
          <w:b/>
          <w:u w:val="single"/>
        </w:rPr>
        <w:t>European Journal of Integrative Medicine</w:t>
      </w:r>
      <w:r w:rsidRPr="00CB13E2">
        <w:rPr>
          <w:rFonts w:ascii="Arial" w:hAnsi="Arial" w:cs="Arial"/>
          <w:b/>
        </w:rPr>
        <w:t>, November 2013. </w:t>
      </w:r>
      <w:proofErr w:type="gramStart"/>
      <w:r w:rsidRPr="00CB13E2">
        <w:rPr>
          <w:rFonts w:ascii="Arial" w:hAnsi="Arial" w:cs="Arial"/>
          <w:b/>
        </w:rPr>
        <w:t>Epub ahead of prin</w:t>
      </w:r>
      <w:r w:rsidR="009153EB">
        <w:rPr>
          <w:rFonts w:ascii="Arial" w:hAnsi="Arial" w:cs="Arial"/>
          <w:b/>
        </w:rPr>
        <w:t>t.</w:t>
      </w:r>
      <w:proofErr w:type="gramEnd"/>
      <w:r w:rsidR="009153EB">
        <w:rPr>
          <w:rFonts w:ascii="Arial" w:hAnsi="Arial" w:cs="Arial"/>
          <w:b/>
        </w:rPr>
        <w:t xml:space="preserve"> </w:t>
      </w:r>
      <w:hyperlink r:id="rId9" w:history="1">
        <w:r w:rsidR="009153EB" w:rsidRPr="00CB13E2">
          <w:rPr>
            <w:rStyle w:val="Hyperlink"/>
            <w:rFonts w:ascii="Arial" w:hAnsi="Arial" w:cs="Arial"/>
            <w:b/>
          </w:rPr>
          <w:t>http://www.europeanintegrativemedicinejrnl.com/article/S1876-3820%2813%2900163-7/abstract</w:t>
        </w:r>
      </w:hyperlink>
    </w:p>
    <w:p w14:paraId="6D576DFB" w14:textId="77777777" w:rsidR="001C5C13" w:rsidRDefault="001C5C13" w:rsidP="005E1218">
      <w:pPr>
        <w:tabs>
          <w:tab w:val="left" w:pos="990"/>
        </w:tabs>
        <w:rPr>
          <w:rFonts w:ascii="Arial" w:hAnsi="Arial" w:cs="Arial"/>
          <w:b/>
        </w:rPr>
      </w:pPr>
    </w:p>
    <w:p w14:paraId="5AB9E130" w14:textId="2A392544" w:rsidR="005E1218" w:rsidRPr="00C34253" w:rsidRDefault="00953567" w:rsidP="005E1218">
      <w:pPr>
        <w:tabs>
          <w:tab w:val="left" w:pos="990"/>
        </w:tabs>
        <w:rPr>
          <w:rFonts w:ascii="Arial" w:hAnsi="Arial" w:cs="Arial"/>
          <w:b/>
        </w:rPr>
      </w:pPr>
      <w:r w:rsidRPr="00C34253">
        <w:rPr>
          <w:rFonts w:ascii="Arial" w:hAnsi="Arial" w:cs="Arial"/>
          <w:b/>
        </w:rPr>
        <w:t>INTRODUCTION</w:t>
      </w:r>
    </w:p>
    <w:p w14:paraId="2800E739" w14:textId="77777777" w:rsidR="005E1218" w:rsidRPr="0010784B" w:rsidRDefault="005E1218" w:rsidP="005E1218">
      <w:pPr>
        <w:tabs>
          <w:tab w:val="left" w:pos="990"/>
        </w:tabs>
        <w:rPr>
          <w:rFonts w:ascii="Arial" w:hAnsi="Arial" w:cs="Arial"/>
        </w:rPr>
      </w:pPr>
      <w:r w:rsidRPr="0010784B">
        <w:rPr>
          <w:rFonts w:ascii="Arial" w:hAnsi="Arial" w:cs="Arial"/>
        </w:rPr>
        <w:t xml:space="preserve">Colorectal cancer (CRC) is the third most commonly diagnosed cancer in </w:t>
      </w:r>
      <w:proofErr w:type="gramStart"/>
      <w:r w:rsidRPr="0010784B">
        <w:rPr>
          <w:rFonts w:ascii="Arial" w:hAnsi="Arial" w:cs="Arial"/>
        </w:rPr>
        <w:t>all racial</w:t>
      </w:r>
      <w:proofErr w:type="gramEnd"/>
      <w:r w:rsidRPr="0010784B">
        <w:rPr>
          <w:rFonts w:ascii="Arial" w:hAnsi="Arial" w:cs="Arial"/>
        </w:rPr>
        <w:t xml:space="preserve"> and ethnic groups. Although CRC screening is very cost-effective, screening rates are low among most ethnic groups, including Asian Americans. Given the high use of traditional Chinese medicine (TCM) among Chinese Americans, one potentially useful approach to promote CRC screening in these communities could involve TCM providers in outreach efforts.</w:t>
      </w:r>
    </w:p>
    <w:p w14:paraId="45B3480E" w14:textId="0901EC0B" w:rsidR="005E1218" w:rsidRPr="00AC2F9B" w:rsidRDefault="00AC2F9B" w:rsidP="005E1218">
      <w:pPr>
        <w:tabs>
          <w:tab w:val="left" w:pos="990"/>
        </w:tabs>
        <w:rPr>
          <w:rFonts w:ascii="Arial" w:hAnsi="Arial" w:cs="Arial"/>
          <w:b/>
        </w:rPr>
      </w:pPr>
      <w:r w:rsidRPr="00AC2F9B">
        <w:rPr>
          <w:rFonts w:ascii="Arial" w:hAnsi="Arial" w:cs="Arial"/>
          <w:b/>
        </w:rPr>
        <w:t>METHODS</w:t>
      </w:r>
    </w:p>
    <w:p w14:paraId="09E00C78" w14:textId="77777777" w:rsidR="005E1218" w:rsidRPr="0010784B" w:rsidRDefault="005E1218" w:rsidP="005E1218">
      <w:pPr>
        <w:tabs>
          <w:tab w:val="left" w:pos="990"/>
        </w:tabs>
        <w:rPr>
          <w:rFonts w:ascii="Arial" w:hAnsi="Arial" w:cs="Arial"/>
        </w:rPr>
      </w:pPr>
      <w:r w:rsidRPr="0010784B">
        <w:rPr>
          <w:rFonts w:ascii="Arial" w:hAnsi="Arial" w:cs="Arial"/>
        </w:rPr>
        <w:t>A two-phase study was conducted. The perceived suitability of TCM providers in CRC prevention was explored in Phase 1. Guided by Phase 1 findings, in Phase 2, a 38-page integrative educational flipchart was developed and tested. Focus groups and observations were conducted with TCM providers (acupuncturists and herbalists) and with limited English proficient Chinese American immigrants living in San Francisco, California.</w:t>
      </w:r>
    </w:p>
    <w:p w14:paraId="734B00BA" w14:textId="5E6E9DFF" w:rsidR="005E1218" w:rsidRPr="00B31537" w:rsidRDefault="00213290" w:rsidP="005E1218">
      <w:pPr>
        <w:tabs>
          <w:tab w:val="left" w:pos="990"/>
        </w:tabs>
        <w:rPr>
          <w:rFonts w:ascii="Arial" w:hAnsi="Arial" w:cs="Arial"/>
          <w:b/>
        </w:rPr>
      </w:pPr>
      <w:r w:rsidRPr="00B31537">
        <w:rPr>
          <w:rFonts w:ascii="Arial" w:hAnsi="Arial" w:cs="Arial"/>
          <w:b/>
        </w:rPr>
        <w:t>RESULTS</w:t>
      </w:r>
    </w:p>
    <w:p w14:paraId="1F67D50F" w14:textId="77777777" w:rsidR="005E1218" w:rsidRPr="0010784B" w:rsidRDefault="005E1218" w:rsidP="005E1218">
      <w:pPr>
        <w:tabs>
          <w:tab w:val="left" w:pos="990"/>
        </w:tabs>
        <w:rPr>
          <w:rFonts w:ascii="Arial" w:hAnsi="Arial" w:cs="Arial"/>
        </w:rPr>
      </w:pPr>
      <w:r w:rsidRPr="0010784B">
        <w:rPr>
          <w:rFonts w:ascii="Arial" w:hAnsi="Arial" w:cs="Arial"/>
        </w:rPr>
        <w:t>In Phase 1, the role of TCM providers as CRC screening educators was deemed acceptable by both providers and community members, although some providers had reservations about engaging in CRC outreach activities due to lack of expertise. The majority of providers were not aware of regular CRC screening as a preventive measure, and most were not up-to-date in their own screening. In Phase 2, the integrative CRC education flipchart was perceived as culturally appropriate based on stakeholder input and feedback.</w:t>
      </w:r>
    </w:p>
    <w:p w14:paraId="6D657318" w14:textId="7D56A32D" w:rsidR="005E1218" w:rsidRPr="00F65A5C" w:rsidRDefault="00935CCC" w:rsidP="005E1218">
      <w:pPr>
        <w:tabs>
          <w:tab w:val="left" w:pos="990"/>
        </w:tabs>
        <w:rPr>
          <w:rFonts w:ascii="Arial" w:hAnsi="Arial" w:cs="Arial"/>
          <w:b/>
        </w:rPr>
      </w:pPr>
      <w:r w:rsidRPr="00F65A5C">
        <w:rPr>
          <w:rFonts w:ascii="Arial" w:hAnsi="Arial" w:cs="Arial"/>
          <w:b/>
        </w:rPr>
        <w:t>CONCLUSION</w:t>
      </w:r>
    </w:p>
    <w:p w14:paraId="67FD46F8" w14:textId="77777777" w:rsidR="005E1218" w:rsidRPr="0010784B" w:rsidRDefault="005E1218" w:rsidP="005E1218">
      <w:pPr>
        <w:tabs>
          <w:tab w:val="left" w:pos="990"/>
        </w:tabs>
        <w:rPr>
          <w:rFonts w:ascii="Arial" w:hAnsi="Arial" w:cs="Arial"/>
        </w:rPr>
      </w:pPr>
      <w:r w:rsidRPr="0010784B">
        <w:rPr>
          <w:rFonts w:ascii="Arial" w:hAnsi="Arial" w:cs="Arial"/>
        </w:rPr>
        <w:t>This study shows that TCM providers have the potential to be a valuable and culturally appropriate community resource for providing information on CRC screening. It suggests a potential role for traditional healers as change agents in the immigrant community health network.</w:t>
      </w:r>
    </w:p>
    <w:p w14:paraId="00DDAB3A" w14:textId="77777777" w:rsidR="005E1218" w:rsidRPr="0010784B" w:rsidRDefault="005E1218" w:rsidP="00EB710A">
      <w:pPr>
        <w:tabs>
          <w:tab w:val="left" w:pos="990"/>
        </w:tabs>
        <w:rPr>
          <w:rFonts w:ascii="Arial" w:hAnsi="Arial" w:cs="Arial"/>
        </w:rPr>
      </w:pPr>
    </w:p>
    <w:p w14:paraId="17F478E6" w14:textId="77777777" w:rsidR="00B87846" w:rsidRPr="0010784B" w:rsidRDefault="00B87846" w:rsidP="00EB710A">
      <w:pPr>
        <w:tabs>
          <w:tab w:val="left" w:pos="990"/>
        </w:tabs>
        <w:rPr>
          <w:rFonts w:ascii="Arial" w:hAnsi="Arial" w:cs="Arial"/>
        </w:rPr>
      </w:pPr>
    </w:p>
    <w:p w14:paraId="3F2589EC" w14:textId="36E0BE0E" w:rsidR="00B87846" w:rsidRPr="0010784B" w:rsidRDefault="00B87846" w:rsidP="00EB710A">
      <w:pPr>
        <w:tabs>
          <w:tab w:val="left" w:pos="990"/>
        </w:tabs>
        <w:rPr>
          <w:rFonts w:ascii="Arial" w:hAnsi="Arial" w:cs="Arial"/>
          <w:b/>
        </w:rPr>
      </w:pPr>
      <w:r w:rsidRPr="0010784B">
        <w:rPr>
          <w:rFonts w:ascii="Arial" w:hAnsi="Arial" w:cs="Arial"/>
          <w:b/>
        </w:rPr>
        <w:lastRenderedPageBreak/>
        <w:t xml:space="preserve">Wen G, Tarczy-Hornoch K, McKean-Cowdin R, et al. Prevalence of myopia, hyperopia, and astigmatism in non-Hispanic white and Asian children: multi-ethnic pediatric eye disease study. </w:t>
      </w:r>
      <w:proofErr w:type="gramStart"/>
      <w:r w:rsidRPr="0010784B">
        <w:rPr>
          <w:rFonts w:ascii="Arial" w:hAnsi="Arial" w:cs="Arial"/>
          <w:b/>
        </w:rPr>
        <w:t>Multi-Ethnic Pediatric Eye Disease Study Group.Ophthalmology.</w:t>
      </w:r>
      <w:proofErr w:type="gramEnd"/>
      <w:r w:rsidRPr="0010784B">
        <w:rPr>
          <w:rFonts w:ascii="Arial" w:hAnsi="Arial" w:cs="Arial"/>
          <w:b/>
        </w:rPr>
        <w:t xml:space="preserve"> 2013 Oct</w:t>
      </w:r>
      <w:proofErr w:type="gramStart"/>
      <w:r w:rsidRPr="0010784B">
        <w:rPr>
          <w:rFonts w:ascii="Arial" w:hAnsi="Arial" w:cs="Arial"/>
          <w:b/>
        </w:rPr>
        <w:t>;120</w:t>
      </w:r>
      <w:proofErr w:type="gramEnd"/>
      <w:r w:rsidRPr="0010784B">
        <w:rPr>
          <w:rFonts w:ascii="Arial" w:hAnsi="Arial" w:cs="Arial"/>
          <w:b/>
        </w:rPr>
        <w:t xml:space="preserve">(10):2109-16. </w:t>
      </w:r>
      <w:proofErr w:type="gramStart"/>
      <w:r w:rsidRPr="0010784B">
        <w:rPr>
          <w:rFonts w:ascii="Arial" w:hAnsi="Arial" w:cs="Arial"/>
          <w:b/>
        </w:rPr>
        <w:t>doi</w:t>
      </w:r>
      <w:proofErr w:type="gramEnd"/>
      <w:r w:rsidRPr="0010784B">
        <w:rPr>
          <w:rFonts w:ascii="Arial" w:hAnsi="Arial" w:cs="Arial"/>
          <w:b/>
        </w:rPr>
        <w:t xml:space="preserve">: 10.1016/j.ophtha.2013.06.039. </w:t>
      </w:r>
      <w:proofErr w:type="gramStart"/>
      <w:r w:rsidRPr="0010784B">
        <w:rPr>
          <w:rFonts w:ascii="Arial" w:hAnsi="Arial" w:cs="Arial"/>
          <w:b/>
        </w:rPr>
        <w:t>Epub 2013 Aug 14.</w:t>
      </w:r>
      <w:proofErr w:type="gramEnd"/>
      <w:r w:rsidRPr="0010784B">
        <w:rPr>
          <w:b/>
        </w:rPr>
        <w:t xml:space="preserve"> </w:t>
      </w:r>
      <w:r w:rsidRPr="0010784B">
        <w:rPr>
          <w:rFonts w:ascii="Arial" w:hAnsi="Arial" w:cs="Arial"/>
          <w:b/>
        </w:rPr>
        <w:t>http://www.ncbi.nlm.nih.gov/pubmed/23953098</w:t>
      </w:r>
    </w:p>
    <w:p w14:paraId="1E28E87F" w14:textId="77777777" w:rsidR="00B87846" w:rsidRPr="0010784B" w:rsidRDefault="00B87846" w:rsidP="00EB710A">
      <w:pPr>
        <w:tabs>
          <w:tab w:val="left" w:pos="990"/>
        </w:tabs>
        <w:rPr>
          <w:rFonts w:ascii="Arial" w:hAnsi="Arial" w:cs="Arial"/>
        </w:rPr>
      </w:pPr>
    </w:p>
    <w:p w14:paraId="3EF1C7A1"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PURPOSE:</w:t>
      </w:r>
    </w:p>
    <w:p w14:paraId="5C84355E"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proofErr w:type="gramStart"/>
      <w:r w:rsidRPr="0010784B">
        <w:rPr>
          <w:rFonts w:ascii="Arial" w:hAnsi="Arial" w:cs="Arial"/>
          <w:color w:val="000000"/>
          <w:sz w:val="24"/>
          <w:szCs w:val="24"/>
        </w:rPr>
        <w:t>To determine the age-, gender-, and ethnicity-specific prevalence of myopia, hyperopia, and astigmatism in non-Hispanic white (NHW) and Asian preschool children.</w:t>
      </w:r>
      <w:proofErr w:type="gramEnd"/>
    </w:p>
    <w:p w14:paraId="570034BC"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DESIGN:</w:t>
      </w:r>
    </w:p>
    <w:p w14:paraId="3DF3E51E"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proofErr w:type="gramStart"/>
      <w:r w:rsidRPr="0010784B">
        <w:rPr>
          <w:rFonts w:ascii="Arial" w:hAnsi="Arial" w:cs="Arial"/>
          <w:color w:val="000000"/>
          <w:sz w:val="24"/>
          <w:szCs w:val="24"/>
        </w:rPr>
        <w:t>Population-based, cross-sectional study.</w:t>
      </w:r>
      <w:proofErr w:type="gramEnd"/>
    </w:p>
    <w:p w14:paraId="50A97B0D"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PARTICIPANTS:</w:t>
      </w:r>
    </w:p>
    <w:p w14:paraId="10E282AF"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r w:rsidRPr="0010784B">
        <w:rPr>
          <w:rFonts w:ascii="Arial" w:hAnsi="Arial" w:cs="Arial"/>
          <w:color w:val="000000"/>
          <w:sz w:val="24"/>
          <w:szCs w:val="24"/>
        </w:rPr>
        <w:t>A population-based sample of 1501 NHW children and 1507 Asian children aged 6-72 months from Los Angeles County and Riverside County, California.</w:t>
      </w:r>
    </w:p>
    <w:p w14:paraId="5CBC28B2"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METHODS:</w:t>
      </w:r>
    </w:p>
    <w:p w14:paraId="39722C8D"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r w:rsidRPr="0010784B">
        <w:rPr>
          <w:rFonts w:ascii="Arial" w:hAnsi="Arial" w:cs="Arial"/>
          <w:color w:val="000000"/>
          <w:sz w:val="24"/>
          <w:szCs w:val="24"/>
        </w:rPr>
        <w:t>Eligible children underwent an in-home and in-clinic interview and a comprehensive eye examination including cycloplegic autorefraction from 100 census tracts.</w:t>
      </w:r>
    </w:p>
    <w:p w14:paraId="6C23E8AC"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MAIN OUTCOME MEASURES:</w:t>
      </w:r>
    </w:p>
    <w:p w14:paraId="38A20B51"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proofErr w:type="gramStart"/>
      <w:r w:rsidRPr="0010784B">
        <w:rPr>
          <w:rFonts w:ascii="Arial" w:hAnsi="Arial" w:cs="Arial"/>
          <w:color w:val="000000"/>
          <w:sz w:val="24"/>
          <w:szCs w:val="24"/>
        </w:rPr>
        <w:t>The proportion of children with myopia (spherical equivalent [SE] ≤-1.00 diopter [D]), hyperopia (SE ≥ +2.00 D) and cylindrical refractive error ≥1.50 D in the worse eye.</w:t>
      </w:r>
      <w:proofErr w:type="gramEnd"/>
      <w:r w:rsidRPr="0010784B">
        <w:rPr>
          <w:rFonts w:ascii="Arial" w:hAnsi="Arial" w:cs="Arial"/>
          <w:color w:val="000000"/>
          <w:sz w:val="24"/>
          <w:szCs w:val="24"/>
        </w:rPr>
        <w:t xml:space="preserve"> The astigmatism type was defined as with-the-rule (WTR; +cylinder axis 90°±15°) and against-the-rule (ATR; + cylinder axis 180°±15°); all other orientations were considered oblique (OBL).</w:t>
      </w:r>
    </w:p>
    <w:p w14:paraId="3B98ED94"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RESULTS:</w:t>
      </w:r>
    </w:p>
    <w:p w14:paraId="74DF27B8" w14:textId="77777777" w:rsidR="00B87846" w:rsidRPr="0010784B" w:rsidRDefault="00B87846" w:rsidP="00B87846">
      <w:pPr>
        <w:pStyle w:val="NormalWeb"/>
        <w:shd w:val="clear" w:color="auto" w:fill="FFFFFF"/>
        <w:spacing w:before="0" w:beforeAutospacing="0" w:after="120" w:afterAutospacing="0" w:line="170" w:lineRule="atLeast"/>
        <w:rPr>
          <w:rFonts w:ascii="Arial" w:hAnsi="Arial" w:cs="Arial"/>
          <w:color w:val="000000"/>
          <w:sz w:val="24"/>
          <w:szCs w:val="24"/>
        </w:rPr>
      </w:pPr>
      <w:r w:rsidRPr="0010784B">
        <w:rPr>
          <w:rFonts w:ascii="Arial" w:hAnsi="Arial" w:cs="Arial"/>
          <w:color w:val="000000"/>
          <w:sz w:val="24"/>
          <w:szCs w:val="24"/>
        </w:rPr>
        <w:t>The prevalence of myopia, hyperopia, and astigmatism in NHW children was 1.20% (95% confidence interval [CI], 0.76%-1.89%), 25.65% (95% CI, 23.5%-27.9%), and 6.33% (95% CI, 5.21%-7.68%), respectively. The prevalence of WTR, ATR, and OBL astigmatism in NHW children was 4.33%, 1.00%, and 1.00%, respectively. Prevalence was lower with older age groups for astigmatism (P = 0.0002), but not for myopia (P = 0.82) or hyperopia (P = 0.31). In Asian children, the prevalence of myopia, hyperopia, and astigmatism was 3.98% (95% CI, 3.11%-5.09%), 13.47% (95% CI, 11.8%-15.3%), and 8.29% (95% CI, 7.01%-9.80%), respectively. The prevalence of WTR, ATR, and OBL astigmatism was 6.50%, 0.80%, and 1.00% respectively. The prevalence of hyperopia was higher in girls than boys (P = 0.0002), but no differences were found for myopia and astigmatism.</w:t>
      </w:r>
    </w:p>
    <w:p w14:paraId="3003BFB2" w14:textId="77777777" w:rsidR="00B87846" w:rsidRPr="0010784B" w:rsidRDefault="00B87846" w:rsidP="00B87846">
      <w:pPr>
        <w:pStyle w:val="Heading4"/>
        <w:shd w:val="clear" w:color="auto" w:fill="FFFFFF"/>
        <w:spacing w:before="0" w:beforeAutospacing="0" w:after="0" w:afterAutospacing="0" w:line="170" w:lineRule="atLeast"/>
        <w:ind w:right="60"/>
        <w:rPr>
          <w:rFonts w:ascii="Arial" w:eastAsia="Times New Roman" w:hAnsi="Arial" w:cs="Arial"/>
          <w:caps/>
          <w:color w:val="000000"/>
        </w:rPr>
      </w:pPr>
      <w:r w:rsidRPr="0010784B">
        <w:rPr>
          <w:rFonts w:ascii="Arial" w:eastAsia="Times New Roman" w:hAnsi="Arial" w:cs="Arial"/>
          <w:caps/>
          <w:color w:val="000000"/>
        </w:rPr>
        <w:t>CONCLUSIONS:</w:t>
      </w:r>
    </w:p>
    <w:p w14:paraId="623CF46F" w14:textId="207C69CA" w:rsidR="001246F1" w:rsidRPr="00CB13E2" w:rsidRDefault="00B87846" w:rsidP="00CB13E2">
      <w:pPr>
        <w:pStyle w:val="NormalWeb"/>
        <w:shd w:val="clear" w:color="auto" w:fill="FFFFFF"/>
        <w:spacing w:before="0" w:beforeAutospacing="0" w:after="120" w:afterAutospacing="0" w:line="170" w:lineRule="atLeast"/>
        <w:rPr>
          <w:rFonts w:ascii="Arial" w:hAnsi="Arial" w:cs="Arial"/>
          <w:color w:val="000000"/>
          <w:sz w:val="24"/>
          <w:szCs w:val="24"/>
        </w:rPr>
      </w:pPr>
      <w:r w:rsidRPr="0010784B">
        <w:rPr>
          <w:rFonts w:ascii="Arial" w:hAnsi="Arial" w:cs="Arial"/>
          <w:color w:val="000000"/>
          <w:sz w:val="24"/>
          <w:szCs w:val="24"/>
        </w:rPr>
        <w:t>Hyperopia was the most common refractive error in both Asian and NHW children. However, compared with NHW children, myopia was relatively more prevalent, and hyperopia less prevalent, among Asian children. The prevalence of astigmatism was greatest in infants, and WTR astigmatism predominated at all ages. Myopia showed relatively stable prevalence across age groups, whereas hyperopia prevalence decreased after infancy and then increased again in older age groups; however, longitudinal studies are needed to evaluate refractive changes over time in individual children.</w:t>
      </w:r>
    </w:p>
    <w:sectPr w:rsidR="001246F1" w:rsidRPr="00CB13E2" w:rsidSect="001246F1">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44EC7" w14:textId="77777777" w:rsidR="001634C0" w:rsidRDefault="001634C0">
      <w:r>
        <w:separator/>
      </w:r>
    </w:p>
  </w:endnote>
  <w:endnote w:type="continuationSeparator" w:id="0">
    <w:p w14:paraId="7C99FD2A" w14:textId="77777777" w:rsidR="001634C0" w:rsidRDefault="0016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CC1B0" w14:textId="77777777" w:rsidR="001634C0" w:rsidRDefault="001634C0">
      <w:r>
        <w:separator/>
      </w:r>
    </w:p>
  </w:footnote>
  <w:footnote w:type="continuationSeparator" w:id="0">
    <w:p w14:paraId="7E729950" w14:textId="77777777" w:rsidR="001634C0" w:rsidRDefault="001634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6944E" w14:textId="15275949" w:rsidR="001634C0" w:rsidRDefault="001634C0">
    <w:pPr>
      <w:pStyle w:val="Header"/>
    </w:pPr>
    <w:r>
      <w:rPr>
        <w:noProof/>
        <w:lang w:eastAsia="en-US"/>
      </w:rPr>
      <w:drawing>
        <wp:inline distT="0" distB="0" distL="0" distR="0" wp14:anchorId="0BB2E9E9" wp14:editId="447D475B">
          <wp:extent cx="5935345" cy="626745"/>
          <wp:effectExtent l="0" t="0" r="8255" b="8255"/>
          <wp:docPr id="1" name="Picture 1" descr="ARCH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_Logo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345" cy="626745"/>
                  </a:xfrm>
                  <a:prstGeom prst="rect">
                    <a:avLst/>
                  </a:prstGeom>
                  <a:noFill/>
                  <a:ln>
                    <a:noFill/>
                  </a:ln>
                </pic:spPr>
              </pic:pic>
            </a:graphicData>
          </a:graphic>
        </wp:inline>
      </w:drawing>
    </w:r>
  </w:p>
  <w:p w14:paraId="0E044629" w14:textId="77777777" w:rsidR="001634C0" w:rsidRDefault="001634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41987"/>
    <w:multiLevelType w:val="hybridMultilevel"/>
    <w:tmpl w:val="2E6C5918"/>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7DF1FC8"/>
    <w:multiLevelType w:val="hybridMultilevel"/>
    <w:tmpl w:val="0B6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D330D"/>
    <w:multiLevelType w:val="hybridMultilevel"/>
    <w:tmpl w:val="5C2425EA"/>
    <w:lvl w:ilvl="0" w:tplc="8DC4FB9E">
      <w:start w:val="1"/>
      <w:numFmt w:val="bullet"/>
      <w:lvlText w:val="o"/>
      <w:lvlJc w:val="left"/>
      <w:pPr>
        <w:ind w:left="0" w:firstLine="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3F0A3179"/>
    <w:multiLevelType w:val="hybridMultilevel"/>
    <w:tmpl w:val="5F5CB61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5AD741AE"/>
    <w:multiLevelType w:val="hybridMultilevel"/>
    <w:tmpl w:val="D2DA995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73D9211F"/>
    <w:multiLevelType w:val="hybridMultilevel"/>
    <w:tmpl w:val="4DF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D5B57"/>
    <w:multiLevelType w:val="hybridMultilevel"/>
    <w:tmpl w:val="D4EAAD34"/>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F7"/>
    <w:rsid w:val="00011636"/>
    <w:rsid w:val="00026FBD"/>
    <w:rsid w:val="0003596F"/>
    <w:rsid w:val="00051B9F"/>
    <w:rsid w:val="00051C23"/>
    <w:rsid w:val="00071886"/>
    <w:rsid w:val="00073806"/>
    <w:rsid w:val="00084968"/>
    <w:rsid w:val="00096941"/>
    <w:rsid w:val="000A5A60"/>
    <w:rsid w:val="000C23EC"/>
    <w:rsid w:val="000D6521"/>
    <w:rsid w:val="000F62E5"/>
    <w:rsid w:val="000F642F"/>
    <w:rsid w:val="00101A2A"/>
    <w:rsid w:val="0010784B"/>
    <w:rsid w:val="00124342"/>
    <w:rsid w:val="001246F1"/>
    <w:rsid w:val="00125A2A"/>
    <w:rsid w:val="00131702"/>
    <w:rsid w:val="00145262"/>
    <w:rsid w:val="001634C0"/>
    <w:rsid w:val="00185824"/>
    <w:rsid w:val="001C5C13"/>
    <w:rsid w:val="001D53E5"/>
    <w:rsid w:val="001D6FE7"/>
    <w:rsid w:val="00213290"/>
    <w:rsid w:val="00214404"/>
    <w:rsid w:val="00224814"/>
    <w:rsid w:val="00247421"/>
    <w:rsid w:val="002504E5"/>
    <w:rsid w:val="00252D91"/>
    <w:rsid w:val="0027208E"/>
    <w:rsid w:val="002742E0"/>
    <w:rsid w:val="00275F09"/>
    <w:rsid w:val="002A7F87"/>
    <w:rsid w:val="002E7C19"/>
    <w:rsid w:val="002F28B9"/>
    <w:rsid w:val="00316AFB"/>
    <w:rsid w:val="00317ABF"/>
    <w:rsid w:val="00320271"/>
    <w:rsid w:val="00335A44"/>
    <w:rsid w:val="00341997"/>
    <w:rsid w:val="00373E3A"/>
    <w:rsid w:val="00381387"/>
    <w:rsid w:val="00382F36"/>
    <w:rsid w:val="003A76AF"/>
    <w:rsid w:val="003C0D69"/>
    <w:rsid w:val="003D1CB4"/>
    <w:rsid w:val="003F0648"/>
    <w:rsid w:val="0041769F"/>
    <w:rsid w:val="00420208"/>
    <w:rsid w:val="0042466B"/>
    <w:rsid w:val="00424CFF"/>
    <w:rsid w:val="00432007"/>
    <w:rsid w:val="00437E1F"/>
    <w:rsid w:val="0044737E"/>
    <w:rsid w:val="00476A2F"/>
    <w:rsid w:val="00480B7E"/>
    <w:rsid w:val="00484DAC"/>
    <w:rsid w:val="004A550F"/>
    <w:rsid w:val="004D7BFA"/>
    <w:rsid w:val="00510559"/>
    <w:rsid w:val="00532619"/>
    <w:rsid w:val="00551556"/>
    <w:rsid w:val="00597D88"/>
    <w:rsid w:val="00597DEF"/>
    <w:rsid w:val="005E1218"/>
    <w:rsid w:val="005F5482"/>
    <w:rsid w:val="005F6CA5"/>
    <w:rsid w:val="00607E83"/>
    <w:rsid w:val="006237F7"/>
    <w:rsid w:val="00646151"/>
    <w:rsid w:val="00654A09"/>
    <w:rsid w:val="006A7C05"/>
    <w:rsid w:val="006C31EE"/>
    <w:rsid w:val="006D11E7"/>
    <w:rsid w:val="006E0323"/>
    <w:rsid w:val="006F2CF3"/>
    <w:rsid w:val="006F3BD4"/>
    <w:rsid w:val="006F6950"/>
    <w:rsid w:val="0071064B"/>
    <w:rsid w:val="00717B91"/>
    <w:rsid w:val="00726029"/>
    <w:rsid w:val="007412A5"/>
    <w:rsid w:val="00756405"/>
    <w:rsid w:val="00770611"/>
    <w:rsid w:val="00787114"/>
    <w:rsid w:val="007B64EA"/>
    <w:rsid w:val="007D517B"/>
    <w:rsid w:val="0081656A"/>
    <w:rsid w:val="00827FA6"/>
    <w:rsid w:val="00830A9C"/>
    <w:rsid w:val="00830E5C"/>
    <w:rsid w:val="00892675"/>
    <w:rsid w:val="00896236"/>
    <w:rsid w:val="008C14DC"/>
    <w:rsid w:val="00901DC5"/>
    <w:rsid w:val="009153EB"/>
    <w:rsid w:val="00922A4E"/>
    <w:rsid w:val="0092450F"/>
    <w:rsid w:val="009305F5"/>
    <w:rsid w:val="009341F8"/>
    <w:rsid w:val="00935CCC"/>
    <w:rsid w:val="00953567"/>
    <w:rsid w:val="00966158"/>
    <w:rsid w:val="00970807"/>
    <w:rsid w:val="00983DB7"/>
    <w:rsid w:val="009A29FF"/>
    <w:rsid w:val="009A2B95"/>
    <w:rsid w:val="009A7C2B"/>
    <w:rsid w:val="009D328F"/>
    <w:rsid w:val="009D6579"/>
    <w:rsid w:val="009E59F7"/>
    <w:rsid w:val="00A12FA7"/>
    <w:rsid w:val="00A16EED"/>
    <w:rsid w:val="00A225D3"/>
    <w:rsid w:val="00A3569C"/>
    <w:rsid w:val="00A40B84"/>
    <w:rsid w:val="00A73EEF"/>
    <w:rsid w:val="00AB2900"/>
    <w:rsid w:val="00AC1537"/>
    <w:rsid w:val="00AC2F9B"/>
    <w:rsid w:val="00AC431D"/>
    <w:rsid w:val="00AE129D"/>
    <w:rsid w:val="00AF43B3"/>
    <w:rsid w:val="00B20456"/>
    <w:rsid w:val="00B31537"/>
    <w:rsid w:val="00B57260"/>
    <w:rsid w:val="00B7108E"/>
    <w:rsid w:val="00B77A8C"/>
    <w:rsid w:val="00B87846"/>
    <w:rsid w:val="00BA738A"/>
    <w:rsid w:val="00BB0988"/>
    <w:rsid w:val="00BB184D"/>
    <w:rsid w:val="00BD7314"/>
    <w:rsid w:val="00BF3586"/>
    <w:rsid w:val="00C0630A"/>
    <w:rsid w:val="00C07A16"/>
    <w:rsid w:val="00C22156"/>
    <w:rsid w:val="00C3234A"/>
    <w:rsid w:val="00C34253"/>
    <w:rsid w:val="00C4155C"/>
    <w:rsid w:val="00C43669"/>
    <w:rsid w:val="00C64920"/>
    <w:rsid w:val="00C72DF4"/>
    <w:rsid w:val="00C817F3"/>
    <w:rsid w:val="00C8783E"/>
    <w:rsid w:val="00CA39F0"/>
    <w:rsid w:val="00CB13E2"/>
    <w:rsid w:val="00CB70C0"/>
    <w:rsid w:val="00CB764D"/>
    <w:rsid w:val="00CC19CE"/>
    <w:rsid w:val="00CC2175"/>
    <w:rsid w:val="00CC3DCC"/>
    <w:rsid w:val="00CC57DF"/>
    <w:rsid w:val="00CF07AA"/>
    <w:rsid w:val="00CF6122"/>
    <w:rsid w:val="00D00FA4"/>
    <w:rsid w:val="00D07FA8"/>
    <w:rsid w:val="00D20D3A"/>
    <w:rsid w:val="00D34FC5"/>
    <w:rsid w:val="00D43AC4"/>
    <w:rsid w:val="00D4420E"/>
    <w:rsid w:val="00D468D4"/>
    <w:rsid w:val="00D62B4B"/>
    <w:rsid w:val="00D70327"/>
    <w:rsid w:val="00D93CD8"/>
    <w:rsid w:val="00DC776D"/>
    <w:rsid w:val="00DD7973"/>
    <w:rsid w:val="00DE01F7"/>
    <w:rsid w:val="00DE0605"/>
    <w:rsid w:val="00E06AB6"/>
    <w:rsid w:val="00E464E2"/>
    <w:rsid w:val="00E72D46"/>
    <w:rsid w:val="00E74146"/>
    <w:rsid w:val="00EB710A"/>
    <w:rsid w:val="00EC189D"/>
    <w:rsid w:val="00EC4D6A"/>
    <w:rsid w:val="00EC6D3F"/>
    <w:rsid w:val="00ED11B2"/>
    <w:rsid w:val="00F2025B"/>
    <w:rsid w:val="00F32711"/>
    <w:rsid w:val="00F65A5C"/>
    <w:rsid w:val="00F71957"/>
    <w:rsid w:val="00F85C80"/>
    <w:rsid w:val="00FF61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38A3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94950">
      <w:bodyDiv w:val="1"/>
      <w:marLeft w:val="0"/>
      <w:marRight w:val="0"/>
      <w:marTop w:val="0"/>
      <w:marBottom w:val="0"/>
      <w:divBdr>
        <w:top w:val="none" w:sz="0" w:space="0" w:color="auto"/>
        <w:left w:val="none" w:sz="0" w:space="0" w:color="auto"/>
        <w:bottom w:val="none" w:sz="0" w:space="0" w:color="auto"/>
        <w:right w:val="none" w:sz="0" w:space="0" w:color="auto"/>
      </w:divBdr>
      <w:divsChild>
        <w:div w:id="152381923">
          <w:marLeft w:val="0"/>
          <w:marRight w:val="0"/>
          <w:marTop w:val="288"/>
          <w:marBottom w:val="100"/>
          <w:divBdr>
            <w:top w:val="none" w:sz="0" w:space="0" w:color="auto"/>
            <w:left w:val="none" w:sz="0" w:space="0" w:color="auto"/>
            <w:bottom w:val="none" w:sz="0" w:space="0" w:color="auto"/>
            <w:right w:val="none" w:sz="0" w:space="0" w:color="auto"/>
          </w:divBdr>
          <w:divsChild>
            <w:div w:id="519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500">
      <w:bodyDiv w:val="1"/>
      <w:marLeft w:val="0"/>
      <w:marRight w:val="0"/>
      <w:marTop w:val="0"/>
      <w:marBottom w:val="0"/>
      <w:divBdr>
        <w:top w:val="none" w:sz="0" w:space="0" w:color="auto"/>
        <w:left w:val="none" w:sz="0" w:space="0" w:color="auto"/>
        <w:bottom w:val="none" w:sz="0" w:space="0" w:color="auto"/>
        <w:right w:val="none" w:sz="0" w:space="0" w:color="auto"/>
      </w:divBdr>
    </w:div>
    <w:div w:id="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657143448">
          <w:marLeft w:val="0"/>
          <w:marRight w:val="0"/>
          <w:marTop w:val="0"/>
          <w:marBottom w:val="0"/>
          <w:divBdr>
            <w:top w:val="none" w:sz="0" w:space="0" w:color="auto"/>
            <w:left w:val="none" w:sz="0" w:space="0" w:color="auto"/>
            <w:bottom w:val="none" w:sz="0" w:space="0" w:color="auto"/>
            <w:right w:val="none" w:sz="0" w:space="0" w:color="auto"/>
          </w:divBdr>
        </w:div>
        <w:div w:id="1122530044">
          <w:marLeft w:val="0"/>
          <w:marRight w:val="0"/>
          <w:marTop w:val="0"/>
          <w:marBottom w:val="0"/>
          <w:divBdr>
            <w:top w:val="none" w:sz="0" w:space="0" w:color="auto"/>
            <w:left w:val="none" w:sz="0" w:space="0" w:color="auto"/>
            <w:bottom w:val="none" w:sz="0" w:space="0" w:color="auto"/>
            <w:right w:val="none" w:sz="0" w:space="0" w:color="auto"/>
          </w:divBdr>
        </w:div>
        <w:div w:id="1684554982">
          <w:marLeft w:val="0"/>
          <w:marRight w:val="0"/>
          <w:marTop w:val="0"/>
          <w:marBottom w:val="0"/>
          <w:divBdr>
            <w:top w:val="none" w:sz="0" w:space="0" w:color="auto"/>
            <w:left w:val="none" w:sz="0" w:space="0" w:color="auto"/>
            <w:bottom w:val="none" w:sz="0" w:space="0" w:color="auto"/>
            <w:right w:val="none" w:sz="0" w:space="0" w:color="auto"/>
          </w:divBdr>
        </w:div>
        <w:div w:id="1030182622">
          <w:marLeft w:val="0"/>
          <w:marRight w:val="0"/>
          <w:marTop w:val="288"/>
          <w:marBottom w:val="100"/>
          <w:divBdr>
            <w:top w:val="none" w:sz="0" w:space="0" w:color="auto"/>
            <w:left w:val="none" w:sz="0" w:space="0" w:color="auto"/>
            <w:bottom w:val="none" w:sz="0" w:space="0" w:color="auto"/>
            <w:right w:val="none" w:sz="0" w:space="0" w:color="auto"/>
          </w:divBdr>
          <w:divsChild>
            <w:div w:id="1342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512">
      <w:bodyDiv w:val="1"/>
      <w:marLeft w:val="0"/>
      <w:marRight w:val="0"/>
      <w:marTop w:val="0"/>
      <w:marBottom w:val="0"/>
      <w:divBdr>
        <w:top w:val="none" w:sz="0" w:space="0" w:color="auto"/>
        <w:left w:val="none" w:sz="0" w:space="0" w:color="auto"/>
        <w:bottom w:val="none" w:sz="0" w:space="0" w:color="auto"/>
        <w:right w:val="none" w:sz="0" w:space="0" w:color="auto"/>
      </w:divBdr>
    </w:div>
    <w:div w:id="438453242">
      <w:bodyDiv w:val="1"/>
      <w:marLeft w:val="0"/>
      <w:marRight w:val="0"/>
      <w:marTop w:val="0"/>
      <w:marBottom w:val="0"/>
      <w:divBdr>
        <w:top w:val="none" w:sz="0" w:space="0" w:color="auto"/>
        <w:left w:val="none" w:sz="0" w:space="0" w:color="auto"/>
        <w:bottom w:val="none" w:sz="0" w:space="0" w:color="auto"/>
        <w:right w:val="none" w:sz="0" w:space="0" w:color="auto"/>
      </w:divBdr>
      <w:divsChild>
        <w:div w:id="1577931377">
          <w:marLeft w:val="0"/>
          <w:marRight w:val="0"/>
          <w:marTop w:val="288"/>
          <w:marBottom w:val="100"/>
          <w:divBdr>
            <w:top w:val="none" w:sz="0" w:space="0" w:color="auto"/>
            <w:left w:val="none" w:sz="0" w:space="0" w:color="auto"/>
            <w:bottom w:val="none" w:sz="0" w:space="0" w:color="auto"/>
            <w:right w:val="none" w:sz="0" w:space="0" w:color="auto"/>
          </w:divBdr>
          <w:divsChild>
            <w:div w:id="151063935">
              <w:marLeft w:val="0"/>
              <w:marRight w:val="0"/>
              <w:marTop w:val="0"/>
              <w:marBottom w:val="0"/>
              <w:divBdr>
                <w:top w:val="none" w:sz="0" w:space="0" w:color="auto"/>
                <w:left w:val="none" w:sz="0" w:space="0" w:color="auto"/>
                <w:bottom w:val="none" w:sz="0" w:space="0" w:color="auto"/>
                <w:right w:val="none" w:sz="0" w:space="0" w:color="auto"/>
              </w:divBdr>
            </w:div>
          </w:divsChild>
        </w:div>
        <w:div w:id="1448501662">
          <w:marLeft w:val="0"/>
          <w:marRight w:val="0"/>
          <w:marTop w:val="288"/>
          <w:marBottom w:val="100"/>
          <w:divBdr>
            <w:top w:val="none" w:sz="0" w:space="0" w:color="auto"/>
            <w:left w:val="none" w:sz="0" w:space="0" w:color="auto"/>
            <w:bottom w:val="none" w:sz="0" w:space="0" w:color="auto"/>
            <w:right w:val="none" w:sz="0" w:space="0" w:color="auto"/>
          </w:divBdr>
        </w:div>
      </w:divsChild>
    </w:div>
    <w:div w:id="522934722">
      <w:bodyDiv w:val="1"/>
      <w:marLeft w:val="0"/>
      <w:marRight w:val="0"/>
      <w:marTop w:val="0"/>
      <w:marBottom w:val="0"/>
      <w:divBdr>
        <w:top w:val="none" w:sz="0" w:space="0" w:color="auto"/>
        <w:left w:val="none" w:sz="0" w:space="0" w:color="auto"/>
        <w:bottom w:val="none" w:sz="0" w:space="0" w:color="auto"/>
        <w:right w:val="none" w:sz="0" w:space="0" w:color="auto"/>
      </w:divBdr>
      <w:divsChild>
        <w:div w:id="961769440">
          <w:marLeft w:val="0"/>
          <w:marRight w:val="0"/>
          <w:marTop w:val="288"/>
          <w:marBottom w:val="100"/>
          <w:divBdr>
            <w:top w:val="none" w:sz="0" w:space="0" w:color="auto"/>
            <w:left w:val="none" w:sz="0" w:space="0" w:color="auto"/>
            <w:bottom w:val="none" w:sz="0" w:space="0" w:color="auto"/>
            <w:right w:val="none" w:sz="0" w:space="0" w:color="auto"/>
          </w:divBdr>
          <w:divsChild>
            <w:div w:id="1431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25">
      <w:bodyDiv w:val="1"/>
      <w:marLeft w:val="0"/>
      <w:marRight w:val="0"/>
      <w:marTop w:val="0"/>
      <w:marBottom w:val="0"/>
      <w:divBdr>
        <w:top w:val="none" w:sz="0" w:space="0" w:color="auto"/>
        <w:left w:val="none" w:sz="0" w:space="0" w:color="auto"/>
        <w:bottom w:val="none" w:sz="0" w:space="0" w:color="auto"/>
        <w:right w:val="none" w:sz="0" w:space="0" w:color="auto"/>
      </w:divBdr>
      <w:divsChild>
        <w:div w:id="2115201793">
          <w:marLeft w:val="0"/>
          <w:marRight w:val="0"/>
          <w:marTop w:val="288"/>
          <w:marBottom w:val="100"/>
          <w:divBdr>
            <w:top w:val="none" w:sz="0" w:space="0" w:color="auto"/>
            <w:left w:val="none" w:sz="0" w:space="0" w:color="auto"/>
            <w:bottom w:val="none" w:sz="0" w:space="0" w:color="auto"/>
            <w:right w:val="none" w:sz="0" w:space="0" w:color="auto"/>
          </w:divBdr>
          <w:divsChild>
            <w:div w:id="960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52">
      <w:bodyDiv w:val="1"/>
      <w:marLeft w:val="0"/>
      <w:marRight w:val="0"/>
      <w:marTop w:val="0"/>
      <w:marBottom w:val="0"/>
      <w:divBdr>
        <w:top w:val="none" w:sz="0" w:space="0" w:color="auto"/>
        <w:left w:val="none" w:sz="0" w:space="0" w:color="auto"/>
        <w:bottom w:val="none" w:sz="0" w:space="0" w:color="auto"/>
        <w:right w:val="none" w:sz="0" w:space="0" w:color="auto"/>
      </w:divBdr>
      <w:divsChild>
        <w:div w:id="1033338632">
          <w:marLeft w:val="0"/>
          <w:marRight w:val="0"/>
          <w:marTop w:val="0"/>
          <w:marBottom w:val="0"/>
          <w:divBdr>
            <w:top w:val="none" w:sz="0" w:space="0" w:color="auto"/>
            <w:left w:val="none" w:sz="0" w:space="0" w:color="auto"/>
            <w:bottom w:val="none" w:sz="0" w:space="0" w:color="auto"/>
            <w:right w:val="none" w:sz="0" w:space="0" w:color="auto"/>
          </w:divBdr>
        </w:div>
        <w:div w:id="260265781">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743407263">
          <w:marLeft w:val="0"/>
          <w:marRight w:val="0"/>
          <w:marTop w:val="0"/>
          <w:marBottom w:val="0"/>
          <w:divBdr>
            <w:top w:val="none" w:sz="0" w:space="0" w:color="auto"/>
            <w:left w:val="none" w:sz="0" w:space="0" w:color="auto"/>
            <w:bottom w:val="none" w:sz="0" w:space="0" w:color="auto"/>
            <w:right w:val="none" w:sz="0" w:space="0" w:color="auto"/>
          </w:divBdr>
          <w:divsChild>
            <w:div w:id="1334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570">
      <w:bodyDiv w:val="1"/>
      <w:marLeft w:val="0"/>
      <w:marRight w:val="0"/>
      <w:marTop w:val="0"/>
      <w:marBottom w:val="0"/>
      <w:divBdr>
        <w:top w:val="none" w:sz="0" w:space="0" w:color="auto"/>
        <w:left w:val="none" w:sz="0" w:space="0" w:color="auto"/>
        <w:bottom w:val="none" w:sz="0" w:space="0" w:color="auto"/>
        <w:right w:val="none" w:sz="0" w:space="0" w:color="auto"/>
      </w:divBdr>
      <w:divsChild>
        <w:div w:id="1018501856">
          <w:marLeft w:val="0"/>
          <w:marRight w:val="0"/>
          <w:marTop w:val="0"/>
          <w:marBottom w:val="0"/>
          <w:divBdr>
            <w:top w:val="none" w:sz="0" w:space="0" w:color="auto"/>
            <w:left w:val="none" w:sz="0" w:space="0" w:color="auto"/>
            <w:bottom w:val="none" w:sz="0" w:space="0" w:color="auto"/>
            <w:right w:val="none" w:sz="0" w:space="0" w:color="auto"/>
          </w:divBdr>
        </w:div>
        <w:div w:id="328098823">
          <w:marLeft w:val="0"/>
          <w:marRight w:val="0"/>
          <w:marTop w:val="0"/>
          <w:marBottom w:val="0"/>
          <w:divBdr>
            <w:top w:val="none" w:sz="0" w:space="0" w:color="auto"/>
            <w:left w:val="none" w:sz="0" w:space="0" w:color="auto"/>
            <w:bottom w:val="none" w:sz="0" w:space="0" w:color="auto"/>
            <w:right w:val="none" w:sz="0" w:space="0" w:color="auto"/>
          </w:divBdr>
        </w:div>
        <w:div w:id="84040180">
          <w:marLeft w:val="0"/>
          <w:marRight w:val="0"/>
          <w:marTop w:val="0"/>
          <w:marBottom w:val="0"/>
          <w:divBdr>
            <w:top w:val="none" w:sz="0" w:space="0" w:color="auto"/>
            <w:left w:val="none" w:sz="0" w:space="0" w:color="auto"/>
            <w:bottom w:val="none" w:sz="0" w:space="0" w:color="auto"/>
            <w:right w:val="none" w:sz="0" w:space="0" w:color="auto"/>
          </w:divBdr>
        </w:div>
        <w:div w:id="1782532897">
          <w:marLeft w:val="0"/>
          <w:marRight w:val="0"/>
          <w:marTop w:val="0"/>
          <w:marBottom w:val="0"/>
          <w:divBdr>
            <w:top w:val="none" w:sz="0" w:space="0" w:color="auto"/>
            <w:left w:val="none" w:sz="0" w:space="0" w:color="auto"/>
            <w:bottom w:val="none" w:sz="0" w:space="0" w:color="auto"/>
            <w:right w:val="none" w:sz="0" w:space="0" w:color="auto"/>
          </w:divBdr>
          <w:divsChild>
            <w:div w:id="395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488">
      <w:bodyDiv w:val="1"/>
      <w:marLeft w:val="0"/>
      <w:marRight w:val="0"/>
      <w:marTop w:val="0"/>
      <w:marBottom w:val="0"/>
      <w:divBdr>
        <w:top w:val="none" w:sz="0" w:space="0" w:color="auto"/>
        <w:left w:val="none" w:sz="0" w:space="0" w:color="auto"/>
        <w:bottom w:val="none" w:sz="0" w:space="0" w:color="auto"/>
        <w:right w:val="none" w:sz="0" w:space="0" w:color="auto"/>
      </w:divBdr>
      <w:divsChild>
        <w:div w:id="962228821">
          <w:marLeft w:val="0"/>
          <w:marRight w:val="0"/>
          <w:marTop w:val="288"/>
          <w:marBottom w:val="100"/>
          <w:divBdr>
            <w:top w:val="none" w:sz="0" w:space="0" w:color="auto"/>
            <w:left w:val="none" w:sz="0" w:space="0" w:color="auto"/>
            <w:bottom w:val="none" w:sz="0" w:space="0" w:color="auto"/>
            <w:right w:val="none" w:sz="0" w:space="0" w:color="auto"/>
          </w:divBdr>
          <w:divsChild>
            <w:div w:id="3799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371">
      <w:bodyDiv w:val="1"/>
      <w:marLeft w:val="0"/>
      <w:marRight w:val="0"/>
      <w:marTop w:val="0"/>
      <w:marBottom w:val="0"/>
      <w:divBdr>
        <w:top w:val="none" w:sz="0" w:space="0" w:color="auto"/>
        <w:left w:val="none" w:sz="0" w:space="0" w:color="auto"/>
        <w:bottom w:val="none" w:sz="0" w:space="0" w:color="auto"/>
        <w:right w:val="none" w:sz="0" w:space="0" w:color="auto"/>
      </w:divBdr>
      <w:divsChild>
        <w:div w:id="1836187987">
          <w:marLeft w:val="0"/>
          <w:marRight w:val="0"/>
          <w:marTop w:val="288"/>
          <w:marBottom w:val="100"/>
          <w:divBdr>
            <w:top w:val="none" w:sz="0" w:space="0" w:color="auto"/>
            <w:left w:val="none" w:sz="0" w:space="0" w:color="auto"/>
            <w:bottom w:val="none" w:sz="0" w:space="0" w:color="auto"/>
            <w:right w:val="none" w:sz="0" w:space="0" w:color="auto"/>
          </w:divBdr>
          <w:divsChild>
            <w:div w:id="295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07">
      <w:bodyDiv w:val="1"/>
      <w:marLeft w:val="0"/>
      <w:marRight w:val="0"/>
      <w:marTop w:val="0"/>
      <w:marBottom w:val="0"/>
      <w:divBdr>
        <w:top w:val="none" w:sz="0" w:space="0" w:color="auto"/>
        <w:left w:val="none" w:sz="0" w:space="0" w:color="auto"/>
        <w:bottom w:val="none" w:sz="0" w:space="0" w:color="auto"/>
        <w:right w:val="none" w:sz="0" w:space="0" w:color="auto"/>
      </w:divBdr>
      <w:divsChild>
        <w:div w:id="1537549164">
          <w:marLeft w:val="0"/>
          <w:marRight w:val="0"/>
          <w:marTop w:val="288"/>
          <w:marBottom w:val="100"/>
          <w:divBdr>
            <w:top w:val="none" w:sz="0" w:space="0" w:color="auto"/>
            <w:left w:val="none" w:sz="0" w:space="0" w:color="auto"/>
            <w:bottom w:val="none" w:sz="0" w:space="0" w:color="auto"/>
            <w:right w:val="none" w:sz="0" w:space="0" w:color="auto"/>
          </w:divBdr>
          <w:divsChild>
            <w:div w:id="848329282">
              <w:marLeft w:val="0"/>
              <w:marRight w:val="0"/>
              <w:marTop w:val="0"/>
              <w:marBottom w:val="0"/>
              <w:divBdr>
                <w:top w:val="none" w:sz="0" w:space="0" w:color="auto"/>
                <w:left w:val="none" w:sz="0" w:space="0" w:color="auto"/>
                <w:bottom w:val="none" w:sz="0" w:space="0" w:color="auto"/>
                <w:right w:val="none" w:sz="0" w:space="0" w:color="auto"/>
              </w:divBdr>
            </w:div>
          </w:divsChild>
        </w:div>
        <w:div w:id="2010786431">
          <w:marLeft w:val="0"/>
          <w:marRight w:val="0"/>
          <w:marTop w:val="288"/>
          <w:marBottom w:val="100"/>
          <w:divBdr>
            <w:top w:val="none" w:sz="0" w:space="0" w:color="auto"/>
            <w:left w:val="none" w:sz="0" w:space="0" w:color="auto"/>
            <w:bottom w:val="none" w:sz="0" w:space="0" w:color="auto"/>
            <w:right w:val="none" w:sz="0" w:space="0" w:color="auto"/>
          </w:divBdr>
        </w:div>
      </w:divsChild>
    </w:div>
    <w:div w:id="1634826248">
      <w:bodyDiv w:val="1"/>
      <w:marLeft w:val="0"/>
      <w:marRight w:val="0"/>
      <w:marTop w:val="0"/>
      <w:marBottom w:val="0"/>
      <w:divBdr>
        <w:top w:val="none" w:sz="0" w:space="0" w:color="auto"/>
        <w:left w:val="none" w:sz="0" w:space="0" w:color="auto"/>
        <w:bottom w:val="none" w:sz="0" w:space="0" w:color="auto"/>
        <w:right w:val="none" w:sz="0" w:space="0" w:color="auto"/>
      </w:divBdr>
    </w:div>
    <w:div w:id="1648361601">
      <w:bodyDiv w:val="1"/>
      <w:marLeft w:val="0"/>
      <w:marRight w:val="0"/>
      <w:marTop w:val="0"/>
      <w:marBottom w:val="0"/>
      <w:divBdr>
        <w:top w:val="none" w:sz="0" w:space="0" w:color="auto"/>
        <w:left w:val="none" w:sz="0" w:space="0" w:color="auto"/>
        <w:bottom w:val="none" w:sz="0" w:space="0" w:color="auto"/>
        <w:right w:val="none" w:sz="0" w:space="0" w:color="auto"/>
      </w:divBdr>
    </w:div>
    <w:div w:id="175816570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51">
          <w:marLeft w:val="0"/>
          <w:marRight w:val="0"/>
          <w:marTop w:val="288"/>
          <w:marBottom w:val="100"/>
          <w:divBdr>
            <w:top w:val="none" w:sz="0" w:space="0" w:color="auto"/>
            <w:left w:val="none" w:sz="0" w:space="0" w:color="auto"/>
            <w:bottom w:val="none" w:sz="0" w:space="0" w:color="auto"/>
            <w:right w:val="none" w:sz="0" w:space="0" w:color="auto"/>
          </w:divBdr>
          <w:divsChild>
            <w:div w:id="891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120">
      <w:bodyDiv w:val="1"/>
      <w:marLeft w:val="0"/>
      <w:marRight w:val="0"/>
      <w:marTop w:val="0"/>
      <w:marBottom w:val="0"/>
      <w:divBdr>
        <w:top w:val="none" w:sz="0" w:space="0" w:color="auto"/>
        <w:left w:val="none" w:sz="0" w:space="0" w:color="auto"/>
        <w:bottom w:val="none" w:sz="0" w:space="0" w:color="auto"/>
        <w:right w:val="none" w:sz="0" w:space="0" w:color="auto"/>
      </w:divBdr>
      <w:divsChild>
        <w:div w:id="1952662409">
          <w:marLeft w:val="0"/>
          <w:marRight w:val="0"/>
          <w:marTop w:val="288"/>
          <w:marBottom w:val="100"/>
          <w:divBdr>
            <w:top w:val="none" w:sz="0" w:space="0" w:color="auto"/>
            <w:left w:val="none" w:sz="0" w:space="0" w:color="auto"/>
            <w:bottom w:val="none" w:sz="0" w:space="0" w:color="auto"/>
            <w:right w:val="none" w:sz="0" w:space="0" w:color="auto"/>
          </w:divBdr>
          <w:divsChild>
            <w:div w:id="1394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760">
      <w:bodyDiv w:val="1"/>
      <w:marLeft w:val="0"/>
      <w:marRight w:val="0"/>
      <w:marTop w:val="0"/>
      <w:marBottom w:val="0"/>
      <w:divBdr>
        <w:top w:val="none" w:sz="0" w:space="0" w:color="auto"/>
        <w:left w:val="none" w:sz="0" w:space="0" w:color="auto"/>
        <w:bottom w:val="none" w:sz="0" w:space="0" w:color="auto"/>
        <w:right w:val="none" w:sz="0" w:space="0" w:color="auto"/>
      </w:divBdr>
      <w:divsChild>
        <w:div w:id="464471328">
          <w:marLeft w:val="0"/>
          <w:marRight w:val="0"/>
          <w:marTop w:val="288"/>
          <w:marBottom w:val="100"/>
          <w:divBdr>
            <w:top w:val="none" w:sz="0" w:space="0" w:color="auto"/>
            <w:left w:val="none" w:sz="0" w:space="0" w:color="auto"/>
            <w:bottom w:val="none" w:sz="0" w:space="0" w:color="auto"/>
            <w:right w:val="none" w:sz="0" w:space="0" w:color="auto"/>
          </w:divBdr>
          <w:divsChild>
            <w:div w:id="755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5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23613027" TargetMode="External"/><Relationship Id="rId9" Type="http://schemas.openxmlformats.org/officeDocument/2006/relationships/hyperlink" Target="http://www.europeanintegrativemedicinejrnl.com/article/S1876-3820(13)00163-7/abstract"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1568</Words>
  <Characters>9363</Characters>
  <Application>Microsoft Macintosh Word</Application>
  <DocSecurity>0</DocSecurity>
  <Lines>176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Links>
    <vt:vector size="6" baseType="variant">
      <vt:variant>
        <vt:i4>2883625</vt:i4>
      </vt:variant>
      <vt:variant>
        <vt:i4>2480</vt:i4>
      </vt:variant>
      <vt:variant>
        <vt:i4>1025</vt:i4>
      </vt:variant>
      <vt:variant>
        <vt:i4>1</vt:i4>
      </vt:variant>
      <vt:variant>
        <vt:lpwstr>ARCH_Logo_Letterhead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tungnguyen</cp:lastModifiedBy>
  <cp:revision>139</cp:revision>
  <cp:lastPrinted>2013-08-03T04:46:00Z</cp:lastPrinted>
  <dcterms:created xsi:type="dcterms:W3CDTF">2013-09-08T01:51:00Z</dcterms:created>
  <dcterms:modified xsi:type="dcterms:W3CDTF">2013-12-08T01:08:00Z</dcterms:modified>
</cp:coreProperties>
</file>