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1E6EB6" w:rsidRDefault="00ED36C4" w:rsidP="00846118">
      <w:pPr>
        <w:jc w:val="center"/>
        <w:rPr>
          <w:rFonts w:ascii="Arial" w:hAnsi="Arial" w:cs="Arial"/>
          <w:b/>
          <w:sz w:val="28"/>
          <w:szCs w:val="28"/>
        </w:rPr>
      </w:pPr>
      <w:r w:rsidRPr="001E6EB6">
        <w:rPr>
          <w:rFonts w:ascii="Arial" w:hAnsi="Arial" w:cs="Arial"/>
          <w:b/>
          <w:sz w:val="28"/>
          <w:szCs w:val="28"/>
        </w:rPr>
        <w:t>Abstract</w:t>
      </w:r>
    </w:p>
    <w:p w14:paraId="5575CA4F" w14:textId="77777777" w:rsidR="00846118" w:rsidRPr="001E6EB6" w:rsidRDefault="00846118" w:rsidP="00846118">
      <w:pPr>
        <w:rPr>
          <w:rFonts w:ascii="Arial" w:hAnsi="Arial" w:cs="Arial"/>
          <w:sz w:val="20"/>
          <w:szCs w:val="20"/>
        </w:rPr>
      </w:pPr>
    </w:p>
    <w:p w14:paraId="08DED9BD" w14:textId="77777777" w:rsidR="001E6EB6" w:rsidRPr="001E6EB6" w:rsidRDefault="000819AD" w:rsidP="001E6EB6">
      <w:pPr>
        <w:rPr>
          <w:rFonts w:ascii="Arial" w:eastAsia="Arial" w:hAnsi="Arial" w:cs="Arial"/>
          <w:sz w:val="20"/>
          <w:szCs w:val="20"/>
        </w:rPr>
      </w:pPr>
      <w:r w:rsidRPr="001E6EB6">
        <w:rPr>
          <w:rFonts w:ascii="Arial" w:eastAsia="Times New Roman" w:hAnsi="Arial" w:cs="Arial"/>
          <w:b/>
          <w:sz w:val="20"/>
          <w:szCs w:val="20"/>
        </w:rPr>
        <w:t>Title:</w:t>
      </w:r>
      <w:r w:rsidRPr="001E6EB6">
        <w:rPr>
          <w:rFonts w:ascii="Arial" w:eastAsia="Times New Roman" w:hAnsi="Arial" w:cs="Arial"/>
          <w:sz w:val="20"/>
          <w:szCs w:val="20"/>
        </w:rPr>
        <w:t xml:space="preserve"> </w:t>
      </w:r>
      <w:hyperlink r:id="rId6">
        <w:r w:rsidR="001E6EB6" w:rsidRPr="001E6EB6">
          <w:rPr>
            <w:rFonts w:ascii="Arial" w:eastAsia="Arial" w:hAnsi="Arial" w:cs="Arial"/>
            <w:color w:val="1155CC"/>
            <w:sz w:val="20"/>
            <w:szCs w:val="20"/>
            <w:highlight w:val="white"/>
            <w:u w:val="single"/>
          </w:rPr>
          <w:t>Community-based game intervention to improve South Asian Indian Americans' engagement with advanced care planning.</w:t>
        </w:r>
      </w:hyperlink>
    </w:p>
    <w:p w14:paraId="7A52B782" w14:textId="77777777" w:rsidR="000819AD" w:rsidRPr="001E6EB6" w:rsidRDefault="000819AD" w:rsidP="00846118">
      <w:pPr>
        <w:rPr>
          <w:rFonts w:ascii="Arial" w:hAnsi="Arial" w:cs="Arial"/>
          <w:sz w:val="20"/>
          <w:szCs w:val="20"/>
        </w:rPr>
      </w:pPr>
    </w:p>
    <w:p w14:paraId="5A401D60" w14:textId="77777777" w:rsidR="001E6EB6" w:rsidRPr="001E6EB6" w:rsidRDefault="000819AD" w:rsidP="001E6EB6">
      <w:pPr>
        <w:rPr>
          <w:rFonts w:ascii="Arial" w:eastAsia="Arial" w:hAnsi="Arial" w:cs="Arial"/>
          <w:color w:val="222222"/>
          <w:sz w:val="20"/>
          <w:szCs w:val="20"/>
          <w:highlight w:val="white"/>
        </w:rPr>
      </w:pPr>
      <w:r w:rsidRPr="001E6EB6">
        <w:rPr>
          <w:rFonts w:ascii="Arial" w:eastAsia="Times New Roman" w:hAnsi="Arial" w:cs="Arial"/>
          <w:b/>
          <w:sz w:val="20"/>
          <w:szCs w:val="20"/>
        </w:rPr>
        <w:t>Authors:</w:t>
      </w:r>
      <w:r w:rsidRPr="001E6EB6">
        <w:rPr>
          <w:rFonts w:ascii="Arial" w:eastAsia="Times New Roman" w:hAnsi="Arial" w:cs="Arial"/>
          <w:sz w:val="20"/>
          <w:szCs w:val="20"/>
        </w:rPr>
        <w:t xml:space="preserve"> </w:t>
      </w:r>
      <w:hyperlink r:id="rId7">
        <w:r w:rsidR="001E6EB6" w:rsidRPr="001E6EB6">
          <w:rPr>
            <w:rFonts w:ascii="Arial" w:eastAsia="Arial" w:hAnsi="Arial" w:cs="Arial"/>
            <w:color w:val="660066"/>
            <w:sz w:val="20"/>
            <w:szCs w:val="20"/>
            <w:highlight w:val="white"/>
            <w:u w:val="single"/>
          </w:rPr>
          <w:t>Radhakrishnan K</w:t>
        </w:r>
      </w:hyperlink>
      <w:r w:rsidR="001E6EB6" w:rsidRPr="001E6EB6">
        <w:rPr>
          <w:rFonts w:ascii="Arial" w:eastAsia="Arial" w:hAnsi="Arial" w:cs="Arial"/>
          <w:color w:val="222222"/>
          <w:sz w:val="20"/>
          <w:szCs w:val="20"/>
          <w:highlight w:val="white"/>
          <w:vertAlign w:val="superscript"/>
        </w:rPr>
        <w:t>1</w:t>
      </w:r>
      <w:r w:rsidR="001E6EB6" w:rsidRPr="001E6EB6">
        <w:rPr>
          <w:rFonts w:ascii="Arial" w:eastAsia="Arial" w:hAnsi="Arial" w:cs="Arial"/>
          <w:color w:val="222222"/>
          <w:sz w:val="20"/>
          <w:szCs w:val="20"/>
          <w:highlight w:val="white"/>
        </w:rPr>
        <w:t xml:space="preserve">, </w:t>
      </w:r>
      <w:hyperlink r:id="rId8">
        <w:r w:rsidR="001E6EB6" w:rsidRPr="001E6EB6">
          <w:rPr>
            <w:rFonts w:ascii="Arial" w:eastAsia="Arial" w:hAnsi="Arial" w:cs="Arial"/>
            <w:color w:val="660066"/>
            <w:sz w:val="20"/>
            <w:szCs w:val="20"/>
            <w:highlight w:val="white"/>
            <w:u w:val="single"/>
          </w:rPr>
          <w:t>Van Scoy LJ</w:t>
        </w:r>
      </w:hyperlink>
      <w:r w:rsidR="001E6EB6" w:rsidRPr="001E6EB6">
        <w:rPr>
          <w:rFonts w:ascii="Arial" w:eastAsia="Arial" w:hAnsi="Arial" w:cs="Arial"/>
          <w:color w:val="222222"/>
          <w:sz w:val="20"/>
          <w:szCs w:val="20"/>
          <w:highlight w:val="white"/>
          <w:vertAlign w:val="superscript"/>
        </w:rPr>
        <w:t>2</w:t>
      </w:r>
      <w:r w:rsidR="001E6EB6" w:rsidRPr="001E6EB6">
        <w:rPr>
          <w:rFonts w:ascii="Arial" w:eastAsia="Arial" w:hAnsi="Arial" w:cs="Arial"/>
          <w:color w:val="222222"/>
          <w:sz w:val="20"/>
          <w:szCs w:val="20"/>
          <w:highlight w:val="white"/>
        </w:rPr>
        <w:t xml:space="preserve">, </w:t>
      </w:r>
      <w:hyperlink r:id="rId9">
        <w:r w:rsidR="001E6EB6" w:rsidRPr="001E6EB6">
          <w:rPr>
            <w:rFonts w:ascii="Arial" w:eastAsia="Arial" w:hAnsi="Arial" w:cs="Arial"/>
            <w:color w:val="660066"/>
            <w:sz w:val="20"/>
            <w:szCs w:val="20"/>
            <w:highlight w:val="white"/>
            <w:u w:val="single"/>
          </w:rPr>
          <w:t>Jillapalli R</w:t>
        </w:r>
      </w:hyperlink>
      <w:r w:rsidR="001E6EB6" w:rsidRPr="001E6EB6">
        <w:rPr>
          <w:rFonts w:ascii="Arial" w:eastAsia="Arial" w:hAnsi="Arial" w:cs="Arial"/>
          <w:color w:val="222222"/>
          <w:sz w:val="20"/>
          <w:szCs w:val="20"/>
          <w:highlight w:val="white"/>
          <w:vertAlign w:val="superscript"/>
        </w:rPr>
        <w:t>1</w:t>
      </w:r>
      <w:r w:rsidR="001E6EB6" w:rsidRPr="001E6EB6">
        <w:rPr>
          <w:rFonts w:ascii="Arial" w:eastAsia="Arial" w:hAnsi="Arial" w:cs="Arial"/>
          <w:color w:val="222222"/>
          <w:sz w:val="20"/>
          <w:szCs w:val="20"/>
          <w:highlight w:val="white"/>
        </w:rPr>
        <w:t xml:space="preserve">, </w:t>
      </w:r>
      <w:hyperlink r:id="rId10">
        <w:r w:rsidR="001E6EB6" w:rsidRPr="001E6EB6">
          <w:rPr>
            <w:rFonts w:ascii="Arial" w:eastAsia="Arial" w:hAnsi="Arial" w:cs="Arial"/>
            <w:color w:val="660066"/>
            <w:sz w:val="20"/>
            <w:szCs w:val="20"/>
            <w:highlight w:val="white"/>
            <w:u w:val="single"/>
          </w:rPr>
          <w:t>Saxena S</w:t>
        </w:r>
      </w:hyperlink>
      <w:r w:rsidR="001E6EB6" w:rsidRPr="001E6EB6">
        <w:rPr>
          <w:rFonts w:ascii="Arial" w:eastAsia="Arial" w:hAnsi="Arial" w:cs="Arial"/>
          <w:color w:val="222222"/>
          <w:sz w:val="20"/>
          <w:szCs w:val="20"/>
          <w:highlight w:val="white"/>
          <w:vertAlign w:val="superscript"/>
        </w:rPr>
        <w:t>3</w:t>
      </w:r>
      <w:r w:rsidR="001E6EB6" w:rsidRPr="001E6EB6">
        <w:rPr>
          <w:rFonts w:ascii="Arial" w:eastAsia="Arial" w:hAnsi="Arial" w:cs="Arial"/>
          <w:color w:val="222222"/>
          <w:sz w:val="20"/>
          <w:szCs w:val="20"/>
          <w:highlight w:val="white"/>
        </w:rPr>
        <w:t xml:space="preserve">, </w:t>
      </w:r>
      <w:hyperlink r:id="rId11">
        <w:r w:rsidR="001E6EB6" w:rsidRPr="001E6EB6">
          <w:rPr>
            <w:rFonts w:ascii="Arial" w:eastAsia="Arial" w:hAnsi="Arial" w:cs="Arial"/>
            <w:color w:val="660066"/>
            <w:sz w:val="20"/>
            <w:szCs w:val="20"/>
            <w:highlight w:val="white"/>
            <w:u w:val="single"/>
          </w:rPr>
          <w:t>Kim MT</w:t>
        </w:r>
      </w:hyperlink>
      <w:r w:rsidR="001E6EB6" w:rsidRPr="001E6EB6">
        <w:rPr>
          <w:rFonts w:ascii="Arial" w:eastAsia="Arial" w:hAnsi="Arial" w:cs="Arial"/>
          <w:color w:val="222222"/>
          <w:sz w:val="20"/>
          <w:szCs w:val="20"/>
          <w:highlight w:val="white"/>
          <w:vertAlign w:val="superscript"/>
        </w:rPr>
        <w:t>1</w:t>
      </w:r>
      <w:r w:rsidR="001E6EB6" w:rsidRPr="001E6EB6">
        <w:rPr>
          <w:rFonts w:ascii="Arial" w:eastAsia="Arial" w:hAnsi="Arial" w:cs="Arial"/>
          <w:color w:val="222222"/>
          <w:sz w:val="20"/>
          <w:szCs w:val="20"/>
          <w:highlight w:val="white"/>
        </w:rPr>
        <w:t>.</w:t>
      </w:r>
    </w:p>
    <w:p w14:paraId="47FBBB12" w14:textId="0302BBBF" w:rsidR="000819AD" w:rsidRPr="001E6EB6" w:rsidRDefault="000819AD" w:rsidP="000819AD">
      <w:pPr>
        <w:rPr>
          <w:rFonts w:ascii="Arial" w:eastAsia="Times New Roman" w:hAnsi="Arial" w:cs="Arial"/>
          <w:sz w:val="20"/>
          <w:szCs w:val="20"/>
        </w:rPr>
      </w:pPr>
      <w:bookmarkStart w:id="0" w:name="_GoBack"/>
      <w:bookmarkEnd w:id="0"/>
    </w:p>
    <w:p w14:paraId="0CC7352D" w14:textId="490E1FE3" w:rsidR="00191B51" w:rsidRPr="001E6EB6" w:rsidRDefault="00191B51" w:rsidP="00191B51">
      <w:pPr>
        <w:rPr>
          <w:rFonts w:ascii="Arial" w:eastAsia="Times New Roman" w:hAnsi="Arial" w:cs="Arial"/>
          <w:b/>
          <w:sz w:val="20"/>
          <w:szCs w:val="20"/>
          <w:lang w:eastAsia="zh-TW"/>
        </w:rPr>
      </w:pPr>
      <w:r w:rsidRPr="001E6EB6">
        <w:rPr>
          <w:rFonts w:ascii="Arial" w:hAnsi="Arial" w:cs="Arial"/>
          <w:b/>
          <w:sz w:val="20"/>
          <w:szCs w:val="20"/>
        </w:rPr>
        <w:t xml:space="preserve">Author Information: </w:t>
      </w:r>
    </w:p>
    <w:p w14:paraId="67109036" w14:textId="48CF5EC0" w:rsidR="00191B51" w:rsidRPr="001E6EB6" w:rsidRDefault="00191B51" w:rsidP="00490F74">
      <w:pPr>
        <w:pStyle w:val="ListParagraph"/>
        <w:numPr>
          <w:ilvl w:val="0"/>
          <w:numId w:val="2"/>
        </w:numPr>
        <w:ind w:left="270" w:hanging="270"/>
        <w:rPr>
          <w:rFonts w:ascii="Arial" w:eastAsia="Times New Roman" w:hAnsi="Arial" w:cs="Arial"/>
          <w:sz w:val="20"/>
          <w:szCs w:val="20"/>
        </w:rPr>
      </w:pPr>
      <w:r w:rsidRPr="001E6EB6">
        <w:rPr>
          <w:rFonts w:ascii="Arial" w:eastAsia="Times New Roman" w:hAnsi="Arial" w:cs="Arial"/>
          <w:sz w:val="20"/>
          <w:szCs w:val="20"/>
        </w:rPr>
        <w:t>School of Nursing, University of Texas-Austin, Austin, TX , USA.</w:t>
      </w:r>
    </w:p>
    <w:p w14:paraId="18F567DB" w14:textId="77F61ABC" w:rsidR="00191B51" w:rsidRPr="001E6EB6" w:rsidRDefault="00191B51" w:rsidP="00490F74">
      <w:pPr>
        <w:pStyle w:val="ListParagraph"/>
        <w:numPr>
          <w:ilvl w:val="0"/>
          <w:numId w:val="2"/>
        </w:numPr>
        <w:ind w:left="270" w:hanging="270"/>
        <w:rPr>
          <w:rFonts w:ascii="Arial" w:eastAsia="Times New Roman" w:hAnsi="Arial" w:cs="Arial"/>
          <w:sz w:val="20"/>
          <w:szCs w:val="20"/>
        </w:rPr>
      </w:pPr>
      <w:r w:rsidRPr="001E6EB6">
        <w:rPr>
          <w:rFonts w:ascii="Arial" w:eastAsia="Times New Roman" w:hAnsi="Arial" w:cs="Arial"/>
          <w:sz w:val="20"/>
          <w:szCs w:val="20"/>
        </w:rPr>
        <w:t>Medicine and Humanities, The Pennsylvania State University College of Medicine, Hershey, PA, USA.</w:t>
      </w:r>
    </w:p>
    <w:p w14:paraId="5C4C1E6E" w14:textId="3CA9170E" w:rsidR="00191B51" w:rsidRPr="001E6EB6" w:rsidRDefault="00191B51" w:rsidP="00490F74">
      <w:pPr>
        <w:pStyle w:val="ListParagraph"/>
        <w:numPr>
          <w:ilvl w:val="0"/>
          <w:numId w:val="2"/>
        </w:numPr>
        <w:ind w:left="270" w:hanging="270"/>
        <w:rPr>
          <w:rFonts w:ascii="Arial" w:eastAsia="Times New Roman" w:hAnsi="Arial" w:cs="Arial"/>
          <w:sz w:val="20"/>
          <w:szCs w:val="20"/>
        </w:rPr>
      </w:pPr>
      <w:r w:rsidRPr="001E6EB6">
        <w:rPr>
          <w:rFonts w:ascii="Arial" w:eastAsia="Times New Roman" w:hAnsi="Arial" w:cs="Arial"/>
          <w:sz w:val="20"/>
          <w:szCs w:val="20"/>
        </w:rPr>
        <w:t>South Asian Indian Volunteer Association (SAIVA), Austin, TX, USA.</w:t>
      </w:r>
    </w:p>
    <w:p w14:paraId="3FB5714E" w14:textId="3DC0F425" w:rsidR="000819AD" w:rsidRPr="001E6EB6" w:rsidRDefault="000819AD" w:rsidP="00490F74">
      <w:pPr>
        <w:ind w:left="270" w:hanging="270"/>
        <w:rPr>
          <w:rFonts w:ascii="Arial" w:hAnsi="Arial" w:cs="Arial"/>
          <w:sz w:val="20"/>
          <w:szCs w:val="20"/>
        </w:rPr>
      </w:pPr>
    </w:p>
    <w:p w14:paraId="413FE0D8" w14:textId="53EE4C91" w:rsidR="00191B51" w:rsidRPr="001E6EB6" w:rsidRDefault="000819AD" w:rsidP="00490F74">
      <w:pPr>
        <w:rPr>
          <w:rFonts w:ascii="Arial" w:eastAsia="Times New Roman" w:hAnsi="Arial" w:cs="Arial"/>
          <w:sz w:val="20"/>
          <w:szCs w:val="20"/>
          <w:lang w:eastAsia="zh-TW"/>
        </w:rPr>
      </w:pPr>
      <w:r w:rsidRPr="001E6EB6">
        <w:rPr>
          <w:rFonts w:ascii="Arial" w:eastAsia="Times New Roman" w:hAnsi="Arial" w:cs="Arial"/>
          <w:b/>
          <w:sz w:val="20"/>
          <w:szCs w:val="20"/>
        </w:rPr>
        <w:t>Publication:</w:t>
      </w:r>
      <w:r w:rsidRPr="001E6EB6">
        <w:rPr>
          <w:rFonts w:ascii="Arial" w:eastAsia="Times New Roman" w:hAnsi="Arial" w:cs="Arial"/>
          <w:sz w:val="20"/>
          <w:szCs w:val="20"/>
        </w:rPr>
        <w:t xml:space="preserve"> </w:t>
      </w:r>
      <w:r w:rsidR="00191B51" w:rsidRPr="001E6EB6">
        <w:rPr>
          <w:rFonts w:ascii="Arial" w:eastAsia="Times New Roman" w:hAnsi="Arial" w:cs="Arial"/>
          <w:sz w:val="20"/>
          <w:szCs w:val="20"/>
        </w:rPr>
        <w:t>Ethn Health. 2017 Jul 27:1-19. doi: 10.1080/13557858.2017.1357068.</w:t>
      </w:r>
    </w:p>
    <w:p w14:paraId="32D8301A" w14:textId="77777777" w:rsidR="000819AD" w:rsidRPr="001E6EB6" w:rsidRDefault="000819AD" w:rsidP="00191B51">
      <w:pPr>
        <w:rPr>
          <w:rFonts w:ascii="Arial" w:hAnsi="Arial" w:cs="Arial"/>
          <w:sz w:val="20"/>
          <w:szCs w:val="20"/>
        </w:rPr>
      </w:pPr>
    </w:p>
    <w:p w14:paraId="076745C2" w14:textId="77777777" w:rsidR="00191B51" w:rsidRPr="001E6EB6" w:rsidRDefault="000819AD" w:rsidP="00191B51">
      <w:pPr>
        <w:rPr>
          <w:rFonts w:ascii="Arial" w:eastAsia="Times New Roman" w:hAnsi="Arial" w:cs="Arial"/>
          <w:sz w:val="20"/>
          <w:szCs w:val="20"/>
        </w:rPr>
      </w:pPr>
      <w:r w:rsidRPr="001E6EB6">
        <w:rPr>
          <w:rFonts w:ascii="Arial" w:eastAsia="Times New Roman" w:hAnsi="Arial" w:cs="Arial"/>
          <w:b/>
          <w:sz w:val="20"/>
          <w:szCs w:val="20"/>
        </w:rPr>
        <w:t>Abstract:</w:t>
      </w:r>
      <w:r w:rsidRPr="001E6EB6">
        <w:rPr>
          <w:rFonts w:ascii="Arial" w:eastAsia="Times New Roman" w:hAnsi="Arial" w:cs="Arial"/>
          <w:sz w:val="20"/>
          <w:szCs w:val="20"/>
        </w:rPr>
        <w:t xml:space="preserve"> </w:t>
      </w:r>
    </w:p>
    <w:p w14:paraId="27465AF9" w14:textId="73383006" w:rsidR="00191B51"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OBJECTIVE:</w:t>
      </w:r>
      <w:r w:rsidRPr="001E6EB6">
        <w:rPr>
          <w:rFonts w:ascii="Arial" w:eastAsia="Times New Roman" w:hAnsi="Arial" w:cs="Arial"/>
          <w:sz w:val="20"/>
          <w:szCs w:val="20"/>
          <w:lang w:eastAsia="zh-TW"/>
        </w:rPr>
        <w:t xml:space="preserve"> </w:t>
      </w:r>
      <w:r w:rsidRPr="001E6EB6">
        <w:rPr>
          <w:rFonts w:ascii="Arial" w:eastAsia="Times New Roman" w:hAnsi="Arial" w:cs="Arial"/>
          <w:sz w:val="20"/>
          <w:szCs w:val="20"/>
        </w:rPr>
        <w:t>Advance care planning (ACP) allows individuals to express their preferences for medical treatment in the event that they become incapable of making their own decisions. This study assessed the efficacy of a conversation game intervention for increasing South Asian Indian Americans' (SAIAs') engagement in ACP behaviors as well as the game's acceptability and cultural appropriateness among SAIAs.</w:t>
      </w:r>
    </w:p>
    <w:p w14:paraId="2CC5DB53" w14:textId="77777777" w:rsidR="001B3168" w:rsidRPr="001E6EB6" w:rsidRDefault="001B3168" w:rsidP="00191B51">
      <w:pPr>
        <w:rPr>
          <w:rFonts w:ascii="Arial" w:eastAsia="Times New Roman" w:hAnsi="Arial" w:cs="Arial"/>
          <w:sz w:val="20"/>
          <w:szCs w:val="20"/>
          <w:lang w:eastAsia="zh-TW"/>
        </w:rPr>
      </w:pPr>
    </w:p>
    <w:p w14:paraId="455CFBB8" w14:textId="5A868FD2" w:rsidR="00191B51"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 xml:space="preserve">DESIGN: Eligible community-dwelling SAIAs were recruited at SAIA cultural </w:t>
      </w:r>
    </w:p>
    <w:p w14:paraId="377B8054" w14:textId="6FE0C399" w:rsidR="00191B51"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 xml:space="preserve">events held in central Texas during the summer of 2016. Pregame questionnaires included demographics and the 55-item ACP Engagement Survey. Played in groups of 3-5, the game consists of 17 open-ended questions that prompt discussions of end-of-life </w:t>
      </w:r>
      <w:r w:rsidR="001B3168" w:rsidRPr="001E6EB6">
        <w:rPr>
          <w:rFonts w:ascii="Arial" w:eastAsia="Times New Roman" w:hAnsi="Arial" w:cs="Arial"/>
          <w:sz w:val="20"/>
          <w:szCs w:val="20"/>
        </w:rPr>
        <w:t>i</w:t>
      </w:r>
      <w:r w:rsidRPr="001E6EB6">
        <w:rPr>
          <w:rFonts w:ascii="Arial" w:eastAsia="Times New Roman" w:hAnsi="Arial" w:cs="Arial"/>
          <w:sz w:val="20"/>
          <w:szCs w:val="20"/>
        </w:rPr>
        <w:t xml:space="preserve">ssues. After each game session, focus groups and questionnaires </w:t>
      </w:r>
      <w:r w:rsidR="001B3168" w:rsidRPr="001E6EB6">
        <w:rPr>
          <w:rFonts w:ascii="Arial" w:eastAsia="Times New Roman" w:hAnsi="Arial" w:cs="Arial"/>
          <w:sz w:val="20"/>
          <w:szCs w:val="20"/>
        </w:rPr>
        <w:t xml:space="preserve">were </w:t>
      </w:r>
      <w:r w:rsidRPr="001E6EB6">
        <w:rPr>
          <w:rFonts w:ascii="Arial" w:eastAsia="Times New Roman" w:hAnsi="Arial" w:cs="Arial"/>
          <w:sz w:val="20"/>
          <w:szCs w:val="20"/>
        </w:rPr>
        <w:t>used to examine the game's cultural appropriateness and self-rated conversation quality. Post</w:t>
      </w:r>
      <w:r w:rsidR="001B3168" w:rsidRPr="001E6EB6">
        <w:rPr>
          <w:rFonts w:ascii="Arial" w:eastAsia="Times New Roman" w:hAnsi="Arial" w:cs="Arial"/>
          <w:sz w:val="20"/>
          <w:szCs w:val="20"/>
        </w:rPr>
        <w:t>-</w:t>
      </w:r>
      <w:r w:rsidRPr="001E6EB6">
        <w:rPr>
          <w:rFonts w:ascii="Arial" w:eastAsia="Times New Roman" w:hAnsi="Arial" w:cs="Arial"/>
          <w:sz w:val="20"/>
          <w:szCs w:val="20"/>
        </w:rPr>
        <w:t>intervention responses on the ACP Engagement Survey and rates of participation in ACP behaviors were collect</w:t>
      </w:r>
      <w:r w:rsidR="001B3168" w:rsidRPr="001E6EB6">
        <w:rPr>
          <w:rFonts w:ascii="Arial" w:eastAsia="Times New Roman" w:hAnsi="Arial" w:cs="Arial"/>
          <w:sz w:val="20"/>
          <w:szCs w:val="20"/>
        </w:rPr>
        <w:t xml:space="preserve">ed after 3 months through phone </w:t>
      </w:r>
      <w:r w:rsidRPr="001E6EB6">
        <w:rPr>
          <w:rFonts w:ascii="Arial" w:eastAsia="Times New Roman" w:hAnsi="Arial" w:cs="Arial"/>
          <w:sz w:val="20"/>
          <w:szCs w:val="20"/>
        </w:rPr>
        <w:t>interviews or online surveys. Data were analyzed using descripti</w:t>
      </w:r>
      <w:r w:rsidR="001B3168" w:rsidRPr="001E6EB6">
        <w:rPr>
          <w:rFonts w:ascii="Arial" w:eastAsia="Times New Roman" w:hAnsi="Arial" w:cs="Arial"/>
          <w:sz w:val="20"/>
          <w:szCs w:val="20"/>
        </w:rPr>
        <w:t xml:space="preserve">ve statistics, </w:t>
      </w:r>
      <w:r w:rsidRPr="001E6EB6">
        <w:rPr>
          <w:rFonts w:ascii="Arial" w:eastAsia="Times New Roman" w:hAnsi="Arial" w:cs="Arial"/>
          <w:sz w:val="20"/>
          <w:szCs w:val="20"/>
        </w:rPr>
        <w:t>frequencies, and paired t-tests comparing pre/post averages at a .05 significance level.</w:t>
      </w:r>
    </w:p>
    <w:p w14:paraId="3D7BC80F" w14:textId="77777777" w:rsidR="001B3168" w:rsidRPr="001E6EB6" w:rsidRDefault="001B3168" w:rsidP="00191B51">
      <w:pPr>
        <w:rPr>
          <w:rFonts w:ascii="Arial" w:eastAsia="Times New Roman" w:hAnsi="Arial" w:cs="Arial"/>
          <w:sz w:val="20"/>
          <w:szCs w:val="20"/>
        </w:rPr>
      </w:pPr>
    </w:p>
    <w:p w14:paraId="773EC6ED" w14:textId="0CDF727F" w:rsidR="00191B51"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RESULTS:</w:t>
      </w:r>
      <w:r w:rsidR="001B3168" w:rsidRPr="001E6EB6">
        <w:rPr>
          <w:rFonts w:ascii="Arial" w:eastAsia="Times New Roman" w:hAnsi="Arial" w:cs="Arial"/>
          <w:sz w:val="20"/>
          <w:szCs w:val="20"/>
        </w:rPr>
        <w:t xml:space="preserve"> </w:t>
      </w:r>
      <w:r w:rsidRPr="001E6EB6">
        <w:rPr>
          <w:rFonts w:ascii="Arial" w:eastAsia="Times New Roman" w:hAnsi="Arial" w:cs="Arial"/>
          <w:sz w:val="20"/>
          <w:szCs w:val="20"/>
        </w:rPr>
        <w:t xml:space="preserve">Of the 47 participants, 64% were female, 62% had graduate degrees, </w:t>
      </w:r>
    </w:p>
    <w:p w14:paraId="5C5D5256" w14:textId="145CCD9F" w:rsidR="00191B51"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92% had lived in the U.S. for &gt;10 years, 87% were first-generation immigrants, and 74% had no advance directive prior to the game. At the 3-month follow-up, 58% of participants had completed at least one ACP behavior, 42% had discussed end-</w:t>
      </w:r>
    </w:p>
    <w:p w14:paraId="50B6B72C" w14:textId="0C9DF704" w:rsidR="001B3168"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 xml:space="preserve">of-life issues with loved ones, 15% did so with their healthcare providers, and 18% had created an advanced directive. ACP Engagement Survey scores </w:t>
      </w:r>
    </w:p>
    <w:p w14:paraId="4CF2FCA7" w14:textId="3E88E1FE" w:rsidR="00191B51"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increased significantly on all four of the process subscales by 3 months postgame.</w:t>
      </w:r>
    </w:p>
    <w:p w14:paraId="231A1ABD" w14:textId="77777777" w:rsidR="001B3168" w:rsidRPr="001E6EB6" w:rsidRDefault="001B3168" w:rsidP="00191B51">
      <w:pPr>
        <w:rPr>
          <w:rFonts w:ascii="Arial" w:eastAsia="Times New Roman" w:hAnsi="Arial" w:cs="Arial"/>
          <w:sz w:val="20"/>
          <w:szCs w:val="20"/>
        </w:rPr>
      </w:pPr>
    </w:p>
    <w:p w14:paraId="6EA9366F" w14:textId="78FD6984" w:rsidR="00191B51" w:rsidRPr="001E6EB6" w:rsidRDefault="00191B51" w:rsidP="00191B51">
      <w:pPr>
        <w:rPr>
          <w:rFonts w:ascii="Arial" w:eastAsia="Times New Roman" w:hAnsi="Arial" w:cs="Arial"/>
          <w:sz w:val="20"/>
          <w:szCs w:val="20"/>
        </w:rPr>
      </w:pPr>
      <w:r w:rsidRPr="001E6EB6">
        <w:rPr>
          <w:rFonts w:ascii="Arial" w:eastAsia="Times New Roman" w:hAnsi="Arial" w:cs="Arial"/>
          <w:sz w:val="20"/>
          <w:szCs w:val="20"/>
        </w:rPr>
        <w:t>CONCLUSION:</w:t>
      </w:r>
      <w:r w:rsidR="001B3168" w:rsidRPr="001E6EB6">
        <w:rPr>
          <w:rFonts w:ascii="Arial" w:eastAsia="Times New Roman" w:hAnsi="Arial" w:cs="Arial"/>
          <w:sz w:val="20"/>
          <w:szCs w:val="20"/>
        </w:rPr>
        <w:t xml:space="preserve"> </w:t>
      </w:r>
      <w:r w:rsidRPr="001E6EB6">
        <w:rPr>
          <w:rFonts w:ascii="Arial" w:eastAsia="Times New Roman" w:hAnsi="Arial" w:cs="Arial"/>
          <w:sz w:val="20"/>
          <w:szCs w:val="20"/>
        </w:rPr>
        <w:t xml:space="preserve">SAIA individuals who played a conversation game had a relatively </w:t>
      </w:r>
      <w:r w:rsidR="001B3168" w:rsidRPr="001E6EB6">
        <w:rPr>
          <w:rFonts w:ascii="Arial" w:eastAsia="Times New Roman" w:hAnsi="Arial" w:cs="Arial"/>
          <w:sz w:val="20"/>
          <w:szCs w:val="20"/>
        </w:rPr>
        <w:t xml:space="preserve">high rate of </w:t>
      </w:r>
      <w:r w:rsidRPr="001E6EB6">
        <w:rPr>
          <w:rFonts w:ascii="Arial" w:eastAsia="Times New Roman" w:hAnsi="Arial" w:cs="Arial"/>
          <w:sz w:val="20"/>
          <w:szCs w:val="20"/>
        </w:rPr>
        <w:t>performing ACP behaviors 3 months after the intervention. These findings suggest that conversation games may be useful tools for motivating people from minority communities to engage in ACP behaviors.</w:t>
      </w:r>
    </w:p>
    <w:p w14:paraId="1F4473BD" w14:textId="043A77CD" w:rsidR="000819AD" w:rsidRPr="001E6EB6" w:rsidRDefault="000819AD" w:rsidP="00846118">
      <w:pPr>
        <w:rPr>
          <w:rFonts w:ascii="Arial" w:hAnsi="Arial" w:cs="Arial"/>
          <w:sz w:val="20"/>
          <w:szCs w:val="20"/>
        </w:rPr>
      </w:pPr>
    </w:p>
    <w:p w14:paraId="571C3EDB" w14:textId="77777777" w:rsidR="000819AD" w:rsidRPr="001E6EB6" w:rsidRDefault="000819AD" w:rsidP="00846118">
      <w:pPr>
        <w:rPr>
          <w:rFonts w:ascii="Arial" w:hAnsi="Arial" w:cs="Arial"/>
          <w:sz w:val="20"/>
          <w:szCs w:val="20"/>
        </w:rPr>
      </w:pPr>
    </w:p>
    <w:p w14:paraId="77FC2A5E" w14:textId="77777777" w:rsidR="001E6EB6" w:rsidRDefault="001E6EB6">
      <w:pPr>
        <w:rPr>
          <w:rFonts w:asciiTheme="minorHAnsi" w:hAnsiTheme="minorHAnsi" w:cstheme="minorBidi"/>
        </w:rPr>
      </w:pPr>
    </w:p>
    <w:sectPr w:rsidR="001E6EB6"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BED5C7E"/>
    <w:multiLevelType w:val="hybridMultilevel"/>
    <w:tmpl w:val="3AFE8E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6720DA5"/>
    <w:multiLevelType w:val="hybridMultilevel"/>
    <w:tmpl w:val="50C2A358"/>
    <w:lvl w:ilvl="0" w:tplc="4FB8D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191B51"/>
    <w:rsid w:val="001B3168"/>
    <w:rsid w:val="001E6EB6"/>
    <w:rsid w:val="00490F74"/>
    <w:rsid w:val="00846118"/>
    <w:rsid w:val="008F3C86"/>
    <w:rsid w:val="0099751B"/>
    <w:rsid w:val="00C83C8C"/>
    <w:rsid w:val="00ED36C4"/>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0F7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Kim%20MT%5BAuthor%5D&amp;cauthor=true&amp;cauthor_uid=28748743" TargetMode="External"/><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urldefense.proofpoint.com/v2/url?u=http-3A__www.ncbi.nlm.nih.gov_pubmed_28748743&amp;d=DwMEaQ&amp;c=clK7kQUTWtAVEOVIgvi0NU5BOUHhpN0H8p7CSfnc_gI&amp;r=iFavz6KbtuaSFObSvuCXnLmt5VbY86Jha1tKLeBFedI&amp;m=PdSodL6SrX_roe-VuXKODWO8uIsTxG00wmskBZdsbYA&amp;s=vrHARaXYCy2h4T2gdZlQhxcevtPL3cd_rifeFa8qwOA&amp;e=" TargetMode="External"/><Relationship Id="rId7" Type="http://schemas.openxmlformats.org/officeDocument/2006/relationships/hyperlink" Target="https://www-ncbi-nlm-nih-gov.ucsf.idm.oclc.org/pubmed/?term=Radhakrishnan%20K%5BAuthor%5D&amp;cauthor=true&amp;cauthor_uid=28748743" TargetMode="External"/><Relationship Id="rId8" Type="http://schemas.openxmlformats.org/officeDocument/2006/relationships/hyperlink" Target="https://www-ncbi-nlm-nih-gov.ucsf.idm.oclc.org/pubmed/?term=Van%20Scoy%20LJ%5BAuthor%5D&amp;cauthor=true&amp;cauthor_uid=28748743" TargetMode="External"/><Relationship Id="rId9" Type="http://schemas.openxmlformats.org/officeDocument/2006/relationships/hyperlink" Target="https://www-ncbi-nlm-nih-gov.ucsf.idm.oclc.org/pubmed/?term=Jillapalli%20R%5BAuthor%5D&amp;cauthor=true&amp;cauthor_uid=28748743" TargetMode="External"/><Relationship Id="rId10" Type="http://schemas.openxmlformats.org/officeDocument/2006/relationships/hyperlink" Target="https://www-ncbi-nlm-nih-gov.ucsf.idm.oclc.org/pubmed/?term=Saxena%20S%5BAuthor%5D&amp;cauthor=true&amp;cauthor_uid=2874874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1</Pages>
  <Words>539</Words>
  <Characters>3074</Characters>
  <Application>Microsoft Macintosh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5</cp:revision>
  <cp:lastPrinted>2018-02-08T04:30:00Z</cp:lastPrinted>
  <dcterms:created xsi:type="dcterms:W3CDTF">2018-02-08T05:25:00Z</dcterms:created>
  <dcterms:modified xsi:type="dcterms:W3CDTF">2018-02-08T23:42:00Z</dcterms:modified>
</cp:coreProperties>
</file>