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A62130" w:rsidRDefault="00ED36C4" w:rsidP="00846118">
      <w:pPr>
        <w:jc w:val="center"/>
        <w:rPr>
          <w:rFonts w:ascii="Arial" w:hAnsi="Arial" w:cs="Arial"/>
          <w:b/>
          <w:sz w:val="28"/>
          <w:szCs w:val="28"/>
        </w:rPr>
      </w:pPr>
      <w:r w:rsidRPr="00A62130">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570C0EC0" w14:textId="77777777" w:rsidR="006D5B09" w:rsidRPr="00A62130" w:rsidRDefault="000819AD" w:rsidP="006D5B09">
      <w:pPr>
        <w:shd w:val="clear" w:color="auto" w:fill="FFFFFF"/>
        <w:rPr>
          <w:rFonts w:ascii="Arial" w:eastAsia="Arial" w:hAnsi="Arial" w:cs="Arial"/>
          <w:color w:val="222222"/>
          <w:sz w:val="20"/>
          <w:szCs w:val="20"/>
        </w:rPr>
      </w:pPr>
      <w:r w:rsidRPr="00A62130">
        <w:rPr>
          <w:rFonts w:ascii="Arial" w:eastAsia="Times New Roman" w:hAnsi="Arial" w:cs="Arial"/>
          <w:b/>
          <w:color w:val="000000" w:themeColor="text1"/>
          <w:sz w:val="20"/>
          <w:szCs w:val="20"/>
        </w:rPr>
        <w:t>Title:</w:t>
      </w:r>
      <w:r w:rsidR="00CD5AD0" w:rsidRPr="00A62130">
        <w:rPr>
          <w:rFonts w:ascii="Arial" w:hAnsi="Arial" w:cs="Arial"/>
          <w:sz w:val="20"/>
          <w:szCs w:val="20"/>
        </w:rPr>
        <w:t xml:space="preserve"> </w:t>
      </w:r>
      <w:hyperlink r:id="rId7">
        <w:r w:rsidR="006D5B09" w:rsidRPr="00A62130">
          <w:rPr>
            <w:rFonts w:ascii="Arial" w:eastAsia="Arial" w:hAnsi="Arial" w:cs="Arial"/>
            <w:color w:val="1155CC"/>
            <w:sz w:val="20"/>
            <w:szCs w:val="20"/>
            <w:u w:val="single"/>
          </w:rPr>
          <w:t>Inclusive state immigrant policies and health insurance among Latino, Asian/Pacific Islander, Black, and White noncitizens in the United States.</w:t>
        </w:r>
      </w:hyperlink>
    </w:p>
    <w:p w14:paraId="20123661" w14:textId="4E7D427B" w:rsidR="008964F2" w:rsidRPr="00A62130" w:rsidRDefault="008964F2" w:rsidP="00F740BA">
      <w:pPr>
        <w:shd w:val="clear" w:color="auto" w:fill="FFFFFF"/>
        <w:rPr>
          <w:rFonts w:ascii="Arial" w:eastAsia="Arial" w:hAnsi="Arial" w:cs="Arial"/>
          <w:sz w:val="20"/>
          <w:szCs w:val="20"/>
        </w:rPr>
      </w:pPr>
      <w:bookmarkStart w:id="0" w:name="_GoBack"/>
      <w:bookmarkEnd w:id="0"/>
    </w:p>
    <w:p w14:paraId="244EA12E" w14:textId="77777777" w:rsidR="006D5B09" w:rsidRPr="00A62130" w:rsidRDefault="005A1907" w:rsidP="006D5B09">
      <w:pPr>
        <w:shd w:val="clear" w:color="auto" w:fill="FFFFFF"/>
        <w:rPr>
          <w:rFonts w:ascii="Arial" w:eastAsia="Arial" w:hAnsi="Arial" w:cs="Arial"/>
          <w:color w:val="222222"/>
          <w:sz w:val="20"/>
          <w:szCs w:val="20"/>
        </w:rPr>
      </w:pPr>
      <w:r w:rsidRPr="00A62130">
        <w:rPr>
          <w:rFonts w:ascii="Arial" w:eastAsia="Times New Roman" w:hAnsi="Arial" w:cs="Arial"/>
          <w:b/>
          <w:color w:val="000000" w:themeColor="text1"/>
          <w:sz w:val="20"/>
          <w:szCs w:val="20"/>
        </w:rPr>
        <w:t>Author</w:t>
      </w:r>
      <w:r w:rsidR="00BF266D" w:rsidRPr="00A62130">
        <w:rPr>
          <w:rFonts w:ascii="Arial" w:eastAsia="Times New Roman" w:hAnsi="Arial" w:cs="Arial"/>
          <w:b/>
          <w:color w:val="000000" w:themeColor="text1"/>
          <w:sz w:val="20"/>
          <w:szCs w:val="20"/>
        </w:rPr>
        <w:t>s</w:t>
      </w:r>
      <w:r w:rsidR="00915E2B" w:rsidRPr="00A62130">
        <w:rPr>
          <w:rFonts w:ascii="Arial" w:eastAsia="Times New Roman" w:hAnsi="Arial" w:cs="Arial"/>
          <w:b/>
          <w:color w:val="000000" w:themeColor="text1"/>
          <w:sz w:val="20"/>
          <w:szCs w:val="20"/>
        </w:rPr>
        <w:t>:</w:t>
      </w:r>
      <w:r w:rsidR="00915E2B" w:rsidRPr="00A62130">
        <w:rPr>
          <w:rFonts w:ascii="Arial" w:eastAsia="Times New Roman" w:hAnsi="Arial" w:cs="Arial"/>
          <w:color w:val="000000" w:themeColor="text1"/>
          <w:sz w:val="20"/>
          <w:szCs w:val="20"/>
        </w:rPr>
        <w:t xml:space="preserve"> </w:t>
      </w:r>
      <w:hyperlink r:id="rId8">
        <w:r w:rsidR="006D5B09" w:rsidRPr="00A62130">
          <w:rPr>
            <w:rFonts w:ascii="Arial" w:eastAsia="Arial" w:hAnsi="Arial" w:cs="Arial"/>
            <w:color w:val="660066"/>
            <w:sz w:val="20"/>
            <w:szCs w:val="20"/>
            <w:u w:val="single"/>
          </w:rPr>
          <w:t>Young MT</w:t>
        </w:r>
      </w:hyperlink>
      <w:r w:rsidR="006D5B09" w:rsidRPr="00A62130">
        <w:rPr>
          <w:rFonts w:ascii="Arial" w:eastAsia="Arial" w:hAnsi="Arial" w:cs="Arial"/>
          <w:color w:val="222222"/>
          <w:sz w:val="20"/>
          <w:szCs w:val="20"/>
          <w:vertAlign w:val="superscript"/>
        </w:rPr>
        <w:t>1</w:t>
      </w:r>
      <w:r w:rsidR="006D5B09" w:rsidRPr="00A62130">
        <w:rPr>
          <w:rFonts w:ascii="Arial" w:eastAsia="Arial" w:hAnsi="Arial" w:cs="Arial"/>
          <w:color w:val="222222"/>
          <w:sz w:val="20"/>
          <w:szCs w:val="20"/>
        </w:rPr>
        <w:t xml:space="preserve">, </w:t>
      </w:r>
      <w:hyperlink r:id="rId9">
        <w:r w:rsidR="006D5B09" w:rsidRPr="00A62130">
          <w:rPr>
            <w:rFonts w:ascii="Arial" w:eastAsia="Arial" w:hAnsi="Arial" w:cs="Arial"/>
            <w:color w:val="660066"/>
            <w:sz w:val="20"/>
            <w:szCs w:val="20"/>
            <w:u w:val="single"/>
          </w:rPr>
          <w:t>Leon-Perez G</w:t>
        </w:r>
      </w:hyperlink>
      <w:r w:rsidR="006D5B09" w:rsidRPr="00A62130">
        <w:rPr>
          <w:rFonts w:ascii="Arial" w:eastAsia="Arial" w:hAnsi="Arial" w:cs="Arial"/>
          <w:color w:val="222222"/>
          <w:sz w:val="20"/>
          <w:szCs w:val="20"/>
          <w:vertAlign w:val="superscript"/>
        </w:rPr>
        <w:t>2</w:t>
      </w:r>
      <w:r w:rsidR="006D5B09" w:rsidRPr="00A62130">
        <w:rPr>
          <w:rFonts w:ascii="Arial" w:eastAsia="Arial" w:hAnsi="Arial" w:cs="Arial"/>
          <w:color w:val="222222"/>
          <w:sz w:val="20"/>
          <w:szCs w:val="20"/>
        </w:rPr>
        <w:t xml:space="preserve">, </w:t>
      </w:r>
      <w:hyperlink r:id="rId10">
        <w:r w:rsidR="006D5B09" w:rsidRPr="00A62130">
          <w:rPr>
            <w:rFonts w:ascii="Arial" w:eastAsia="Arial" w:hAnsi="Arial" w:cs="Arial"/>
            <w:color w:val="660066"/>
            <w:sz w:val="20"/>
            <w:szCs w:val="20"/>
            <w:u w:val="single"/>
          </w:rPr>
          <w:t>Wells CR</w:t>
        </w:r>
      </w:hyperlink>
      <w:r w:rsidR="006D5B09" w:rsidRPr="00A62130">
        <w:rPr>
          <w:rFonts w:ascii="Arial" w:eastAsia="Arial" w:hAnsi="Arial" w:cs="Arial"/>
          <w:color w:val="222222"/>
          <w:sz w:val="20"/>
          <w:szCs w:val="20"/>
          <w:vertAlign w:val="superscript"/>
        </w:rPr>
        <w:t>3</w:t>
      </w:r>
      <w:r w:rsidR="006D5B09" w:rsidRPr="00A62130">
        <w:rPr>
          <w:rFonts w:ascii="Arial" w:eastAsia="Arial" w:hAnsi="Arial" w:cs="Arial"/>
          <w:color w:val="222222"/>
          <w:sz w:val="20"/>
          <w:szCs w:val="20"/>
        </w:rPr>
        <w:t xml:space="preserve">, </w:t>
      </w:r>
      <w:hyperlink r:id="rId11">
        <w:r w:rsidR="006D5B09" w:rsidRPr="00A62130">
          <w:rPr>
            <w:rFonts w:ascii="Arial" w:eastAsia="Arial" w:hAnsi="Arial" w:cs="Arial"/>
            <w:color w:val="660066"/>
            <w:sz w:val="20"/>
            <w:szCs w:val="20"/>
            <w:u w:val="single"/>
          </w:rPr>
          <w:t>Wallace SP</w:t>
        </w:r>
      </w:hyperlink>
      <w:r w:rsidR="006D5B09" w:rsidRPr="00A62130">
        <w:rPr>
          <w:rFonts w:ascii="Arial" w:eastAsia="Arial" w:hAnsi="Arial" w:cs="Arial"/>
          <w:color w:val="222222"/>
          <w:sz w:val="20"/>
          <w:szCs w:val="20"/>
          <w:vertAlign w:val="superscript"/>
        </w:rPr>
        <w:t>1</w:t>
      </w:r>
      <w:r w:rsidR="006D5B09" w:rsidRPr="00A62130">
        <w:rPr>
          <w:rFonts w:ascii="Arial" w:eastAsia="Arial" w:hAnsi="Arial" w:cs="Arial"/>
          <w:color w:val="222222"/>
          <w:sz w:val="20"/>
          <w:szCs w:val="20"/>
        </w:rPr>
        <w:t>.</w:t>
      </w:r>
    </w:p>
    <w:p w14:paraId="31A23B32" w14:textId="33FB6337" w:rsidR="009C3DB0" w:rsidRPr="00A62130" w:rsidRDefault="009C3DB0" w:rsidP="00F740BA">
      <w:pPr>
        <w:rPr>
          <w:rFonts w:ascii="Arial" w:eastAsia="Times New Roman" w:hAnsi="Arial" w:cs="Arial"/>
          <w:color w:val="000000" w:themeColor="text1"/>
          <w:sz w:val="20"/>
          <w:szCs w:val="20"/>
          <w:lang w:eastAsia="zh-TW"/>
        </w:rPr>
      </w:pPr>
    </w:p>
    <w:p w14:paraId="5B3275D4" w14:textId="3BB67BDA" w:rsidR="00F740BA" w:rsidRPr="00A62130" w:rsidRDefault="00191B51" w:rsidP="00F740BA">
      <w:pPr>
        <w:pStyle w:val="p1"/>
        <w:rPr>
          <w:rFonts w:ascii="Arial" w:hAnsi="Arial" w:cs="Arial"/>
          <w:b/>
          <w:color w:val="000000" w:themeColor="text1"/>
          <w:sz w:val="20"/>
          <w:szCs w:val="20"/>
        </w:rPr>
      </w:pPr>
      <w:r w:rsidRPr="00A62130">
        <w:rPr>
          <w:rFonts w:ascii="Arial" w:hAnsi="Arial" w:cs="Arial"/>
          <w:b/>
          <w:color w:val="000000" w:themeColor="text1"/>
          <w:sz w:val="20"/>
          <w:szCs w:val="20"/>
        </w:rPr>
        <w:t xml:space="preserve">Author Information: </w:t>
      </w:r>
      <w:r w:rsidR="005A1907" w:rsidRPr="00A62130">
        <w:rPr>
          <w:rFonts w:ascii="Arial" w:hAnsi="Arial" w:cs="Arial"/>
          <w:b/>
          <w:color w:val="000000" w:themeColor="text1"/>
          <w:sz w:val="20"/>
          <w:szCs w:val="20"/>
        </w:rPr>
        <w:t> </w:t>
      </w:r>
    </w:p>
    <w:p w14:paraId="4C2FD3D5" w14:textId="450E8CEE" w:rsidR="006D5B09" w:rsidRPr="00A62130" w:rsidRDefault="006D5B09" w:rsidP="006D5B09">
      <w:pPr>
        <w:pStyle w:val="ListParagraph"/>
        <w:numPr>
          <w:ilvl w:val="0"/>
          <w:numId w:val="23"/>
        </w:numPr>
        <w:shd w:val="clear" w:color="auto" w:fill="FFFFFF"/>
        <w:ind w:left="270" w:hanging="270"/>
        <w:rPr>
          <w:rFonts w:ascii="Arial" w:eastAsia="Arial" w:hAnsi="Arial" w:cs="Arial"/>
          <w:color w:val="222222"/>
          <w:sz w:val="20"/>
          <w:szCs w:val="20"/>
        </w:rPr>
      </w:pPr>
      <w:r w:rsidRPr="00A62130">
        <w:rPr>
          <w:rFonts w:ascii="Arial" w:eastAsia="Arial" w:hAnsi="Arial" w:cs="Arial"/>
          <w:color w:val="222222"/>
          <w:sz w:val="20"/>
          <w:szCs w:val="20"/>
        </w:rPr>
        <w:t>Department of Community Health Sciences, Fielding School of Public Health, University of California, Los Angeles, CA, USA.</w:t>
      </w:r>
    </w:p>
    <w:p w14:paraId="3EE1AC41" w14:textId="0C925ABF" w:rsidR="006D5B09" w:rsidRPr="00A62130" w:rsidRDefault="006D5B09" w:rsidP="006D5B09">
      <w:pPr>
        <w:pStyle w:val="ListParagraph"/>
        <w:numPr>
          <w:ilvl w:val="0"/>
          <w:numId w:val="23"/>
        </w:numPr>
        <w:shd w:val="clear" w:color="auto" w:fill="FFFFFF"/>
        <w:ind w:left="270" w:hanging="270"/>
        <w:rPr>
          <w:rFonts w:ascii="Arial" w:eastAsia="Arial" w:hAnsi="Arial" w:cs="Arial"/>
          <w:color w:val="222222"/>
          <w:sz w:val="20"/>
          <w:szCs w:val="20"/>
        </w:rPr>
      </w:pPr>
      <w:r w:rsidRPr="00A62130">
        <w:rPr>
          <w:rFonts w:ascii="Arial" w:eastAsia="Arial" w:hAnsi="Arial" w:cs="Arial"/>
          <w:color w:val="222222"/>
          <w:sz w:val="20"/>
          <w:szCs w:val="20"/>
        </w:rPr>
        <w:t>Department of Sociology, Vanderbilt University, Nashville, TN, USA.</w:t>
      </w:r>
    </w:p>
    <w:p w14:paraId="1272F3AF" w14:textId="1A181023" w:rsidR="006D5B09" w:rsidRPr="00A62130" w:rsidRDefault="006D5B09" w:rsidP="006D5B09">
      <w:pPr>
        <w:pStyle w:val="ListParagraph"/>
        <w:numPr>
          <w:ilvl w:val="0"/>
          <w:numId w:val="23"/>
        </w:numPr>
        <w:shd w:val="clear" w:color="auto" w:fill="FFFFFF"/>
        <w:ind w:left="270" w:hanging="270"/>
        <w:rPr>
          <w:rFonts w:ascii="Arial" w:eastAsia="Arial" w:hAnsi="Arial" w:cs="Arial"/>
          <w:color w:val="222222"/>
          <w:sz w:val="20"/>
          <w:szCs w:val="20"/>
        </w:rPr>
      </w:pPr>
      <w:r w:rsidRPr="00A62130">
        <w:rPr>
          <w:rFonts w:ascii="Arial" w:eastAsia="Arial" w:hAnsi="Arial" w:cs="Arial"/>
          <w:color w:val="222222"/>
          <w:sz w:val="20"/>
          <w:szCs w:val="20"/>
        </w:rPr>
        <w:t>Statistical Consulting Group, Institute for Digital Research and Education, University of California, Los Angeles, CA, USA.</w:t>
      </w:r>
    </w:p>
    <w:p w14:paraId="1CAE351B" w14:textId="77777777" w:rsidR="00D83E68" w:rsidRPr="00A62130" w:rsidRDefault="00D83E68" w:rsidP="00D83E68">
      <w:pPr>
        <w:pStyle w:val="ListParagraph"/>
        <w:shd w:val="clear" w:color="auto" w:fill="FFFFFF"/>
        <w:spacing w:line="312" w:lineRule="auto"/>
        <w:ind w:left="270"/>
        <w:rPr>
          <w:rFonts w:ascii="Arial" w:eastAsia="Arial" w:hAnsi="Arial" w:cs="Arial"/>
          <w:sz w:val="20"/>
          <w:szCs w:val="20"/>
        </w:rPr>
      </w:pPr>
    </w:p>
    <w:p w14:paraId="2A5B2C33" w14:textId="537DC867" w:rsidR="00CD5AD0" w:rsidRPr="00A62130" w:rsidRDefault="00FA423C" w:rsidP="00F740BA">
      <w:pPr>
        <w:shd w:val="clear" w:color="auto" w:fill="FFFFFF"/>
        <w:rPr>
          <w:rFonts w:ascii="Arial" w:eastAsia="Arial" w:hAnsi="Arial" w:cs="Arial"/>
          <w:sz w:val="20"/>
          <w:szCs w:val="20"/>
        </w:rPr>
      </w:pPr>
      <w:r w:rsidRPr="00A62130">
        <w:rPr>
          <w:rFonts w:ascii="Arial" w:eastAsia="Times New Roman" w:hAnsi="Arial" w:cs="Arial"/>
          <w:b/>
          <w:color w:val="000000" w:themeColor="text1"/>
          <w:sz w:val="20"/>
          <w:szCs w:val="20"/>
        </w:rPr>
        <w:t xml:space="preserve">Publication: </w:t>
      </w:r>
      <w:hyperlink r:id="rId12" w:tooltip="Ethnicity &amp; health." w:history="1">
        <w:proofErr w:type="spellStart"/>
        <w:r w:rsidR="006D5B09" w:rsidRPr="00A62130">
          <w:rPr>
            <w:rStyle w:val="Hyperlink"/>
            <w:rFonts w:ascii="Arial" w:hAnsi="Arial" w:cs="Arial"/>
            <w:color w:val="660066"/>
            <w:sz w:val="20"/>
            <w:szCs w:val="20"/>
            <w:shd w:val="clear" w:color="auto" w:fill="FFFFFF"/>
          </w:rPr>
          <w:t>Ethn</w:t>
        </w:r>
        <w:proofErr w:type="spellEnd"/>
        <w:r w:rsidR="006D5B09" w:rsidRPr="00A62130">
          <w:rPr>
            <w:rStyle w:val="Hyperlink"/>
            <w:rFonts w:ascii="Arial" w:hAnsi="Arial" w:cs="Arial"/>
            <w:color w:val="660066"/>
            <w:sz w:val="20"/>
            <w:szCs w:val="20"/>
            <w:shd w:val="clear" w:color="auto" w:fill="FFFFFF"/>
          </w:rPr>
          <w:t xml:space="preserve"> Health.</w:t>
        </w:r>
      </w:hyperlink>
      <w:r w:rsidR="006D5B09" w:rsidRPr="00A62130">
        <w:rPr>
          <w:rFonts w:ascii="Arial" w:hAnsi="Arial" w:cs="Arial"/>
          <w:sz w:val="20"/>
          <w:szCs w:val="20"/>
          <w:shd w:val="clear" w:color="auto" w:fill="FFFFFF"/>
        </w:rPr>
        <w:t xml:space="preserve"> 2017 Oct 20:1-13. </w:t>
      </w:r>
      <w:proofErr w:type="spellStart"/>
      <w:r w:rsidR="006D5B09" w:rsidRPr="00A62130">
        <w:rPr>
          <w:rFonts w:ascii="Arial" w:hAnsi="Arial" w:cs="Arial"/>
          <w:sz w:val="20"/>
          <w:szCs w:val="20"/>
          <w:shd w:val="clear" w:color="auto" w:fill="FFFFFF"/>
        </w:rPr>
        <w:t>doi</w:t>
      </w:r>
      <w:proofErr w:type="spellEnd"/>
      <w:r w:rsidR="006D5B09" w:rsidRPr="00A62130">
        <w:rPr>
          <w:rFonts w:ascii="Arial" w:hAnsi="Arial" w:cs="Arial"/>
          <w:sz w:val="20"/>
          <w:szCs w:val="20"/>
          <w:shd w:val="clear" w:color="auto" w:fill="FFFFFF"/>
        </w:rPr>
        <w:t>: 10.1080/13557858.2017.1390074. [</w:t>
      </w:r>
      <w:proofErr w:type="spellStart"/>
      <w:r w:rsidR="006D5B09" w:rsidRPr="00A62130">
        <w:rPr>
          <w:rFonts w:ascii="Arial" w:hAnsi="Arial" w:cs="Arial"/>
          <w:sz w:val="20"/>
          <w:szCs w:val="20"/>
          <w:shd w:val="clear" w:color="auto" w:fill="FFFFFF"/>
        </w:rPr>
        <w:t>Epub</w:t>
      </w:r>
      <w:proofErr w:type="spellEnd"/>
      <w:r w:rsidR="006D5B09" w:rsidRPr="00A62130">
        <w:rPr>
          <w:rFonts w:ascii="Arial" w:hAnsi="Arial" w:cs="Arial"/>
          <w:sz w:val="20"/>
          <w:szCs w:val="20"/>
          <w:shd w:val="clear" w:color="auto" w:fill="FFFFFF"/>
        </w:rPr>
        <w:t xml:space="preserve"> ahead of print]</w:t>
      </w:r>
    </w:p>
    <w:p w14:paraId="2B0933EE" w14:textId="77777777" w:rsidR="00BF266D" w:rsidRPr="00A62130" w:rsidRDefault="00BF266D" w:rsidP="00F740BA">
      <w:pPr>
        <w:pStyle w:val="p1"/>
        <w:rPr>
          <w:rFonts w:ascii="Arial" w:eastAsia="Times New Roman" w:hAnsi="Arial" w:cs="Arial"/>
          <w:color w:val="000000" w:themeColor="text1"/>
          <w:sz w:val="20"/>
          <w:szCs w:val="20"/>
        </w:rPr>
      </w:pPr>
    </w:p>
    <w:p w14:paraId="302C2A0F" w14:textId="77777777" w:rsidR="006D5B09" w:rsidRPr="00A62130" w:rsidRDefault="008975B4" w:rsidP="006D5B09">
      <w:pPr>
        <w:pStyle w:val="p1"/>
        <w:rPr>
          <w:rFonts w:ascii="Arial" w:hAnsi="Arial" w:cs="Arial"/>
          <w:b/>
          <w:color w:val="000000" w:themeColor="text1"/>
          <w:sz w:val="20"/>
          <w:szCs w:val="20"/>
        </w:rPr>
      </w:pPr>
      <w:r w:rsidRPr="00A62130">
        <w:rPr>
          <w:rFonts w:ascii="Arial" w:eastAsia="Times New Roman" w:hAnsi="Arial" w:cs="Arial"/>
          <w:b/>
          <w:color w:val="000000" w:themeColor="text1"/>
          <w:sz w:val="20"/>
          <w:szCs w:val="20"/>
        </w:rPr>
        <w:t>Abstract</w:t>
      </w:r>
      <w:r w:rsidR="00FA423C" w:rsidRPr="00A62130">
        <w:rPr>
          <w:rFonts w:ascii="Arial" w:eastAsia="Times New Roman" w:hAnsi="Arial" w:cs="Arial"/>
          <w:b/>
          <w:color w:val="000000" w:themeColor="text1"/>
          <w:sz w:val="20"/>
          <w:szCs w:val="20"/>
        </w:rPr>
        <w:t>:</w:t>
      </w:r>
      <w:r w:rsidR="00F179F7" w:rsidRPr="00A62130">
        <w:rPr>
          <w:rFonts w:ascii="Arial" w:eastAsia="Times New Roman" w:hAnsi="Arial" w:cs="Arial"/>
          <w:b/>
          <w:color w:val="000000" w:themeColor="text1"/>
          <w:sz w:val="20"/>
          <w:szCs w:val="20"/>
        </w:rPr>
        <w:t xml:space="preserve"> </w:t>
      </w:r>
      <w:r w:rsidR="0099585B" w:rsidRPr="00A62130">
        <w:rPr>
          <w:rFonts w:ascii="Arial" w:hAnsi="Arial" w:cs="Arial"/>
          <w:b/>
          <w:color w:val="000000" w:themeColor="text1"/>
          <w:sz w:val="20"/>
          <w:szCs w:val="20"/>
        </w:rPr>
        <w:t> </w:t>
      </w:r>
    </w:p>
    <w:p w14:paraId="7533D69B" w14:textId="77777777" w:rsidR="006D5B09" w:rsidRPr="00A62130" w:rsidRDefault="006D5B09" w:rsidP="006D5B09">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OBJECTIVES:</w:t>
      </w:r>
    </w:p>
    <w:p w14:paraId="4A6226B1" w14:textId="77777777" w:rsidR="006D5B09" w:rsidRPr="00A62130" w:rsidRDefault="006D5B09" w:rsidP="006D5B09">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Policy-making related to immigrant populations is increasingly conducted at the state-level. State policy contexts may influence health insurance coverage by determining noncitizens' access to social and economic resources and shaping social environments. Using nationally representative data, we investigate the relationship between level of inclusion of state immigrant policies and health insurance coverage and its variation by citizenship and race/ethnicity.</w:t>
      </w:r>
      <w:bookmarkStart w:id="1" w:name="_9v8iwj6i3cs9" w:colFirst="0" w:colLast="0"/>
      <w:bookmarkEnd w:id="1"/>
    </w:p>
    <w:p w14:paraId="0AF127E5" w14:textId="77777777" w:rsidR="006D5B09" w:rsidRPr="00A62130" w:rsidRDefault="006D5B09" w:rsidP="006D5B09">
      <w:pPr>
        <w:pStyle w:val="p1"/>
        <w:rPr>
          <w:rFonts w:ascii="Arial" w:eastAsia="Arial" w:hAnsi="Arial" w:cs="Arial"/>
          <w:color w:val="000000"/>
          <w:sz w:val="20"/>
          <w:szCs w:val="20"/>
          <w:highlight w:val="white"/>
        </w:rPr>
      </w:pPr>
    </w:p>
    <w:p w14:paraId="321A8C18" w14:textId="77777777" w:rsidR="006D5B09" w:rsidRPr="00A62130" w:rsidRDefault="006D5B09" w:rsidP="006D5B09">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METHODS:</w:t>
      </w:r>
    </w:p>
    <w:p w14:paraId="735DB1F9" w14:textId="77777777" w:rsidR="006D5B09" w:rsidRPr="00A62130" w:rsidRDefault="006D5B09" w:rsidP="006D5B09">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Data included a measure of level of inclusion of the state policy context from a scan of 10 policies enacted prior to 2014 and data for adults ages 18-64 from the 2014 American Community Survey. A fixed-effects logistic regression model tested the association between having health insurance and the interaction of level of inclusiveness, citizenship, and race/ethnicity, controlling for state- and individual-level characteristics.</w:t>
      </w:r>
      <w:bookmarkStart w:id="2" w:name="_8o1x2chbnwgt" w:colFirst="0" w:colLast="0"/>
      <w:bookmarkEnd w:id="2"/>
    </w:p>
    <w:p w14:paraId="598EEFF0" w14:textId="77777777" w:rsidR="006D5B09" w:rsidRPr="00A62130" w:rsidRDefault="006D5B09" w:rsidP="006D5B09">
      <w:pPr>
        <w:pStyle w:val="p1"/>
        <w:rPr>
          <w:rFonts w:ascii="Arial" w:eastAsia="Arial" w:hAnsi="Arial" w:cs="Arial"/>
          <w:color w:val="000000"/>
          <w:sz w:val="20"/>
          <w:szCs w:val="20"/>
          <w:highlight w:val="white"/>
        </w:rPr>
      </w:pPr>
    </w:p>
    <w:p w14:paraId="372707E6" w14:textId="77777777" w:rsidR="006D5B09" w:rsidRPr="00A62130" w:rsidRDefault="006D5B09" w:rsidP="006D5B09">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RESULTS:</w:t>
      </w:r>
    </w:p>
    <w:p w14:paraId="0566F9AD" w14:textId="77777777" w:rsidR="002B691C" w:rsidRPr="00A62130" w:rsidRDefault="006D5B09" w:rsidP="002B691C">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Latino noncitizens experienced higher rates of being insured in states with higher levels of inclusion, while Asian/Pacific Islander noncitizens experienced lower levels. The level of inclusion was not associated with differences in insurance coverage among noncitizen Whites and Blacks.</w:t>
      </w:r>
      <w:bookmarkStart w:id="3" w:name="_3a38dn9rqsyg" w:colFirst="0" w:colLast="0"/>
      <w:bookmarkEnd w:id="3"/>
    </w:p>
    <w:p w14:paraId="1A4AD6F5" w14:textId="77777777" w:rsidR="002B691C" w:rsidRPr="00A62130" w:rsidRDefault="002B691C" w:rsidP="002B691C">
      <w:pPr>
        <w:pStyle w:val="p1"/>
        <w:rPr>
          <w:rFonts w:ascii="Arial" w:eastAsia="Arial" w:hAnsi="Arial" w:cs="Arial"/>
          <w:color w:val="000000"/>
          <w:sz w:val="20"/>
          <w:szCs w:val="20"/>
          <w:highlight w:val="white"/>
        </w:rPr>
      </w:pPr>
    </w:p>
    <w:p w14:paraId="284867AB" w14:textId="77777777" w:rsidR="002B691C" w:rsidRPr="00A62130" w:rsidRDefault="006D5B09" w:rsidP="002B691C">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CONCLUSIONS:</w:t>
      </w:r>
      <w:bookmarkStart w:id="4" w:name="_ac7b53kbakdo" w:colFirst="0" w:colLast="0"/>
      <w:bookmarkEnd w:id="4"/>
    </w:p>
    <w:p w14:paraId="5CF912B3" w14:textId="7CBDD96B" w:rsidR="006D5B09" w:rsidRPr="00A62130" w:rsidRDefault="006D5B09" w:rsidP="002B691C">
      <w:pPr>
        <w:pStyle w:val="p1"/>
        <w:rPr>
          <w:rFonts w:ascii="Arial" w:eastAsia="Arial" w:hAnsi="Arial" w:cs="Arial"/>
          <w:color w:val="000000"/>
          <w:sz w:val="20"/>
          <w:szCs w:val="20"/>
          <w:highlight w:val="white"/>
        </w:rPr>
      </w:pPr>
      <w:r w:rsidRPr="00A62130">
        <w:rPr>
          <w:rFonts w:ascii="Arial" w:eastAsia="Arial" w:hAnsi="Arial" w:cs="Arial"/>
          <w:color w:val="000000"/>
          <w:sz w:val="20"/>
          <w:szCs w:val="20"/>
          <w:highlight w:val="white"/>
        </w:rPr>
        <w:t>Contexts with more inclusive immigrant policies may have the most benefit for Latino noncitizens.</w:t>
      </w:r>
    </w:p>
    <w:p w14:paraId="5B68F6FD" w14:textId="11F58041" w:rsidR="00D83E68" w:rsidRPr="00A62130" w:rsidRDefault="00D83E68" w:rsidP="00D83E68">
      <w:pPr>
        <w:shd w:val="clear" w:color="auto" w:fill="FFFFFF"/>
        <w:spacing w:after="100"/>
        <w:rPr>
          <w:rFonts w:ascii="Arial" w:eastAsia="Arial" w:hAnsi="Arial" w:cs="Arial"/>
          <w:sz w:val="20"/>
          <w:szCs w:val="20"/>
        </w:rPr>
      </w:pPr>
    </w:p>
    <w:p w14:paraId="70C8C033" w14:textId="77777777" w:rsidR="00CE0115" w:rsidRPr="00A62130" w:rsidRDefault="00CE0115" w:rsidP="00D83E68">
      <w:pPr>
        <w:pStyle w:val="p1"/>
        <w:rPr>
          <w:rFonts w:ascii="Arial" w:hAnsi="Arial" w:cs="Arial"/>
          <w:color w:val="000000" w:themeColor="text1"/>
          <w:sz w:val="20"/>
          <w:szCs w:val="20"/>
        </w:rPr>
      </w:pPr>
    </w:p>
    <w:sectPr w:rsidR="00CE0115" w:rsidRPr="00A62130"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03493"/>
    <w:multiLevelType w:val="hybridMultilevel"/>
    <w:tmpl w:val="6F3E135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7">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3203D"/>
    <w:multiLevelType w:val="hybridMultilevel"/>
    <w:tmpl w:val="F836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77524"/>
    <w:multiLevelType w:val="hybridMultilevel"/>
    <w:tmpl w:val="4F9217B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nsid w:val="5664024B"/>
    <w:multiLevelType w:val="hybridMultilevel"/>
    <w:tmpl w:val="267475BA"/>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8">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FE560B"/>
    <w:multiLevelType w:val="hybridMultilevel"/>
    <w:tmpl w:val="5B78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F60C80"/>
    <w:multiLevelType w:val="hybridMultilevel"/>
    <w:tmpl w:val="5776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4"/>
  </w:num>
  <w:num w:numId="4">
    <w:abstractNumId w:val="15"/>
  </w:num>
  <w:num w:numId="5">
    <w:abstractNumId w:val="2"/>
  </w:num>
  <w:num w:numId="6">
    <w:abstractNumId w:val="4"/>
  </w:num>
  <w:num w:numId="7">
    <w:abstractNumId w:val="0"/>
  </w:num>
  <w:num w:numId="8">
    <w:abstractNumId w:val="21"/>
  </w:num>
  <w:num w:numId="9">
    <w:abstractNumId w:val="1"/>
  </w:num>
  <w:num w:numId="10">
    <w:abstractNumId w:val="19"/>
  </w:num>
  <w:num w:numId="11">
    <w:abstractNumId w:val="7"/>
  </w:num>
  <w:num w:numId="12">
    <w:abstractNumId w:val="3"/>
  </w:num>
  <w:num w:numId="13">
    <w:abstractNumId w:val="13"/>
  </w:num>
  <w:num w:numId="14">
    <w:abstractNumId w:val="9"/>
  </w:num>
  <w:num w:numId="15">
    <w:abstractNumId w:val="12"/>
  </w:num>
  <w:num w:numId="16">
    <w:abstractNumId w:val="10"/>
  </w:num>
  <w:num w:numId="17">
    <w:abstractNumId w:val="18"/>
  </w:num>
  <w:num w:numId="18">
    <w:abstractNumId w:val="16"/>
  </w:num>
  <w:num w:numId="19">
    <w:abstractNumId w:val="20"/>
  </w:num>
  <w:num w:numId="20">
    <w:abstractNumId w:val="17"/>
  </w:num>
  <w:num w:numId="21">
    <w:abstractNumId w:val="8"/>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50420"/>
    <w:rsid w:val="00072711"/>
    <w:rsid w:val="000819AD"/>
    <w:rsid w:val="000C0C19"/>
    <w:rsid w:val="00100DCC"/>
    <w:rsid w:val="00113ADB"/>
    <w:rsid w:val="00116F9F"/>
    <w:rsid w:val="00191B51"/>
    <w:rsid w:val="00197CF1"/>
    <w:rsid w:val="001B3168"/>
    <w:rsid w:val="001C701E"/>
    <w:rsid w:val="00254A78"/>
    <w:rsid w:val="0028024E"/>
    <w:rsid w:val="002B691C"/>
    <w:rsid w:val="002F77A1"/>
    <w:rsid w:val="00301B65"/>
    <w:rsid w:val="00372301"/>
    <w:rsid w:val="003850BC"/>
    <w:rsid w:val="003A5522"/>
    <w:rsid w:val="0040712D"/>
    <w:rsid w:val="004460C2"/>
    <w:rsid w:val="004A58E3"/>
    <w:rsid w:val="004A62D5"/>
    <w:rsid w:val="004D5E49"/>
    <w:rsid w:val="004E7ED5"/>
    <w:rsid w:val="004F686B"/>
    <w:rsid w:val="005A1907"/>
    <w:rsid w:val="005F1DEB"/>
    <w:rsid w:val="006509C5"/>
    <w:rsid w:val="006D5B09"/>
    <w:rsid w:val="00720DF9"/>
    <w:rsid w:val="0074248C"/>
    <w:rsid w:val="00792071"/>
    <w:rsid w:val="007C77B1"/>
    <w:rsid w:val="008254A5"/>
    <w:rsid w:val="008304A2"/>
    <w:rsid w:val="00846118"/>
    <w:rsid w:val="00871636"/>
    <w:rsid w:val="008964F2"/>
    <w:rsid w:val="008975B4"/>
    <w:rsid w:val="008F3C86"/>
    <w:rsid w:val="00911D82"/>
    <w:rsid w:val="00915E2B"/>
    <w:rsid w:val="00917E9C"/>
    <w:rsid w:val="00957B56"/>
    <w:rsid w:val="00957FCB"/>
    <w:rsid w:val="0099585B"/>
    <w:rsid w:val="0099751B"/>
    <w:rsid w:val="009A683F"/>
    <w:rsid w:val="009C3DB0"/>
    <w:rsid w:val="009E5F1D"/>
    <w:rsid w:val="00A16580"/>
    <w:rsid w:val="00A62130"/>
    <w:rsid w:val="00A726FA"/>
    <w:rsid w:val="00AB2A18"/>
    <w:rsid w:val="00AB52E5"/>
    <w:rsid w:val="00AE423F"/>
    <w:rsid w:val="00B401B5"/>
    <w:rsid w:val="00B62A80"/>
    <w:rsid w:val="00BB3B96"/>
    <w:rsid w:val="00BC023A"/>
    <w:rsid w:val="00BF266D"/>
    <w:rsid w:val="00C802B4"/>
    <w:rsid w:val="00C83C8C"/>
    <w:rsid w:val="00CD5AD0"/>
    <w:rsid w:val="00CE0115"/>
    <w:rsid w:val="00CF7A31"/>
    <w:rsid w:val="00D010FC"/>
    <w:rsid w:val="00D83E68"/>
    <w:rsid w:val="00DC5919"/>
    <w:rsid w:val="00DF60E2"/>
    <w:rsid w:val="00E03974"/>
    <w:rsid w:val="00E7442C"/>
    <w:rsid w:val="00EC1743"/>
    <w:rsid w:val="00ED36C4"/>
    <w:rsid w:val="00EE235B"/>
    <w:rsid w:val="00F038B8"/>
    <w:rsid w:val="00F121CD"/>
    <w:rsid w:val="00F179F7"/>
    <w:rsid w:val="00F4770F"/>
    <w:rsid w:val="00F740BA"/>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Wallace%20SP%5BAuthor%5D&amp;cauthor=true&amp;cauthor_uid=29052425" TargetMode="External"/><Relationship Id="rId12" Type="http://schemas.openxmlformats.org/officeDocument/2006/relationships/hyperlink" Target="https://www.ncbi.nlm.nih.gov/pubmed/2905242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9052425&amp;d=DwMEaQ&amp;c=clK7kQUTWtAVEOVIgvi0NU5BOUHhpN0H8p7CSfnc_gI&amp;r=iFavz6KbtuaSFObSvuCXnLmt5VbY86Jha1tKLeBFedI&amp;m=qhbsXXcUVxtQEshRhTEVzU6hRJSutbUB9OOa0KXGr14&amp;s=XEAgyBQf2U6F8Ont8dfOJPuo3D-S0eepCaUCNn2RY-s&amp;e=" TargetMode="External"/><Relationship Id="rId8" Type="http://schemas.openxmlformats.org/officeDocument/2006/relationships/hyperlink" Target="https://www-ncbi-nlm-nih-gov.ucsf.idm.oclc.org/pubmed/?term=Young%20MT%5BAuthor%5D&amp;cauthor=true&amp;cauthor_uid=29052425" TargetMode="External"/><Relationship Id="rId9" Type="http://schemas.openxmlformats.org/officeDocument/2006/relationships/hyperlink" Target="https://www-ncbi-nlm-nih-gov.ucsf.idm.oclc.org/pubmed/?term=Leon-Perez%20G%5BAuthor%5D&amp;cauthor=true&amp;cauthor_uid=29052425" TargetMode="External"/><Relationship Id="rId10" Type="http://schemas.openxmlformats.org/officeDocument/2006/relationships/hyperlink" Target="https://www-ncbi-nlm-nih-gov.ucsf.idm.oclc.org/pubmed/?term=Wells%20CR%5BAuthor%5D&amp;cauthor=true&amp;cauthor_uid=29052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A7C03F-3622-C548-8145-0B308FE8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2018-02-08T23:17:00Z</dcterms:created>
  <dcterms:modified xsi:type="dcterms:W3CDTF">2018-02-09T00:36:00Z</dcterms:modified>
</cp:coreProperties>
</file>