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  <w:jc w:val="center"/>
      </w:pPr>
      <w:r>
        <w:t>AI-RISA Combat Intelligence</w:t>
      </w:r>
    </w:p>
    <w:p>
      <w:pPr>
        <w:pStyle w:val="CoverSub"/>
        <w:jc w:val="center"/>
      </w:pPr>
      <w:r>
        <w:rPr>
          <w:b/>
          <w:color w:val="D4AF37"/>
        </w:rPr>
        <w:t>Premium Event Value Report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/>
        <w:tc>
          <w:tcPr>
            <w:tcW w:type="dxa" w:w="9936"/>
            <w:shd w:fill="0A0A0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[Event Name Placeholder]</w:t>
            </w:r>
          </w:p>
        </w:tc>
      </w:tr>
      <w:tr>
        <w:trPr/>
        <w:tc>
          <w:tcPr>
            <w:tcW w:type="dxa" w:w="9936"/>
            <w:shd w:fill="2E2E2E"/>
            <w:vAlign w:val="center"/>
          </w:tcPr>
          <w:p>
            <w:pPr>
              <w:jc w:val="center"/>
            </w:pPr>
            <w:r>
              <w:rPr>
                <w:b w:val="0"/>
                <w:color w:val="FFFFFF"/>
                <w:sz w:val="22"/>
              </w:rPr>
              <w:t>[Date Placeholder]  |  [Venue Placeholder]</w:t>
            </w:r>
          </w:p>
        </w:tc>
      </w:tr>
      <w:tr>
        <w:trPr/>
        <w:tc>
          <w:tcPr>
            <w:tcW w:type="dxa" w:w="993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A0A0A"/>
                <w:sz w:val="22"/>
              </w:rPr>
              <w:t>Prepared for: Promoter/Executive Use Only</w:t>
            </w:r>
          </w:p>
        </w:tc>
      </w:tr>
      <w:tr>
        <w:trPr/>
        <w:tc>
          <w:tcPr>
            <w:tcW w:type="dxa" w:w="9936"/>
            <w:shd w:fill="FFFFFF"/>
            <w:vAlign w:val="center"/>
          </w:tcPr>
          <w:p>
            <w:pPr>
              <w:jc w:val="center"/>
            </w:pPr>
            <w:r>
              <w:rPr>
                <w:b w:val="0"/>
                <w:color w:val="8B0000"/>
                <w:sz w:val="20"/>
              </w:rPr>
              <w:t>Confidential — Internal Use Only</w:t>
            </w:r>
          </w:p>
        </w:tc>
      </w:tr>
    </w:tbl>
    <w:p/>
    <w:p>
      <w:pPr>
        <w:jc w:val="center"/>
      </w:pPr>
      <w:r>
        <w:rPr>
          <w:color w:val="505050"/>
          <w:sz w:val="21"/>
        </w:rPr>
        <w:t>Premium tactical reporting built for high-level fight preparation, event positioning, commentary, and premium audience delivery.</w:t>
      </w:r>
    </w:p>
    <w:p>
      <w:pPr>
        <w:pBdr>
          <w:bottom w:val="single" w:sz="8" w:space="4" w:color="D4AF37"/>
        </w:pBdr>
      </w:pPr>
    </w:p>
    <w:p>
      <w:r>
        <w:br w:type="page"/>
      </w:r>
    </w:p>
    <w:p>
      <w:pPr>
        <w:pStyle w:val="Heading1"/>
      </w:pPr>
      <w:r>
        <w:t>Event Value Summary</w:t>
      </w:r>
    </w:p>
    <w:p>
      <w:r>
        <w:t>This AI-RISA report delivers a premium, analytical breakdown of [Event Name Placeholder], focusing on commercial stakes, narrative hooks, style contrasts, and fight-night marketability. Each section is designed to support event positioning, broadcast partnerships, and audience engagement strategies.</w:t>
      </w:r>
    </w:p>
    <w:p>
      <w:pPr>
        <w:pStyle w:val="Heading1"/>
      </w:pPr>
      <w:r>
        <w:t>[Fight Briefing Page Template]</w:t>
      </w:r>
    </w:p>
    <w:p>
      <w:pPr>
        <w:pStyle w:val="Heading2"/>
      </w:pPr>
      <w:r>
        <w:t>[Fighter 1 Placeholder] vs [Fighter 2 Placeholder]</w:t>
      </w:r>
    </w:p>
    <w:p>
      <w:pPr>
        <w:pStyle w:val="Heading1"/>
      </w:pPr>
      <w:r>
        <w:t>Main Event: Commercial &amp; Tactical Narrative</w:t>
      </w:r>
    </w:p>
    <w:p>
      <w:pPr>
        <w:spacing w:after="40"/>
      </w:pPr>
      <w:r>
        <w:rPr>
          <w:b/>
          <w:color w:val="0A0A0A"/>
          <w:sz w:val="21"/>
        </w:rPr>
        <w:t xml:space="preserve">Stakes: </w:t>
      </w:r>
      <w:r>
        <w:rPr>
          <w:color w:val="505050"/>
          <w:sz w:val="21"/>
        </w:rPr>
        <w:t>[Describe title implications, contender status, legacy, or rivalry]</w:t>
      </w:r>
    </w:p>
    <w:p>
      <w:pPr>
        <w:spacing w:after="40"/>
      </w:pPr>
      <w:r>
        <w:rPr>
          <w:b/>
          <w:color w:val="0A0A0A"/>
          <w:sz w:val="21"/>
        </w:rPr>
        <w:t xml:space="preserve">Narrative: </w:t>
      </w:r>
      <w:r>
        <w:rPr>
          <w:color w:val="505050"/>
          <w:sz w:val="21"/>
        </w:rPr>
        <w:t>[Frame the storyline—redemption, rivalry, breakthrough, etc.]</w:t>
      </w:r>
    </w:p>
    <w:p>
      <w:pPr>
        <w:spacing w:after="40"/>
      </w:pPr>
      <w:r>
        <w:rPr>
          <w:b/>
          <w:color w:val="0A0A0A"/>
          <w:sz w:val="21"/>
        </w:rPr>
        <w:t xml:space="preserve">Style Contrast: </w:t>
      </w:r>
      <w:r>
        <w:rPr>
          <w:color w:val="505050"/>
          <w:sz w:val="21"/>
        </w:rPr>
        <w:t>[Describe how the fighters’ styles create volatility or intrigue]</w:t>
      </w:r>
    </w:p>
    <w:p>
      <w:pPr>
        <w:spacing w:after="40"/>
      </w:pPr>
      <w:r>
        <w:rPr>
          <w:b/>
          <w:color w:val="0A0A0A"/>
          <w:sz w:val="21"/>
        </w:rPr>
        <w:t xml:space="preserve">Marketability: </w:t>
      </w:r>
      <w:r>
        <w:rPr>
          <w:color w:val="505050"/>
          <w:sz w:val="21"/>
        </w:rPr>
        <w:t>[Highlight star power, fan base, international appeal]</w:t>
      </w:r>
    </w:p>
    <w:p>
      <w:pPr>
        <w:spacing w:after="40"/>
      </w:pPr>
      <w:r>
        <w:rPr>
          <w:b/>
          <w:color w:val="0A0A0A"/>
          <w:sz w:val="21"/>
        </w:rPr>
        <w:t xml:space="preserve">Finish Potential: </w:t>
      </w:r>
      <w:r>
        <w:rPr>
          <w:color w:val="505050"/>
          <w:sz w:val="21"/>
        </w:rPr>
        <w:t>[Assess likelihood of KO/submission, dramatic swings]</w:t>
      </w:r>
    </w:p>
    <w:p>
      <w:pPr>
        <w:spacing w:after="40"/>
      </w:pPr>
      <w:r>
        <w:rPr>
          <w:b/>
          <w:color w:val="0A0A0A"/>
          <w:sz w:val="21"/>
        </w:rPr>
        <w:t xml:space="preserve">Audience Pull: </w:t>
      </w:r>
      <w:r>
        <w:rPr>
          <w:color w:val="505050"/>
          <w:sz w:val="21"/>
        </w:rPr>
        <w:t>[Why this main event will drive ticket sales and viewership]</w:t>
      </w:r>
    </w:p>
    <w:p>
      <w:pPr>
        <w:spacing w:after="40"/>
      </w:pPr>
      <w:r>
        <w:rPr>
          <w:b/>
          <w:color w:val="0A0A0A"/>
          <w:sz w:val="21"/>
        </w:rPr>
        <w:t xml:space="preserve">Action/Risk Factors: </w:t>
      </w:r>
      <w:r>
        <w:rPr>
          <w:color w:val="505050"/>
          <w:sz w:val="21"/>
        </w:rPr>
        <w:t>[What makes this fight unpredictable or must-see]</w:t>
      </w:r>
    </w:p>
    <w:p>
      <w:pPr>
        <w:pStyle w:val="Heading1"/>
      </w:pPr>
      <w:r>
        <w:t>Supporting Fight Value Briefs</w:t>
      </w:r>
    </w:p>
    <w:p>
      <w:r>
        <w:t>[Supporting Fight Value Brief placeholders for co-main and undercard bouts]</w:t>
      </w:r>
    </w:p>
    <w:p>
      <w:pPr>
        <w:pStyle w:val="Heading1"/>
      </w:pPr>
      <w:r>
        <w:t>Style-Contrast &amp; Action-Risk Summary</w:t>
      </w:r>
    </w:p>
    <w:p>
      <w:r>
        <w:t>[Summarize card dynamics, volatility, and audience engagement value]</w:t>
      </w:r>
    </w:p>
    <w:p>
      <w:pPr>
        <w:pStyle w:val="Heading1"/>
      </w:pPr>
      <w:r>
        <w:t>Event-Wide Promotional Conclusions</w:t>
      </w:r>
    </w:p>
    <w:p>
      <w:r>
        <w:t>[Commercial strengths, narrative hooks, marketability risks, and promotional recommendations]</w:t>
      </w:r>
    </w:p>
    <w:p>
      <w:pPr>
        <w:pStyle w:val="Heading1"/>
      </w:pPr>
      <w:r>
        <w:t>Disclaimer</w:t>
      </w:r>
    </w:p>
    <w:p>
      <w:r>
        <w:t>This report is for event positioning and promotional strategy only. AI-RISA outputs are based on available data and predictive modeling, not guaranteed outcomes. Use as one input among many in event planning. Not for gambling or public distribution.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050"/>
        <w:sz w:val="16"/>
      </w:rPr>
      <w:t>AI-RISA Combat Intelligence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D4AF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A0A0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rPr>
      <w:rFonts w:ascii="Arial" w:hAnsi="Arial"/>
      <w:b/>
      <w:color w:val="0A0A0A"/>
      <w:sz w:val="48"/>
    </w:rPr>
  </w:style>
  <w:style w:type="paragraph" w:customStyle="1" w:styleId="CoverSub">
    <w:name w:val="CoverSub"/>
    <w:rPr>
      <w:rFonts w:ascii="Arial" w:hAnsi="Arial"/>
      <w:b w:val="0"/>
      <w:color w:val="505050"/>
      <w:sz w:val="24"/>
    </w:rPr>
  </w:style>
  <w:style w:type="paragraph" w:customStyle="1" w:styleId="Label">
    <w:name w:val="Label"/>
    <w:rPr>
      <w:rFonts w:ascii="Arial" w:hAnsi="Arial"/>
      <w:b/>
      <w:color w:val="0A0A0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