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400"/>
              <w:left w:type="dxa" w:w="300"/>
              <w:bottom w:type="dxa" w:w="400"/>
              <w:right w:type="dxa" w:w="300"/>
            </w:tcMar>
          </w:tcPr>
          <w:p>
            <w:pPr>
              <w:spacing w:after="80"/>
            </w:pPr>
            <w:r>
              <w:rPr>
                <w:rFonts w:ascii="Arial" w:cs="Arial" w:eastAsia="Arial" w:hAnsi="Arial"/>
                <w:b/>
                <w:bCs/>
                <w:color w:val="7A9BB5"/>
                <w:sz w:val="18"/>
                <w:szCs w:val="18"/>
              </w:rPr>
              <w:t xml:space="preserve">MacroByte · BK Tool</w:t>
            </w:r>
          </w:p>
          <w:p>
            <w:pPr>
              <w:spacing w:after="80"/>
            </w:pPr>
            <w:r>
              <w:rPr>
                <w:rFonts w:ascii="Arial" w:cs="Arial" w:eastAsia="Arial" w:hAnsi="Arial"/>
                <w:color w:val="5D7A90"/>
                <w:sz w:val="16"/>
                <w:szCs w:val="16"/>
              </w:rPr>
              <w:t xml:space="preserve">HANDOVER BRIEF</w:t>
            </w:r>
          </w:p>
          <w:p>
            <w:pPr>
              <w:spacing w:after="120"/>
            </w:pPr>
            <w:r>
              <w:rPr>
                <w:rFonts w:ascii="Arial" w:cs="Arial" w:eastAsia="Arial" w:hAnsi="Arial"/>
                <w:b/>
                <w:bCs/>
                <w:color w:val="FFFFFF"/>
                <w:sz w:val="40"/>
                <w:szCs w:val="40"/>
              </w:rPr>
              <w:t xml:space="preserve">Bookkeeper Workflow Tool</w:t>
            </w:r>
          </w:p>
          <w:p>
            <w:pPr>
              <w:spacing w:after="240"/>
            </w:pPr>
            <w:r>
              <w:rPr>
                <w:rFonts w:ascii="Arial" w:cs="Arial" w:eastAsia="Arial" w:hAnsi="Arial"/>
                <w:i/>
                <w:iCs/>
                <w:color w:val="8FA3B1"/>
                <w:sz w:val="20"/>
                <w:szCs w:val="20"/>
              </w:rPr>
              <w:t xml:space="preserve">Project context, design decisions, file inventory, and next steps</w:t>
            </w:r>
          </w:p>
          <w:p>
            <w:pPr>
              <w:spacing w:after="40"/>
            </w:pPr>
            <w:r>
              <w:rPr>
                <w:rFonts w:ascii="Arial" w:cs="Arial" w:eastAsia="Arial" w:hAnsi="Arial"/>
                <w:color w:val="5D7A90"/>
                <w:sz w:val="18"/>
                <w:szCs w:val="18"/>
              </w:rPr>
              <w:t xml:space="preserve">Prepared for: </w:t>
            </w:r>
            <w:r>
              <w:rPr>
                <w:rFonts w:ascii="Arial" w:cs="Arial" w:eastAsia="Arial" w:hAnsi="Arial"/>
                <w:color w:val="FFFFFF"/>
                <w:sz w:val="18"/>
                <w:szCs w:val="18"/>
              </w:rPr>
              <w:t xml:space="preserve">Handover to new AI / continuation context</w:t>
            </w:r>
          </w:p>
          <w:p>
            <w:r>
              <w:rPr>
                <w:rFonts w:ascii="Arial" w:cs="Arial" w:eastAsia="Arial" w:hAnsi="Arial"/>
                <w:color w:val="5D7A90"/>
                <w:sz w:val="18"/>
                <w:szCs w:val="18"/>
              </w:rPr>
              <w:t xml:space="preserve">Original work: </w:t>
            </w:r>
            <w:r>
              <w:rPr>
                <w:rFonts w:ascii="Arial" w:cs="Arial" w:eastAsia="Arial" w:hAnsi="Arial"/>
                <w:color w:val="FFFFFF"/>
                <w:sz w:val="18"/>
                <w:szCs w:val="18"/>
              </w:rPr>
              <w:t xml:space="preserve">Claude Sonnet, May 2026</w:t>
            </w:r>
          </w:p>
        </w:tc>
      </w:tr>
    </w:tbl>
    <w:p>
      <w:pPr>
        <w:spacing w:after="0" w:before="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1. What This Project Is</w:t>
            </w:r>
          </w:p>
        </w:tc>
      </w:tr>
    </w:tbl>
    <w:p>
      <w:pPr>
        <w:spacing w:after="80" w:before="160"/>
      </w:pPr>
    </w:p>
    <w:p>
      <w:pPr>
        <w:pStyle w:val="Heading2"/>
        <w:spacing w:after="120" w:before="240"/>
      </w:pPr>
      <w:r>
        <w:rPr>
          <w:rFonts w:ascii="Arial" w:cs="Arial" w:eastAsia="Arial" w:hAnsi="Arial"/>
          <w:b/>
          <w:bCs/>
          <w:color w:val="1F2D3D"/>
          <w:sz w:val="24"/>
          <w:szCs w:val="24"/>
        </w:rPr>
        <w:t xml:space="preserve">Overview</w:t>
      </w:r>
    </w:p>
    <w:p>
      <w:pPr>
        <w:spacing w:after="120" w:before="80"/>
      </w:pPr>
      <w:r>
        <w:rPr>
          <w:rFonts w:ascii="Arial" w:cs="Arial" w:eastAsia="Arial" w:hAnsi="Arial"/>
          <w:b w:val="false"/>
          <w:bCs w:val="false"/>
          <w:i w:val="false"/>
          <w:iCs w:val="false"/>
          <w:color w:val="1F2D3D"/>
          <w:sz w:val="20"/>
          <w:szCs w:val="20"/>
        </w:rPr>
        <w:t xml:space="preserve">This project is a bookkeeping workflow tool designed for a Malaysian bookkeeper (BK) who provides monthly bookkeeping services to SME clients. The tool is session-based — the BK opens it each month, does the work for one client period, exports the output, and closes. Nothing persists between sessions.</w:t>
      </w:r>
    </w:p>
    <w:p>
      <w:pPr>
        <w:spacing w:after="80" w:before="80"/>
      </w:pPr>
    </w:p>
    <w:p>
      <w:pPr>
        <w:spacing w:after="120" w:before="80"/>
      </w:pPr>
      <w:r>
        <w:rPr>
          <w:rFonts w:ascii="Arial" w:cs="Arial" w:eastAsia="Arial" w:hAnsi="Arial"/>
          <w:b w:val="false"/>
          <w:bCs w:val="false"/>
          <w:i w:val="false"/>
          <w:iCs w:val="false"/>
          <w:color w:val="1F2D3D"/>
          <w:sz w:val="20"/>
          <w:szCs w:val="20"/>
        </w:rPr>
        <w:t xml:space="preserve">The project owner is J, founder of MacroByte (macrobyte.my), a bookkeeping firm targeting Malaysian SMEs. Also works in private equity (BCP Asia Fund I / Bintang Capital Partners).</w:t>
      </w:r>
    </w:p>
    <w:p>
      <w:pPr>
        <w:spacing w:after="80" w:before="120"/>
      </w:pPr>
    </w:p>
    <w:p>
      <w:pPr>
        <w:pStyle w:val="Heading2"/>
        <w:spacing w:after="120" w:before="240"/>
      </w:pPr>
      <w:r>
        <w:rPr>
          <w:rFonts w:ascii="Arial" w:cs="Arial" w:eastAsia="Arial" w:hAnsi="Arial"/>
          <w:b/>
          <w:bCs/>
          <w:color w:val="1F2D3D"/>
          <w:sz w:val="24"/>
          <w:szCs w:val="24"/>
        </w:rPr>
        <w:t xml:space="preserve">The Problem Being Solved</w:t>
      </w:r>
    </w:p>
    <w:p>
      <w:pPr>
        <w:spacing w:after="120" w:before="80"/>
      </w:pPr>
      <w:r>
        <w:rPr>
          <w:rFonts w:ascii="Arial" w:cs="Arial" w:eastAsia="Arial" w:hAnsi="Arial"/>
          <w:b w:val="false"/>
          <w:bCs w:val="false"/>
          <w:i w:val="false"/>
          <w:iCs w:val="false"/>
          <w:color w:val="1F2D3D"/>
          <w:sz w:val="20"/>
          <w:szCs w:val="20"/>
        </w:rPr>
        <w:t xml:space="preserve">The BK currently works through a manual monthly process: collecting source documents, posting entries, reconciling with the bank statement, posting adjusting entries, and producing a journal voucher. The process is inconsistent, relies on memory, and produces no structured audit trail. This tool formalises and structures that process.</w:t>
      </w:r>
    </w:p>
    <w:p>
      <w:pPr>
        <w:spacing w:after="80" w:before="120"/>
      </w:pPr>
    </w:p>
    <w:p>
      <w:pPr>
        <w:pStyle w:val="Heading2"/>
        <w:spacing w:after="120" w:before="240"/>
      </w:pPr>
      <w:r>
        <w:rPr>
          <w:rFonts w:ascii="Arial" w:cs="Arial" w:eastAsia="Arial" w:hAnsi="Arial"/>
          <w:b/>
          <w:bCs/>
          <w:color w:val="1F2D3D"/>
          <w:sz w:val="24"/>
          <w:szCs w:val="24"/>
        </w:rPr>
        <w:t xml:space="preserve">What Has Been Built So Far</w:t>
      </w:r>
    </w:p>
    <w:p>
      <w:pPr>
        <w:spacing w:after="120" w:before="80"/>
      </w:pPr>
      <w:r>
        <w:rPr>
          <w:rFonts w:ascii="Arial" w:cs="Arial" w:eastAsia="Arial" w:hAnsi="Arial"/>
          <w:b w:val="false"/>
          <w:bCs w:val="false"/>
          <w:i w:val="false"/>
          <w:iCs w:val="false"/>
          <w:color w:val="1F2D3D"/>
          <w:sz w:val="20"/>
          <w:szCs w:val="20"/>
        </w:rPr>
        <w:t xml:space="preserve">A comprehensive workflow design and validation document — not a working application yet. What exists:</w:t>
      </w:r>
    </w:p>
    <w:p>
      <w:pPr>
        <w:pStyle w:val="ListParagraph"/>
        <w:numPr>
          <w:ilvl w:val="0"/>
          <w:numId w:val="2"/>
        </w:numPr>
        <w:spacing w:after="60" w:before="40"/>
      </w:pPr>
      <w:r>
        <w:rPr>
          <w:rFonts w:ascii="Arial" w:cs="Arial" w:eastAsia="Arial" w:hAnsi="Arial"/>
          <w:color w:val="1F2D3D"/>
          <w:sz w:val="20"/>
          <w:szCs w:val="20"/>
        </w:rPr>
        <w:t xml:space="preserve">Complete end-to-end workflow definition across 8 steps</w:t>
      </w:r>
    </w:p>
    <w:p>
      <w:pPr>
        <w:pStyle w:val="ListParagraph"/>
        <w:numPr>
          <w:ilvl w:val="0"/>
          <w:numId w:val="2"/>
        </w:numPr>
        <w:spacing w:after="60" w:before="40"/>
      </w:pPr>
      <w:r>
        <w:rPr>
          <w:rFonts w:ascii="Arial" w:cs="Arial" w:eastAsia="Arial" w:hAnsi="Arial"/>
          <w:color w:val="1F2D3D"/>
          <w:sz w:val="20"/>
          <w:szCs w:val="20"/>
        </w:rPr>
        <w:t xml:space="preserve">HTML mockups of every screen the BK would interact with</w:t>
      </w:r>
    </w:p>
    <w:p>
      <w:pPr>
        <w:pStyle w:val="ListParagraph"/>
        <w:numPr>
          <w:ilvl w:val="0"/>
          <w:numId w:val="2"/>
        </w:numPr>
        <w:spacing w:after="60" w:before="40"/>
      </w:pPr>
      <w:r>
        <w:rPr>
          <w:rFonts w:ascii="Arial" w:cs="Arial" w:eastAsia="Arial" w:hAnsi="Arial"/>
          <w:color w:val="1F2D3D"/>
          <w:sz w:val="20"/>
          <w:szCs w:val="20"/>
        </w:rPr>
        <w:t xml:space="preserve">Excel file showing the full output structure (8 tabs)</w:t>
      </w:r>
    </w:p>
    <w:p>
      <w:pPr>
        <w:pStyle w:val="ListParagraph"/>
        <w:numPr>
          <w:ilvl w:val="0"/>
          <w:numId w:val="2"/>
        </w:numPr>
        <w:spacing w:after="60" w:before="40"/>
      </w:pPr>
      <w:r>
        <w:rPr>
          <w:rFonts w:ascii="Arial" w:cs="Arial" w:eastAsia="Arial" w:hAnsi="Arial"/>
          <w:color w:val="1F2D3D"/>
          <w:sz w:val="20"/>
          <w:szCs w:val="20"/>
        </w:rPr>
        <w:t xml:space="preserve">Workflow validation document for the BK to review and approve</w:t>
      </w:r>
    </w:p>
    <w:p>
      <w:pPr>
        <w:pStyle w:val="ListParagraph"/>
        <w:numPr>
          <w:ilvl w:val="0"/>
          <w:numId w:val="2"/>
        </w:numPr>
        <w:spacing w:after="60" w:before="40"/>
      </w:pPr>
      <w:r>
        <w:rPr>
          <w:rFonts w:ascii="Arial" w:cs="Arial" w:eastAsia="Arial" w:hAnsi="Arial"/>
          <w:color w:val="1F2D3D"/>
          <w:sz w:val="20"/>
          <w:szCs w:val="20"/>
        </w:rPr>
        <w:t xml:space="preserve">Chart of accounts (COA) for Malaysian SME context</w:t>
      </w:r>
    </w:p>
    <w:p>
      <w:pPr>
        <w:spacing w:after="120" w:before="80"/>
      </w:pPr>
      <w:r>
        <w:rPr>
          <w:rFonts w:ascii="Arial" w:cs="Arial" w:eastAsia="Arial" w:hAnsi="Arial"/>
          <w:b w:val="false"/>
          <w:bCs w:val="false"/>
          <w:i w:val="false"/>
          <w:iCs w:val="false"/>
          <w:color w:val="1F2D3D"/>
          <w:sz w:val="20"/>
          <w:szCs w:val="20"/>
        </w:rPr>
        <w:t xml:space="preserve">The next phase is to build the actual working tool based on this validated design.</w:t>
      </w:r>
    </w:p>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2. Key Design Decisions (and Why)</w:t>
            </w:r>
          </w:p>
        </w:tc>
      </w:tr>
    </w:tbl>
    <w:p>
      <w:pPr>
        <w:spacing w:after="80" w:before="160"/>
      </w:pPr>
    </w:p>
    <w:p>
      <w:pPr>
        <w:pStyle w:val="Heading2"/>
        <w:spacing w:after="120" w:before="240"/>
      </w:pPr>
      <w:r>
        <w:rPr>
          <w:rFonts w:ascii="Arial" w:cs="Arial" w:eastAsia="Arial" w:hAnsi="Arial"/>
          <w:b/>
          <w:bCs/>
          <w:color w:val="1F2D3D"/>
          <w:sz w:val="24"/>
          <w:szCs w:val="24"/>
        </w:rPr>
        <w:t xml:space="preserve">Document-First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00"/>
              <w:left w:type="dxa" w:w="160"/>
              <w:bottom w:type="dxa" w:w="100"/>
              <w:right w:type="dxa" w:w="160"/>
            </w:tcMar>
          </w:tcPr>
          <w:p>
            <w:r>
              <w:rPr>
                <w:rFonts w:ascii="Arial" w:cs="Arial" w:eastAsia="Arial" w:hAnsi="Arial"/>
                <w:i/>
                <w:iCs/>
                <w:color w:val="B45309"/>
                <w:sz w:val="18"/>
                <w:szCs w:val="18"/>
              </w:rPr>
              <w:t xml:space="preserve">CRITICAL: Do not suggest switching to bank-first. This was a deliberate decision made after discussion.</w:t>
            </w:r>
          </w:p>
        </w:tc>
      </w:tr>
    </w:tbl>
    <w:p>
      <w:pPr>
        <w:spacing w:after="80" w:before="80"/>
      </w:pPr>
    </w:p>
    <w:p>
      <w:pPr>
        <w:spacing w:after="120" w:before="80"/>
      </w:pPr>
      <w:r>
        <w:rPr>
          <w:rFonts w:ascii="Arial" w:cs="Arial" w:eastAsia="Arial" w:hAnsi="Arial"/>
          <w:b w:val="false"/>
          <w:bCs w:val="false"/>
          <w:i w:val="false"/>
          <w:iCs w:val="false"/>
          <w:color w:val="1F2D3D"/>
          <w:sz w:val="20"/>
          <w:szCs w:val="20"/>
        </w:rPr>
        <w:t xml:space="preserve">The tool uses a document-first workflow. The BK posts all source documents first, then loads the bank statement to verify. This matches how the BK actually works and is the more technically correct approach.</w:t>
      </w:r>
    </w:p>
    <w:p>
      <w:pPr>
        <w:pStyle w:val="ListParagraph"/>
        <w:numPr>
          <w:ilvl w:val="0"/>
          <w:numId w:val="2"/>
        </w:numPr>
        <w:spacing w:after="60" w:before="40"/>
      </w:pPr>
      <w:r>
        <w:rPr>
          <w:rFonts w:ascii="Arial" w:cs="Arial" w:eastAsia="Arial" w:hAnsi="Arial"/>
          <w:color w:val="1F2D3D"/>
          <w:sz w:val="20"/>
          <w:szCs w:val="20"/>
        </w:rPr>
        <w:t xml:space="preserve">WP 1 (Document Posting Ledger) is the primary working paper</w:t>
      </w:r>
    </w:p>
    <w:p>
      <w:pPr>
        <w:pStyle w:val="ListParagraph"/>
        <w:numPr>
          <w:ilvl w:val="0"/>
          <w:numId w:val="2"/>
        </w:numPr>
        <w:spacing w:after="60" w:before="40"/>
      </w:pPr>
      <w:r>
        <w:rPr>
          <w:rFonts w:ascii="Arial" w:cs="Arial" w:eastAsia="Arial" w:hAnsi="Arial"/>
          <w:color w:val="1F2D3D"/>
          <w:sz w:val="20"/>
          <w:szCs w:val="20"/>
        </w:rPr>
        <w:t xml:space="preserve">WP 2 (Bank Verification Sheet) is the verification step — not the driver</w:t>
      </w:r>
    </w:p>
    <w:p>
      <w:pPr>
        <w:pStyle w:val="ListParagraph"/>
        <w:numPr>
          <w:ilvl w:val="0"/>
          <w:numId w:val="2"/>
        </w:numPr>
        <w:spacing w:after="60" w:before="40"/>
      </w:pPr>
      <w:r>
        <w:rPr>
          <w:rFonts w:ascii="Arial" w:cs="Arial" w:eastAsia="Arial" w:hAnsi="Arial"/>
          <w:color w:val="1F2D3D"/>
          <w:sz w:val="20"/>
          <w:szCs w:val="20"/>
        </w:rPr>
        <w:t xml:space="preserve">Most bank rows will already be matched when the bank statement loads, because docs were posted first</w:t>
      </w:r>
    </w:p>
    <w:p>
      <w:pPr>
        <w:pStyle w:val="ListParagraph"/>
        <w:numPr>
          <w:ilvl w:val="0"/>
          <w:numId w:val="2"/>
        </w:numPr>
        <w:spacing w:after="60" w:before="40"/>
      </w:pPr>
      <w:r>
        <w:rPr>
          <w:rFonts w:ascii="Arial" w:cs="Arial" w:eastAsia="Arial" w:hAnsi="Arial"/>
          <w:color w:val="1F2D3D"/>
          <w:sz w:val="20"/>
          <w:szCs w:val="20"/>
        </w:rPr>
        <w:t xml:space="preserve">Items in the bank with no doc are flagged as New and added from WP2</w:t>
      </w:r>
    </w:p>
    <w:p>
      <w:pPr>
        <w:spacing w:after="80" w:before="120"/>
      </w:pPr>
    </w:p>
    <w:p>
      <w:pPr>
        <w:pStyle w:val="Heading2"/>
        <w:spacing w:after="120" w:before="240"/>
      </w:pPr>
      <w:r>
        <w:rPr>
          <w:rFonts w:ascii="Arial" w:cs="Arial" w:eastAsia="Arial" w:hAnsi="Arial"/>
          <w:b/>
          <w:bCs/>
          <w:color w:val="1F2D3D"/>
          <w:sz w:val="24"/>
          <w:szCs w:val="24"/>
        </w:rPr>
        <w:t xml:space="preserve">Session-Based, No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BEAFE" w:val="clear"/>
            <w:tcMar>
              <w:top w:type="dxa" w:w="100"/>
              <w:left w:type="dxa" w:w="160"/>
              <w:bottom w:type="dxa" w:w="100"/>
              <w:right w:type="dxa" w:w="160"/>
            </w:tcMar>
          </w:tcPr>
          <w:p>
            <w:r>
              <w:rPr>
                <w:rFonts w:ascii="Arial" w:cs="Arial" w:eastAsia="Arial" w:hAnsi="Arial"/>
                <w:i/>
                <w:iCs/>
                <w:color w:val="1A56DB"/>
                <w:sz w:val="18"/>
                <w:szCs w:val="18"/>
              </w:rPr>
              <w:t xml:space="preserve">The owner explicitly chose this. Do not suggest adding a database or server persistence without raising it as a scope change.</w:t>
            </w:r>
          </w:p>
        </w:tc>
      </w:tr>
    </w:tbl>
    <w:p>
      <w:pPr>
        <w:spacing w:after="80" w:before="80"/>
      </w:pPr>
    </w:p>
    <w:p>
      <w:pPr>
        <w:spacing w:after="120" w:before="80"/>
      </w:pPr>
      <w:r>
        <w:rPr>
          <w:rFonts w:ascii="Arial" w:cs="Arial" w:eastAsia="Arial" w:hAnsi="Arial"/>
          <w:b w:val="false"/>
          <w:bCs w:val="false"/>
          <w:i w:val="false"/>
          <w:iCs w:val="false"/>
          <w:color w:val="1F2D3D"/>
          <w:sz w:val="20"/>
          <w:szCs w:val="20"/>
        </w:rPr>
        <w:t xml:space="preserve">Each session is completely self-contained. Nothing is stored server-side between sessions. This was chosen for simplicity and cost. The continuity mechanism is the Excel download — three persistent tabs the BK keeps and brings to every session: Next Session Checklist, Depreciation Schedule, and Prepaid Schedule.</w:t>
      </w:r>
    </w:p>
    <w:p>
      <w:pPr>
        <w:spacing w:after="80" w:before="120"/>
      </w:pPr>
    </w:p>
    <w:p>
      <w:pPr>
        <w:pStyle w:val="Heading2"/>
        <w:spacing w:after="120" w:before="240"/>
      </w:pPr>
      <w:r>
        <w:rPr>
          <w:rFonts w:ascii="Arial" w:cs="Arial" w:eastAsia="Arial" w:hAnsi="Arial"/>
          <w:b/>
          <w:bCs/>
          <w:color w:val="1F2D3D"/>
          <w:sz w:val="24"/>
          <w:szCs w:val="24"/>
        </w:rPr>
        <w:t xml:space="preserve">Split and Reclassify Logic</w:t>
      </w:r>
    </w:p>
    <w:p>
      <w:pPr>
        <w:spacing w:after="120" w:before="80"/>
      </w:pPr>
      <w:r>
        <w:rPr>
          <w:rFonts w:ascii="Arial" w:cs="Arial" w:eastAsia="Arial" w:hAnsi="Arial"/>
          <w:b w:val="false"/>
          <w:bCs w:val="false"/>
          <w:i w:val="false"/>
          <w:iCs w:val="false"/>
          <w:color w:val="1F2D3D"/>
          <w:sz w:val="20"/>
          <w:szCs w:val="20"/>
        </w:rPr>
        <w:t xml:space="preserve">Some document rows cannot be posted with a single GL code. Two mechanisms handle this:</w:t>
      </w:r>
    </w:p>
    <w:p>
      <w:pPr>
        <w:pStyle w:val="ListParagraph"/>
        <w:numPr>
          <w:ilvl w:val="0"/>
          <w:numId w:val="2"/>
        </w:numPr>
        <w:spacing w:after="60" w:before="40"/>
      </w:pPr>
      <w:r>
        <w:rPr>
          <w:rFonts w:ascii="Arial" w:cs="Arial" w:eastAsia="Arial" w:hAnsi="Arial"/>
          <w:b/>
          <w:bCs/>
          <w:color w:val="1F2D3D"/>
          <w:sz w:val="20"/>
          <w:szCs w:val="20"/>
        </w:rPr>
        <w:t xml:space="preserve">Split (⑂): </w:t>
      </w:r>
      <w:r>
        <w:rPr>
          <w:rFonts w:ascii="Arial" w:cs="Arial" w:eastAsia="Arial" w:hAnsi="Arial"/>
          <w:color w:val="1F2D3D"/>
          <w:sz w:val="20"/>
          <w:szCs w:val="20"/>
        </w:rPr>
        <w:t xml:space="preserve">one payment maps to multiple GL accounts — loan = principal + interest, payroll = 6 lines, prepayment = expense this month + prepaid balance, bulk payment = multiple invoices</w:t>
      </w:r>
    </w:p>
    <w:p>
      <w:pPr>
        <w:pStyle w:val="ListParagraph"/>
        <w:numPr>
          <w:ilvl w:val="0"/>
          <w:numId w:val="2"/>
        </w:numPr>
        <w:spacing w:after="60" w:before="40"/>
      </w:pPr>
      <w:r>
        <w:rPr>
          <w:rFonts w:ascii="Arial" w:cs="Arial" w:eastAsia="Arial" w:hAnsi="Arial"/>
          <w:b/>
          <w:bCs/>
          <w:color w:val="1F2D3D"/>
          <w:sz w:val="20"/>
          <w:szCs w:val="20"/>
        </w:rPr>
        <w:t xml:space="preserve">Reclassify (⚐): </w:t>
      </w:r>
      <w:r>
        <w:rPr>
          <w:rFonts w:ascii="Arial" w:cs="Arial" w:eastAsia="Arial" w:hAnsi="Arial"/>
          <w:color w:val="1F2D3D"/>
          <w:sz w:val="20"/>
          <w:szCs w:val="20"/>
        </w:rPr>
        <w:t xml:space="preserve">payment needs special treatment — asset purchase = capitalise to PP&amp;E, director transfer = choose nature (loan / capital / drawing)</w:t>
      </w:r>
    </w:p>
    <w:p>
      <w:pPr>
        <w:spacing w:after="120" w:before="80"/>
      </w:pPr>
      <w:r>
        <w:rPr>
          <w:rFonts w:ascii="Arial" w:cs="Arial" w:eastAsia="Arial" w:hAnsi="Arial"/>
          <w:b w:val="false"/>
          <w:bCs w:val="false"/>
          <w:i w:val="false"/>
          <w:iCs w:val="false"/>
          <w:color w:val="1F2D3D"/>
          <w:sz w:val="20"/>
          <w:szCs w:val="20"/>
        </w:rPr>
        <w:t xml:space="preserve">Both are triggered from the document row in WP1. They open a modal. The tool validates that split amounts equal the source document total before confirming.</w:t>
      </w:r>
    </w:p>
    <w:p>
      <w:pPr>
        <w:spacing w:after="80" w:before="120"/>
      </w:pPr>
    </w:p>
    <w:p>
      <w:pPr>
        <w:pStyle w:val="Heading2"/>
        <w:spacing w:after="120" w:before="240"/>
      </w:pPr>
      <w:r>
        <w:rPr>
          <w:rFonts w:ascii="Arial" w:cs="Arial" w:eastAsia="Arial" w:hAnsi="Arial"/>
          <w:b/>
          <w:bCs/>
          <w:color w:val="1F2D3D"/>
          <w:sz w:val="24"/>
          <w:szCs w:val="24"/>
        </w:rPr>
        <w:t xml:space="preserve">Bank Reconciliation vs Book Balance</w:t>
      </w:r>
    </w:p>
    <w:p>
      <w:pPr>
        <w:spacing w:after="120" w:before="80"/>
      </w:pPr>
      <w:r>
        <w:rPr>
          <w:rFonts w:ascii="Arial" w:cs="Arial" w:eastAsia="Arial" w:hAnsi="Arial"/>
          <w:b w:val="false"/>
          <w:bCs w:val="false"/>
          <w:i w:val="false"/>
          <w:iCs w:val="false"/>
          <w:color w:val="1F2D3D"/>
          <w:sz w:val="20"/>
          <w:szCs w:val="20"/>
        </w:rPr>
        <w:t xml:space="preserve">The bank reconciliation difference at end of WP2 is NOT expected to be zero against the raw bank balance. The reconciliation:</w:t>
      </w:r>
    </w:p>
    <w:p>
      <w:pPr>
        <w:pStyle w:val="ListParagraph"/>
        <w:numPr>
          <w:ilvl w:val="0"/>
          <w:numId w:val="2"/>
        </w:numPr>
        <w:spacing w:after="60" w:before="40"/>
      </w:pPr>
      <w:r>
        <w:rPr>
          <w:rFonts w:ascii="Arial" w:cs="Arial" w:eastAsia="Arial" w:hAnsi="Arial"/>
          <w:color w:val="1F2D3D"/>
          <w:sz w:val="20"/>
          <w:szCs w:val="20"/>
        </w:rPr>
        <w:t xml:space="preserve">Bank closing balance minus outstanding cheques plus deposits in transit = adjusted bank balance</w:t>
      </w:r>
    </w:p>
    <w:p>
      <w:pPr>
        <w:pStyle w:val="ListParagraph"/>
        <w:numPr>
          <w:ilvl w:val="0"/>
          <w:numId w:val="2"/>
        </w:numPr>
        <w:spacing w:after="60" w:before="40"/>
      </w:pPr>
      <w:r>
        <w:rPr>
          <w:rFonts w:ascii="Arial" w:cs="Arial" w:eastAsia="Arial" w:hAnsi="Arial"/>
          <w:color w:val="1F2D3D"/>
          <w:sz w:val="20"/>
          <w:szCs w:val="20"/>
        </w:rPr>
        <w:t xml:space="preserve">Book balance plus new entries added in WP2 = adjusted book balance</w:t>
      </w:r>
    </w:p>
    <w:p>
      <w:pPr>
        <w:pStyle w:val="ListParagraph"/>
        <w:numPr>
          <w:ilvl w:val="0"/>
          <w:numId w:val="2"/>
        </w:numPr>
        <w:spacing w:after="60" w:before="40"/>
      </w:pPr>
      <w:r>
        <w:rPr>
          <w:rFonts w:ascii="Arial" w:cs="Arial" w:eastAsia="Arial" w:hAnsi="Arial"/>
          <w:color w:val="1F2D3D"/>
          <w:sz w:val="20"/>
          <w:szCs w:val="20"/>
        </w:rPr>
        <w:t xml:space="preserve">Adjusted bank balance must equal adjusted book balance (RM 0 difference after explaining timing items)</w:t>
      </w:r>
    </w:p>
    <w:p>
      <w:pPr>
        <w:spacing w:after="120" w:before="80"/>
      </w:pPr>
      <w:r>
        <w:rPr>
          <w:rFonts w:ascii="Arial" w:cs="Arial" w:eastAsia="Arial" w:hAnsi="Arial"/>
          <w:b w:val="false"/>
          <w:bCs w:val="false"/>
          <w:i w:val="false"/>
          <w:iCs w:val="false"/>
          <w:color w:val="1F2D3D"/>
          <w:sz w:val="20"/>
          <w:szCs w:val="20"/>
        </w:rPr>
        <w:t xml:space="preserve">Outstanding cheques and deposits in transit are timing items — legitimate differences that must be documented and carried forward.</w:t>
      </w:r>
    </w:p>
    <w:p>
      <w:pPr>
        <w:spacing w:after="80" w:before="120"/>
      </w:pPr>
    </w:p>
    <w:p>
      <w:pPr>
        <w:pStyle w:val="Heading2"/>
        <w:spacing w:after="120" w:before="240"/>
      </w:pPr>
      <w:r>
        <w:rPr>
          <w:rFonts w:ascii="Arial" w:cs="Arial" w:eastAsia="Arial" w:hAnsi="Arial"/>
          <w:b/>
          <w:bCs/>
          <w:color w:val="1F2D3D"/>
          <w:sz w:val="24"/>
          <w:szCs w:val="24"/>
        </w:rPr>
        <w:t xml:space="preserve">Multi-Doc Matching</w:t>
      </w:r>
    </w:p>
    <w:p>
      <w:pPr>
        <w:spacing w:after="120" w:before="80"/>
      </w:pPr>
      <w:r>
        <w:rPr>
          <w:rFonts w:ascii="Arial" w:cs="Arial" w:eastAsia="Arial" w:hAnsi="Arial"/>
          <w:b w:val="false"/>
          <w:bCs w:val="false"/>
          <w:i w:val="false"/>
          <w:iCs w:val="false"/>
          <w:color w:val="1F2D3D"/>
          <w:sz w:val="20"/>
          <w:szCs w:val="20"/>
        </w:rPr>
        <w:t xml:space="preserve">One bank row may correspond to multiple invoices (bulk payment). WP2 handles this via a Match Multiple modal — BK selects the invoices, tool validates that totals equal the bank row amount. The reverse (one invoice paid in instalments) works the same way in reverse.</w:t>
      </w:r>
    </w:p>
    <w:p>
      <w:pPr>
        <w:spacing w:after="80" w:before="120"/>
      </w:pPr>
    </w:p>
    <w:p>
      <w:pPr>
        <w:pStyle w:val="Heading2"/>
        <w:spacing w:after="120" w:before="240"/>
      </w:pPr>
      <w:r>
        <w:rPr>
          <w:rFonts w:ascii="Arial" w:cs="Arial" w:eastAsia="Arial" w:hAnsi="Arial"/>
          <w:b/>
          <w:bCs/>
          <w:color w:val="1F2D3D"/>
          <w:sz w:val="24"/>
          <w:szCs w:val="24"/>
        </w:rPr>
        <w:t xml:space="preserve">Handover Note</w:t>
      </w:r>
    </w:p>
    <w:p>
      <w:pPr>
        <w:spacing w:after="120" w:before="80"/>
      </w:pPr>
      <w:r>
        <w:rPr>
          <w:rFonts w:ascii="Arial" w:cs="Arial" w:eastAsia="Arial" w:hAnsi="Arial"/>
          <w:b w:val="false"/>
          <w:bCs w:val="false"/>
          <w:i w:val="false"/>
          <w:iCs w:val="false"/>
          <w:color w:val="1F2D3D"/>
          <w:sz w:val="20"/>
          <w:szCs w:val="20"/>
        </w:rPr>
        <w:t xml:space="preserve">Because the tool has no memory between sessions, a Next Session Checklist is generated at session end. Pre-filled from session data. Tells the BK: (1) reversals to post before anything else, (2) recurring monthly entries, (3) items to watch in next bank statement, (4) opening balance reference.</w:t>
      </w:r>
    </w:p>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3. The 8-Step Workflow</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Step 01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Document Collection — collect all source docs before starting. Bank statement collected but set aside until Step 03.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Step 02</w:t>
            </w:r>
          </w:p>
        </w:tc>
        <w:tc>
          <w:tcPr>
            <w:tcW w:type="dxa" w:w="7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Post Documents (WP1) — enter every document as a row, assign GL account, handle splits and reclassifications from document rows.</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Step 03</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Bank Verification (WP2) — load bank statement, match rows, handle bulk payment matching, add new entries (standing orders, bank charges), document timing items (outstanding cheques).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Step 04</w:t>
            </w:r>
          </w:p>
        </w:tc>
        <w:tc>
          <w:tcPr>
            <w:tcW w:type="dxa" w:w="7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Adjusting Entries — period-end entries with no bank movement: accruals, depreciation, prior period reversals.</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Step 05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Review and Validation — automatic checks: DR = CR, bank diff = RM 0 (after timing items), no unresolved rows, all splits balanced.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Step 06</w:t>
            </w:r>
          </w:p>
        </w:tc>
        <w:tc>
          <w:tcPr>
            <w:tcW w:type="dxa" w:w="7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Journal Voucher — full debit/credit listing exported as PDF or Excel. Source-tagged (Doc, Split, Reclassify, Bank+, Adjusting). Sign-off block.</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Step 07</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Handover Note — Next Session Checklist auto-generated from session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Step 08</w:t>
            </w:r>
          </w:p>
        </w:tc>
        <w:tc>
          <w:tcPr>
            <w:tcW w:type="dxa" w:w="7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Excel Download — 8-tab Excel: 5 session output tabs + 3 persistent tabs (Next Session Checklist, Depreciation Schedule, Prepaid Schedule).</w:t>
            </w:r>
          </w:p>
        </w:tc>
      </w:tr>
    </w:tbl>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4. File Inventory</w:t>
            </w:r>
          </w:p>
        </w:tc>
      </w:tr>
    </w:tbl>
    <w:p>
      <w:pPr>
        <w:spacing w:after="80" w:before="160"/>
      </w:pPr>
    </w:p>
    <w:p>
      <w:pPr>
        <w:pStyle w:val="Heading2"/>
        <w:spacing w:after="120" w:before="240"/>
      </w:pPr>
      <w:r>
        <w:rPr>
          <w:rFonts w:ascii="Arial" w:cs="Arial" w:eastAsia="Arial" w:hAnsi="Arial"/>
          <w:b/>
          <w:bCs/>
          <w:color w:val="1F2D3D"/>
          <w:sz w:val="24"/>
          <w:szCs w:val="24"/>
        </w:rPr>
        <w:t xml:space="preserve">Primary Deliverable — Share with BK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docfirst_complete_workflow.html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Main workflow validation document. End-to-end walkthrough of all 8 steps with side-by-side layout (modal left, WP return right for every click event). Cover page has flow diagram. Feedback checklist at end. This is the document to share with the BK for validation.</w:t>
            </w:r>
          </w:p>
        </w:tc>
      </w:tr>
    </w:tbl>
    <w:p>
      <w:pPr>
        <w:spacing w:after="80" w:before="120"/>
      </w:pPr>
    </w:p>
    <w:p>
      <w:pPr>
        <w:pStyle w:val="Heading2"/>
        <w:spacing w:after="120" w:before="240"/>
      </w:pPr>
      <w:r>
        <w:rPr>
          <w:rFonts w:ascii="Arial" w:cs="Arial" w:eastAsia="Arial" w:hAnsi="Arial"/>
          <w:b/>
          <w:bCs/>
          <w:color w:val="1F2D3D"/>
          <w:sz w:val="24"/>
          <w:szCs w:val="24"/>
        </w:rPr>
        <w:t xml:space="preserve">Supporting Screen Mockups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docfirst_wp1_posting_ledger.html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Standalone WP1 main screen — Document Posting Ledger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docfirst_wp2_v2.html</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Standalone WP2 main screen — Bank Verification Sheet with full reconciliation panel</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docfirst_multimatch_modal.html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Multi-doc match modal with before/after WP2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view_adjusting_entries.html</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Adjusting entries screen with all three tabs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review_validation_screen.html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Review and validation screen with automatic check results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journal_voucher_final.html</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Final journal voucher output screen</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bk_tool_full_flow.html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Flow diagram showing all triggers and secondary views</w:t>
            </w:r>
          </w:p>
        </w:tc>
      </w:tr>
    </w:tbl>
    <w:p>
      <w:pPr>
        <w:spacing w:after="80" w:before="120"/>
      </w:pPr>
    </w:p>
    <w:p>
      <w:pPr>
        <w:pStyle w:val="Heading2"/>
        <w:spacing w:after="120" w:before="240"/>
      </w:pPr>
      <w:r>
        <w:rPr>
          <w:rFonts w:ascii="Arial" w:cs="Arial" w:eastAsia="Arial" w:hAnsi="Arial"/>
          <w:b/>
          <w:bCs/>
          <w:color w:val="1F2D3D"/>
          <w:sz w:val="24"/>
          <w:szCs w:val="24"/>
        </w:rPr>
        <w:t xml:space="preserve">Excel and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bk_session_jan2025.xlsx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Sample Excel download with all 8 tabs built and formatted. XYZ Co sample data, January 2025. Yellow cells = inputs, black cells = formulas.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excel_download_mockup.html</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Interactive mockup of the Excel download — click sheet tabs to preview each tab.</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coa_malaysia_sme.xlsx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Chart of accounts for Malaysian SME. 90+ accounts. SST, full statutory payroll (EPF/SOCSO/EIS/PCB), director loan, MFRS 16. Treat as settled reference.</w:t>
            </w:r>
          </w:p>
        </w:tc>
      </w:tr>
    </w:tbl>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5. Project Context and People</w:t>
            </w:r>
          </w:p>
        </w:tc>
      </w:tr>
    </w:tbl>
    <w:p>
      <w:pPr>
        <w:spacing w:after="80" w:before="160"/>
      </w:pPr>
    </w:p>
    <w:p>
      <w:pPr>
        <w:pStyle w:val="Heading2"/>
        <w:spacing w:after="120" w:before="240"/>
      </w:pPr>
      <w:r>
        <w:rPr>
          <w:rFonts w:ascii="Arial" w:cs="Arial" w:eastAsia="Arial" w:hAnsi="Arial"/>
          <w:b/>
          <w:bCs/>
          <w:color w:val="1F2D3D"/>
          <w:sz w:val="24"/>
          <w:szCs w:val="24"/>
        </w:rPr>
        <w:t xml:space="preserve">The Owner (J)</w:t>
      </w:r>
    </w:p>
    <w:p>
      <w:pPr>
        <w:spacing w:after="120" w:before="80"/>
      </w:pPr>
      <w:r>
        <w:rPr>
          <w:rFonts w:ascii="Arial" w:cs="Arial" w:eastAsia="Arial" w:hAnsi="Arial"/>
          <w:b w:val="false"/>
          <w:bCs w:val="false"/>
          <w:i w:val="false"/>
          <w:iCs w:val="false"/>
          <w:color w:val="1F2D3D"/>
          <w:sz w:val="20"/>
          <w:szCs w:val="20"/>
        </w:rPr>
        <w:t xml:space="preserve">Based in KL, Malaysia. Founder of MacroByte (macrobyte.my). Also works in private equity (BCP Asia Fund I / Bintang Capital Partners). Thinks in systems, prefers outputs that feel like machinery. Direct and concise. Dislikes em dashes. Blunt feedback, expects adjustments without lengthy acknowledgement. Tables and structured formats preferred over prose for reference material.</w:t>
      </w:r>
    </w:p>
    <w:p>
      <w:pPr>
        <w:spacing w:after="80" w:before="120"/>
      </w:pPr>
    </w:p>
    <w:p>
      <w:pPr>
        <w:pStyle w:val="Heading2"/>
        <w:spacing w:after="120" w:before="240"/>
      </w:pPr>
      <w:r>
        <w:rPr>
          <w:rFonts w:ascii="Arial" w:cs="Arial" w:eastAsia="Arial" w:hAnsi="Arial"/>
          <w:b/>
          <w:bCs/>
          <w:color w:val="1F2D3D"/>
          <w:sz w:val="24"/>
          <w:szCs w:val="24"/>
        </w:rPr>
        <w:t xml:space="preserve">The Bookkeeper</w:t>
      </w:r>
    </w:p>
    <w:p>
      <w:pPr>
        <w:spacing w:after="120" w:before="80"/>
      </w:pPr>
      <w:r>
        <w:rPr>
          <w:rFonts w:ascii="Arial" w:cs="Arial" w:eastAsia="Arial" w:hAnsi="Arial"/>
          <w:b w:val="false"/>
          <w:bCs w:val="false"/>
          <w:i w:val="false"/>
          <w:iCs w:val="false"/>
          <w:color w:val="1F2D3D"/>
          <w:sz w:val="20"/>
          <w:szCs w:val="20"/>
        </w:rPr>
        <w:t xml:space="preserve">Primary user of the tool. Has not been named in the project. The workflow validation document is intended to be shared with her for review before any coding begins. She described her process as: goes through invoices and sales/cost docs first, then uploads the bank statement to reconcile, then creates the journal voucher. This is the document-first approach the tool is designed around.</w:t>
      </w:r>
    </w:p>
    <w:p>
      <w:pPr>
        <w:spacing w:after="80" w:before="120"/>
      </w:pPr>
    </w:p>
    <w:p>
      <w:pPr>
        <w:pStyle w:val="Heading2"/>
        <w:spacing w:after="120" w:before="240"/>
      </w:pPr>
      <w:r>
        <w:rPr>
          <w:rFonts w:ascii="Arial" w:cs="Arial" w:eastAsia="Arial" w:hAnsi="Arial"/>
          <w:b/>
          <w:bCs/>
          <w:color w:val="1F2D3D"/>
          <w:sz w:val="24"/>
          <w:szCs w:val="24"/>
        </w:rPr>
        <w:t xml:space="preserve">Sample Entity</w:t>
      </w:r>
    </w:p>
    <w:p>
      <w:pPr>
        <w:spacing w:after="120" w:before="80"/>
      </w:pPr>
      <w:r>
        <w:rPr>
          <w:rFonts w:ascii="Arial" w:cs="Arial" w:eastAsia="Arial" w:hAnsi="Arial"/>
          <w:b w:val="false"/>
          <w:bCs w:val="false"/>
          <w:i w:val="false"/>
          <w:iCs w:val="false"/>
          <w:color w:val="1F2D3D"/>
          <w:sz w:val="20"/>
          <w:szCs w:val="20"/>
        </w:rPr>
        <w:t xml:space="preserve">All mockups use XYZ Co Sdn Bhd as the entity name. The original working name (The Suburban Food Sdn Bhd) has been replaced throughout. January 2025 is the sample period. All figures are illustrative.</w:t>
      </w:r>
    </w:p>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6. What Still Needs to Be Done</w:t>
            </w:r>
          </w:p>
        </w:tc>
      </w:tr>
    </w:tbl>
    <w:p>
      <w:pPr>
        <w:spacing w:after="80" w:before="160"/>
      </w:pPr>
    </w:p>
    <w:p>
      <w:pPr>
        <w:pStyle w:val="Heading2"/>
        <w:spacing w:after="120" w:before="240"/>
      </w:pPr>
      <w:r>
        <w:rPr>
          <w:rFonts w:ascii="Arial" w:cs="Arial" w:eastAsia="Arial" w:hAnsi="Arial"/>
          <w:b/>
          <w:bCs/>
          <w:color w:val="1F2D3D"/>
          <w:sz w:val="24"/>
          <w:szCs w:val="24"/>
        </w:rPr>
        <w:t xml:space="preserve">Immediate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CFCE7" w:val="clear"/>
            <w:tcMar>
              <w:top w:type="dxa" w:w="100"/>
              <w:left w:type="dxa" w:w="160"/>
              <w:bottom w:type="dxa" w:w="100"/>
              <w:right w:type="dxa" w:w="160"/>
            </w:tcMar>
          </w:tcPr>
          <w:p>
            <w:r>
              <w:rPr>
                <w:rFonts w:ascii="Arial" w:cs="Arial" w:eastAsia="Arial" w:hAnsi="Arial"/>
                <w:i/>
                <w:iCs/>
                <w:color w:val="166534"/>
                <w:sz w:val="18"/>
                <w:szCs w:val="18"/>
              </w:rPr>
              <w:t xml:space="preserve">The workflow validation document needs to be reviewed and approved by the BK before any coding begins. This is the gate.</w:t>
            </w:r>
          </w:p>
        </w:tc>
      </w:tr>
    </w:tbl>
    <w:p>
      <w:pPr>
        <w:spacing w:after="80" w:before="80"/>
      </w:pPr>
    </w:p>
    <w:p>
      <w:pPr>
        <w:spacing w:after="120" w:before="80"/>
      </w:pPr>
      <w:r>
        <w:rPr>
          <w:rFonts w:ascii="Arial" w:cs="Arial" w:eastAsia="Arial" w:hAnsi="Arial"/>
          <w:b w:val="false"/>
          <w:bCs w:val="false"/>
          <w:i w:val="false"/>
          <w:iCs w:val="false"/>
          <w:color w:val="1F2D3D"/>
          <w:sz w:val="20"/>
          <w:szCs w:val="20"/>
        </w:rPr>
        <w:t xml:space="preserve">Share docfirst_complete_workflow.html with the BK. She reviews it, fills in the feedback section, and confirms whether the workflow matches how she works. Only after her sign-off does development start.</w:t>
      </w:r>
    </w:p>
    <w:p>
      <w:pPr>
        <w:spacing w:after="80" w:before="120"/>
      </w:pPr>
    </w:p>
    <w:p>
      <w:pPr>
        <w:pStyle w:val="Heading2"/>
        <w:spacing w:after="120" w:before="240"/>
      </w:pPr>
      <w:r>
        <w:rPr>
          <w:rFonts w:ascii="Arial" w:cs="Arial" w:eastAsia="Arial" w:hAnsi="Arial"/>
          <w:b/>
          <w:bCs/>
          <w:color w:val="1F2D3D"/>
          <w:sz w:val="24"/>
          <w:szCs w:val="24"/>
        </w:rPr>
        <w:t xml:space="preserve">Open Questions from Design Phase</w:t>
      </w:r>
    </w:p>
    <w:p>
      <w:pPr>
        <w:pStyle w:val="ListParagraph"/>
        <w:numPr>
          <w:ilvl w:val="0"/>
          <w:numId w:val="2"/>
        </w:numPr>
        <w:spacing w:after="60" w:before="40"/>
      </w:pPr>
      <w:r>
        <w:rPr>
          <w:rFonts w:ascii="Arial" w:cs="Arial" w:eastAsia="Arial" w:hAnsi="Arial"/>
          <w:color w:val="1F2D3D"/>
          <w:sz w:val="20"/>
          <w:szCs w:val="20"/>
        </w:rPr>
        <w:t xml:space="preserve">Does the BK prefer document-first or bank-first? Needs explicit confirmation from her.</w:t>
      </w:r>
    </w:p>
    <w:p>
      <w:pPr>
        <w:pStyle w:val="ListParagraph"/>
        <w:numPr>
          <w:ilvl w:val="0"/>
          <w:numId w:val="2"/>
        </w:numPr>
        <w:spacing w:after="60" w:before="40"/>
      </w:pPr>
      <w:r>
        <w:rPr>
          <w:rFonts w:ascii="Arial" w:cs="Arial" w:eastAsia="Arial" w:hAnsi="Arial"/>
          <w:color w:val="1F2D3D"/>
          <w:sz w:val="20"/>
          <w:szCs w:val="20"/>
        </w:rPr>
        <w:t xml:space="preserve">What document types does she encounter that are not in the current WP1 list?</w:t>
      </w:r>
    </w:p>
    <w:p>
      <w:pPr>
        <w:pStyle w:val="ListParagraph"/>
        <w:numPr>
          <w:ilvl w:val="0"/>
          <w:numId w:val="2"/>
        </w:numPr>
        <w:spacing w:after="60" w:before="40"/>
      </w:pPr>
      <w:r>
        <w:rPr>
          <w:rFonts w:ascii="Arial" w:cs="Arial" w:eastAsia="Arial" w:hAnsi="Arial"/>
          <w:color w:val="1F2D3D"/>
          <w:sz w:val="20"/>
          <w:szCs w:val="20"/>
        </w:rPr>
        <w:t xml:space="preserve">What split situations does she encounter not covered by the four current types (prepayment, payroll, loan, bulk payment)?</w:t>
      </w:r>
    </w:p>
    <w:p>
      <w:pPr>
        <w:pStyle w:val="ListParagraph"/>
        <w:numPr>
          <w:ilvl w:val="0"/>
          <w:numId w:val="2"/>
        </w:numPr>
        <w:spacing w:after="60" w:before="40"/>
      </w:pPr>
      <w:r>
        <w:rPr>
          <w:rFonts w:ascii="Arial" w:cs="Arial" w:eastAsia="Arial" w:hAnsi="Arial"/>
          <w:color w:val="1F2D3D"/>
          <w:sz w:val="20"/>
          <w:szCs w:val="20"/>
        </w:rPr>
        <w:t xml:space="preserve">Is there a capitalisation threshold? At what amount is a payment treated as asset vs expensed?</w:t>
      </w:r>
    </w:p>
    <w:p>
      <w:pPr>
        <w:pStyle w:val="ListParagraph"/>
        <w:numPr>
          <w:ilvl w:val="0"/>
          <w:numId w:val="2"/>
        </w:numPr>
        <w:spacing w:after="60" w:before="40"/>
      </w:pPr>
      <w:r>
        <w:rPr>
          <w:rFonts w:ascii="Arial" w:cs="Arial" w:eastAsia="Arial" w:hAnsi="Arial"/>
          <w:color w:val="1F2D3D"/>
          <w:sz w:val="20"/>
          <w:szCs w:val="20"/>
        </w:rPr>
        <w:t xml:space="preserve">How does she handle petty cash? Not yet designed into the tool.</w:t>
      </w:r>
    </w:p>
    <w:p>
      <w:pPr>
        <w:pStyle w:val="ListParagraph"/>
        <w:numPr>
          <w:ilvl w:val="0"/>
          <w:numId w:val="2"/>
        </w:numPr>
        <w:spacing w:after="60" w:before="40"/>
      </w:pPr>
      <w:r>
        <w:rPr>
          <w:rFonts w:ascii="Arial" w:cs="Arial" w:eastAsia="Arial" w:hAnsi="Arial"/>
          <w:color w:val="1F2D3D"/>
          <w:sz w:val="20"/>
          <w:szCs w:val="20"/>
        </w:rPr>
        <w:t xml:space="preserve">Does she handle SST reclassification? COA has SST accounts but no SST split view exists yet.</w:t>
      </w:r>
    </w:p>
    <w:p>
      <w:pPr>
        <w:pStyle w:val="ListParagraph"/>
        <w:numPr>
          <w:ilvl w:val="0"/>
          <w:numId w:val="2"/>
        </w:numPr>
        <w:spacing w:after="60" w:before="40"/>
      </w:pPr>
      <w:r>
        <w:rPr>
          <w:rFonts w:ascii="Arial" w:cs="Arial" w:eastAsia="Arial" w:hAnsi="Arial"/>
          <w:color w:val="1F2D3D"/>
          <w:sz w:val="20"/>
          <w:szCs w:val="20"/>
        </w:rPr>
        <w:t xml:space="preserve">What accounting software do her clients use? JV export format may need to match import requirements for Xero, QuickBooks, SQL, or Autocount.</w:t>
      </w:r>
    </w:p>
    <w:p>
      <w:pPr>
        <w:spacing w:after="80" w:before="120"/>
      </w:pPr>
    </w:p>
    <w:p>
      <w:pPr>
        <w:pStyle w:val="Heading2"/>
        <w:spacing w:after="120" w:before="240"/>
      </w:pPr>
      <w:r>
        <w:rPr>
          <w:rFonts w:ascii="Arial" w:cs="Arial" w:eastAsia="Arial" w:hAnsi="Arial"/>
          <w:b/>
          <w:bCs/>
          <w:color w:val="1F2D3D"/>
          <w:sz w:val="24"/>
          <w:szCs w:val="24"/>
        </w:rPr>
        <w:t xml:space="preserve">Build Phases (after BK approval)</w:t>
      </w:r>
    </w:p>
    <w:p>
      <w:pPr>
        <w:pStyle w:val="ListParagraph"/>
        <w:numPr>
          <w:ilvl w:val="0"/>
          <w:numId w:val="2"/>
        </w:numPr>
        <w:spacing w:after="60" w:before="40"/>
      </w:pPr>
      <w:r>
        <w:rPr>
          <w:rFonts w:ascii="Arial" w:cs="Arial" w:eastAsia="Arial" w:hAnsi="Arial"/>
          <w:color w:val="1F2D3D"/>
          <w:sz w:val="20"/>
          <w:szCs w:val="20"/>
        </w:rPr>
        <w:t xml:space="preserve">Phase 1 — WP1: Core posting workflow, split modals, reclassify modals. Most complex part.</w:t>
      </w:r>
    </w:p>
    <w:p>
      <w:pPr>
        <w:pStyle w:val="ListParagraph"/>
        <w:numPr>
          <w:ilvl w:val="0"/>
          <w:numId w:val="2"/>
        </w:numPr>
        <w:spacing w:after="60" w:before="40"/>
      </w:pPr>
      <w:r>
        <w:rPr>
          <w:rFonts w:ascii="Arial" w:cs="Arial" w:eastAsia="Arial" w:hAnsi="Arial"/>
          <w:color w:val="1F2D3D"/>
          <w:sz w:val="20"/>
          <w:szCs w:val="20"/>
        </w:rPr>
        <w:t xml:space="preserve">Phase 2 — WP2: Bank statement upload/paste, matching logic, multi-doc matching, new entry addition, reconciliation panel.</w:t>
      </w:r>
    </w:p>
    <w:p>
      <w:pPr>
        <w:pStyle w:val="ListParagraph"/>
        <w:numPr>
          <w:ilvl w:val="0"/>
          <w:numId w:val="2"/>
        </w:numPr>
        <w:spacing w:after="60" w:before="40"/>
      </w:pPr>
      <w:r>
        <w:rPr>
          <w:rFonts w:ascii="Arial" w:cs="Arial" w:eastAsia="Arial" w:hAnsi="Arial"/>
          <w:color w:val="1F2D3D"/>
          <w:sz w:val="20"/>
          <w:szCs w:val="20"/>
        </w:rPr>
        <w:t xml:space="preserve">Phase 3 — Adjusting Entries: Accrual form, depreciation entry, reversal posting.</w:t>
      </w:r>
    </w:p>
    <w:p>
      <w:pPr>
        <w:pStyle w:val="ListParagraph"/>
        <w:numPr>
          <w:ilvl w:val="0"/>
          <w:numId w:val="2"/>
        </w:numPr>
        <w:spacing w:after="60" w:before="40"/>
      </w:pPr>
      <w:r>
        <w:rPr>
          <w:rFonts w:ascii="Arial" w:cs="Arial" w:eastAsia="Arial" w:hAnsi="Arial"/>
          <w:color w:val="1F2D3D"/>
          <w:sz w:val="20"/>
          <w:szCs w:val="20"/>
        </w:rPr>
        <w:t xml:space="preserve">Phase 4 — Review, Validation, and JV Export: Automatic checks, JV generation, PDF and Excel export.</w:t>
      </w:r>
    </w:p>
    <w:p>
      <w:pPr>
        <w:pStyle w:val="ListParagraph"/>
        <w:numPr>
          <w:ilvl w:val="0"/>
          <w:numId w:val="2"/>
        </w:numPr>
        <w:spacing w:after="60" w:before="40"/>
      </w:pPr>
      <w:r>
        <w:rPr>
          <w:rFonts w:ascii="Arial" w:cs="Arial" w:eastAsia="Arial" w:hAnsi="Arial"/>
          <w:color w:val="1F2D3D"/>
          <w:sz w:val="20"/>
          <w:szCs w:val="20"/>
        </w:rPr>
        <w:t xml:space="preserve">Phase 5 — Excel Output: Full 8-tab Excel with persistent tabs auto-populated from session data.</w:t>
      </w:r>
    </w:p>
    <w:p>
      <w:pPr>
        <w:pStyle w:val="ListParagraph"/>
        <w:numPr>
          <w:ilvl w:val="0"/>
          <w:numId w:val="2"/>
        </w:numPr>
        <w:spacing w:after="60" w:before="40"/>
      </w:pPr>
      <w:r>
        <w:rPr>
          <w:rFonts w:ascii="Arial" w:cs="Arial" w:eastAsia="Arial" w:hAnsi="Arial"/>
          <w:color w:val="1F2D3D"/>
          <w:sz w:val="20"/>
          <w:szCs w:val="20"/>
        </w:rPr>
        <w:t xml:space="preserve">Phase 6 — Handover Note: Auto-generation of next session checklist from session state.</w:t>
      </w:r>
    </w:p>
    <w:p>
      <w:pPr>
        <w:spacing w:after="80" w:before="120"/>
      </w:pPr>
    </w:p>
    <w:p>
      <w:pPr>
        <w:pStyle w:val="Heading2"/>
        <w:spacing w:after="120" w:before="240"/>
      </w:pPr>
      <w:r>
        <w:rPr>
          <w:rFonts w:ascii="Arial" w:cs="Arial" w:eastAsia="Arial" w:hAnsi="Arial"/>
          <w:b/>
          <w:bCs/>
          <w:color w:val="1F2D3D"/>
          <w:sz w:val="24"/>
          <w:szCs w:val="24"/>
        </w:rPr>
        <w:t xml:space="preserve">Technical Decisions Not Yet Made</w:t>
      </w:r>
    </w:p>
    <w:p>
      <w:pPr>
        <w:pStyle w:val="ListParagraph"/>
        <w:numPr>
          <w:ilvl w:val="0"/>
          <w:numId w:val="2"/>
        </w:numPr>
        <w:spacing w:after="60" w:before="40"/>
      </w:pPr>
      <w:r>
        <w:rPr>
          <w:rFonts w:ascii="Arial" w:cs="Arial" w:eastAsia="Arial" w:hAnsi="Arial"/>
          <w:color w:val="1F2D3D"/>
          <w:sz w:val="20"/>
          <w:szCs w:val="20"/>
        </w:rPr>
        <w:t xml:space="preserve">Stack: J uses Python/FastAPI for other MacroByte tools. React frontend likely given UI complexity.</w:t>
      </w:r>
    </w:p>
    <w:p>
      <w:pPr>
        <w:pStyle w:val="ListParagraph"/>
        <w:numPr>
          <w:ilvl w:val="0"/>
          <w:numId w:val="2"/>
        </w:numPr>
        <w:spacing w:after="60" w:before="40"/>
      </w:pPr>
      <w:r>
        <w:rPr>
          <w:rFonts w:ascii="Arial" w:cs="Arial" w:eastAsia="Arial" w:hAnsi="Arial"/>
          <w:color w:val="1F2D3D"/>
          <w:sz w:val="20"/>
          <w:szCs w:val="20"/>
        </w:rPr>
        <w:t xml:space="preserve">Bank statement import: Currently designed as paste or upload. Need to decide whether to parse CSV/OFX formats or manual row entry.</w:t>
      </w:r>
    </w:p>
    <w:p>
      <w:pPr>
        <w:pStyle w:val="ListParagraph"/>
        <w:numPr>
          <w:ilvl w:val="0"/>
          <w:numId w:val="2"/>
        </w:numPr>
        <w:spacing w:after="60" w:before="40"/>
      </w:pPr>
      <w:r>
        <w:rPr>
          <w:rFonts w:ascii="Arial" w:cs="Arial" w:eastAsia="Arial" w:hAnsi="Arial"/>
          <w:color w:val="1F2D3D"/>
          <w:sz w:val="20"/>
          <w:szCs w:val="20"/>
        </w:rPr>
        <w:t xml:space="preserve">Excel export: openpyxl (Python) or SheetJS (JavaScript). Sample Excel was built with openpyxl.</w:t>
      </w:r>
    </w:p>
    <w:p>
      <w:pPr>
        <w:pStyle w:val="ListParagraph"/>
        <w:numPr>
          <w:ilvl w:val="0"/>
          <w:numId w:val="2"/>
        </w:numPr>
        <w:spacing w:after="60" w:before="40"/>
      </w:pPr>
      <w:r>
        <w:rPr>
          <w:rFonts w:ascii="Arial" w:cs="Arial" w:eastAsia="Arial" w:hAnsi="Arial"/>
          <w:color w:val="1F2D3D"/>
          <w:sz w:val="20"/>
          <w:szCs w:val="20"/>
        </w:rPr>
        <w:t xml:space="preserve">PDF export: print-to-PDF from browser, or server-side generation.</w:t>
      </w:r>
    </w:p>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7. Important Don'ts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EF3C7" w:val="clear"/>
            <w:tcMar>
              <w:top w:type="dxa" w:w="100"/>
              <w:left w:type="dxa" w:w="160"/>
              <w:bottom w:type="dxa" w:w="100"/>
              <w:right w:type="dxa" w:w="160"/>
            </w:tcMar>
          </w:tcPr>
          <w:p>
            <w:r>
              <w:rPr>
                <w:rFonts w:ascii="Arial" w:cs="Arial" w:eastAsia="Arial" w:hAnsi="Arial"/>
                <w:i/>
                <w:iCs/>
                <w:color w:val="B45309"/>
                <w:sz w:val="18"/>
                <w:szCs w:val="18"/>
              </w:rPr>
              <w:t xml:space="preserve">These are deliberate design decisions. Raising alternatives is fine. Implementing them without discussion is not.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Don't switch to bank-first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Document-first was chosen deliberately based on the BK's practice and is more technically correct.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Don't add server persistence without discussion</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Session-based with no server was an explicit choice. Adding a database changes scope and cost significantly.</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Don't rename XYZ Co without instruction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Placeholder entity throughout all mockups. Client-specific name goes in only when instructed.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Don't use em dashes</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J dislikes them. Use a regular dash or rewrite the sentence.</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Don't pad responses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Concise, direct output. No lengthy preambles, no restating the question, no excessive acknowledgement.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D3D"/>
                <w:sz w:val="18"/>
                <w:szCs w:val="18"/>
              </w:rPr>
              <w:t xml:space="preserve">Don't assume bank diff = 0</w:t>
            </w:r>
          </w:p>
        </w:tc>
        <w:tc>
          <w:tcPr>
            <w:tcW w:type="dxa" w:w="6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F2D3D"/>
                <w:sz w:val="18"/>
                <w:szCs w:val="18"/>
              </w:rPr>
              <w:t xml:space="preserve">The reconciliation explains the difference via timing items. Raw bank balance will rarely equal raw book balance. This is correct.</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F2D3D"/>
                <w:sz w:val="18"/>
                <w:szCs w:val="18"/>
              </w:rPr>
              <w:t xml:space="preserve">Don't redesign the COA without instruction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D3D"/>
                <w:sz w:val="18"/>
                <w:szCs w:val="18"/>
              </w:rPr>
              <w:t xml:space="preserve">Built carefully for Malaysian statutory context. Treat as settled reference data.</w:t>
            </w:r>
          </w:p>
        </w:tc>
      </w:tr>
    </w:tbl>
    <w:p>
      <w:pPr>
        <w:spacing w:after="80" w:before="200"/>
      </w:pPr>
    </w:p>
    <w:p>
      <w:pPr>
        <w:pBdr>
          <w:bottom w:val="single" w:color="E4E8ED" w:sz="4"/>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3D" w:val="clear"/>
            <w:tcMar>
              <w:top w:type="dxa" w:w="120"/>
              <w:left w:type="dxa" w:w="160"/>
              <w:bottom w:type="dxa" w:w="120"/>
              <w:right w:type="dxa" w:w="160"/>
            </w:tcMar>
          </w:tcPr>
          <w:p>
            <w:r>
              <w:rPr>
                <w:rFonts w:ascii="Arial" w:cs="Arial" w:eastAsia="Arial" w:hAnsi="Arial"/>
                <w:b/>
                <w:bCs/>
                <w:color w:val="FFFFFF"/>
                <w:sz w:val="22"/>
                <w:szCs w:val="22"/>
              </w:rPr>
              <w:t xml:space="preserve">8. How to Continue This Work</w:t>
            </w:r>
          </w:p>
        </w:tc>
      </w:tr>
    </w:tbl>
    <w:p>
      <w:pPr>
        <w:spacing w:after="80" w:before="160"/>
      </w:pPr>
    </w:p>
    <w:p>
      <w:pPr>
        <w:pStyle w:val="Heading2"/>
        <w:spacing w:after="120" w:before="240"/>
      </w:pPr>
      <w:r>
        <w:rPr>
          <w:rFonts w:ascii="Arial" w:cs="Arial" w:eastAsia="Arial" w:hAnsi="Arial"/>
          <w:b/>
          <w:bCs/>
          <w:color w:val="1F2D3D"/>
          <w:sz w:val="24"/>
          <w:szCs w:val="24"/>
        </w:rPr>
        <w:t xml:space="preserve">Starting a new conversation</w:t>
      </w:r>
    </w:p>
    <w:p>
      <w:pPr>
        <w:spacing w:after="120" w:before="80"/>
      </w:pPr>
      <w:r>
        <w:rPr>
          <w:rFonts w:ascii="Arial" w:cs="Arial" w:eastAsia="Arial" w:hAnsi="Arial"/>
          <w:b w:val="false"/>
          <w:bCs w:val="false"/>
          <w:i w:val="false"/>
          <w:iCs w:val="false"/>
          <w:color w:val="1F2D3D"/>
          <w:sz w:val="20"/>
          <w:szCs w:val="20"/>
        </w:rPr>
        <w:t xml:space="preserve">Paste this document at the start of the conversation. Then attach the key files:</w:t>
      </w:r>
    </w:p>
    <w:p>
      <w:pPr>
        <w:pStyle w:val="ListParagraph"/>
        <w:numPr>
          <w:ilvl w:val="0"/>
          <w:numId w:val="2"/>
        </w:numPr>
        <w:spacing w:after="60" w:before="40"/>
      </w:pPr>
      <w:r>
        <w:rPr>
          <w:rFonts w:ascii="Arial" w:cs="Arial" w:eastAsia="Arial" w:hAnsi="Arial"/>
          <w:color w:val="1F2D3D"/>
          <w:sz w:val="20"/>
          <w:szCs w:val="20"/>
        </w:rPr>
        <w:t xml:space="preserve">docfirst_complete_workflow.html — the main deliverable. Read it to understand every screen and interaction.</w:t>
      </w:r>
    </w:p>
    <w:p>
      <w:pPr>
        <w:pStyle w:val="ListParagraph"/>
        <w:numPr>
          <w:ilvl w:val="0"/>
          <w:numId w:val="2"/>
        </w:numPr>
        <w:spacing w:after="60" w:before="40"/>
      </w:pPr>
      <w:r>
        <w:rPr>
          <w:rFonts w:ascii="Arial" w:cs="Arial" w:eastAsia="Arial" w:hAnsi="Arial"/>
          <w:color w:val="1F2D3D"/>
          <w:sz w:val="20"/>
          <w:szCs w:val="20"/>
        </w:rPr>
        <w:t xml:space="preserve">bk_session_jan2025.xlsx — the sample Excel output. Understand the full output structure.</w:t>
      </w:r>
    </w:p>
    <w:p>
      <w:pPr>
        <w:pStyle w:val="ListParagraph"/>
        <w:numPr>
          <w:ilvl w:val="0"/>
          <w:numId w:val="2"/>
        </w:numPr>
        <w:spacing w:after="60" w:before="40"/>
      </w:pPr>
      <w:r>
        <w:rPr>
          <w:rFonts w:ascii="Arial" w:cs="Arial" w:eastAsia="Arial" w:hAnsi="Arial"/>
          <w:color w:val="1F2D3D"/>
          <w:sz w:val="20"/>
          <w:szCs w:val="20"/>
        </w:rPr>
        <w:t xml:space="preserve">coa_malaysia_sme.xlsx — the chart of accounts. Reference for all GL codes.</w:t>
      </w:r>
    </w:p>
    <w:p>
      <w:pPr>
        <w:spacing w:after="80" w:before="120"/>
      </w:pPr>
    </w:p>
    <w:p>
      <w:pPr>
        <w:pStyle w:val="Heading2"/>
        <w:spacing w:after="120" w:before="240"/>
      </w:pPr>
      <w:r>
        <w:rPr>
          <w:rFonts w:ascii="Arial" w:cs="Arial" w:eastAsia="Arial" w:hAnsi="Arial"/>
          <w:b/>
          <w:bCs/>
          <w:color w:val="1F2D3D"/>
          <w:sz w:val="24"/>
          <w:szCs w:val="24"/>
        </w:rPr>
        <w:t xml:space="preserve">Likely first tasks after handover</w:t>
      </w:r>
    </w:p>
    <w:p>
      <w:pPr>
        <w:pStyle w:val="ListParagraph"/>
        <w:numPr>
          <w:ilvl w:val="0"/>
          <w:numId w:val="2"/>
        </w:numPr>
        <w:spacing w:after="60" w:before="40"/>
      </w:pPr>
      <w:r>
        <w:rPr>
          <w:rFonts w:ascii="Arial" w:cs="Arial" w:eastAsia="Arial" w:hAnsi="Arial"/>
          <w:color w:val="1F2D3D"/>
          <w:sz w:val="20"/>
          <w:szCs w:val="20"/>
        </w:rPr>
        <w:t xml:space="preserve">If BK feedback has been received: incorporate her comments into the workflow design before coding starts.</w:t>
      </w:r>
    </w:p>
    <w:p>
      <w:pPr>
        <w:pStyle w:val="ListParagraph"/>
        <w:numPr>
          <w:ilvl w:val="0"/>
          <w:numId w:val="2"/>
        </w:numPr>
        <w:spacing w:after="60" w:before="40"/>
      </w:pPr>
      <w:r>
        <w:rPr>
          <w:rFonts w:ascii="Arial" w:cs="Arial" w:eastAsia="Arial" w:hAnsi="Arial"/>
          <w:color w:val="1F2D3D"/>
          <w:sz w:val="20"/>
          <w:szCs w:val="20"/>
        </w:rPr>
        <w:t xml:space="preserve">If no feedback yet: wait for it. Do not start building until the workflow is approved.</w:t>
      </w:r>
    </w:p>
    <w:p>
      <w:pPr>
        <w:pStyle w:val="ListParagraph"/>
        <w:numPr>
          <w:ilvl w:val="0"/>
          <w:numId w:val="2"/>
        </w:numPr>
        <w:spacing w:after="60" w:before="40"/>
      </w:pPr>
      <w:r>
        <w:rPr>
          <w:rFonts w:ascii="Arial" w:cs="Arial" w:eastAsia="Arial" w:hAnsi="Arial"/>
          <w:color w:val="1F2D3D"/>
          <w:sz w:val="20"/>
          <w:szCs w:val="20"/>
        </w:rPr>
        <w:t xml:space="preserve">If starting Phase 1 build: begin with the WP1 posting ledger. Split modals are the most complex component.</w:t>
      </w:r>
    </w:p>
    <w:p>
      <w:pPr>
        <w:spacing w:after="80" w:before="120"/>
      </w:pPr>
    </w:p>
    <w:p>
      <w:pPr>
        <w:pStyle w:val="Heading2"/>
        <w:spacing w:after="120" w:before="240"/>
      </w:pPr>
      <w:r>
        <w:rPr>
          <w:rFonts w:ascii="Arial" w:cs="Arial" w:eastAsia="Arial" w:hAnsi="Arial"/>
          <w:b/>
          <w:bCs/>
          <w:color w:val="1F2D3D"/>
          <w:sz w:val="24"/>
          <w:szCs w:val="24"/>
        </w:rPr>
        <w:t xml:space="preserve">Tone and working style</w:t>
      </w:r>
    </w:p>
    <w:p>
      <w:pPr>
        <w:spacing w:after="120" w:before="80"/>
      </w:pPr>
      <w:r>
        <w:rPr>
          <w:rFonts w:ascii="Arial" w:cs="Arial" w:eastAsia="Arial" w:hAnsi="Arial"/>
          <w:b w:val="false"/>
          <w:bCs w:val="false"/>
          <w:i w:val="false"/>
          <w:iCs w:val="false"/>
          <w:color w:val="1F2D3D"/>
          <w:sz w:val="20"/>
          <w:szCs w:val="20"/>
        </w:rPr>
        <w:t xml:space="preserve">J is direct and technical. Blunt feedback, expects adjustments without lengthy acknowledgement. Output should be production-quality on first pass. Tables and structured formats preferred over prose for reference material. In forward-looking or analytical contexts, hedged language is preferred over confident assertions.</w:t>
      </w:r>
    </w:p>
    <w:p>
      <w:pPr>
        <w:spacing w:after="80" w:before="200"/>
      </w:pPr>
    </w:p>
    <w:p>
      <w:pPr>
        <w:pBdr>
          <w:bottom w:val="single" w:color="E4E8ED" w:sz="4"/>
        </w:pBdr>
        <w:spacing w:after="160" w:before="160"/>
      </w:pPr>
    </w:p>
    <w:p>
      <w:pPr>
        <w:spacing w:after="80" w:before="80"/>
      </w:pPr>
    </w:p>
    <w:p>
      <w:pPr>
        <w:spacing w:before="80"/>
        <w:jc w:val="center"/>
      </w:pPr>
      <w:r>
        <w:rPr>
          <w:rFonts w:ascii="Arial" w:cs="Arial" w:eastAsia="Arial" w:hAnsi="Arial"/>
          <w:i/>
          <w:iCs/>
          <w:color w:val="AABBCC"/>
          <w:sz w:val="18"/>
          <w:szCs w:val="18"/>
        </w:rPr>
        <w:t xml:space="preserve">End of handover brief</w:t>
      </w:r>
    </w:p>
    <w:p>
      <w:pPr>
        <w:spacing w:after="0"/>
        <w:jc w:val="center"/>
      </w:pPr>
      <w:r>
        <w:rPr>
          <w:rFonts w:ascii="Arial" w:cs="Arial" w:eastAsia="Arial" w:hAnsi="Arial"/>
          <w:color w:val="C8D4DC"/>
          <w:sz w:val="16"/>
          <w:szCs w:val="16"/>
        </w:rPr>
        <w:t xml:space="preserve">MacroByte · BK Tool ·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2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2026-05-26T05:14:09.682Z</dcterms:created>
  <dcterms:modified xsi:type="dcterms:W3CDTF">2026-05-26T05:14:09.682Z</dcterms:modified>
</cp:coreProperties>
</file>

<file path=docProps/custom.xml><?xml version="1.0" encoding="utf-8"?>
<Properties xmlns="http://schemas.openxmlformats.org/officeDocument/2006/custom-properties" xmlns:vt="http://schemas.openxmlformats.org/officeDocument/2006/docPropsVTypes"/>
</file>