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55222B">
      <w:pPr>
        <w:spacing w:line="480" w:lineRule="auto"/>
        <w:jc w:val="both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3.1</w:t>
      </w:r>
      <w:r>
        <w:rPr>
          <w:rFonts w:hint="default" w:ascii="Arial" w:hAnsi="Arial" w:eastAsia="Arial" w:cs="Arial"/>
          <w:b/>
          <w:bCs/>
          <w:sz w:val="22"/>
          <w:szCs w:val="22"/>
        </w:rPr>
        <w:tab/>
      </w:r>
      <w:r>
        <w:rPr>
          <w:rFonts w:hint="default" w:ascii="Arial" w:hAnsi="Arial" w:eastAsia="Arial" w:cs="Arial"/>
          <w:b/>
          <w:bCs/>
          <w:sz w:val="22"/>
          <w:szCs w:val="22"/>
        </w:rPr>
        <w:t>REQUIREMENTS ANALYSIS</w:t>
      </w:r>
    </w:p>
    <w:p w14:paraId="360C9A86">
      <w:pPr>
        <w:spacing w:after="240" w:afterLines="100" w:line="480" w:lineRule="auto"/>
        <w:ind w:firstLine="719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The Requirements Analysis phase translates the operational challenges and user needs identified in the problem analysis into a technical framework for CrayCare. This section defines the system's functional and non-functional requirements through the Requirements and Features Matrix, Use Case Diagram, and Use Case Reports. It connects the needs of small-scale crayfish farmers with the monitoring, production-recording, feeding, control, notification, analytics, and account-management capabilities implemented in the system.</w:t>
      </w:r>
    </w:p>
    <w:p w14:paraId="1C90C46C">
      <w:pPr>
        <w:spacing w:line="480" w:lineRule="auto"/>
        <w:ind w:left="720"/>
        <w:jc w:val="both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3.1.1</w:t>
      </w:r>
      <w:r>
        <w:rPr>
          <w:rFonts w:hint="default" w:ascii="Arial" w:hAnsi="Arial" w:eastAsia="Arial" w:cs="Arial"/>
          <w:b/>
          <w:bCs/>
          <w:sz w:val="22"/>
          <w:szCs w:val="22"/>
        </w:rPr>
        <w:tab/>
      </w:r>
      <w:r>
        <w:rPr>
          <w:rFonts w:hint="default" w:ascii="Arial" w:hAnsi="Arial" w:eastAsia="Arial" w:cs="Arial"/>
          <w:b/>
          <w:bCs/>
          <w:sz w:val="22"/>
          <w:szCs w:val="22"/>
        </w:rPr>
        <w:t>Requirements and Features Matrix</w:t>
      </w:r>
    </w:p>
    <w:p w14:paraId="78CC307B">
      <w:pPr>
        <w:spacing w:line="480" w:lineRule="auto"/>
        <w:ind w:left="720" w:firstLine="720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The Requirements and Features Matrix maps each functional and non-functional requirement to the corresponding CrayCare feature. It also identifies the priority and current status of each requirement, providing a reference for checking whether the system capabilities and quality attributes support the objectives of the study.</w:t>
      </w:r>
    </w:p>
    <w:p w14:paraId="4C6CE94D">
      <w:pPr>
        <w:spacing w:line="480" w:lineRule="auto"/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Table 3.1</w:t>
      </w:r>
    </w:p>
    <w:p w14:paraId="093F0A50">
      <w:pPr>
        <w:spacing w:line="480" w:lineRule="auto"/>
        <w:jc w:val="center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Functional Requirements Matrix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123"/>
        <w:gridCol w:w="1383"/>
        <w:gridCol w:w="1493"/>
      </w:tblGrid>
      <w:tr w14:paraId="62844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0" w:type="dxa"/>
            <w:gridSpan w:val="4"/>
          </w:tcPr>
          <w:p w14:paraId="527B62A6">
            <w:pPr>
              <w:widowControl/>
              <w:spacing w:before="120" w:beforeLines="50" w:after="120" w:afterLines="50"/>
              <w:jc w:val="both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bCs/>
                <w:sz w:val="22"/>
                <w:szCs w:val="22"/>
              </w:rPr>
              <w:t>Hardware Requirements</w:t>
            </w:r>
          </w:p>
        </w:tc>
      </w:tr>
      <w:tr w14:paraId="250D9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8B12BB9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Requirement Description</w:t>
            </w:r>
          </w:p>
        </w:tc>
        <w:tc>
          <w:tcPr>
            <w:tcW w:w="3123" w:type="dxa"/>
          </w:tcPr>
          <w:p w14:paraId="0FE703E5">
            <w:pPr>
              <w:widowControl w:val="0"/>
              <w:spacing w:after="120" w:afterLines="50"/>
              <w:jc w:val="both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System Feature(s)</w:t>
            </w:r>
          </w:p>
        </w:tc>
        <w:tc>
          <w:tcPr>
            <w:tcW w:w="1383" w:type="dxa"/>
          </w:tcPr>
          <w:p w14:paraId="2C8D17B3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Priority</w:t>
            </w:r>
          </w:p>
        </w:tc>
        <w:tc>
          <w:tcPr>
            <w:tcW w:w="1493" w:type="dxa"/>
          </w:tcPr>
          <w:p w14:paraId="3BD2E7A6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Status</w:t>
            </w:r>
          </w:p>
        </w:tc>
      </w:tr>
      <w:tr w14:paraId="3B4E6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5B0C332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water temperature in real time.</w:t>
            </w:r>
          </w:p>
        </w:tc>
        <w:tc>
          <w:tcPr>
            <w:tcW w:w="3123" w:type="dxa"/>
          </w:tcPr>
          <w:p w14:paraId="393D1BB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water-temperature monitoring using a DS18B20 waterproof temperature sensor.</w:t>
            </w:r>
          </w:p>
        </w:tc>
        <w:tc>
          <w:tcPr>
            <w:tcW w:w="1383" w:type="dxa"/>
          </w:tcPr>
          <w:p w14:paraId="785E4C4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4A0E3C2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E447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A58DFAF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water pH in real time.</w:t>
            </w:r>
          </w:p>
        </w:tc>
        <w:tc>
          <w:tcPr>
            <w:tcW w:w="3123" w:type="dxa"/>
          </w:tcPr>
          <w:p w14:paraId="4E8A09F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pH monitoring using a DFRobot Gravity analog pH sensor.</w:t>
            </w:r>
          </w:p>
        </w:tc>
        <w:tc>
          <w:tcPr>
            <w:tcW w:w="1383" w:type="dxa"/>
          </w:tcPr>
          <w:p w14:paraId="20AD87A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3C39BE40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A694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40999FB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water turbidity in real time.</w:t>
            </w:r>
          </w:p>
        </w:tc>
        <w:tc>
          <w:tcPr>
            <w:tcW w:w="3123" w:type="dxa"/>
          </w:tcPr>
          <w:p w14:paraId="2F652AA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turbidity monitoring using a DFRobot Gravity analog turbidity sensor module.</w:t>
            </w:r>
          </w:p>
        </w:tc>
        <w:tc>
          <w:tcPr>
            <w:tcW w:w="1383" w:type="dxa"/>
          </w:tcPr>
          <w:p w14:paraId="5722BEF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6B0498DD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9DE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4619F98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dissolved oxygen (DO) levels in the water in real time.</w:t>
            </w:r>
          </w:p>
        </w:tc>
        <w:tc>
          <w:tcPr>
            <w:tcW w:w="3123" w:type="dxa"/>
          </w:tcPr>
          <w:p w14:paraId="5034432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dissolved oxygen monitoring in the water using a DFRobot Gravity analog dissolved oxygen sensor.</w:t>
            </w:r>
          </w:p>
        </w:tc>
        <w:tc>
          <w:tcPr>
            <w:tcW w:w="1383" w:type="dxa"/>
          </w:tcPr>
          <w:p w14:paraId="00017DE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44799A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08EE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2EAC2D1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tank water level in real time.</w:t>
            </w:r>
          </w:p>
        </w:tc>
        <w:tc>
          <w:tcPr>
            <w:tcW w:w="3123" w:type="dxa"/>
          </w:tcPr>
          <w:p w14:paraId="4340A70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tank water-level monitoring using an ultrasonic sensor.</w:t>
            </w:r>
          </w:p>
        </w:tc>
        <w:tc>
          <w:tcPr>
            <w:tcW w:w="1383" w:type="dxa"/>
          </w:tcPr>
          <w:p w14:paraId="2254FFA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31E16FE8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F26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5FBCCFC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the feeder hopper level in real time.</w:t>
            </w:r>
          </w:p>
        </w:tc>
        <w:tc>
          <w:tcPr>
            <w:tcW w:w="3123" w:type="dxa"/>
          </w:tcPr>
          <w:p w14:paraId="57F3CCDE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feeder hopper-level monitoring using an ultrasonic sensor.</w:t>
            </w:r>
          </w:p>
        </w:tc>
        <w:tc>
          <w:tcPr>
            <w:tcW w:w="1383" w:type="dxa"/>
          </w:tcPr>
          <w:p w14:paraId="3F073B1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3729E0D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C97B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26C89A9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transmit sensor data over Wi-Fi in real time.</w:t>
            </w:r>
          </w:p>
        </w:tc>
        <w:tc>
          <w:tcPr>
            <w:tcW w:w="3123" w:type="dxa"/>
          </w:tcPr>
          <w:p w14:paraId="78EA14B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Wi-Fi transmission of sensor readings to the application.</w:t>
            </w:r>
          </w:p>
        </w:tc>
        <w:tc>
          <w:tcPr>
            <w:tcW w:w="1383" w:type="dxa"/>
          </w:tcPr>
          <w:p w14:paraId="4728FDF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AA44FD7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15812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2D90734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control the water pump to circulate tank water through the connected filtration setup.</w:t>
            </w:r>
          </w:p>
        </w:tc>
        <w:tc>
          <w:tcPr>
            <w:tcW w:w="3123" w:type="dxa"/>
          </w:tcPr>
          <w:p w14:paraId="1AF61FE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Relay-controlled water circulation through the connected filtration setup.</w:t>
            </w:r>
          </w:p>
        </w:tc>
        <w:tc>
          <w:tcPr>
            <w:tcW w:w="1383" w:type="dxa"/>
          </w:tcPr>
          <w:p w14:paraId="6F3365E4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1D8CEC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1047C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56F8045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aerate crayfish tanks.</w:t>
            </w:r>
          </w:p>
        </w:tc>
        <w:tc>
          <w:tcPr>
            <w:tcW w:w="3123" w:type="dxa"/>
          </w:tcPr>
          <w:p w14:paraId="03CC9C6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Relay-controlled tank aeration.</w:t>
            </w:r>
          </w:p>
        </w:tc>
        <w:tc>
          <w:tcPr>
            <w:tcW w:w="1383" w:type="dxa"/>
          </w:tcPr>
          <w:p w14:paraId="5B99313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F014F3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5280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BA6381B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automate feeding in the grow-out tank.</w:t>
            </w:r>
          </w:p>
        </w:tc>
        <w:tc>
          <w:tcPr>
            <w:tcW w:w="3123" w:type="dxa"/>
          </w:tcPr>
          <w:p w14:paraId="22C31EC7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Servo-operated automatic feed dispensing.</w:t>
            </w:r>
          </w:p>
        </w:tc>
        <w:tc>
          <w:tcPr>
            <w:tcW w:w="1383" w:type="dxa"/>
          </w:tcPr>
          <w:p w14:paraId="3280904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92B174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69C7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C6CD131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automatically switch the aerator and water pump between ON and OFF states in AUTO mode based on configured thresholds and valid sensor readings.</w:t>
            </w:r>
          </w:p>
        </w:tc>
        <w:tc>
          <w:tcPr>
            <w:tcW w:w="3123" w:type="dxa"/>
          </w:tcPr>
          <w:p w14:paraId="75A2423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Threshold-based automatic ON/OFF control of the aerator and water pump using valid sensor readings.</w:t>
            </w:r>
          </w:p>
        </w:tc>
        <w:tc>
          <w:tcPr>
            <w:tcW w:w="1383" w:type="dxa"/>
          </w:tcPr>
          <w:p w14:paraId="6CD3ADF8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FC5E986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</w:tbl>
    <w:p w14:paraId="16D9C040">
      <w:pPr>
        <w:spacing w:line="480" w:lineRule="auto"/>
        <w:ind w:left="719"/>
        <w:jc w:val="both"/>
        <w:rPr>
          <w:rFonts w:hint="default" w:ascii="Arial" w:hAnsi="Arial" w:cs="Arial"/>
          <w:i/>
          <w:iCs/>
          <w:sz w:val="22"/>
          <w:szCs w:val="22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123"/>
        <w:gridCol w:w="1383"/>
        <w:gridCol w:w="1493"/>
      </w:tblGrid>
      <w:tr w14:paraId="0BD16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0" w:type="dxa"/>
            <w:gridSpan w:val="4"/>
          </w:tcPr>
          <w:p w14:paraId="349D2641">
            <w:pPr>
              <w:widowControl w:val="0"/>
              <w:spacing w:before="120" w:beforeLines="50" w:after="120" w:afterLines="5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bCs/>
                <w:sz w:val="22"/>
                <w:szCs w:val="22"/>
              </w:rPr>
              <w:t>Software Requirements</w:t>
            </w:r>
          </w:p>
        </w:tc>
      </w:tr>
      <w:tr w14:paraId="0D6F8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B39644B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Requirement Description</w:t>
            </w:r>
          </w:p>
        </w:tc>
        <w:tc>
          <w:tcPr>
            <w:tcW w:w="3123" w:type="dxa"/>
          </w:tcPr>
          <w:p w14:paraId="63C98083">
            <w:pPr>
              <w:widowControl w:val="0"/>
              <w:spacing w:after="120" w:afterLines="5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System Feature(s)</w:t>
            </w:r>
          </w:p>
        </w:tc>
        <w:tc>
          <w:tcPr>
            <w:tcW w:w="1383" w:type="dxa"/>
          </w:tcPr>
          <w:p w14:paraId="445417C0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Priority</w:t>
            </w:r>
          </w:p>
        </w:tc>
        <w:tc>
          <w:tcPr>
            <w:tcW w:w="1493" w:type="dxa"/>
          </w:tcPr>
          <w:p w14:paraId="69200BBF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Status</w:t>
            </w:r>
          </w:p>
        </w:tc>
      </w:tr>
      <w:tr w14:paraId="09901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A978166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secure user authentication and account recovery.</w:t>
            </w:r>
          </w:p>
        </w:tc>
        <w:tc>
          <w:tcPr>
            <w:tcW w:w="3123" w:type="dxa"/>
          </w:tcPr>
          <w:p w14:paraId="714BD6F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Email/password and Google authentication with email verification, password reset, and account-status checks.</w:t>
            </w:r>
          </w:p>
        </w:tc>
        <w:tc>
          <w:tcPr>
            <w:tcW w:w="1383" w:type="dxa"/>
          </w:tcPr>
          <w:p w14:paraId="05834C7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919B060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A3AC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76A042E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support role-based user access.</w:t>
            </w:r>
          </w:p>
        </w:tc>
        <w:tc>
          <w:tcPr>
            <w:tcW w:w="3123" w:type="dxa"/>
          </w:tcPr>
          <w:p w14:paraId="392F5518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Role-based access for the System Admin and Tank Owners.</w:t>
            </w:r>
          </w:p>
        </w:tc>
        <w:tc>
          <w:tcPr>
            <w:tcW w:w="1383" w:type="dxa"/>
          </w:tcPr>
          <w:p w14:paraId="67E0414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135062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CAF6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CF723EC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restrict tank-operation write actions to the designated owner.</w:t>
            </w:r>
          </w:p>
        </w:tc>
        <w:tc>
          <w:tcPr>
            <w:tcW w:w="3123" w:type="dxa"/>
          </w:tcPr>
          <w:p w14:paraId="0029C96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Owner-only write access to tank monitoring and control records.</w:t>
            </w:r>
          </w:p>
        </w:tc>
        <w:tc>
          <w:tcPr>
            <w:tcW w:w="1383" w:type="dxa"/>
          </w:tcPr>
          <w:p w14:paraId="5E208F38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2233B87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4085C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FF3D9DC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administrator to manage owner accounts and hardware assignment.</w:t>
            </w:r>
          </w:p>
        </w:tc>
        <w:tc>
          <w:tcPr>
            <w:tcW w:w="3123" w:type="dxa"/>
          </w:tcPr>
          <w:p w14:paraId="38F9908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Owner-account management and hardware assignment for one active tank.</w:t>
            </w:r>
          </w:p>
        </w:tc>
        <w:tc>
          <w:tcPr>
            <w:tcW w:w="1383" w:type="dxa"/>
          </w:tcPr>
          <w:p w14:paraId="59299EEC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CC29974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AC59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7840C4E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view current sensor readings and device connectivity remotely.</w:t>
            </w:r>
          </w:p>
        </w:tc>
        <w:tc>
          <w:tcPr>
            <w:tcW w:w="3123" w:type="dxa"/>
          </w:tcPr>
          <w:p w14:paraId="4FD8EC5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Remote sensor monitoring with device and data-connectivity indicators.</w:t>
            </w:r>
          </w:p>
        </w:tc>
        <w:tc>
          <w:tcPr>
            <w:tcW w:w="1383" w:type="dxa"/>
          </w:tcPr>
          <w:p w14:paraId="4FEED36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8316A3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E101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8A950B2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record the initial tank and baseline sampling setup.</w:t>
            </w:r>
          </w:p>
        </w:tc>
        <w:tc>
          <w:tcPr>
            <w:tcW w:w="3123" w:type="dxa"/>
          </w:tcPr>
          <w:p w14:paraId="228986F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Tank initialization with stocking and baseline sampling records.</w:t>
            </w:r>
          </w:p>
        </w:tc>
        <w:tc>
          <w:tcPr>
            <w:tcW w:w="1383" w:type="dxa"/>
          </w:tcPr>
          <w:p w14:paraId="110C9F4F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C4855C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A90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AC7EFA1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configure water-quality, water-level, and feed-level thresholds.</w:t>
            </w:r>
          </w:p>
        </w:tc>
        <w:tc>
          <w:tcPr>
            <w:tcW w:w="3123" w:type="dxa"/>
          </w:tcPr>
          <w:p w14:paraId="6340ECC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Configurable water-quality, water-level, and feed-level thresholds with input validation.</w:t>
            </w:r>
          </w:p>
        </w:tc>
        <w:tc>
          <w:tcPr>
            <w:tcW w:w="1383" w:type="dxa"/>
          </w:tcPr>
          <w:p w14:paraId="4CC92AF2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C8161C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D454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385070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record sampling data.</w:t>
            </w:r>
          </w:p>
        </w:tc>
        <w:tc>
          <w:tcPr>
            <w:tcW w:w="3123" w:type="dxa"/>
          </w:tcPr>
          <w:p w14:paraId="6906F3D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Stores individual crayfish weight and length measurements; the app computes sample size, totals, averages, and biomass for display and reports.</w:t>
            </w:r>
          </w:p>
        </w:tc>
        <w:tc>
          <w:tcPr>
            <w:tcW w:w="1383" w:type="dxa"/>
          </w:tcPr>
          <w:p w14:paraId="580E36F4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345F0B67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C0F1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5342630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show the current crayfish growth stage.</w:t>
            </w:r>
          </w:p>
        </w:tc>
        <w:tc>
          <w:tcPr>
            <w:tcW w:w="3123" w:type="dxa"/>
          </w:tcPr>
          <w:p w14:paraId="5CA9B5E9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Automatic growth-stage display based on the latest valid body weight or length.</w:t>
            </w:r>
          </w:p>
        </w:tc>
        <w:tc>
          <w:tcPr>
            <w:tcW w:w="1383" w:type="dxa"/>
          </w:tcPr>
          <w:p w14:paraId="75B4878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29BF543B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3FDE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B2B1B0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The system must perform Water Quality Anomaly Detection (WQAD) on multivariate water-sensor patterns and explain unusual results.</w:t>
            </w:r>
          </w:p>
        </w:tc>
        <w:tc>
          <w:tcPr>
            <w:tcW w:w="3123" w:type="dxa"/>
          </w:tcPr>
          <w:p w14:paraId="3027781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Hourly Isolation Forest analysis of the latest valid two-hour sensor window; displays anomaly status, percentile score, ranked sensor contributors, insight, and recommendation. Current model uses synthetic bootstrap data; field-data validation is still needed.</w:t>
            </w:r>
          </w:p>
        </w:tc>
        <w:tc>
          <w:tcPr>
            <w:tcW w:w="1383" w:type="dxa"/>
          </w:tcPr>
          <w:p w14:paraId="43DFF77A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6295075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Implemented</w:t>
            </w:r>
          </w:p>
        </w:tc>
      </w:tr>
      <w:tr w14:paraId="2949C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3E30541B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show crayfish growth and production trends.</w:t>
            </w:r>
          </w:p>
        </w:tc>
        <w:tc>
          <w:tcPr>
            <w:tcW w:w="3123" w:type="dxa"/>
          </w:tcPr>
          <w:p w14:paraId="5F1776F9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Growth and production views showing sample length, sample weight, biomass, survival rate, mortality, and culture-day summaries.</w:t>
            </w:r>
          </w:p>
        </w:tc>
        <w:tc>
          <w:tcPr>
            <w:tcW w:w="1383" w:type="dxa"/>
          </w:tcPr>
          <w:p w14:paraId="223C23F2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783BCD8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4046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F78600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tank owner to manage recurring feeding schedules and set a system-wide option to allow scheduled feeding outside safe water-quality ranges.</w:t>
            </w:r>
          </w:p>
        </w:tc>
        <w:tc>
          <w:tcPr>
            <w:tcW w:w="3123" w:type="dxa"/>
          </w:tcPr>
          <w:p w14:paraId="1809D7A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Recurring schedules with weekday, time, amount, enabled status, conflict controls, and a system-wide option to allow feeding outside safe water-quality ranges.</w:t>
            </w:r>
          </w:p>
        </w:tc>
        <w:tc>
          <w:tcPr>
            <w:tcW w:w="1383" w:type="dxa"/>
          </w:tcPr>
          <w:p w14:paraId="4CA2B79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196B3112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C71F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1EBDD6E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dispense feed manually and explicitly confirm an override when water-quality readings are outside configured safe ranges.</w:t>
            </w:r>
          </w:p>
        </w:tc>
        <w:tc>
          <w:tcPr>
            <w:tcW w:w="3123" w:type="dxa"/>
          </w:tcPr>
          <w:p w14:paraId="309ABD8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Feed Now with amount validation, schedule-conflict protection, execution status, and an explicit water-quality-range override confirmation; other sensor and feeder safety checks remain active.</w:t>
            </w:r>
          </w:p>
        </w:tc>
        <w:tc>
          <w:tcPr>
            <w:tcW w:w="1383" w:type="dxa"/>
          </w:tcPr>
          <w:p w14:paraId="3B657B1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F312C0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252A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A2D5C5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track daily feeding progress.</w:t>
            </w:r>
          </w:p>
        </w:tc>
        <w:tc>
          <w:tcPr>
            <w:tcW w:w="3123" w:type="dxa"/>
          </w:tcPr>
          <w:p w14:paraId="593CAC6E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Daily feeding progress with completed, previous, and upcoming feeding details.</w:t>
            </w:r>
          </w:p>
        </w:tc>
        <w:tc>
          <w:tcPr>
            <w:tcW w:w="1383" w:type="dxa"/>
          </w:tcPr>
          <w:p w14:paraId="07AFD999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Low</w:t>
            </w:r>
          </w:p>
        </w:tc>
        <w:tc>
          <w:tcPr>
            <w:tcW w:w="1493" w:type="dxa"/>
          </w:tcPr>
          <w:p w14:paraId="003B69B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84B4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F6D799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generate downloadable PDF and Excel reports for selected batches, including batch summaries and optional sampling, individual crayfish measurements, mortality, and harvest details.</w:t>
            </w:r>
          </w:p>
        </w:tc>
        <w:tc>
          <w:tcPr>
            <w:tcW w:w="3123" w:type="dxa"/>
          </w:tcPr>
          <w:p w14:paraId="45DE3493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PDF and Excel export for selected batches, with selectable batch summaries, sampling records, individual weight-and-length measurements, mortality records, and harvest records.</w:t>
            </w:r>
          </w:p>
        </w:tc>
        <w:tc>
          <w:tcPr>
            <w:tcW w:w="1383" w:type="dxa"/>
          </w:tcPr>
          <w:p w14:paraId="7893D75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5ABA4DE6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9BEF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3B6656E2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notify users of abnormal water conditions, operational status changes, feeding reminders, and sampling reminders.</w:t>
            </w:r>
          </w:p>
        </w:tc>
        <w:tc>
          <w:tcPr>
            <w:tcW w:w="3123" w:type="dxa"/>
          </w:tcPr>
          <w:p w14:paraId="601FDF9C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Push and in-app alerts for water conditions, operations, feeding, and sampling.</w:t>
            </w:r>
          </w:p>
        </w:tc>
        <w:tc>
          <w:tcPr>
            <w:tcW w:w="1383" w:type="dxa"/>
          </w:tcPr>
          <w:p w14:paraId="41D256C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D5750AE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D4D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DC55B7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store historical sensor data.</w:t>
            </w:r>
          </w:p>
        </w:tc>
        <w:tc>
          <w:tcPr>
            <w:tcW w:w="3123" w:type="dxa"/>
          </w:tcPr>
          <w:p w14:paraId="6753BEF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Cloud-based storage of historical sensor readings.</w:t>
            </w:r>
          </w:p>
        </w:tc>
        <w:tc>
          <w:tcPr>
            <w:tcW w:w="1383" w:type="dxa"/>
          </w:tcPr>
          <w:p w14:paraId="12D32EC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4AB56E17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0078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8FF7DA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display the latest available sensor data during network interruptions.</w:t>
            </w:r>
          </w:p>
        </w:tc>
        <w:tc>
          <w:tcPr>
            <w:tcW w:w="3123" w:type="dxa"/>
          </w:tcPr>
          <w:p w14:paraId="4C8551DB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Offline access to cached sensor readings.</w:t>
            </w:r>
          </w:p>
        </w:tc>
        <w:tc>
          <w:tcPr>
            <w:tcW w:w="1383" w:type="dxa"/>
          </w:tcPr>
          <w:p w14:paraId="31A209A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0588C34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7B39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BBFADA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set each actuator to OFF, AUTO, or ON.</w:t>
            </w:r>
          </w:p>
        </w:tc>
        <w:tc>
          <w:tcPr>
            <w:tcW w:w="3123" w:type="dxa"/>
          </w:tcPr>
          <w:p w14:paraId="13758848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OFF, AUTO, and ON actuator modes with offline protection and activity logs.</w:t>
            </w:r>
          </w:p>
        </w:tc>
        <w:tc>
          <w:tcPr>
            <w:tcW w:w="1383" w:type="dxa"/>
          </w:tcPr>
          <w:p w14:paraId="1EF9F6DE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76806BC7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18900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F8B5679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provide historical water-sensor analytics.</w:t>
            </w:r>
          </w:p>
        </w:tc>
        <w:tc>
          <w:tcPr>
            <w:tcW w:w="3123" w:type="dxa"/>
          </w:tcPr>
          <w:p w14:paraId="1F8154B3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Historical sensor charts with minimum, maximum, and average values across selectable time ranges.</w:t>
            </w:r>
          </w:p>
        </w:tc>
        <w:tc>
          <w:tcPr>
            <w:tcW w:w="1383" w:type="dxa"/>
          </w:tcPr>
          <w:p w14:paraId="3F9B0A8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9EEC889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365D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8BC381E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users to manage their profiles and credentials.</w:t>
            </w:r>
          </w:p>
        </w:tc>
        <w:tc>
          <w:tcPr>
            <w:tcW w:w="3123" w:type="dxa"/>
          </w:tcPr>
          <w:p w14:paraId="17C1C904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Profile and password management based on the user's sign-in method.</w:t>
            </w:r>
          </w:p>
        </w:tc>
        <w:tc>
          <w:tcPr>
            <w:tcW w:w="1383" w:type="dxa"/>
          </w:tcPr>
          <w:p w14:paraId="00496A6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1B84DED9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EE3C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54245F1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manage notifications and owner preferences.</w:t>
            </w:r>
          </w:p>
        </w:tc>
        <w:tc>
          <w:tcPr>
            <w:tcW w:w="3123" w:type="dxa"/>
          </w:tcPr>
          <w:p w14:paraId="5A81F4D5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Notification history, read status, category filters, and alert preferences.</w:t>
            </w:r>
          </w:p>
        </w:tc>
        <w:tc>
          <w:tcPr>
            <w:tcW w:w="1383" w:type="dxa"/>
          </w:tcPr>
          <w:p w14:paraId="469A77C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2EF101EE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47928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3261D108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manage production and batch records.</w:t>
            </w:r>
          </w:p>
        </w:tc>
        <w:tc>
          <w:tcPr>
            <w:tcW w:w="3123" w:type="dxa"/>
          </w:tcPr>
          <w:p w14:paraId="6D9CF32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Batch, sampling, mortality, harvest, population, and completion records.</w:t>
            </w:r>
          </w:p>
        </w:tc>
        <w:tc>
          <w:tcPr>
            <w:tcW w:w="1383" w:type="dxa"/>
          </w:tcPr>
          <w:p w14:paraId="3928F17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72C3409B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8603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5A9AD817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maintain feeding and actuator activity logs.</w:t>
            </w:r>
          </w:p>
        </w:tc>
        <w:tc>
          <w:tcPr>
            <w:tcW w:w="3123" w:type="dxa"/>
          </w:tcPr>
          <w:p w14:paraId="0160CF37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Feeding and actuator logs with timestamps, outcomes, and failure or skip details.</w:t>
            </w:r>
          </w:p>
        </w:tc>
        <w:tc>
          <w:tcPr>
            <w:tcW w:w="1383" w:type="dxa"/>
          </w:tcPr>
          <w:p w14:paraId="79FA10D2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09645010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BBCA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633D2C3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continue synchronized feeding schedules and automatic actuator control during temporary internet interruptions.</w:t>
            </w:r>
          </w:p>
        </w:tc>
        <w:tc>
          <w:tcPr>
            <w:tcW w:w="3123" w:type="dxa"/>
          </w:tcPr>
          <w:p w14:paraId="2D295B68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Local execution by the ESP32 of synchronized feeding schedules and AUTO actuator rules during temporary internet interruptions.</w:t>
            </w:r>
          </w:p>
        </w:tc>
        <w:tc>
          <w:tcPr>
            <w:tcW w:w="1383" w:type="dxa"/>
          </w:tcPr>
          <w:p w14:paraId="26A47315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DDFBF5A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</w:tbl>
    <w:p w14:paraId="5E2757A4">
      <w:pPr>
        <w:spacing w:line="480" w:lineRule="auto"/>
        <w:ind w:left="720" w:firstLine="720"/>
        <w:jc w:val="both"/>
        <w:rPr>
          <w:rFonts w:hint="default" w:ascii="Arial" w:hAnsi="Arial" w:cs="Arial"/>
          <w:i/>
          <w:iCs/>
          <w:sz w:val="22"/>
          <w:szCs w:val="22"/>
        </w:rPr>
      </w:pPr>
    </w:p>
    <w:p w14:paraId="265A1096">
      <w:pPr>
        <w:spacing w:after="240" w:afterLines="100" w:line="480" w:lineRule="auto"/>
        <w:ind w:left="720" w:firstLine="720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Table 3.1 presents the functional requirements and corresponding CrayCare features. These include sensor monitoring and threshold configuration; Wi-Fi data transmission; pump circulation and aeration; scheduled and manual feeding with water-quality override controls; user authentication and role-based access; tank, sampling, mortality, harvest, and growth management; prototype Water Quality Anomaly Detection (WQAD) trained on synthetic bootstrap data and not yet evaluated with actual tank data; notifications; historical analytics; and PDF and Excel reports with optional individual crayfish measurements.</w:t>
      </w:r>
    </w:p>
    <w:p w14:paraId="3D8C3DF8">
      <w:pPr>
        <w:spacing w:line="480" w:lineRule="auto"/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Table 3.2</w:t>
      </w:r>
    </w:p>
    <w:p w14:paraId="483223CB">
      <w:pPr>
        <w:spacing w:line="480" w:lineRule="auto"/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Non-Functional Requirements Matrix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123"/>
        <w:gridCol w:w="1383"/>
        <w:gridCol w:w="1493"/>
      </w:tblGrid>
      <w:tr w14:paraId="3428D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0" w:type="dxa"/>
            <w:gridSpan w:val="4"/>
          </w:tcPr>
          <w:p w14:paraId="4693EE46">
            <w:pPr>
              <w:widowControl w:val="0"/>
              <w:spacing w:before="120" w:beforeLines="50" w:after="120" w:afterLines="5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Non-Functional Requirements</w:t>
            </w:r>
          </w:p>
        </w:tc>
      </w:tr>
      <w:tr w14:paraId="3AF33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1" w:type="dxa"/>
          </w:tcPr>
          <w:p w14:paraId="1CE19B88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Requirement Description</w:t>
            </w:r>
          </w:p>
        </w:tc>
        <w:tc>
          <w:tcPr>
            <w:tcW w:w="3123" w:type="dxa"/>
          </w:tcPr>
          <w:p w14:paraId="161883CE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System Feature(s)</w:t>
            </w:r>
          </w:p>
        </w:tc>
        <w:tc>
          <w:tcPr>
            <w:tcW w:w="1383" w:type="dxa"/>
          </w:tcPr>
          <w:p w14:paraId="45852FAE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Priority</w:t>
            </w:r>
          </w:p>
        </w:tc>
        <w:tc>
          <w:tcPr>
            <w:tcW w:w="1493" w:type="dxa"/>
          </w:tcPr>
          <w:p w14:paraId="218308BE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Status</w:t>
            </w:r>
          </w:p>
        </w:tc>
      </w:tr>
      <w:tr w14:paraId="6F54D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0CE10A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Installed sensors must be calibrated according to their sensor-specific procedures before use.</w:t>
            </w:r>
          </w:p>
        </w:tc>
        <w:tc>
          <w:tcPr>
            <w:tcW w:w="3123" w:type="dxa"/>
          </w:tcPr>
          <w:p w14:paraId="595CB92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ESP32 calibration procedures cover pH buffer points, DO air saturation, turbidity reference points, tank water-level geometry, and hopper empty/full points. Temperature calibration is not listed as an ESP32 procedure.</w:t>
            </w:r>
          </w:p>
        </w:tc>
        <w:tc>
          <w:tcPr>
            <w:tcW w:w="1383" w:type="dxa"/>
          </w:tcPr>
          <w:p w14:paraId="0BF1E1BF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72D98FF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Implemented</w:t>
            </w:r>
          </w:p>
        </w:tc>
      </w:tr>
      <w:tr w14:paraId="14628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4F2E936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hardware should operate reliably under the environmental conditions specified for the tank installation.</w:t>
            </w:r>
          </w:p>
        </w:tc>
        <w:tc>
          <w:tcPr>
            <w:tcW w:w="3123" w:type="dxa"/>
          </w:tcPr>
          <w:p w14:paraId="15E9840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Environmental and operational testing under the expected moisture, splash, and tank-installation conditions.</w:t>
            </w:r>
          </w:p>
        </w:tc>
        <w:tc>
          <w:tcPr>
            <w:tcW w:w="1383" w:type="dxa"/>
          </w:tcPr>
          <w:p w14:paraId="3A7AB7F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5902DAC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Implemented</w:t>
            </w:r>
          </w:p>
        </w:tc>
      </w:tr>
      <w:tr w14:paraId="5D4D4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222427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Valid ten-minute sensor-history records must be retained when the ESP32 temporarily loses Wi-Fi and synchronized after reconnection.</w:t>
            </w:r>
          </w:p>
        </w:tc>
        <w:tc>
          <w:tcPr>
            <w:tcW w:w="3123" w:type="dxa"/>
          </w:tcPr>
          <w:p w14:paraId="175BE05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ESP32 buffers ten-minute history records locally in SD/LittleFS and synchronizes them after reconnection. Five-second live snapshots are best-effort and are not buffered.</w:t>
            </w:r>
          </w:p>
        </w:tc>
        <w:tc>
          <w:tcPr>
            <w:tcW w:w="1383" w:type="dxa"/>
          </w:tcPr>
          <w:p w14:paraId="3ABA23AD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1F774EC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98CB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7D1750D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preserve valid sensor and production records without silent corruption or duplicate outcomes.</w:t>
            </w:r>
          </w:p>
        </w:tc>
        <w:tc>
          <w:tcPr>
            <w:tcW w:w="3123" w:type="dxa"/>
          </w:tcPr>
          <w:p w14:paraId="4984610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Input validation and transaction-based updates support record integrity; deterministic IDs and duplicate checks protect buffered sensor-history uploads. Verify retry behavior for sensor and production-record writes.</w:t>
            </w:r>
          </w:p>
        </w:tc>
        <w:tc>
          <w:tcPr>
            <w:tcW w:w="1383" w:type="dxa"/>
          </w:tcPr>
          <w:p w14:paraId="768BBD5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44B1DE1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Implemented</w:t>
            </w:r>
          </w:p>
        </w:tc>
      </w:tr>
      <w:tr w14:paraId="32B6B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61902F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dashboard should display a new sensor reading within five seconds of its Firestore write under stable connectivity.</w:t>
            </w:r>
          </w:p>
        </w:tc>
        <w:tc>
          <w:tcPr>
            <w:tcW w:w="3123" w:type="dxa"/>
          </w:tcPr>
          <w:p w14:paraId="2893DA68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Dashboard updates within five seconds of a new sensor record under stable connectivity.</w:t>
            </w:r>
          </w:p>
        </w:tc>
        <w:tc>
          <w:tcPr>
            <w:tcW w:w="1383" w:type="dxa"/>
          </w:tcPr>
          <w:p w14:paraId="4B2E9A5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E9ABE9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Implemented</w:t>
            </w:r>
          </w:p>
        </w:tc>
      </w:tr>
      <w:tr w14:paraId="3D48A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5DF369C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respond to valid actuator and Feed Now commands within 3 seconds under stable connectivity.</w:t>
            </w:r>
          </w:p>
        </w:tc>
        <w:tc>
          <w:tcPr>
            <w:tcW w:w="3123" w:type="dxa"/>
          </w:tcPr>
          <w:p w14:paraId="47FDE89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Feed Now commands are polled about every second; actuator settings and feeder-status updates are polled about every five seconds. End-to-end response time must be measured under stable connectivity.</w:t>
            </w:r>
          </w:p>
        </w:tc>
        <w:tc>
          <w:tcPr>
            <w:tcW w:w="1383" w:type="dxa"/>
          </w:tcPr>
          <w:p w14:paraId="306F0B35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7FF689D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Implemented</w:t>
            </w:r>
          </w:p>
        </w:tc>
      </w:tr>
      <w:tr w14:paraId="3E32F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67D380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mobile app should enable tank owners to complete core monitoring and production tasks through clear and consistent controls.</w:t>
            </w:r>
          </w:p>
        </w:tc>
        <w:tc>
          <w:tcPr>
            <w:tcW w:w="3123" w:type="dxa"/>
          </w:tcPr>
          <w:p w14:paraId="2CDB9FB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Consistent controls for monitoring, sampling, feeding schedules, reports, and actuator modes.</w:t>
            </w:r>
          </w:p>
        </w:tc>
        <w:tc>
          <w:tcPr>
            <w:tcW w:w="1383" w:type="dxa"/>
          </w:tcPr>
          <w:p w14:paraId="008AFF49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6F7031C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5470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9461FC1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generate readable reports with labels, units, values, and calculations consistent with the app.</w:t>
            </w:r>
          </w:p>
        </w:tc>
        <w:tc>
          <w:tcPr>
            <w:tcW w:w="3123" w:type="dxa"/>
          </w:tcPr>
          <w:p w14:paraId="323CDD6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PDF and Excel reports with consistent labels, units, values, and calculations aligned with the application.</w:t>
            </w:r>
          </w:p>
        </w:tc>
        <w:tc>
          <w:tcPr>
            <w:tcW w:w="1383" w:type="dxa"/>
          </w:tcPr>
          <w:p w14:paraId="64073573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039A65F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E10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8AF1A0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prevent unauthorized users from accessing or changing farm data outside their authorized role and tank.</w:t>
            </w:r>
          </w:p>
        </w:tc>
        <w:tc>
          <w:tcPr>
            <w:tcW w:w="3123" w:type="dxa"/>
          </w:tcPr>
          <w:p w14:paraId="1086334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Firebase Authentication, role-based access, and owner-scoped Firestore rules for protected data and actions.</w:t>
            </w:r>
          </w:p>
        </w:tc>
        <w:tc>
          <w:tcPr>
            <w:tcW w:w="1383" w:type="dxa"/>
          </w:tcPr>
          <w:p w14:paraId="076A994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F878BF1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980B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5EA2D1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support future maintenance and updates.</w:t>
            </w:r>
          </w:p>
        </w:tc>
        <w:tc>
          <w:tcPr>
            <w:tcW w:w="3123" w:type="dxa"/>
          </w:tcPr>
          <w:p w14:paraId="53CFE0E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Modular and documented Flutter, Cloud Functions, ESP32, and Firestore data-contract components.</w:t>
            </w:r>
          </w:p>
        </w:tc>
        <w:tc>
          <w:tcPr>
            <w:tcW w:w="1383" w:type="dxa"/>
          </w:tcPr>
          <w:p w14:paraId="68F313A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50467198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3F9B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03A008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maintain compatible and authenticated data exchange among the mobile app, ESP32 hardware, Cloud Firestore, and Cloud Functions.</w:t>
            </w:r>
          </w:p>
        </w:tc>
        <w:tc>
          <w:tcPr>
            <w:tcW w:w="3123" w:type="dxa"/>
          </w:tcPr>
          <w:p w14:paraId="65621C3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 xml:space="preserve">The Flutter app exchanges data with Firestore and invokes authenticated Cloud Functions. The ESP32 writes live readings and normal history directly to Firestore; buffered offline history is sent through the Cloud Function staging and assignment-validation route. </w:t>
            </w:r>
          </w:p>
        </w:tc>
        <w:tc>
          <w:tcPr>
            <w:tcW w:w="1383" w:type="dxa"/>
          </w:tcPr>
          <w:p w14:paraId="6BBB0E5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221C11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</w:tbl>
    <w:p w14:paraId="7EE46379">
      <w:pPr>
        <w:spacing w:line="480" w:lineRule="auto"/>
        <w:ind w:left="720"/>
        <w:jc w:val="both"/>
        <w:rPr>
          <w:rFonts w:hint="default" w:ascii="Arial" w:hAnsi="Arial" w:cs="Arial"/>
          <w:i/>
          <w:iCs/>
          <w:sz w:val="22"/>
          <w:szCs w:val="22"/>
        </w:rPr>
      </w:pPr>
    </w:p>
    <w:p w14:paraId="1AC9133E">
      <w:pPr>
        <w:spacing w:after="240" w:afterLines="100" w:line="480" w:lineRule="auto"/>
        <w:ind w:left="719" w:firstLine="719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Table 3.2 presents CrayCare’s quality and operating requirements. These include calibrated sensor accuracy, hardware reliability, buffering of ten-minute sensor-history records during Wi-Fi interruptions, dashboard refresh and command-response targets, usability, security, data integrity, maintainability, report readability, and authenticated data exchange through Firebase services. Sensor accuracy, environmental reliability, and end-to-end response time depend on proper calibration, installation, and operating conditions.</w:t>
      </w:r>
    </w:p>
    <w:sectPr>
      <w:headerReference r:id="rId3" w:type="default"/>
      <w:footerReference r:id="rId4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20B0604020202020204"/>
    <w:charset w:val="00"/>
    <w:family w:val="auto"/>
    <w:pitch w:val="default"/>
    <w:sig w:usb0="00000000" w:usb1="00000000" w:usb2="00000000" w:usb3="00000000" w:csb0="2000019F" w:csb1="4F010000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10" w:usb3="00000000" w:csb0="00000000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9" w:usb3="00000000" w:csb0="400001FF" w:csb1="FFFF0000"/>
  </w:font>
  <w:font w:name="Arial Regular">
    <w:altName w:val="Arial"/>
    <w:panose1 w:val="00000000000000000000"/>
    <w:charset w:val="00"/>
    <w:family w:val="auto"/>
    <w:pitch w:val="default"/>
    <w:sig w:usb0="00000000" w:usb1="00000000" w:usb2="00000009" w:usb3="00000000" w:csb0="400001FF" w:csb1="FFFF0000"/>
  </w:font>
  <w:font w:name="Arial Italic">
    <w:altName w:val="Arial"/>
    <w:panose1 w:val="020B0604020202090204"/>
    <w:charset w:val="00"/>
    <w:family w:val="auto"/>
    <w:pitch w:val="default"/>
    <w:sig w:usb0="00000000" w:usb1="00000000" w:usb2="00000009" w:usb3="00000000" w:csb0="400001FF" w:csb1="FFFF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3A431">
    <w:pPr>
      <w:pStyle w:val="12"/>
    </w:pPr>
    <w:r>
      <w:rPr>
        <w:sz w:val="24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DAC71E">
                          <w:pPr>
                            <w:pStyle w:val="12"/>
                          </w:pP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9504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DAC71E">
                    <w:pPr>
                      <w:pStyle w:val="12"/>
                    </w:pP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1" locked="0" layoutInCell="1" allowOverlap="1">
              <wp:simplePos x="0" y="0"/>
              <wp:positionH relativeFrom="margin">
                <wp:posOffset>-175260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771B04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3.8pt;margin-top:715.8pt;height:25.5pt;width:467.15pt;mso-position-horizontal-relative:margin;mso-position-vertical-relative:page;z-index:-251648000;mso-width-relative:page;mso-height-relative:page;" fillcolor="#FFFFFF [3201]" filled="t" stroked="f" coordsize="21600,21600" o:gfxdata="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DertN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7771B04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6432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7456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0F13A">
    <w:pPr>
      <w:pStyle w:val="13"/>
    </w:pP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5408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EEF3BD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5168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9EEF3BD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4384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3360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0288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59264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documentProtection w:enforcement="0"/>
  <w:defaultTabStop w:val="719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10F57"/>
    <w:rsid w:val="00172A27"/>
    <w:rsid w:val="005B7A2B"/>
    <w:rsid w:val="0085061B"/>
    <w:rsid w:val="008F3494"/>
    <w:rsid w:val="00907EBC"/>
    <w:rsid w:val="009C79B1"/>
    <w:rsid w:val="00B32B39"/>
    <w:rsid w:val="00CF17C8"/>
    <w:rsid w:val="00D83F94"/>
    <w:rsid w:val="0EF87DBD"/>
    <w:rsid w:val="0FDDBD26"/>
    <w:rsid w:val="0FE9F350"/>
    <w:rsid w:val="10D78096"/>
    <w:rsid w:val="10FE8C16"/>
    <w:rsid w:val="17E77EFD"/>
    <w:rsid w:val="17EFB6EF"/>
    <w:rsid w:val="17FA2B35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DF1782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01016CA"/>
    <w:rsid w:val="53CFD7F5"/>
    <w:rsid w:val="57558F2F"/>
    <w:rsid w:val="57DD8E29"/>
    <w:rsid w:val="57E9515B"/>
    <w:rsid w:val="57EF3000"/>
    <w:rsid w:val="57FC1050"/>
    <w:rsid w:val="57FF3F37"/>
    <w:rsid w:val="59F3303C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1F4E79" w:themeColor="accent1" w:themeShade="80"/>
      <w:sz w:val="32"/>
      <w:szCs w:val="32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1F4E79" w:themeColor="accent1" w:themeShade="80"/>
      <w:sz w:val="26"/>
      <w:szCs w:val="26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paragraph" w:styleId="8">
    <w:name w:val="annotation text"/>
    <w:basedOn w:val="1"/>
    <w:link w:val="44"/>
    <w:qFormat/>
    <w:uiPriority w:val="0"/>
    <w:rPr>
      <w:sz w:val="20"/>
      <w:szCs w:val="20"/>
    </w:rPr>
  </w:style>
  <w:style w:type="paragraph" w:styleId="9">
    <w:name w:val="annotation subject"/>
    <w:basedOn w:val="8"/>
    <w:next w:val="8"/>
    <w:link w:val="45"/>
    <w:qFormat/>
    <w:uiPriority w:val="0"/>
    <w:rPr>
      <w:b/>
      <w:bCs/>
    </w:rPr>
  </w:style>
  <w:style w:type="character" w:styleId="10">
    <w:name w:val="Emphasis"/>
    <w:basedOn w:val="5"/>
    <w:qFormat/>
    <w:uiPriority w:val="0"/>
    <w:rPr>
      <w:i/>
      <w:iCs/>
    </w:rPr>
  </w:style>
  <w:style w:type="character" w:styleId="11">
    <w:name w:val="FollowedHyperlink"/>
    <w:basedOn w:val="5"/>
    <w:qFormat/>
    <w:uiPriority w:val="0"/>
    <w:rPr>
      <w:color w:val="800080"/>
      <w:u w:val="single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4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15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17">
    <w:name w:val="page number"/>
    <w:basedOn w:val="5"/>
    <w:qFormat/>
    <w:uiPriority w:val="0"/>
    <w:rPr>
      <w:rFonts w:ascii="Times New Roman" w:hAnsi="Times New Roman" w:eastAsia="SimSun"/>
    </w:rPr>
  </w:style>
  <w:style w:type="character" w:styleId="18">
    <w:name w:val="Strong"/>
    <w:basedOn w:val="5"/>
    <w:qFormat/>
    <w:uiPriority w:val="22"/>
    <w:rPr>
      <w:b/>
      <w:bCs/>
    </w:rPr>
  </w:style>
  <w:style w:type="table" w:styleId="1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Heading 2 Char"/>
    <w:basedOn w:val="5"/>
    <w:link w:val="3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6"/>
      <w:szCs w:val="26"/>
    </w:rPr>
  </w:style>
  <w:style w:type="paragraph" w:styleId="21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22">
    <w:name w:val="Heading 3 Char"/>
    <w:basedOn w:val="5"/>
    <w:link w:val="4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table" w:customStyle="1" w:styleId="23">
    <w:name w:val="_Style 10"/>
    <w:basedOn w:val="24"/>
    <w:qFormat/>
    <w:uiPriority w:val="0"/>
  </w:style>
  <w:style w:type="table" w:customStyle="1" w:styleId="24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5">
    <w:name w:val="p2"/>
    <w:qFormat/>
    <w:uiPriority w:val="0"/>
    <w:rPr>
      <w:rFonts w:ascii="Helvetica" w:hAnsi="Helvetica" w:eastAsia="Helvetica" w:cs="Times New Roman"/>
      <w:sz w:val="24"/>
      <w:szCs w:val="24"/>
      <w:lang w:val="en-US" w:eastAsia="zh-CN" w:bidi="ar-SA"/>
    </w:rPr>
  </w:style>
  <w:style w:type="paragraph" w:customStyle="1" w:styleId="26">
    <w:name w:val="p1"/>
    <w:qFormat/>
    <w:uiPriority w:val="0"/>
    <w:rPr>
      <w:rFonts w:ascii="Helvetica" w:hAnsi="Helvetica" w:eastAsia="Helvetica" w:cs="Times New Roman"/>
      <w:sz w:val="24"/>
      <w:szCs w:val="24"/>
      <w:lang w:val="en-US" w:eastAsia="zh-CN" w:bidi="ar-SA"/>
    </w:rPr>
  </w:style>
  <w:style w:type="table" w:customStyle="1" w:styleId="27">
    <w:name w:val="_Style 11"/>
    <w:basedOn w:val="24"/>
    <w:qFormat/>
    <w:uiPriority w:val="0"/>
  </w:style>
  <w:style w:type="table" w:customStyle="1" w:styleId="28">
    <w:name w:val="_Style 12"/>
    <w:basedOn w:val="24"/>
    <w:qFormat/>
    <w:uiPriority w:val="0"/>
  </w:style>
  <w:style w:type="table" w:customStyle="1" w:styleId="29">
    <w:name w:val="_Style 13"/>
    <w:basedOn w:val="24"/>
    <w:qFormat/>
    <w:uiPriority w:val="0"/>
  </w:style>
  <w:style w:type="table" w:customStyle="1" w:styleId="30">
    <w:name w:val="_Style 14"/>
    <w:basedOn w:val="24"/>
    <w:qFormat/>
    <w:uiPriority w:val="0"/>
  </w:style>
  <w:style w:type="table" w:customStyle="1" w:styleId="31">
    <w:name w:val="_Style 15"/>
    <w:basedOn w:val="24"/>
    <w:qFormat/>
    <w:uiPriority w:val="0"/>
  </w:style>
  <w:style w:type="table" w:customStyle="1" w:styleId="32">
    <w:name w:val="_Style 16"/>
    <w:basedOn w:val="24"/>
    <w:qFormat/>
    <w:uiPriority w:val="0"/>
  </w:style>
  <w:style w:type="table" w:customStyle="1" w:styleId="33">
    <w:name w:val="_Style 17"/>
    <w:basedOn w:val="24"/>
    <w:qFormat/>
    <w:uiPriority w:val="0"/>
  </w:style>
  <w:style w:type="table" w:customStyle="1" w:styleId="34">
    <w:name w:val="_Style 18"/>
    <w:basedOn w:val="24"/>
    <w:qFormat/>
    <w:uiPriority w:val="0"/>
  </w:style>
  <w:style w:type="table" w:customStyle="1" w:styleId="35">
    <w:name w:val="_Style 19"/>
    <w:basedOn w:val="24"/>
    <w:qFormat/>
    <w:uiPriority w:val="0"/>
  </w:style>
  <w:style w:type="table" w:customStyle="1" w:styleId="36">
    <w:name w:val="_Style 20"/>
    <w:basedOn w:val="24"/>
    <w:qFormat/>
    <w:uiPriority w:val="0"/>
  </w:style>
  <w:style w:type="table" w:customStyle="1" w:styleId="37">
    <w:name w:val="_Style 21"/>
    <w:basedOn w:val="24"/>
    <w:qFormat/>
    <w:uiPriority w:val="0"/>
  </w:style>
  <w:style w:type="table" w:customStyle="1" w:styleId="38">
    <w:name w:val="_Style 22"/>
    <w:basedOn w:val="24"/>
    <w:qFormat/>
    <w:uiPriority w:val="0"/>
  </w:style>
  <w:style w:type="table" w:customStyle="1" w:styleId="39">
    <w:name w:val="_Style 23"/>
    <w:basedOn w:val="24"/>
    <w:qFormat/>
    <w:uiPriority w:val="0"/>
  </w:style>
  <w:style w:type="table" w:customStyle="1" w:styleId="40">
    <w:name w:val="_Style 24"/>
    <w:basedOn w:val="24"/>
    <w:qFormat/>
    <w:uiPriority w:val="0"/>
  </w:style>
  <w:style w:type="table" w:customStyle="1" w:styleId="41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2">
    <w:name w:val="Table Grid1"/>
    <w:basedOn w:val="6"/>
    <w:qFormat/>
    <w:uiPriority w:val="39"/>
    <w:rPr>
      <w:rFonts w:ascii="Calibri" w:hAnsi="Calibri" w:eastAsia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3">
    <w:name w:val="p3"/>
    <w:qFormat/>
    <w:uiPriority w:val="0"/>
    <w:rPr>
      <w:rFonts w:ascii="Helvetica Neue" w:hAnsi="Helvetica Neue" w:eastAsia="Helvetica Neue" w:cs="Times New Roman"/>
      <w:sz w:val="26"/>
      <w:szCs w:val="26"/>
      <w:lang w:val="en-US" w:eastAsia="zh-CN" w:bidi="ar-SA"/>
    </w:rPr>
  </w:style>
  <w:style w:type="character" w:customStyle="1" w:styleId="44">
    <w:name w:val="Comment Text Char"/>
    <w:basedOn w:val="5"/>
    <w:link w:val="8"/>
    <w:uiPriority w:val="0"/>
    <w:rPr>
      <w:rFonts w:asciiTheme="minorHAnsi" w:hAnsiTheme="minorHAnsi" w:eastAsiaTheme="minorHAnsi" w:cstheme="minorBidi"/>
    </w:rPr>
  </w:style>
  <w:style w:type="character" w:customStyle="1" w:styleId="45">
    <w:name w:val="Comment Subject Char"/>
    <w:basedOn w:val="44"/>
    <w:link w:val="9"/>
    <w:qFormat/>
    <w:uiPriority w:val="0"/>
    <w:rPr>
      <w:rFonts w:asciiTheme="minorHAnsi" w:hAnsiTheme="minorHAnsi" w:eastAsiaTheme="minorHAnsi" w:cstheme="minorBidi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1672</Words>
  <Characters>11017</Characters>
  <Lines>81</Lines>
  <Paragraphs>22</Paragraphs>
  <TotalTime>176</TotalTime>
  <ScaleCrop>false</ScaleCrop>
  <LinksUpToDate>false</LinksUpToDate>
  <CharactersWithSpaces>12472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Sofia Angela Vilan</dc:creator>
  <cp:lastModifiedBy>Justine Bong Montante</cp:lastModifiedBy>
  <dcterms:modified xsi:type="dcterms:W3CDTF">2026-10-01T07:05:29Z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