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CrayCare RAS-Based Recommendation References</w:t>
      </w:r>
    </w:p>
    <w:p>
      <w:pPr>
        <w:jc w:val="center"/>
      </w:pPr>
      <w:r>
        <w:rPr>
          <w:i/>
          <w:sz w:val="20"/>
        </w:rPr>
        <w:t>Source basis for water-quality anomaly insights and supporting actions</w:t>
      </w:r>
    </w:p>
    <w:p>
      <w:r>
        <w:t>Purpose. This document identifies reliable references that support the recommendations used with CrayCare's Water Quality Anomaly Detection feature. CrayCare operates with a recirculating aquaculture setup that uses filtration, a water pump, aeration, and scheduled feeding. The sources below support the interpretation of water-quality patterns and the suggested checks shown to the user.</w:t>
      </w:r>
    </w:p>
    <w:p>
      <w:r>
        <w:t>Scope. The Isolation Forest detects unusual multivariate patterns in temperature, pH, dissolved oxygen, and turbidity. Recommendations are rule-based and reference-informed; configured sensor thresholds govern immediate alerts and automatic actuator decisions. Water level and feeding are operational context, not model inputs.</w:t>
      </w:r>
    </w:p>
    <w:p>
      <w:pPr>
        <w:pStyle w:val="Heading1"/>
        <w:spacing w:before="160" w:after="80"/>
      </w:pPr>
      <w:r>
        <w:t>Source-Based Recommendation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pPr>
              <w:spacing w:after="0"/>
            </w:pPr>
            <w:r/>
            <w:r>
              <w:rPr>
                <w:b/>
                <w:color w:val="FFFFFF"/>
              </w:rPr>
              <w:t>Sensor pattern or operational condition</w:t>
            </w:r>
          </w:p>
        </w:tc>
        <w:tc>
          <w:tcPr>
            <w:tcW w:type="dxa" w:w="2520"/>
            <w:vAlign w:val="center"/>
            <w:shd w:fill="1F4E78"/>
          </w:tcPr>
          <w:p>
            <w:pPr>
              <w:spacing w:after="0"/>
            </w:pPr>
            <w:r/>
            <w:r>
              <w:rPr>
                <w:b/>
                <w:color w:val="FFFFFF"/>
              </w:rPr>
              <w:t>Suggested check</w:t>
            </w:r>
          </w:p>
        </w:tc>
        <w:tc>
          <w:tcPr>
            <w:tcW w:type="dxa" w:w="2520"/>
            <w:vAlign w:val="center"/>
            <w:shd w:fill="1F4E78"/>
          </w:tcPr>
          <w:p>
            <w:pPr>
              <w:spacing w:after="0"/>
            </w:pPr>
            <w:r/>
            <w:r>
              <w:rPr>
                <w:b/>
                <w:color w:val="FFFFFF"/>
              </w:rPr>
              <w:t>Technical basis</w:t>
            </w:r>
          </w:p>
        </w:tc>
        <w:tc>
          <w:tcPr>
            <w:tcW w:type="dxa" w:w="2520"/>
            <w:vAlign w:val="center"/>
            <w:shd w:fill="1F4E78"/>
          </w:tcPr>
          <w:p>
            <w:pPr>
              <w:spacing w:after="0"/>
            </w:pPr>
            <w:r/>
            <w:r>
              <w:rPr>
                <w:b/>
                <w:color w:val="FFFFFF"/>
              </w:rPr>
              <w:t>Recommended source</w:t>
            </w:r>
          </w:p>
        </w:tc>
      </w:tr>
      <w:tr>
        <w:tc>
          <w:tcPr>
            <w:tcW w:type="dxa" w:w="2520"/>
            <w:vAlign w:val="center"/>
          </w:tcPr>
          <w:p>
            <w:pPr>
              <w:spacing w:after="0"/>
            </w:pPr>
            <w:r/>
            <w:r>
              <w:rPr>
                <w:b w:val="0"/>
              </w:rPr>
              <w:t>Dissolved oxygen decreasing</w:t>
            </w:r>
          </w:p>
        </w:tc>
        <w:tc>
          <w:tcPr>
            <w:tcW w:type="dxa" w:w="2520"/>
            <w:vAlign w:val="center"/>
          </w:tcPr>
          <w:p>
            <w:pPr>
              <w:spacing w:after="0"/>
            </w:pPr>
            <w:r/>
            <w:r>
              <w:rPr>
                <w:b w:val="0"/>
              </w:rPr>
              <w:t>Inspect aerator operation, airflow, circulation, recent feeding, and organic waste; verify DO with a calibrated meter.</w:t>
            </w:r>
          </w:p>
        </w:tc>
        <w:tc>
          <w:tcPr>
            <w:tcW w:type="dxa" w:w="2520"/>
            <w:vAlign w:val="center"/>
          </w:tcPr>
          <w:p>
            <w:pPr>
              <w:spacing w:after="0"/>
            </w:pPr>
            <w:r/>
            <w:r>
              <w:rPr>
                <w:b w:val="0"/>
              </w:rPr>
              <w:t>RAS oxygen demand includes cultured animals, bacteria, organic waste, and biofilters. Aeration and oxygenation are central to maintaining DO.</w:t>
            </w:r>
          </w:p>
        </w:tc>
        <w:tc>
          <w:tcPr>
            <w:tcW w:type="dxa" w:w="2520"/>
            <w:vAlign w:val="center"/>
          </w:tcPr>
          <w:p>
            <w:pPr>
              <w:spacing w:after="0"/>
            </w:pPr>
            <w:r/>
            <w:r>
              <w:rPr>
                <w:b w:val="0"/>
              </w:rPr>
              <w:t>SRAC 451; FAO Chapter 21</w:t>
            </w:r>
          </w:p>
        </w:tc>
      </w:tr>
      <w:tr>
        <w:tc>
          <w:tcPr>
            <w:tcW w:type="dxa" w:w="2520"/>
            <w:vAlign w:val="center"/>
          </w:tcPr>
          <w:p>
            <w:pPr>
              <w:spacing w:after="0"/>
            </w:pPr>
            <w:r/>
            <w:r>
              <w:rPr>
                <w:b w:val="0"/>
              </w:rPr>
              <w:t>Turbidity increasing</w:t>
            </w:r>
          </w:p>
        </w:tc>
        <w:tc>
          <w:tcPr>
            <w:tcW w:type="dxa" w:w="2520"/>
            <w:vAlign w:val="center"/>
          </w:tcPr>
          <w:p>
            <w:pPr>
              <w:spacing w:after="0"/>
            </w:pPr>
            <w:r/>
            <w:r>
              <w:rPr>
                <w:b w:val="0"/>
              </w:rPr>
              <w:t>Inspect filtration, suspended waste, uneaten feed, and recent maintenance; confirm turbidity before changing water-management settings.</w:t>
            </w:r>
          </w:p>
        </w:tc>
        <w:tc>
          <w:tcPr>
            <w:tcW w:type="dxa" w:w="2520"/>
            <w:vAlign w:val="center"/>
          </w:tcPr>
          <w:p>
            <w:pPr>
              <w:spacing w:after="0"/>
            </w:pPr>
            <w:r/>
            <w:r>
              <w:rPr>
                <w:b w:val="0"/>
              </w:rPr>
              <w:t>RAS filtration removes solids and other contaminants. Uneaten feed and waste contribute to oxygen demand and degraded water quality.</w:t>
            </w:r>
          </w:p>
        </w:tc>
        <w:tc>
          <w:tcPr>
            <w:tcW w:type="dxa" w:w="2520"/>
            <w:vAlign w:val="center"/>
          </w:tcPr>
          <w:p>
            <w:pPr>
              <w:spacing w:after="0"/>
            </w:pPr>
            <w:r/>
            <w:r>
              <w:rPr>
                <w:b w:val="0"/>
              </w:rPr>
              <w:t>FAO Chapter 15; SRAC 451</w:t>
            </w:r>
          </w:p>
        </w:tc>
      </w:tr>
      <w:tr>
        <w:tc>
          <w:tcPr>
            <w:tcW w:type="dxa" w:w="2520"/>
            <w:vAlign w:val="center"/>
          </w:tcPr>
          <w:p>
            <w:pPr>
              <w:spacing w:after="0"/>
            </w:pPr>
            <w:r/>
            <w:r>
              <w:rPr>
                <w:b w:val="0"/>
              </w:rPr>
              <w:t>DO decreasing while turbidity increasing</w:t>
            </w:r>
          </w:p>
        </w:tc>
        <w:tc>
          <w:tcPr>
            <w:tcW w:type="dxa" w:w="2520"/>
            <w:vAlign w:val="center"/>
          </w:tcPr>
          <w:p>
            <w:pPr>
              <w:spacing w:after="0"/>
            </w:pPr>
            <w:r/>
            <w:r>
              <w:rPr>
                <w:b w:val="0"/>
              </w:rPr>
              <w:t>Inspect aeration, circulation, filtration, uneaten feed, and accumulated waste; manually confirm both readings.</w:t>
            </w:r>
          </w:p>
        </w:tc>
        <w:tc>
          <w:tcPr>
            <w:tcW w:type="dxa" w:w="2520"/>
            <w:vAlign w:val="center"/>
          </w:tcPr>
          <w:p>
            <w:pPr>
              <w:spacing w:after="0"/>
            </w:pPr>
            <w:r/>
            <w:r>
              <w:rPr>
                <w:b w:val="0"/>
              </w:rPr>
              <w:t>The combined pattern is an operational warning for review of oxygen supply and solids/waste handling. It should not override configured safety thresholds.</w:t>
            </w:r>
          </w:p>
        </w:tc>
        <w:tc>
          <w:tcPr>
            <w:tcW w:type="dxa" w:w="2520"/>
            <w:vAlign w:val="center"/>
          </w:tcPr>
          <w:p>
            <w:pPr>
              <w:spacing w:after="0"/>
            </w:pPr>
            <w:r/>
            <w:r>
              <w:rPr>
                <w:b w:val="0"/>
              </w:rPr>
              <w:t>SRAC 451; FAO Chapter 15</w:t>
            </w:r>
          </w:p>
        </w:tc>
      </w:tr>
      <w:tr>
        <w:tc>
          <w:tcPr>
            <w:tcW w:type="dxa" w:w="2520"/>
            <w:vAlign w:val="center"/>
          </w:tcPr>
          <w:p>
            <w:pPr>
              <w:spacing w:after="0"/>
            </w:pPr>
            <w:r/>
            <w:r>
              <w:rPr>
                <w:b w:val="0"/>
              </w:rPr>
              <w:t>Water level decreasing</w:t>
            </w:r>
          </w:p>
        </w:tc>
        <w:tc>
          <w:tcPr>
            <w:tcW w:type="dxa" w:w="2520"/>
            <w:vAlign w:val="center"/>
          </w:tcPr>
          <w:p>
            <w:pPr>
              <w:spacing w:after="0"/>
            </w:pPr>
            <w:r/>
            <w:r>
              <w:rPr>
                <w:b w:val="0"/>
              </w:rPr>
              <w:t>Inspect leakage, evaporation, pump routing, and level-sensor placement before refilling.</w:t>
            </w:r>
          </w:p>
        </w:tc>
        <w:tc>
          <w:tcPr>
            <w:tcW w:type="dxa" w:w="2520"/>
            <w:vAlign w:val="center"/>
          </w:tcPr>
          <w:p>
            <w:pPr>
              <w:spacing w:after="0"/>
            </w:pPr>
            <w:r/>
            <w:r>
              <w:rPr>
                <w:b w:val="0"/>
              </w:rPr>
              <w:t>Recirculating systems depend on reliable water movement, pumping, and system components to maintain treatment and reuse.</w:t>
            </w:r>
          </w:p>
        </w:tc>
        <w:tc>
          <w:tcPr>
            <w:tcW w:type="dxa" w:w="2520"/>
            <w:vAlign w:val="center"/>
          </w:tcPr>
          <w:p>
            <w:pPr>
              <w:spacing w:after="0"/>
            </w:pPr>
            <w:r/>
            <w:r>
              <w:rPr>
                <w:b w:val="0"/>
              </w:rPr>
              <w:t>FAO Chapter 15; Oklahoma State RAS guidance</w:t>
            </w:r>
          </w:p>
        </w:tc>
      </w:tr>
      <w:tr>
        <w:tc>
          <w:tcPr>
            <w:tcW w:type="dxa" w:w="2520"/>
            <w:vAlign w:val="center"/>
          </w:tcPr>
          <w:p>
            <w:pPr>
              <w:spacing w:after="0"/>
            </w:pPr>
            <w:r/>
            <w:r>
              <w:rPr>
                <w:b w:val="0"/>
              </w:rPr>
              <w:t>Water level increasing</w:t>
            </w:r>
          </w:p>
        </w:tc>
        <w:tc>
          <w:tcPr>
            <w:tcW w:type="dxa" w:w="2520"/>
            <w:vAlign w:val="center"/>
          </w:tcPr>
          <w:p>
            <w:pPr>
              <w:spacing w:after="0"/>
            </w:pPr>
            <w:r/>
            <w:r>
              <w:rPr>
                <w:b w:val="0"/>
              </w:rPr>
              <w:t>Inspect inlet, refill activity, overflow path, and level-sensor placement before changing pump operation.</w:t>
            </w:r>
          </w:p>
        </w:tc>
        <w:tc>
          <w:tcPr>
            <w:tcW w:type="dxa" w:w="2520"/>
            <w:vAlign w:val="center"/>
          </w:tcPr>
          <w:p>
            <w:pPr>
              <w:spacing w:after="0"/>
            </w:pPr>
            <w:r/>
            <w:r>
              <w:rPr>
                <w:b w:val="0"/>
              </w:rPr>
              <w:t>Water-flow and system design conditions affect safe recirculation and water management.</w:t>
            </w:r>
          </w:p>
        </w:tc>
        <w:tc>
          <w:tcPr>
            <w:tcW w:type="dxa" w:w="2520"/>
            <w:vAlign w:val="center"/>
          </w:tcPr>
          <w:p>
            <w:pPr>
              <w:spacing w:after="0"/>
            </w:pPr>
            <w:r/>
            <w:r>
              <w:rPr>
                <w:b w:val="0"/>
              </w:rPr>
              <w:t>FAO Chapter 15</w:t>
            </w:r>
          </w:p>
        </w:tc>
      </w:tr>
      <w:tr>
        <w:tc>
          <w:tcPr>
            <w:tcW w:type="dxa" w:w="2520"/>
            <w:vAlign w:val="center"/>
          </w:tcPr>
          <w:p>
            <w:pPr>
              <w:spacing w:after="0"/>
            </w:pPr>
            <w:r/>
            <w:r>
              <w:rPr>
                <w:b w:val="0"/>
              </w:rPr>
              <w:t>Feeding-related concern or reduced DO after feeding</w:t>
            </w:r>
          </w:p>
        </w:tc>
        <w:tc>
          <w:tcPr>
            <w:tcW w:type="dxa" w:w="2520"/>
            <w:vAlign w:val="center"/>
          </w:tcPr>
          <w:p>
            <w:pPr>
              <w:spacing w:after="0"/>
            </w:pPr>
            <w:r/>
            <w:r>
              <w:rPr>
                <w:b w:val="0"/>
              </w:rPr>
              <w:t>Review feeding schedule and amount, inspect uneaten feed, and confirm DO before increasing feed or changing actuator settings.</w:t>
            </w:r>
          </w:p>
        </w:tc>
        <w:tc>
          <w:tcPr>
            <w:tcW w:type="dxa" w:w="2520"/>
            <w:vAlign w:val="center"/>
          </w:tcPr>
          <w:p>
            <w:pPr>
              <w:spacing w:after="0"/>
            </w:pPr>
            <w:r/>
            <w:r>
              <w:rPr>
                <w:b w:val="0"/>
              </w:rPr>
              <w:t>Feed and waste increase oxygen demand; feeding rate is a relevant operational factor in recirculating systems.</w:t>
            </w:r>
          </w:p>
        </w:tc>
        <w:tc>
          <w:tcPr>
            <w:tcW w:type="dxa" w:w="2520"/>
            <w:vAlign w:val="center"/>
          </w:tcPr>
          <w:p>
            <w:pPr>
              <w:spacing w:after="0"/>
            </w:pPr>
            <w:r/>
            <w:r>
              <w:rPr>
                <w:b w:val="0"/>
              </w:rPr>
              <w:t>SRAC 451; FAO RAS guidance</w:t>
            </w:r>
          </w:p>
        </w:tc>
      </w:tr>
    </w:tbl>
    <w:p>
      <w:pPr>
        <w:pStyle w:val="Heading1"/>
        <w:spacing w:before="200" w:after="80"/>
      </w:pPr>
      <w:r>
        <w:t>How the References Map to CrayCare Features</w:t>
      </w:r>
    </w:p>
    <w:p>
      <w:pPr>
        <w:pStyle w:val="ListBullet"/>
      </w:pPr>
      <w:r>
        <w:t>Filtration and water pump. The pump circulates tank water through the connected filtration setup. The related recommendation is to inspect filtration, circulation, suspended waste, and pump routing when turbidity or water-level patterns become unusual.</w:t>
      </w:r>
    </w:p>
    <w:p>
      <w:pPr>
        <w:pStyle w:val="ListBullet"/>
      </w:pPr>
      <w:r>
        <w:t>Aerator. The aerator supports dissolved-oxygen management. Recommendations involving decreasing DO direct the user to inspect aeration and verify the reading before intervention. Automatic ON/OFF decisions remain controlled by configured thresholds and valid sensor readings.</w:t>
      </w:r>
    </w:p>
    <w:p>
      <w:pPr>
        <w:pStyle w:val="ListBullet"/>
      </w:pPr>
      <w:r>
        <w:t>Automated feeder. The feeder supports scheduled or manual dispensing. Feeding recommendations are limited to reviewing schedule, amount, uneaten feed, and water quality; the ML feature does not independently change feeding settings.</w:t>
      </w:r>
    </w:p>
    <w:p>
      <w:pPr>
        <w:pStyle w:val="ListBullet"/>
      </w:pPr>
      <w:r>
        <w:t>Machine learning. The model provides an anomaly score, contributing sensors, trend direction, insight, and a suggested check. It does not diagnose disease, prove unsafe water, or directly control the pump, aerator, or feeder.</w:t>
      </w:r>
    </w:p>
    <w:p>
      <w:pPr>
        <w:pStyle w:val="Heading1"/>
        <w:spacing w:before="160" w:after="80"/>
      </w:pPr>
      <w:r>
        <w:t>Recommended Documentation Wording</w:t>
      </w:r>
    </w:p>
    <w:p>
      <w:r>
        <w:t>CrayCare runs anomaly analysis every 15 minutes using the latest 12 valid ten-minute readings, tolerating one missed interval. Based on contributing sensors and recent trend directions, it displays an advisory, reference-informed insight and suggested check. The ML feature does not independently operate the pump, aerator, or feeder.</w:t>
      </w:r>
    </w:p>
    <w:p>
      <w:pPr>
        <w:pStyle w:val="Heading1"/>
        <w:spacing w:before="160" w:after="80"/>
      </w:pPr>
      <w:r>
        <w:t>References</w:t>
      </w:r>
    </w:p>
    <w:p>
      <w:r>
        <w:t xml:space="preserve">Food and Agriculture Organization of the United Nations. Chapter 15: Recirculating Systems and Re-use of Water in Aquaculture. Available at: </w:t>
      </w:r>
      <w:hyperlink r:id="rId9">
        <w:r>
          <w:rPr>
            <w:color w:val="0563C1"/>
            <w:u w:val="single"/>
          </w:rPr>
          <w:t>https://www.fao.org/4/x5744e/x5744e0g.htm</w:t>
        </w:r>
      </w:hyperlink>
    </w:p>
    <w:p>
      <w:r>
        <w:t xml:space="preserve">Food and Agriculture Organization of the United Nations. Chapter 21: Aeration and Oxygenation in Aquaculture. Available at: </w:t>
      </w:r>
      <w:hyperlink r:id="rId10">
        <w:r>
          <w:rPr>
            <w:color w:val="0563C1"/>
            <w:u w:val="single"/>
          </w:rPr>
          <w:t>https://www.fao.org/4/x5744e/x5744e0m.htm</w:t>
        </w:r>
      </w:hyperlink>
    </w:p>
    <w:p>
      <w:r>
        <w:t xml:space="preserve">Southern Regional Aquaculture Center. Publication No. 451: Recirculating Aquaculture Systems. Available at: </w:t>
      </w:r>
      <w:hyperlink r:id="rId11">
        <w:r>
          <w:rPr>
            <w:color w:val="0563C1"/>
            <w:u w:val="single"/>
          </w:rPr>
          <w:t>https://srac.tamu.edu/fact-sheets/serve/102</w:t>
        </w:r>
      </w:hyperlink>
    </w:p>
    <w:p>
      <w:r>
        <w:t xml:space="preserve">Oklahoma State University Extension. Recirculating Aquaculture Systems: Questions to Ask Before You Invest. Available at: </w:t>
      </w:r>
      <w:hyperlink r:id="rId12">
        <w:r>
          <w:rPr>
            <w:color w:val="0563C1"/>
            <w:u w:val="single"/>
          </w:rPr>
          <w:t>https://extension.okstate.edu/fact-sheets/recirculating-aquaculture-systems-questions-to-ask-before-you-invest</w:t>
        </w:r>
      </w:hyperlink>
    </w:p>
    <w:p>
      <w:r>
        <w:t xml:space="preserve">Food and Agriculture Organization of the United Nations. Doing aquaculture as a business for small- and medium-scale farmers. Available at: </w:t>
      </w:r>
      <w:hyperlink r:id="rId13">
        <w:r>
          <w:rPr>
            <w:color w:val="0563C1"/>
            <w:u w:val="single"/>
          </w:rPr>
          <w:t>https://www.fao.org/fileadmin/user_upload/fira/COFI-SAC/documents/SBD/COFI_AQ_IX_2017_SBD_8E.pdf</w:t>
        </w:r>
      </w:hyperlink>
    </w:p>
    <w:p>
      <w:r>
        <w:t>Accessed: September 25, 2026.</w:t>
      </w:r>
    </w:p>
    <w:p>
      <w:pPr>
        <w:pStyle w:val="Heading2"/>
        <w:spacing w:before="160" w:after="80"/>
      </w:pPr>
      <w:r>
        <w:rPr>
          <w:rFonts w:ascii="Arial" w:hAnsi="Arial"/>
          <w:b/>
          <w:color w:val="1F4E79"/>
          <w:sz w:val="24"/>
        </w:rPr>
        <w:t>Sample Insights and Recommendations</w:t>
      </w:r>
    </w:p>
    <w:p>
      <w:pPr>
        <w:spacing w:after="120"/>
      </w:pPr>
      <w:r>
        <w:t>The following are illustrative decision-support examples. Absolute high, low, or critical conditions, water-level changes, and feeding events refer to configured-threshold checks or operational context; they are not WQAD labels or model inputs.</w:t>
      </w:r>
    </w:p>
    <w:p>
      <w:pPr>
        <w:spacing w:before="120"/>
      </w:pPr>
      <w:r>
        <w:t>These examples are supporting explanations for the anomaly-detection feature. Configured thresholds, validated sensor readings, and actuator rules remain the basis for immediate alerts and automatic pump or aerator control. The ML feature does not independently change feeding schedules or directly operate the auto feeder.</w:t>
      </w:r>
    </w:p>
    <w:p>
      <w:pPr>
        <w:pStyle w:val="Heading2"/>
      </w:pPr>
      <w:r>
        <w:rPr>
          <w:rFonts w:ascii="Arial" w:hAnsi="Arial"/>
          <w:b/>
          <w:color w:val="1F4E79"/>
          <w:sz w:val="24"/>
        </w:rPr>
        <w:t>Implementation Boundary for CrayCare</w:t>
      </w:r>
    </w:p>
    <w:p>
      <w:r>
        <w:t>The current ML feature should be described as anomaly detection and decision support. It uses recent sensor readings to identify unusual combinations, reports an anomaly score and contributing sensors, and presents a friendly insight with a recommended check. It should not be described as a disease diagnosis, a guaranteed cause, a future-value forecast, or an autonomous feeding controller. Water-quality thresholds and validated actuator rules remain responsible for immediate alerts and automatic aerator or water-pump control; feeding remains subject to the scheduled or manual feeding functions.</w:t>
      </w:r>
    </w:p>
    <w:p>
      <w:r>
        <w:t>Water. Intelligent Prediction and Continuous Monitoring of Water Quality in Aquaculture: Integration of Machine Learning and Internet of Things. https://www.mdpi.com/2073-4441/17/1/82</w:t>
      </w:r>
    </w:p>
    <w:p>
      <w:r>
        <w:t>Journal of Science and Technology. IoT-Based Pond Water Quality Monitoring Information System with Anomaly Prediction Using Machine Learning. https://journal.uningrattual.ac.id/index.php/JST/en/article/view/215</w:t>
      </w:r>
    </w:p>
    <w:p>
      <w:r>
        <w:t>Journal of Information Systems and Informatics. A Systematic Literature Review of Dissolved Oxygen and Turbidity Monitoring in Biofloc Aquaculture: IoT and Machine Learning for Water Quality Management. https://journal-isi.org/index.php/isi/article/view/1630</w:t>
      </w:r>
    </w:p>
    <w:p>
      <w:r>
        <w:t>Aquacultural Engineering. An integrated framework of sensing, machine learning, and augmented reality for aquaculture prawn farm management. https://www.sciencedirect.com/science/article/pii/S0144860921000480</w:t>
      </w:r>
    </w:p>
    <w:p>
      <w:r>
        <w:t>FAO. Culture in recirculating systems. https://www.fao.org/4/l9805e/l9805e09.htm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pPr>
              <w:spacing w:after="0"/>
            </w:pPr>
            <w:r>
              <w:rPr>
                <w:rFonts w:ascii="Arial" w:hAnsi="Arial"/>
                <w:b/>
                <w:color w:val="FFFFFF"/>
                <w:sz w:val="16"/>
              </w:rPr>
              <w:t>Example condition</w:t>
            </w:r>
          </w:p>
        </w:tc>
        <w:tc>
          <w:tcPr>
            <w:tcW w:type="dxa" w:w="2520"/>
            <w:vAlign w:val="center"/>
            <w:shd w:fill="1F4E78"/>
          </w:tcPr>
          <w:p>
            <w:pPr>
              <w:spacing w:after="0"/>
            </w:pPr>
            <w:r>
              <w:rPr>
                <w:rFonts w:ascii="Arial" w:hAnsi="Arial"/>
                <w:b/>
                <w:color w:val="FFFFFF"/>
                <w:sz w:val="16"/>
              </w:rPr>
              <w:t>Illustrative insight</w:t>
            </w:r>
          </w:p>
        </w:tc>
        <w:tc>
          <w:tcPr>
            <w:tcW w:type="dxa" w:w="2520"/>
            <w:vAlign w:val="center"/>
            <w:shd w:fill="1F4E78"/>
          </w:tcPr>
          <w:p>
            <w:pPr>
              <w:spacing w:after="0"/>
            </w:pPr>
            <w:r>
              <w:rPr>
                <w:rFonts w:ascii="Arial" w:hAnsi="Arial"/>
                <w:b/>
                <w:color w:val="FFFFFF"/>
                <w:sz w:val="16"/>
              </w:rPr>
              <w:t>Recommended action</w:t>
            </w:r>
          </w:p>
        </w:tc>
        <w:tc>
          <w:tcPr>
            <w:tcW w:type="dxa" w:w="2520"/>
            <w:vAlign w:val="center"/>
            <w:shd w:fill="1F4E78"/>
          </w:tcPr>
          <w:p>
            <w:pPr>
              <w:spacing w:after="0"/>
            </w:pPr>
            <w:r>
              <w:rPr>
                <w:rFonts w:ascii="Arial" w:hAnsi="Arial"/>
                <w:b/>
                <w:color w:val="FFFFFF"/>
                <w:sz w:val="16"/>
              </w:rPr>
              <w:t>Technical basis</w:t>
            </w:r>
          </w:p>
        </w:tc>
      </w:tr>
      <w:tr>
        <w:tc>
          <w:tcPr>
            <w:tcW w:type="dxa" w:w="2520"/>
            <w:vAlign w:val="center"/>
          </w:tcPr>
          <w:p>
            <w:pPr>
              <w:spacing w:after="0"/>
            </w:pPr>
            <w:r>
              <w:rPr>
                <w:rFonts w:ascii="Arial" w:hAnsi="Arial"/>
                <w:sz w:val="16"/>
              </w:rPr>
              <w:t>DO critically low</w:t>
            </w:r>
          </w:p>
        </w:tc>
        <w:tc>
          <w:tcPr>
            <w:tcW w:type="dxa" w:w="2520"/>
            <w:vAlign w:val="center"/>
          </w:tcPr>
          <w:p>
            <w:pPr>
              <w:spacing w:after="0"/>
            </w:pPr>
            <w:r>
              <w:rPr>
                <w:rFonts w:ascii="Arial" w:hAnsi="Arial"/>
                <w:sz w:val="16"/>
              </w:rPr>
              <w:t>Dissolved oxygen is critically low and may place the crayfish under stress.</w:t>
            </w:r>
          </w:p>
        </w:tc>
        <w:tc>
          <w:tcPr>
            <w:tcW w:type="dxa" w:w="2520"/>
            <w:vAlign w:val="center"/>
          </w:tcPr>
          <w:p>
            <w:pPr>
              <w:spacing w:after="0"/>
            </w:pPr>
            <w:r>
              <w:rPr>
                <w:rFonts w:ascii="Arial" w:hAnsi="Arial"/>
                <w:sz w:val="16"/>
              </w:rPr>
              <w:t>Set the aerator to ON or AUTO, check airflow, and verify the reading with a calibrated DO meter. If it continues, check pump and filtration flow.</w:t>
            </w:r>
          </w:p>
        </w:tc>
        <w:tc>
          <w:tcPr>
            <w:tcW w:type="dxa" w:w="2520"/>
            <w:vAlign w:val="center"/>
          </w:tcPr>
          <w:p>
            <w:pPr>
              <w:spacing w:after="0"/>
            </w:pPr>
            <w:r>
              <w:rPr>
                <w:rFonts w:ascii="Arial" w:hAnsi="Arial"/>
                <w:sz w:val="16"/>
              </w:rPr>
              <w:t>RAS depends on continuous oxygen supply; oxygen demand comes from cultured animals, bacteria, organic waste, and uneaten feed.</w:t>
            </w:r>
          </w:p>
        </w:tc>
      </w:tr>
      <w:tr>
        <w:tc>
          <w:tcPr>
            <w:tcW w:type="dxa" w:w="2520"/>
            <w:vAlign w:val="center"/>
          </w:tcPr>
          <w:p>
            <w:pPr>
              <w:spacing w:after="0"/>
            </w:pPr>
            <w:r>
              <w:rPr>
                <w:rFonts w:ascii="Arial" w:hAnsi="Arial"/>
                <w:sz w:val="16"/>
              </w:rPr>
              <w:t>DO decreasing</w:t>
            </w:r>
          </w:p>
        </w:tc>
        <w:tc>
          <w:tcPr>
            <w:tcW w:type="dxa" w:w="2520"/>
            <w:vAlign w:val="center"/>
          </w:tcPr>
          <w:p>
            <w:pPr>
              <w:spacing w:after="0"/>
            </w:pPr>
            <w:r>
              <w:rPr>
                <w:rFonts w:ascii="Arial" w:hAnsi="Arial"/>
                <w:sz w:val="16"/>
              </w:rPr>
              <w:t>Dissolved oxygen is gradually decreasing and may indicate increased oxygen demand or insufficient aeration.</w:t>
            </w:r>
          </w:p>
        </w:tc>
        <w:tc>
          <w:tcPr>
            <w:tcW w:type="dxa" w:w="2520"/>
            <w:vAlign w:val="center"/>
          </w:tcPr>
          <w:p>
            <w:pPr>
              <w:spacing w:after="0"/>
            </w:pPr>
            <w:r>
              <w:rPr>
                <w:rFonts w:ascii="Arial" w:hAnsi="Arial"/>
                <w:sz w:val="16"/>
              </w:rPr>
              <w:t>Set the aerator to AUTO or turn it ON temporarily. Review recent feeding and check for accumulated waste.</w:t>
            </w:r>
          </w:p>
        </w:tc>
        <w:tc>
          <w:tcPr>
            <w:tcW w:type="dxa" w:w="2520"/>
            <w:vAlign w:val="center"/>
          </w:tcPr>
          <w:p>
            <w:pPr>
              <w:spacing w:after="0"/>
            </w:pPr>
            <w:r>
              <w:rPr>
                <w:rFonts w:ascii="Arial" w:hAnsi="Arial"/>
                <w:sz w:val="16"/>
              </w:rPr>
              <w:t>Aeration and oxygenation are central RAS operations, especially when oxygen demand increases.</w:t>
            </w:r>
          </w:p>
        </w:tc>
      </w:tr>
      <w:tr>
        <w:tc>
          <w:tcPr>
            <w:tcW w:type="dxa" w:w="2520"/>
            <w:vAlign w:val="center"/>
          </w:tcPr>
          <w:p>
            <w:pPr>
              <w:spacing w:after="0"/>
            </w:pPr>
            <w:r>
              <w:rPr>
                <w:rFonts w:ascii="Arial" w:hAnsi="Arial"/>
                <w:sz w:val="16"/>
              </w:rPr>
              <w:t>DO unusually high</w:t>
            </w:r>
          </w:p>
        </w:tc>
        <w:tc>
          <w:tcPr>
            <w:tcW w:type="dxa" w:w="2520"/>
            <w:vAlign w:val="center"/>
          </w:tcPr>
          <w:p>
            <w:pPr>
              <w:spacing w:after="0"/>
            </w:pPr>
            <w:r>
              <w:rPr>
                <w:rFonts w:ascii="Arial" w:hAnsi="Arial"/>
                <w:sz w:val="16"/>
              </w:rPr>
              <w:t>Dissolved oxygen is unusually high compared with recent readings and may be related to aeration, circulation, or sensor placement.</w:t>
            </w:r>
          </w:p>
        </w:tc>
        <w:tc>
          <w:tcPr>
            <w:tcW w:type="dxa" w:w="2520"/>
            <w:vAlign w:val="center"/>
          </w:tcPr>
          <w:p>
            <w:pPr>
              <w:spacing w:after="0"/>
            </w:pPr>
            <w:r>
              <w:rPr>
                <w:rFonts w:ascii="Arial" w:hAnsi="Arial"/>
                <w:sz w:val="16"/>
              </w:rPr>
              <w:t>Check whether the aerator or pump is running continuously. Inspect probe placement and verify the reading before changing modes.</w:t>
            </w:r>
          </w:p>
        </w:tc>
        <w:tc>
          <w:tcPr>
            <w:tcW w:type="dxa" w:w="2520"/>
            <w:vAlign w:val="center"/>
          </w:tcPr>
          <w:p>
            <w:pPr>
              <w:spacing w:after="0"/>
            </w:pPr>
            <w:r>
              <w:rPr>
                <w:rFonts w:ascii="Arial" w:hAnsi="Arial"/>
                <w:sz w:val="16"/>
              </w:rPr>
              <w:t>An unusual value should be verified before intervention because aeration and sensor position affect readings.</w:t>
            </w:r>
          </w:p>
        </w:tc>
      </w:tr>
      <w:tr>
        <w:tc>
          <w:tcPr>
            <w:tcW w:type="dxa" w:w="2520"/>
            <w:vAlign w:val="center"/>
          </w:tcPr>
          <w:p>
            <w:pPr>
              <w:spacing w:after="0"/>
            </w:pPr>
            <w:r>
              <w:rPr>
                <w:rFonts w:ascii="Arial" w:hAnsi="Arial"/>
                <w:sz w:val="16"/>
              </w:rPr>
              <w:t>Turbidity critically high</w:t>
            </w:r>
          </w:p>
        </w:tc>
        <w:tc>
          <w:tcPr>
            <w:tcW w:type="dxa" w:w="2520"/>
            <w:vAlign w:val="center"/>
          </w:tcPr>
          <w:p>
            <w:pPr>
              <w:spacing w:after="0"/>
            </w:pPr>
            <w:r>
              <w:rPr>
                <w:rFonts w:ascii="Arial" w:hAnsi="Arial"/>
                <w:sz w:val="16"/>
              </w:rPr>
              <w:t>Turbidity is above the configured limit and may indicate suspended waste, uneaten feed, or reduced filtration performance.</w:t>
            </w:r>
          </w:p>
        </w:tc>
        <w:tc>
          <w:tcPr>
            <w:tcW w:type="dxa" w:w="2520"/>
            <w:vAlign w:val="center"/>
          </w:tcPr>
          <w:p>
            <w:pPr>
              <w:spacing w:after="0"/>
            </w:pPr>
            <w:r>
              <w:rPr>
                <w:rFonts w:ascii="Arial" w:hAnsi="Arial"/>
                <w:sz w:val="16"/>
              </w:rPr>
              <w:t>Set the water pump to AUTO or ON if the water level is safe, inspect the filtration path, and remove visible waste or uneaten feed.</w:t>
            </w:r>
          </w:p>
        </w:tc>
        <w:tc>
          <w:tcPr>
            <w:tcW w:type="dxa" w:w="2520"/>
            <w:vAlign w:val="center"/>
          </w:tcPr>
          <w:p>
            <w:pPr>
              <w:spacing w:after="0"/>
            </w:pPr>
            <w:r>
              <w:rPr>
                <w:rFonts w:ascii="Arial" w:hAnsi="Arial"/>
                <w:sz w:val="16"/>
              </w:rPr>
              <w:t>RAS filtration and solids removal help control suspended material and organic loading.</w:t>
            </w:r>
          </w:p>
        </w:tc>
      </w:tr>
      <w:tr>
        <w:tc>
          <w:tcPr>
            <w:tcW w:type="dxa" w:w="2520"/>
            <w:vAlign w:val="center"/>
          </w:tcPr>
          <w:p>
            <w:pPr>
              <w:spacing w:after="0"/>
            </w:pPr>
            <w:r>
              <w:rPr>
                <w:rFonts w:ascii="Arial" w:hAnsi="Arial"/>
                <w:sz w:val="16"/>
              </w:rPr>
              <w:t>Turbidity increasing</w:t>
            </w:r>
          </w:p>
        </w:tc>
        <w:tc>
          <w:tcPr>
            <w:tcW w:type="dxa" w:w="2520"/>
            <w:vAlign w:val="center"/>
          </w:tcPr>
          <w:p>
            <w:pPr>
              <w:spacing w:after="0"/>
            </w:pPr>
            <w:r>
              <w:rPr>
                <w:rFonts w:ascii="Arial" w:hAnsi="Arial"/>
                <w:sz w:val="16"/>
              </w:rPr>
              <w:t>Turbidity is increasing and may indicate that waste is accumulating faster than the filtration setup can remove it.</w:t>
            </w:r>
          </w:p>
        </w:tc>
        <w:tc>
          <w:tcPr>
            <w:tcW w:type="dxa" w:w="2520"/>
            <w:vAlign w:val="center"/>
          </w:tcPr>
          <w:p>
            <w:pPr>
              <w:spacing w:after="0"/>
            </w:pPr>
            <w:r>
              <w:rPr>
                <w:rFonts w:ascii="Arial" w:hAnsi="Arial"/>
                <w:sz w:val="16"/>
              </w:rPr>
              <w:t>Keep the water pump in AUTO or turn it ON if safe. Check pump flow, filtration condition, and uneaten feed.</w:t>
            </w:r>
          </w:p>
        </w:tc>
        <w:tc>
          <w:tcPr>
            <w:tcW w:type="dxa" w:w="2520"/>
            <w:vAlign w:val="center"/>
          </w:tcPr>
          <w:p>
            <w:pPr>
              <w:spacing w:after="0"/>
            </w:pPr>
            <w:r>
              <w:rPr>
                <w:rFonts w:ascii="Arial" w:hAnsi="Arial"/>
                <w:sz w:val="16"/>
              </w:rPr>
              <w:t>Mechanical filtration, circulation, feed management, and waste removal are related to water quality.</w:t>
            </w:r>
          </w:p>
        </w:tc>
      </w:tr>
      <w:tr>
        <w:tc>
          <w:tcPr>
            <w:tcW w:type="dxa" w:w="2520"/>
            <w:vAlign w:val="center"/>
          </w:tcPr>
          <w:p>
            <w:pPr>
              <w:spacing w:after="0"/>
            </w:pPr>
            <w:r>
              <w:rPr>
                <w:rFonts w:ascii="Arial" w:hAnsi="Arial"/>
                <w:sz w:val="16"/>
              </w:rPr>
              <w:t>DO decreasing and turbidity increasing</w:t>
            </w:r>
          </w:p>
        </w:tc>
        <w:tc>
          <w:tcPr>
            <w:tcW w:type="dxa" w:w="2520"/>
            <w:vAlign w:val="center"/>
          </w:tcPr>
          <w:p>
            <w:pPr>
              <w:spacing w:after="0"/>
            </w:pPr>
            <w:r>
              <w:rPr>
                <w:rFonts w:ascii="Arial" w:hAnsi="Arial"/>
                <w:sz w:val="16"/>
              </w:rPr>
              <w:t>The combined pattern may indicate increased organic waste and reduced water-treatment efficiency.</w:t>
            </w:r>
          </w:p>
        </w:tc>
        <w:tc>
          <w:tcPr>
            <w:tcW w:type="dxa" w:w="2520"/>
            <w:vAlign w:val="center"/>
          </w:tcPr>
          <w:p>
            <w:pPr>
              <w:spacing w:after="0"/>
            </w:pPr>
            <w:r>
              <w:rPr>
                <w:rFonts w:ascii="Arial" w:hAnsi="Arial"/>
                <w:sz w:val="16"/>
              </w:rPr>
              <w:t>Set the aerator and water pump to AUTO or ON after confirming that the water level is safe. Check filtration and remove visible waste, then verify both readings.</w:t>
            </w:r>
          </w:p>
        </w:tc>
        <w:tc>
          <w:tcPr>
            <w:tcW w:type="dxa" w:w="2520"/>
            <w:vAlign w:val="center"/>
          </w:tcPr>
          <w:p>
            <w:pPr>
              <w:spacing w:after="0"/>
            </w:pPr>
            <w:r>
              <w:rPr>
                <w:rFonts w:ascii="Arial" w:hAnsi="Arial"/>
                <w:sz w:val="16"/>
              </w:rPr>
              <w:t>Organic waste and uneaten feed increase oxygen demand, while filtration and aeration support RAS stability.</w:t>
            </w:r>
          </w:p>
        </w:tc>
      </w:tr>
      <w:tr>
        <w:tc>
          <w:tcPr>
            <w:tcW w:type="dxa" w:w="2520"/>
            <w:vAlign w:val="center"/>
          </w:tcPr>
          <w:p>
            <w:pPr>
              <w:spacing w:after="0"/>
            </w:pPr>
            <w:r>
              <w:rPr>
                <w:rFonts w:ascii="Arial" w:hAnsi="Arial"/>
                <w:sz w:val="16"/>
              </w:rPr>
              <w:t>pH too high</w:t>
            </w:r>
          </w:p>
        </w:tc>
        <w:tc>
          <w:tcPr>
            <w:tcW w:type="dxa" w:w="2520"/>
            <w:vAlign w:val="center"/>
          </w:tcPr>
          <w:p>
            <w:pPr>
              <w:spacing w:after="0"/>
            </w:pPr>
            <w:r>
              <w:rPr>
                <w:rFonts w:ascii="Arial" w:hAnsi="Arial"/>
                <w:sz w:val="16"/>
              </w:rPr>
              <w:t>The pH level is above the configured range and may indicate a change in water chemistry.</w:t>
            </w:r>
          </w:p>
        </w:tc>
        <w:tc>
          <w:tcPr>
            <w:tcW w:type="dxa" w:w="2520"/>
            <w:vAlign w:val="center"/>
          </w:tcPr>
          <w:p>
            <w:pPr>
              <w:spacing w:after="0"/>
            </w:pPr>
            <w:r>
              <w:rPr>
                <w:rFonts w:ascii="Arial" w:hAnsi="Arial"/>
                <w:sz w:val="16"/>
              </w:rPr>
              <w:t>Verify pH with a calibrated test. Avoid rapid chemical correction based on one reading and review recent tank changes.</w:t>
            </w:r>
          </w:p>
        </w:tc>
        <w:tc>
          <w:tcPr>
            <w:tcW w:type="dxa" w:w="2520"/>
            <w:vAlign w:val="center"/>
          </w:tcPr>
          <w:p>
            <w:pPr>
              <w:spacing w:after="0"/>
            </w:pPr>
            <w:r>
              <w:rPr>
                <w:rFonts w:ascii="Arial" w:hAnsi="Arial"/>
                <w:sz w:val="16"/>
              </w:rPr>
              <w:t>pH control is a recognized RAS treatment consideration, but one sensor reading should be verified first.</w:t>
            </w:r>
          </w:p>
        </w:tc>
      </w:tr>
      <w:tr>
        <w:tc>
          <w:tcPr>
            <w:tcW w:type="dxa" w:w="2520"/>
            <w:vAlign w:val="center"/>
          </w:tcPr>
          <w:p>
            <w:pPr>
              <w:spacing w:after="0"/>
            </w:pPr>
            <w:r>
              <w:rPr>
                <w:rFonts w:ascii="Arial" w:hAnsi="Arial"/>
                <w:sz w:val="16"/>
              </w:rPr>
              <w:t>pH too low</w:t>
            </w:r>
          </w:p>
        </w:tc>
        <w:tc>
          <w:tcPr>
            <w:tcW w:type="dxa" w:w="2520"/>
            <w:vAlign w:val="center"/>
          </w:tcPr>
          <w:p>
            <w:pPr>
              <w:spacing w:after="0"/>
            </w:pPr>
            <w:r>
              <w:rPr>
                <w:rFonts w:ascii="Arial" w:hAnsi="Arial"/>
                <w:sz w:val="16"/>
              </w:rPr>
              <w:t>The pH level is below the configured range and may indicate a change in water chemistry or increased organic loading.</w:t>
            </w:r>
          </w:p>
        </w:tc>
        <w:tc>
          <w:tcPr>
            <w:tcW w:type="dxa" w:w="2520"/>
            <w:vAlign w:val="center"/>
          </w:tcPr>
          <w:p>
            <w:pPr>
              <w:spacing w:after="0"/>
            </w:pPr>
            <w:r>
              <w:rPr>
                <w:rFonts w:ascii="Arial" w:hAnsi="Arial"/>
                <w:sz w:val="16"/>
              </w:rPr>
              <w:t>Verify pH, inspect the tank condition, and review recent water changes before applying any correction.</w:t>
            </w:r>
          </w:p>
        </w:tc>
        <w:tc>
          <w:tcPr>
            <w:tcW w:type="dxa" w:w="2520"/>
            <w:vAlign w:val="center"/>
          </w:tcPr>
          <w:p>
            <w:pPr>
              <w:spacing w:after="0"/>
            </w:pPr>
            <w:r>
              <w:rPr>
                <w:rFonts w:ascii="Arial" w:hAnsi="Arial"/>
                <w:sz w:val="16"/>
              </w:rPr>
              <w:t>pH changes should be assessed with verified measurements and system context.</w:t>
            </w:r>
          </w:p>
        </w:tc>
      </w:tr>
      <w:tr>
        <w:tc>
          <w:tcPr>
            <w:tcW w:type="dxa" w:w="2520"/>
            <w:vAlign w:val="center"/>
          </w:tcPr>
          <w:p>
            <w:pPr>
              <w:spacing w:after="0"/>
            </w:pPr>
            <w:r>
              <w:rPr>
                <w:rFonts w:ascii="Arial" w:hAnsi="Arial"/>
                <w:sz w:val="16"/>
              </w:rPr>
              <w:t>Temperature too high</w:t>
            </w:r>
          </w:p>
        </w:tc>
        <w:tc>
          <w:tcPr>
            <w:tcW w:type="dxa" w:w="2520"/>
            <w:vAlign w:val="center"/>
          </w:tcPr>
          <w:p>
            <w:pPr>
              <w:spacing w:after="0"/>
            </w:pPr>
            <w:r>
              <w:rPr>
                <w:rFonts w:ascii="Arial" w:hAnsi="Arial"/>
                <w:sz w:val="16"/>
              </w:rPr>
              <w:t>Water temperature is above the configured range and may reduce dissolved-oxygen availability.</w:t>
            </w:r>
          </w:p>
        </w:tc>
        <w:tc>
          <w:tcPr>
            <w:tcW w:type="dxa" w:w="2520"/>
            <w:vAlign w:val="center"/>
          </w:tcPr>
          <w:p>
            <w:pPr>
              <w:spacing w:after="0"/>
            </w:pPr>
            <w:r>
              <w:rPr>
                <w:rFonts w:ascii="Arial" w:hAnsi="Arial"/>
                <w:sz w:val="16"/>
              </w:rPr>
              <w:t>Check aerator and water circulation, set them to AUTO if appropriate, inspect the tank environment, and verify temperature.</w:t>
            </w:r>
          </w:p>
        </w:tc>
        <w:tc>
          <w:tcPr>
            <w:tcW w:type="dxa" w:w="2520"/>
            <w:vAlign w:val="center"/>
          </w:tcPr>
          <w:p>
            <w:pPr>
              <w:spacing w:after="0"/>
            </w:pPr>
            <w:r>
              <w:rPr>
                <w:rFonts w:ascii="Arial" w:hAnsi="Arial"/>
                <w:sz w:val="16"/>
              </w:rPr>
              <w:t>Temperature affects oxygen availability and should be considered together with aeration and circulation.</w:t>
            </w:r>
          </w:p>
        </w:tc>
      </w:tr>
      <w:tr>
        <w:tc>
          <w:tcPr>
            <w:tcW w:type="dxa" w:w="2520"/>
            <w:vAlign w:val="center"/>
          </w:tcPr>
          <w:p>
            <w:pPr>
              <w:spacing w:after="0"/>
            </w:pPr>
            <w:r>
              <w:rPr>
                <w:rFonts w:ascii="Arial" w:hAnsi="Arial"/>
                <w:sz w:val="16"/>
              </w:rPr>
              <w:t>Temperature too low</w:t>
            </w:r>
          </w:p>
        </w:tc>
        <w:tc>
          <w:tcPr>
            <w:tcW w:type="dxa" w:w="2520"/>
            <w:vAlign w:val="center"/>
          </w:tcPr>
          <w:p>
            <w:pPr>
              <w:spacing w:after="0"/>
            </w:pPr>
            <w:r>
              <w:rPr>
                <w:rFonts w:ascii="Arial" w:hAnsi="Arial"/>
                <w:sz w:val="16"/>
              </w:rPr>
              <w:t>Water temperature is below the configured range and may affect crayfish activity and feeding response.</w:t>
            </w:r>
          </w:p>
        </w:tc>
        <w:tc>
          <w:tcPr>
            <w:tcW w:type="dxa" w:w="2520"/>
            <w:vAlign w:val="center"/>
          </w:tcPr>
          <w:p>
            <w:pPr>
              <w:spacing w:after="0"/>
            </w:pPr>
            <w:r>
              <w:rPr>
                <w:rFonts w:ascii="Arial" w:hAnsi="Arial"/>
                <w:sz w:val="16"/>
              </w:rPr>
              <w:t>Check the tank environment, incoming water, and sensor placement. Do not change actuator settings without verifying the condition.</w:t>
            </w:r>
          </w:p>
        </w:tc>
        <w:tc>
          <w:tcPr>
            <w:tcW w:type="dxa" w:w="2520"/>
            <w:vAlign w:val="center"/>
          </w:tcPr>
          <w:p>
            <w:pPr>
              <w:spacing w:after="0"/>
            </w:pPr>
            <w:r>
              <w:rPr>
                <w:rFonts w:ascii="Arial" w:hAnsi="Arial"/>
                <w:sz w:val="16"/>
              </w:rPr>
              <w:t>Temperature control is one of the water-treatment considerations in recirculating systems.</w:t>
            </w:r>
          </w:p>
        </w:tc>
      </w:tr>
      <w:tr>
        <w:tc>
          <w:tcPr>
            <w:tcW w:type="dxa" w:w="2520"/>
            <w:vAlign w:val="center"/>
          </w:tcPr>
          <w:p>
            <w:pPr>
              <w:spacing w:after="0"/>
            </w:pPr>
            <w:r>
              <w:rPr>
                <w:rFonts w:ascii="Arial" w:hAnsi="Arial"/>
                <w:sz w:val="16"/>
              </w:rPr>
              <w:t>Water level too low</w:t>
            </w:r>
          </w:p>
        </w:tc>
        <w:tc>
          <w:tcPr>
            <w:tcW w:type="dxa" w:w="2520"/>
            <w:vAlign w:val="center"/>
          </w:tcPr>
          <w:p>
            <w:pPr>
              <w:spacing w:after="0"/>
            </w:pPr>
            <w:r>
              <w:rPr>
                <w:rFonts w:ascii="Arial" w:hAnsi="Arial"/>
                <w:sz w:val="16"/>
              </w:rPr>
              <w:t>The water level is below the configured range and may affect pump operation and filtration flow.</w:t>
            </w:r>
          </w:p>
        </w:tc>
        <w:tc>
          <w:tcPr>
            <w:tcW w:type="dxa" w:w="2520"/>
            <w:vAlign w:val="center"/>
          </w:tcPr>
          <w:p>
            <w:pPr>
              <w:spacing w:after="0"/>
            </w:pPr>
            <w:r>
              <w:rPr>
                <w:rFonts w:ascii="Arial" w:hAnsi="Arial"/>
                <w:sz w:val="16"/>
              </w:rPr>
              <w:t>Check the actual tank level and consider normal fluctuation or evaporation. Refill the tank manually when necessary, and keep the water pump OFF until sufficient water is available for safe circulation.</w:t>
            </w:r>
          </w:p>
        </w:tc>
        <w:tc>
          <w:tcPr>
            <w:tcW w:type="dxa" w:w="2520"/>
            <w:vAlign w:val="center"/>
          </w:tcPr>
          <w:p>
            <w:pPr>
              <w:spacing w:after="0"/>
            </w:pPr>
            <w:r>
              <w:rPr>
                <w:rFonts w:ascii="Arial" w:hAnsi="Arial"/>
                <w:sz w:val="16"/>
              </w:rPr>
              <w:t>Reliable water movement and pumping are necessary for safe recirculation and treatment.</w:t>
            </w:r>
          </w:p>
        </w:tc>
      </w:tr>
      <w:tr>
        <w:tc>
          <w:tcPr>
            <w:tcW w:type="dxa" w:w="2520"/>
            <w:vAlign w:val="center"/>
          </w:tcPr>
          <w:p>
            <w:pPr>
              <w:spacing w:after="0"/>
            </w:pPr>
            <w:r>
              <w:rPr>
                <w:rFonts w:ascii="Arial" w:hAnsi="Arial"/>
                <w:sz w:val="16"/>
              </w:rPr>
              <w:t>Water level too high</w:t>
            </w:r>
          </w:p>
        </w:tc>
        <w:tc>
          <w:tcPr>
            <w:tcW w:type="dxa" w:w="2520"/>
            <w:vAlign w:val="center"/>
          </w:tcPr>
          <w:p>
            <w:pPr>
              <w:spacing w:after="0"/>
            </w:pPr>
            <w:r>
              <w:rPr>
                <w:rFonts w:ascii="Arial" w:hAnsi="Arial"/>
                <w:sz w:val="16"/>
              </w:rPr>
              <w:t>The water level is above the configured range and may create an overflow or circulation problem.</w:t>
            </w:r>
          </w:p>
        </w:tc>
        <w:tc>
          <w:tcPr>
            <w:tcW w:type="dxa" w:w="2520"/>
            <w:vAlign w:val="center"/>
          </w:tcPr>
          <w:p>
            <w:pPr>
              <w:spacing w:after="0"/>
            </w:pPr>
            <w:r>
              <w:t>Check whether excess water was manually added and verify the water-level sensor. Remove excess water if needed and confirm that the pump and filtration route are operating safely.</w:t>
            </w:r>
          </w:p>
        </w:tc>
        <w:tc>
          <w:tcPr>
            <w:tcW w:type="dxa" w:w="2520"/>
            <w:vAlign w:val="center"/>
          </w:tcPr>
          <w:p>
            <w:pPr>
              <w:spacing w:after="0"/>
            </w:pPr>
            <w:r>
              <w:rPr>
                <w:rFonts w:ascii="Arial" w:hAnsi="Arial"/>
                <w:sz w:val="16"/>
              </w:rPr>
              <w:t>Water-flow and system design conditions affect safe water management.</w:t>
            </w:r>
          </w:p>
        </w:tc>
      </w:tr>
      <w:tr>
        <w:tc>
          <w:tcPr>
            <w:tcW w:type="dxa" w:w="2520"/>
            <w:vAlign w:val="center"/>
          </w:tcPr>
          <w:p>
            <w:pPr>
              <w:spacing w:after="0"/>
            </w:pPr>
            <w:r>
              <w:rPr>
                <w:rFonts w:ascii="Arial" w:hAnsi="Arial"/>
                <w:sz w:val="16"/>
              </w:rPr>
              <w:t>Feeding followed by worsening DO or turbidity</w:t>
            </w:r>
          </w:p>
        </w:tc>
        <w:tc>
          <w:tcPr>
            <w:tcW w:type="dxa" w:w="2520"/>
            <w:vAlign w:val="center"/>
          </w:tcPr>
          <w:p>
            <w:pPr>
              <w:spacing w:after="0"/>
            </w:pPr>
            <w:r>
              <w:rPr>
                <w:rFonts w:ascii="Arial" w:hAnsi="Arial"/>
                <w:sz w:val="16"/>
              </w:rPr>
              <w:t>The recent feeding event may be associated with increased oxygen demand or uneaten feed.</w:t>
            </w:r>
          </w:p>
        </w:tc>
        <w:tc>
          <w:tcPr>
            <w:tcW w:type="dxa" w:w="2520"/>
            <w:vAlign w:val="center"/>
          </w:tcPr>
          <w:p>
            <w:pPr>
              <w:spacing w:after="0"/>
            </w:pPr>
            <w:r>
              <w:rPr>
                <w:rFonts w:ascii="Arial" w:hAnsi="Arial"/>
                <w:sz w:val="16"/>
              </w:rPr>
              <w:t>Review feed amount and schedule, remove visible uneaten feed, keep aeration active, and verify DO and turbidity.</w:t>
            </w:r>
          </w:p>
        </w:tc>
        <w:tc>
          <w:tcPr>
            <w:tcW w:type="dxa" w:w="2520"/>
            <w:vAlign w:val="center"/>
          </w:tcPr>
          <w:p>
            <w:pPr>
              <w:spacing w:after="0"/>
            </w:pPr>
            <w:r>
              <w:rPr>
                <w:rFonts w:ascii="Arial" w:hAnsi="Arial"/>
                <w:sz w:val="16"/>
              </w:rPr>
              <w:t>Feed and organic waste contribute to oxygen demand in recirculating systems. This is an operational context, not an ML sensor contributor.</w:t>
            </w:r>
          </w:p>
        </w:tc>
      </w:tr>
      <w:tr>
        <w:tc>
          <w:tcPr>
            <w:tcW w:type="dxa" w:w="2520"/>
            <w:vAlign w:val="center"/>
          </w:tcPr>
          <w:p>
            <w:pPr>
              <w:spacing w:after="0"/>
            </w:pPr>
            <w:r>
              <w:rPr>
                <w:rFonts w:ascii="Arial" w:hAnsi="Arial"/>
                <w:sz w:val="16"/>
              </w:rPr>
              <w:t>Sensor data delayed or unreliable</w:t>
            </w:r>
          </w:p>
        </w:tc>
        <w:tc>
          <w:tcPr>
            <w:tcW w:type="dxa" w:w="2520"/>
            <w:vAlign w:val="center"/>
          </w:tcPr>
          <w:p>
            <w:pPr>
              <w:spacing w:after="0"/>
            </w:pPr>
            <w:r>
              <w:rPr>
                <w:rFonts w:ascii="Arial" w:hAnsi="Arial"/>
                <w:sz w:val="16"/>
              </w:rPr>
              <w:t>The latest pattern may be affected by delayed, missing, or unreliable readings.</w:t>
            </w:r>
          </w:p>
        </w:tc>
        <w:tc>
          <w:tcPr>
            <w:tcW w:type="dxa" w:w="2520"/>
            <w:vAlign w:val="center"/>
          </w:tcPr>
          <w:p>
            <w:pPr>
              <w:spacing w:after="0"/>
            </w:pPr>
            <w:r>
              <w:rPr>
                <w:rFonts w:ascii="Arial" w:hAnsi="Arial"/>
                <w:sz w:val="16"/>
              </w:rPr>
              <w:t>Check ESP32 connectivity, sensor placement, calibration status, and the latest valid record before changing actuator settings.</w:t>
            </w:r>
          </w:p>
        </w:tc>
        <w:tc>
          <w:tcPr>
            <w:tcW w:type="dxa" w:w="2520"/>
            <w:vAlign w:val="center"/>
          </w:tcPr>
          <w:p>
            <w:pPr>
              <w:spacing w:after="0"/>
            </w:pPr>
            <w:r>
              <w:rPr>
                <w:rFonts w:ascii="Arial" w:hAnsi="Arial"/>
                <w:sz w:val="16"/>
              </w:rPr>
              <w:t>Reliable data is required for safe anomaly interpretation and actuator decisions.</w:t>
            </w:r>
          </w:p>
        </w:tc>
      </w:tr>
      <w:tr>
        <w:tc>
          <w:tcPr>
            <w:tcW w:type="dxa" w:w="2520"/>
            <w:vAlign w:val="center"/>
          </w:tcPr>
          <w:p>
            <w:pPr>
              <w:spacing w:after="0"/>
            </w:pPr>
            <w:r>
              <w:rPr>
                <w:rFonts w:ascii="Arial" w:hAnsi="Arial"/>
                <w:sz w:val="16"/>
              </w:rPr>
              <w:t>No anomaly detected</w:t>
            </w:r>
          </w:p>
        </w:tc>
        <w:tc>
          <w:tcPr>
            <w:tcW w:type="dxa" w:w="2520"/>
            <w:vAlign w:val="center"/>
          </w:tcPr>
          <w:p>
            <w:pPr>
              <w:spacing w:after="0"/>
            </w:pPr>
            <w:r>
              <w:rPr>
                <w:rFonts w:ascii="Arial" w:hAnsi="Arial"/>
                <w:sz w:val="16"/>
              </w:rPr>
              <w:t>No unusual multivariate water-quality pattern was detected in the latest analysis.</w:t>
            </w:r>
          </w:p>
        </w:tc>
        <w:tc>
          <w:tcPr>
            <w:tcW w:type="dxa" w:w="2520"/>
            <w:vAlign w:val="center"/>
          </w:tcPr>
          <w:p>
            <w:pPr>
              <w:spacing w:after="0"/>
            </w:pPr>
            <w:r>
              <w:rPr>
                <w:rFonts w:ascii="Arial" w:hAnsi="Arial"/>
                <w:sz w:val="16"/>
              </w:rPr>
              <w:t>Continue routine monitoring and maintain configured thresholds, aeration, filtration, pump, and feeding schedules.</w:t>
            </w:r>
          </w:p>
        </w:tc>
        <w:tc>
          <w:tcPr>
            <w:tcW w:type="dxa" w:w="2520"/>
            <w:vAlign w:val="center"/>
          </w:tcPr>
          <w:p>
            <w:pPr>
              <w:spacing w:after="0"/>
            </w:pPr>
            <w:r>
              <w:rPr>
                <w:rFonts w:ascii="Arial" w:hAnsi="Arial"/>
                <w:sz w:val="16"/>
              </w:rPr>
              <w:t>Anomaly detection supports monitoring but does not replace routine threshold and system checks.</w:t>
            </w:r>
          </w:p>
        </w:tc>
      </w:tr>
    </w:tbl>
    <w:p>
      <w:pPr>
        <w:pStyle w:val="Heading2"/>
      </w:pPr>
      <w:r>
        <w:rPr>
          <w:rFonts w:ascii="Arial" w:hAnsi="Arial"/>
          <w:b/>
          <w:color w:val="1F4E79"/>
          <w:sz w:val="24"/>
        </w:rPr>
        <w:t>Action boundary and safety note</w:t>
      </w:r>
    </w:p>
    <w:p>
      <w:r>
        <w:t>These recommendations are friendly decision-support messages, not automatic diagnoses. CrayCare may recommend setting the aerator or water pump to ON or AUTO, but the user or the configured actuator rules must confirm the action. The water pump recommendation assumes that the water level is safe and that circulation through the connected filtration setup is required. The ML feature does not independently control the aerator, water pump, or auto feeder, and it does not recommend chemical treatment or claim that a disease is present.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ao.org/4/x5744e/x5744e0g.htm" TargetMode="External"/><Relationship Id="rId10" Type="http://schemas.openxmlformats.org/officeDocument/2006/relationships/hyperlink" Target="https://www.fao.org/4/x5744e/x5744e0m.htm" TargetMode="External"/><Relationship Id="rId11" Type="http://schemas.openxmlformats.org/officeDocument/2006/relationships/hyperlink" Target="https://srac.tamu.edu/fact-sheets/serve/102" TargetMode="External"/><Relationship Id="rId12" Type="http://schemas.openxmlformats.org/officeDocument/2006/relationships/hyperlink" Target="https://extension.okstate.edu/fact-sheets/recirculating-aquaculture-systems-questions-to-ask-before-you-invest" TargetMode="External"/><Relationship Id="rId13" Type="http://schemas.openxmlformats.org/officeDocument/2006/relationships/hyperlink" Target="https://www.fao.org/fileadmin/user_upload/fira/COFI-SAC/documents/SBD/COFI_AQ_IX_2017_SBD_8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