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D55222B">
      <w:pPr>
        <w:spacing w:line="480" w:lineRule="auto"/>
        <w:jc w:val="both"/>
        <w:rPr>
          <w:rFonts w:hint="default" w:ascii="Arial" w:hAnsi="Arial" w:cs="Arial"/>
          <w:b/>
          <w:bCs/>
          <w:sz w:val="22"/>
          <w:szCs w:val="22"/>
        </w:rPr>
      </w:pPr>
      <w:r>
        <w:rPr>
          <w:rFonts w:hint="default" w:ascii="Arial" w:hAnsi="Arial" w:eastAsia="Arial" w:cs="Arial"/>
          <w:b/>
          <w:bCs/>
          <w:sz w:val="22"/>
          <w:szCs w:val="22"/>
        </w:rPr>
        <w:t>3.1</w:t>
      </w:r>
      <w:r>
        <w:rPr>
          <w:rFonts w:hint="default" w:ascii="Arial" w:hAnsi="Arial" w:eastAsia="Arial" w:cs="Arial"/>
          <w:b/>
          <w:bCs/>
          <w:sz w:val="22"/>
          <w:szCs w:val="22"/>
        </w:rPr>
        <w:tab/>
      </w:r>
      <w:r>
        <w:rPr>
          <w:rFonts w:hint="default" w:ascii="Arial" w:hAnsi="Arial" w:eastAsia="Arial" w:cs="Arial"/>
          <w:b/>
          <w:bCs/>
          <w:sz w:val="22"/>
          <w:szCs w:val="22"/>
        </w:rPr>
        <w:t>REQUIREMENTS ANALYSIS</w:t>
      </w:r>
    </w:p>
    <w:p w14:paraId="360C9A86">
      <w:pPr>
        <w:spacing w:after="240" w:afterLines="100" w:line="480" w:lineRule="auto"/>
        <w:ind w:firstLine="719"/>
        <w:jc w:val="both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Arial" w:cs="Arial"/>
          <w:sz w:val="22"/>
          <w:szCs w:val="22"/>
        </w:rPr>
        <w:t>The Requirements Analysis phase translates the operational challenges and user needs identified in the problem analysis into a technical framework for CrayCare. This section defines the system's functional and non-functional requirements through the Requirements and Features Matrix, Use Case Diagram, and Use Case Reports. It connects the needs of small-scale crayfish farmers with the monitoring, production-recording, feeding, control, notification, analytics, and account-management capabilities implemented in the system.</w:t>
      </w:r>
    </w:p>
    <w:p w14:paraId="1C90C46C">
      <w:pPr>
        <w:spacing w:line="480" w:lineRule="auto"/>
        <w:ind w:left="720"/>
        <w:jc w:val="both"/>
        <w:rPr>
          <w:rFonts w:hint="default" w:ascii="Arial" w:hAnsi="Arial" w:cs="Arial"/>
          <w:b/>
          <w:bCs/>
          <w:sz w:val="22"/>
          <w:szCs w:val="22"/>
        </w:rPr>
      </w:pPr>
      <w:r>
        <w:rPr>
          <w:rFonts w:hint="default" w:ascii="Arial" w:hAnsi="Arial" w:eastAsia="Arial" w:cs="Arial"/>
          <w:b/>
          <w:bCs/>
          <w:sz w:val="22"/>
          <w:szCs w:val="22"/>
        </w:rPr>
        <w:t>3.1.1</w:t>
      </w:r>
      <w:r>
        <w:rPr>
          <w:rFonts w:hint="default" w:ascii="Arial" w:hAnsi="Arial" w:eastAsia="Arial" w:cs="Arial"/>
          <w:b/>
          <w:bCs/>
          <w:sz w:val="22"/>
          <w:szCs w:val="22"/>
        </w:rPr>
        <w:tab/>
      </w:r>
      <w:r>
        <w:rPr>
          <w:rFonts w:hint="default" w:ascii="Arial" w:hAnsi="Arial" w:eastAsia="Arial" w:cs="Arial"/>
          <w:b/>
          <w:bCs/>
          <w:sz w:val="22"/>
          <w:szCs w:val="22"/>
        </w:rPr>
        <w:t>Requirements and Features Matrix</w:t>
      </w:r>
    </w:p>
    <w:p w14:paraId="78CC307B">
      <w:pPr>
        <w:spacing w:line="480" w:lineRule="auto"/>
        <w:ind w:left="720" w:firstLine="720"/>
        <w:jc w:val="both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Arial" w:cs="Arial"/>
          <w:sz w:val="22"/>
          <w:szCs w:val="22"/>
        </w:rPr>
        <w:t>The Requirements and Features Matrix maps each functional and non-functional requirement to the corresponding CrayCare feature. It also identifies the priority and current status of each requirement, providing a reference for checking whether the system capabilities and quality attributes support the objectives of the study. Status meanings: Implemented = capability is present; Prototype = implemented but not validated with field data; Partially Implemented = a known gap remains; Needs Testing = the stated target or behavior has not yet been verified.</w:t>
      </w:r>
    </w:p>
    <w:p w14:paraId="4C6CE94D">
      <w:pPr>
        <w:spacing w:line="480" w:lineRule="auto"/>
        <w:jc w:val="center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Arial" w:cs="Arial"/>
          <w:sz w:val="22"/>
          <w:szCs w:val="22"/>
        </w:rPr>
        <w:t>Table 3.1</w:t>
      </w:r>
    </w:p>
    <w:p w14:paraId="093F0A50">
      <w:pPr>
        <w:spacing w:line="480" w:lineRule="auto"/>
        <w:jc w:val="center"/>
        <w:rPr>
          <w:rFonts w:hint="default" w:ascii="Arial" w:hAnsi="Arial" w:cs="Arial"/>
          <w:b/>
          <w:bCs/>
          <w:sz w:val="22"/>
          <w:szCs w:val="22"/>
        </w:rPr>
      </w:pPr>
      <w:r>
        <w:rPr>
          <w:rFonts w:hint="default" w:ascii="Arial" w:hAnsi="Arial" w:eastAsia="Arial" w:cs="Arial"/>
          <w:b/>
          <w:bCs/>
          <w:sz w:val="22"/>
          <w:szCs w:val="22"/>
        </w:rPr>
        <w:t>Functional Requirements Matrix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1"/>
        <w:gridCol w:w="3123"/>
        <w:gridCol w:w="1383"/>
        <w:gridCol w:w="1493"/>
      </w:tblGrid>
      <w:tr w14:paraId="62844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0" w:type="dxa"/>
            <w:gridSpan w:val="4"/>
          </w:tcPr>
          <w:p w14:paraId="527B62A6">
            <w:pPr>
              <w:widowControl/>
              <w:spacing w:before="120" w:beforeLines="50" w:after="120" w:afterLines="50"/>
              <w:jc w:val="both"/>
              <w:rPr>
                <w:rFonts w:hint="default"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b/>
                <w:bCs/>
                <w:sz w:val="22"/>
                <w:szCs w:val="22"/>
              </w:rPr>
              <w:t>Hardware Requirements</w:t>
            </w:r>
          </w:p>
        </w:tc>
      </w:tr>
      <w:tr w14:paraId="250D98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08B12BB9">
            <w:pPr>
              <w:widowControl w:val="0"/>
              <w:spacing w:after="120" w:afterLines="50"/>
              <w:jc w:val="center"/>
              <w:rPr>
                <w:rFonts w:hint="default" w:ascii="Arial" w:hAnsi="Arial" w:cs="Arial"/>
                <w:b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b/>
                <w:sz w:val="22"/>
                <w:szCs w:val="22"/>
              </w:rPr>
              <w:t>Requirement Description</w:t>
            </w:r>
          </w:p>
        </w:tc>
        <w:tc>
          <w:tcPr>
            <w:tcW w:w="3123" w:type="dxa"/>
          </w:tcPr>
          <w:p w14:paraId="0FE703E5">
            <w:pPr>
              <w:widowControl w:val="0"/>
              <w:spacing w:after="120" w:afterLines="50"/>
              <w:jc w:val="both"/>
              <w:rPr>
                <w:rFonts w:hint="default" w:ascii="Arial" w:hAnsi="Arial" w:cs="Arial"/>
                <w:b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b/>
                <w:sz w:val="22"/>
                <w:szCs w:val="22"/>
              </w:rPr>
              <w:t>System Feature(s)</w:t>
            </w:r>
          </w:p>
        </w:tc>
        <w:tc>
          <w:tcPr>
            <w:tcW w:w="1383" w:type="dxa"/>
          </w:tcPr>
          <w:p w14:paraId="2C8D17B3">
            <w:pPr>
              <w:widowControl w:val="0"/>
              <w:spacing w:after="120" w:afterLines="50"/>
              <w:jc w:val="center"/>
              <w:rPr>
                <w:rFonts w:hint="default" w:ascii="Arial" w:hAnsi="Arial" w:cs="Arial"/>
                <w:b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b/>
                <w:sz w:val="22"/>
                <w:szCs w:val="22"/>
              </w:rPr>
              <w:t>Priority</w:t>
            </w:r>
          </w:p>
        </w:tc>
        <w:tc>
          <w:tcPr>
            <w:tcW w:w="1493" w:type="dxa"/>
          </w:tcPr>
          <w:p w14:paraId="3BD2E7A6">
            <w:pPr>
              <w:widowControl w:val="0"/>
              <w:spacing w:after="120" w:afterLines="50"/>
              <w:jc w:val="center"/>
              <w:rPr>
                <w:rFonts w:hint="default" w:ascii="Arial" w:hAnsi="Arial" w:cs="Arial"/>
                <w:b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b/>
                <w:sz w:val="22"/>
                <w:szCs w:val="22"/>
              </w:rPr>
              <w:t>Status</w:t>
            </w:r>
          </w:p>
        </w:tc>
      </w:tr>
      <w:tr w14:paraId="3B4E6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15B0C332">
            <w:pPr>
              <w:widowControl w:val="0"/>
              <w:jc w:val="left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monitor water temperature in real time.</w:t>
            </w:r>
          </w:p>
        </w:tc>
        <w:tc>
          <w:tcPr>
            <w:tcW w:w="3123" w:type="dxa"/>
          </w:tcPr>
          <w:p w14:paraId="393D1BBF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Real-time water-temperature monitoring using a DS18B20 waterproof temperature sensor.</w:t>
            </w:r>
          </w:p>
        </w:tc>
        <w:tc>
          <w:tcPr>
            <w:tcW w:w="1383" w:type="dxa"/>
          </w:tcPr>
          <w:p w14:paraId="785E4C45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54A0E3C2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0E447A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4A58DFAF">
            <w:pPr>
              <w:widowControl w:val="0"/>
              <w:jc w:val="left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monitor water pH in real time.</w:t>
            </w:r>
          </w:p>
        </w:tc>
        <w:tc>
          <w:tcPr>
            <w:tcW w:w="3123" w:type="dxa"/>
          </w:tcPr>
          <w:p w14:paraId="4E8A09F9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Real-time pH monitoring using a DFRobot Gravity analog pH sensor.</w:t>
            </w:r>
          </w:p>
        </w:tc>
        <w:tc>
          <w:tcPr>
            <w:tcW w:w="1383" w:type="dxa"/>
          </w:tcPr>
          <w:p w14:paraId="20AD87A6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3C39BE40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2A694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740999FB">
            <w:pPr>
              <w:widowControl w:val="0"/>
              <w:jc w:val="left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monitor water turbidity in real time.</w:t>
            </w:r>
          </w:p>
        </w:tc>
        <w:tc>
          <w:tcPr>
            <w:tcW w:w="3123" w:type="dxa"/>
          </w:tcPr>
          <w:p w14:paraId="2F652AAB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Real-time turbidity monitoring using a DFRobot Gravity analog turbidity sensor module.</w:t>
            </w:r>
          </w:p>
        </w:tc>
        <w:tc>
          <w:tcPr>
            <w:tcW w:w="1383" w:type="dxa"/>
          </w:tcPr>
          <w:p w14:paraId="5722BEF5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6B0498DD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59DE5E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24619F98">
            <w:pPr>
              <w:widowControl w:val="0"/>
              <w:jc w:val="left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monitor dissolved oxygen (DO) levels in the water in real time.</w:t>
            </w:r>
          </w:p>
        </w:tc>
        <w:tc>
          <w:tcPr>
            <w:tcW w:w="3123" w:type="dxa"/>
          </w:tcPr>
          <w:p w14:paraId="5034432A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Real-time dissolved oxygen monitoring in the water using a DFRobot Gravity analog dissolved oxygen sensor.</w:t>
            </w:r>
          </w:p>
        </w:tc>
        <w:tc>
          <w:tcPr>
            <w:tcW w:w="1383" w:type="dxa"/>
          </w:tcPr>
          <w:p w14:paraId="00017DE6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544799A6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308EE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42EAC2D1">
            <w:pPr>
              <w:widowControl w:val="0"/>
              <w:jc w:val="left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monitor tank water level in real time.</w:t>
            </w:r>
          </w:p>
        </w:tc>
        <w:tc>
          <w:tcPr>
            <w:tcW w:w="3123" w:type="dxa"/>
          </w:tcPr>
          <w:p w14:paraId="4340A70A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Real-time tank water-level monitoring using an ultrasonic sensor.</w:t>
            </w:r>
          </w:p>
        </w:tc>
        <w:tc>
          <w:tcPr>
            <w:tcW w:w="1383" w:type="dxa"/>
          </w:tcPr>
          <w:p w14:paraId="2254FFAE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31E16FE8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2F261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75FBCCFC">
            <w:pPr>
              <w:widowControl w:val="0"/>
              <w:jc w:val="left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monitor the feeder hopper level in real time.</w:t>
            </w:r>
          </w:p>
        </w:tc>
        <w:tc>
          <w:tcPr>
            <w:tcW w:w="3123" w:type="dxa"/>
          </w:tcPr>
          <w:p w14:paraId="57F3CCDE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Real-time feeder hopper-level monitoring using an ultrasonic sensor.</w:t>
            </w:r>
          </w:p>
        </w:tc>
        <w:tc>
          <w:tcPr>
            <w:tcW w:w="1383" w:type="dxa"/>
          </w:tcPr>
          <w:p w14:paraId="3F073B16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13729E0D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5C97B3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626C89A9">
            <w:pPr>
              <w:widowControl w:val="0"/>
              <w:jc w:val="left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transmit sensor data over Wi-Fi in real time.</w:t>
            </w:r>
          </w:p>
        </w:tc>
        <w:tc>
          <w:tcPr>
            <w:tcW w:w="3123" w:type="dxa"/>
          </w:tcPr>
          <w:p w14:paraId="78EA14B3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Real-time Wi-Fi transmission of sensor readings to the application.</w:t>
            </w:r>
          </w:p>
        </w:tc>
        <w:tc>
          <w:tcPr>
            <w:tcW w:w="1383" w:type="dxa"/>
          </w:tcPr>
          <w:p w14:paraId="4728FDFB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0AA44FD7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158127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42D90734">
            <w:pPr>
              <w:widowControl w:val="0"/>
              <w:jc w:val="left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control the water pump to circulate tank water through the connected filtration setup.</w:t>
            </w:r>
          </w:p>
        </w:tc>
        <w:tc>
          <w:tcPr>
            <w:tcW w:w="3123" w:type="dxa"/>
          </w:tcPr>
          <w:p w14:paraId="1AF61FEC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Relay-controlled water circulation through the connected filtration setup.</w:t>
            </w:r>
          </w:p>
        </w:tc>
        <w:tc>
          <w:tcPr>
            <w:tcW w:w="1383" w:type="dxa"/>
          </w:tcPr>
          <w:p w14:paraId="6F3365E4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21D8CEC5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1047C0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56F8045F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aerate crayfish tanks.</w:t>
            </w:r>
          </w:p>
        </w:tc>
        <w:tc>
          <w:tcPr>
            <w:tcW w:w="3123" w:type="dxa"/>
          </w:tcPr>
          <w:p w14:paraId="03CC9C6A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Relay-controlled tank aeration.</w:t>
            </w:r>
          </w:p>
        </w:tc>
        <w:tc>
          <w:tcPr>
            <w:tcW w:w="1383" w:type="dxa"/>
          </w:tcPr>
          <w:p w14:paraId="5B993133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1F014F31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55280C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2BA6381B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automate feeding in the grow-out tank.</w:t>
            </w:r>
          </w:p>
        </w:tc>
        <w:tc>
          <w:tcPr>
            <w:tcW w:w="3123" w:type="dxa"/>
          </w:tcPr>
          <w:p w14:paraId="22C31EC7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Servo-operated automatic feed dispensing.</w:t>
            </w:r>
          </w:p>
        </w:tc>
        <w:tc>
          <w:tcPr>
            <w:tcW w:w="1383" w:type="dxa"/>
          </w:tcPr>
          <w:p w14:paraId="32809043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092B1743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369C78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7C6CD131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automatically switch the aerator and water pump between ON and OFF states in AUTO mode based on configured thresholds and valid sensor readings.</w:t>
            </w:r>
          </w:p>
        </w:tc>
        <w:tc>
          <w:tcPr>
            <w:tcW w:w="3123" w:type="dxa"/>
          </w:tcPr>
          <w:p w14:paraId="75A2423A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Threshold-based automatic ON/OFF control of the aerator and water pump using valid sensor readings.</w:t>
            </w:r>
          </w:p>
        </w:tc>
        <w:tc>
          <w:tcPr>
            <w:tcW w:w="1383" w:type="dxa"/>
          </w:tcPr>
          <w:p w14:paraId="6CD3ADF8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0FC5E986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</w:tbl>
    <w:p w14:paraId="16D9C040">
      <w:pPr>
        <w:spacing w:line="480" w:lineRule="auto"/>
        <w:ind w:left="719"/>
        <w:jc w:val="both"/>
        <w:rPr>
          <w:rFonts w:hint="default" w:ascii="Arial" w:hAnsi="Arial" w:cs="Arial"/>
          <w:i/>
          <w:iCs/>
          <w:sz w:val="22"/>
          <w:szCs w:val="22"/>
        </w:rPr>
      </w:pP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1"/>
        <w:gridCol w:w="3123"/>
        <w:gridCol w:w="1383"/>
        <w:gridCol w:w="1493"/>
      </w:tblGrid>
      <w:tr w14:paraId="0BD165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0" w:type="dxa"/>
            <w:gridSpan w:val="4"/>
          </w:tcPr>
          <w:p w14:paraId="349D2641">
            <w:pPr>
              <w:widowControl w:val="0"/>
              <w:spacing w:before="120" w:beforeLines="50" w:after="120" w:afterLines="5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b/>
                <w:bCs/>
                <w:sz w:val="22"/>
                <w:szCs w:val="22"/>
              </w:rPr>
              <w:t>Software Requirements</w:t>
            </w:r>
          </w:p>
        </w:tc>
      </w:tr>
      <w:tr w14:paraId="0D6F86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7B39644B">
            <w:pPr>
              <w:widowControl w:val="0"/>
              <w:spacing w:after="120" w:afterLines="5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b/>
                <w:sz w:val="22"/>
                <w:szCs w:val="22"/>
              </w:rPr>
              <w:t>Requirement Description</w:t>
            </w:r>
          </w:p>
        </w:tc>
        <w:tc>
          <w:tcPr>
            <w:tcW w:w="3123" w:type="dxa"/>
          </w:tcPr>
          <w:p w14:paraId="63C98083">
            <w:pPr>
              <w:widowControl w:val="0"/>
              <w:spacing w:after="120" w:afterLines="5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b/>
                <w:sz w:val="22"/>
                <w:szCs w:val="22"/>
              </w:rPr>
              <w:t>System Feature(s)</w:t>
            </w:r>
          </w:p>
        </w:tc>
        <w:tc>
          <w:tcPr>
            <w:tcW w:w="1383" w:type="dxa"/>
          </w:tcPr>
          <w:p w14:paraId="445417C0">
            <w:pPr>
              <w:widowControl w:val="0"/>
              <w:spacing w:after="120" w:afterLines="5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b/>
                <w:sz w:val="22"/>
                <w:szCs w:val="22"/>
              </w:rPr>
              <w:t>Priority</w:t>
            </w:r>
          </w:p>
        </w:tc>
        <w:tc>
          <w:tcPr>
            <w:tcW w:w="1493" w:type="dxa"/>
          </w:tcPr>
          <w:p w14:paraId="69200BBF">
            <w:pPr>
              <w:widowControl w:val="0"/>
              <w:spacing w:after="120" w:afterLines="5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b/>
                <w:sz w:val="22"/>
                <w:szCs w:val="22"/>
              </w:rPr>
              <w:t>Status</w:t>
            </w:r>
          </w:p>
        </w:tc>
      </w:tr>
      <w:tr w14:paraId="099014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0A978166">
            <w:pPr>
              <w:widowControl w:val="0"/>
              <w:jc w:val="left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allow secure user authentication and account recovery.</w:t>
            </w:r>
          </w:p>
        </w:tc>
        <w:tc>
          <w:tcPr>
            <w:tcW w:w="3123" w:type="dxa"/>
          </w:tcPr>
          <w:p w14:paraId="714BD6FB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Email/password and Google authentication with email verification, password reset, and account-status checks.</w:t>
            </w:r>
          </w:p>
        </w:tc>
        <w:tc>
          <w:tcPr>
            <w:tcW w:w="1383" w:type="dxa"/>
          </w:tcPr>
          <w:p w14:paraId="05834C7B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1919B060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0A3AC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776A042E">
            <w:pPr>
              <w:widowControl w:val="0"/>
              <w:jc w:val="left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support role-based user access.</w:t>
            </w:r>
          </w:p>
        </w:tc>
        <w:tc>
          <w:tcPr>
            <w:tcW w:w="3123" w:type="dxa"/>
          </w:tcPr>
          <w:p w14:paraId="392F5518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Role-based access for the System Admin and Tank Owners.</w:t>
            </w:r>
          </w:p>
        </w:tc>
        <w:tc>
          <w:tcPr>
            <w:tcW w:w="1383" w:type="dxa"/>
          </w:tcPr>
          <w:p w14:paraId="67E04146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2135062E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3CAF66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0CF723EC">
            <w:pPr>
              <w:widowControl w:val="0"/>
              <w:jc w:val="left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restrict tank-operation write actions to the designated owner.</w:t>
            </w:r>
          </w:p>
        </w:tc>
        <w:tc>
          <w:tcPr>
            <w:tcW w:w="3123" w:type="dxa"/>
          </w:tcPr>
          <w:p w14:paraId="0029C96A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Owner-only write access to tank monitoring and control records.</w:t>
            </w:r>
          </w:p>
        </w:tc>
        <w:tc>
          <w:tcPr>
            <w:tcW w:w="1383" w:type="dxa"/>
          </w:tcPr>
          <w:p w14:paraId="5E208F38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22233B87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4085C9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2FF3D9DC">
            <w:pPr>
              <w:widowControl w:val="0"/>
              <w:jc w:val="left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allow the administrator to manage owner accounts and hardware assignment.</w:t>
            </w:r>
          </w:p>
        </w:tc>
        <w:tc>
          <w:tcPr>
            <w:tcW w:w="3123" w:type="dxa"/>
          </w:tcPr>
          <w:p w14:paraId="38F99082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Owner-account management and hardware assignment for one active tank.</w:t>
            </w:r>
          </w:p>
        </w:tc>
        <w:tc>
          <w:tcPr>
            <w:tcW w:w="1383" w:type="dxa"/>
          </w:tcPr>
          <w:p w14:paraId="59299EEC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2CC29974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3AC593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67840C4E">
            <w:pPr>
              <w:widowControl w:val="0"/>
              <w:jc w:val="left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allow the assigned tank owner to view current sensor readings and device connectivity remotely.</w:t>
            </w:r>
          </w:p>
        </w:tc>
        <w:tc>
          <w:tcPr>
            <w:tcW w:w="3123" w:type="dxa"/>
          </w:tcPr>
          <w:p w14:paraId="4FD8EC52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Remote sensor monitoring with device and data-connectivity indicators.</w:t>
            </w:r>
          </w:p>
        </w:tc>
        <w:tc>
          <w:tcPr>
            <w:tcW w:w="1383" w:type="dxa"/>
          </w:tcPr>
          <w:p w14:paraId="4FEED36A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18316A3E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6E101A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48A950B2">
            <w:pPr>
              <w:widowControl w:val="0"/>
              <w:jc w:val="left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record the initial tank and baseline sampling setup.</w:t>
            </w:r>
          </w:p>
        </w:tc>
        <w:tc>
          <w:tcPr>
            <w:tcW w:w="3123" w:type="dxa"/>
          </w:tcPr>
          <w:p w14:paraId="228986FF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Tank initialization with stocking and baseline sampling records.</w:t>
            </w:r>
          </w:p>
        </w:tc>
        <w:tc>
          <w:tcPr>
            <w:tcW w:w="1383" w:type="dxa"/>
          </w:tcPr>
          <w:p w14:paraId="110C9F4F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2C4855CB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6A90D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7AC7EFA1">
            <w:pPr>
              <w:widowControl w:val="0"/>
              <w:jc w:val="left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allow the assigned tank owner to configure water-quality, water-level, and feed-level thresholds.</w:t>
            </w:r>
          </w:p>
        </w:tc>
        <w:tc>
          <w:tcPr>
            <w:tcW w:w="3123" w:type="dxa"/>
          </w:tcPr>
          <w:p w14:paraId="6340ECCC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Configurable water-quality, water-level, and feed-level thresholds with input validation.</w:t>
            </w:r>
          </w:p>
        </w:tc>
        <w:tc>
          <w:tcPr>
            <w:tcW w:w="1383" w:type="dxa"/>
          </w:tcPr>
          <w:p w14:paraId="4CC92AF2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5C8161C6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3D4543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0385070F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record sampling data.</w:t>
            </w:r>
          </w:p>
        </w:tc>
        <w:tc>
          <w:tcPr>
            <w:tcW w:w="3123" w:type="dxa"/>
          </w:tcPr>
          <w:p w14:paraId="6906F3DC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Stores individual crayfish weight and length measurements; the app computes sample size, totals, averages, and biomass for display and reports.</w:t>
            </w:r>
          </w:p>
        </w:tc>
        <w:tc>
          <w:tcPr>
            <w:tcW w:w="1383" w:type="dxa"/>
          </w:tcPr>
          <w:p w14:paraId="580E36F4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345F0B67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2C0F12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25342630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show the current crayfish growth stage.</w:t>
            </w:r>
          </w:p>
        </w:tc>
        <w:tc>
          <w:tcPr>
            <w:tcW w:w="3123" w:type="dxa"/>
          </w:tcPr>
          <w:p w14:paraId="5CA9B5E9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Automatic growth-stage display based on the latest valid body weight or length.</w:t>
            </w:r>
          </w:p>
        </w:tc>
        <w:tc>
          <w:tcPr>
            <w:tcW w:w="1383" w:type="dxa"/>
          </w:tcPr>
          <w:p w14:paraId="75B48781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Medium</w:t>
            </w:r>
          </w:p>
        </w:tc>
        <w:tc>
          <w:tcPr>
            <w:tcW w:w="1493" w:type="dxa"/>
          </w:tcPr>
          <w:p w14:paraId="29BF543B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03FDE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7B2B1B07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The system must perform Water Quality Anomaly Detection (WQAD) on multivariate water-sensor patterns and explain unusual results.</w:t>
            </w:r>
          </w:p>
        </w:tc>
        <w:tc>
          <w:tcPr>
            <w:tcW w:w="3123" w:type="dxa"/>
          </w:tcPr>
          <w:p w14:paraId="30277814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Hourly Isolation Forest analysis of the latest valid two-hour sensor window; displays anomaly status, percentile score, ranked sensor contributors, insight, and recommendation. Current model uses synthetic bootstrap data; field-data validation is still needed.</w:t>
            </w:r>
          </w:p>
        </w:tc>
        <w:tc>
          <w:tcPr>
            <w:tcW w:w="1383" w:type="dxa"/>
          </w:tcPr>
          <w:p w14:paraId="43DFF77A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62950752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Prototype</w:t>
            </w:r>
          </w:p>
        </w:tc>
      </w:tr>
      <w:tr w14:paraId="2949C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3E30541B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show crayfish growth and production trends.</w:t>
            </w:r>
          </w:p>
        </w:tc>
        <w:tc>
          <w:tcPr>
            <w:tcW w:w="3123" w:type="dxa"/>
          </w:tcPr>
          <w:p w14:paraId="5F1776F9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Growth and production views showing sample length, sample weight, biomass, survival rate, mortality, and culture-day summaries.</w:t>
            </w:r>
          </w:p>
        </w:tc>
        <w:tc>
          <w:tcPr>
            <w:tcW w:w="1383" w:type="dxa"/>
          </w:tcPr>
          <w:p w14:paraId="223C23F2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Medium</w:t>
            </w:r>
          </w:p>
        </w:tc>
        <w:tc>
          <w:tcPr>
            <w:tcW w:w="1493" w:type="dxa"/>
          </w:tcPr>
          <w:p w14:paraId="783BCD8F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40463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0F78600F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allow the assigned tank owner to manage recurring feeding schedules and configure one shared tank-level water-quality override for manual and scheduled feeding.</w:t>
            </w:r>
          </w:p>
        </w:tc>
        <w:tc>
          <w:tcPr>
            <w:tcW w:w="3123" w:type="dxa"/>
          </w:tcPr>
          <w:p w14:paraId="1809D7A6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Recurring schedules with weekday, time, whole-gram dose, enabled status, and conflict protection; one shared override setting applies to Feed Now and schedules while sensor-freshness and critical feeder-safety checks remain active.</w:t>
            </w:r>
          </w:p>
        </w:tc>
        <w:tc>
          <w:tcPr>
            <w:tcW w:w="1383" w:type="dxa"/>
          </w:tcPr>
          <w:p w14:paraId="4CA2B79F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Medium</w:t>
            </w:r>
          </w:p>
        </w:tc>
        <w:tc>
          <w:tcPr>
            <w:tcW w:w="1493" w:type="dxa"/>
          </w:tcPr>
          <w:p w14:paraId="196B3112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5C71F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61EBDD6E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allow the assigned tank owner to dispense feed manually in whole-number amounts from 1 to 200 g, subject to feeder, sensor, and schedule safety checks.</w:t>
            </w:r>
          </w:p>
        </w:tc>
        <w:tc>
          <w:tcPr>
            <w:tcW w:w="3123" w:type="dxa"/>
          </w:tcPr>
          <w:p w14:paraId="309ABD86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Feed Now validates whole-gram amounts, checks sensor freshness, turbidity-in-air, critical feed-level safety, and schedule conflicts, then applies the shared water-quality override and reports execution status.</w:t>
            </w:r>
          </w:p>
        </w:tc>
        <w:tc>
          <w:tcPr>
            <w:tcW w:w="1383" w:type="dxa"/>
          </w:tcPr>
          <w:p w14:paraId="3B657B1F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Medium</w:t>
            </w:r>
          </w:p>
        </w:tc>
        <w:tc>
          <w:tcPr>
            <w:tcW w:w="1493" w:type="dxa"/>
          </w:tcPr>
          <w:p w14:paraId="3F312C01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0252A4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1A2D5C5A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track daily feeding progress.</w:t>
            </w:r>
          </w:p>
        </w:tc>
        <w:tc>
          <w:tcPr>
            <w:tcW w:w="3123" w:type="dxa"/>
          </w:tcPr>
          <w:p w14:paraId="593CAC6E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Daily feeding progress with completed, previous, and upcoming feeding details.</w:t>
            </w:r>
          </w:p>
        </w:tc>
        <w:tc>
          <w:tcPr>
            <w:tcW w:w="1383" w:type="dxa"/>
          </w:tcPr>
          <w:p w14:paraId="07AFD999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Low</w:t>
            </w:r>
          </w:p>
        </w:tc>
        <w:tc>
          <w:tcPr>
            <w:tcW w:w="1493" w:type="dxa"/>
          </w:tcPr>
          <w:p w14:paraId="003B69B3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384B4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1F6D7996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generate downloadable PDF and Excel reports for selected batches, including batch summaries and optional sampling, individual crayfish measurements, mortality, and harvest details.</w:t>
            </w:r>
          </w:p>
        </w:tc>
        <w:tc>
          <w:tcPr>
            <w:tcW w:w="3123" w:type="dxa"/>
          </w:tcPr>
          <w:p w14:paraId="45DE3493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PDF and Excel export for selected batches, with selectable batch summaries, sampling records, individual weight-and-length measurements, mortality records, and harvest records.</w:t>
            </w:r>
          </w:p>
        </w:tc>
        <w:tc>
          <w:tcPr>
            <w:tcW w:w="1383" w:type="dxa"/>
          </w:tcPr>
          <w:p w14:paraId="7893D75F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Medium</w:t>
            </w:r>
          </w:p>
        </w:tc>
        <w:tc>
          <w:tcPr>
            <w:tcW w:w="1493" w:type="dxa"/>
          </w:tcPr>
          <w:p w14:paraId="5ABA4DE6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59BEF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3B6656E2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notify users of abnormal water conditions, operational status changes, feeding reminders, and sampling reminders.</w:t>
            </w:r>
          </w:p>
        </w:tc>
        <w:tc>
          <w:tcPr>
            <w:tcW w:w="3123" w:type="dxa"/>
          </w:tcPr>
          <w:p w14:paraId="601FDF9C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Push and in-app alerts for water conditions, operations, feeding, and sampling.</w:t>
            </w:r>
          </w:p>
        </w:tc>
        <w:tc>
          <w:tcPr>
            <w:tcW w:w="1383" w:type="dxa"/>
          </w:tcPr>
          <w:p w14:paraId="41D256C3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Medium</w:t>
            </w:r>
          </w:p>
        </w:tc>
        <w:tc>
          <w:tcPr>
            <w:tcW w:w="1493" w:type="dxa"/>
          </w:tcPr>
          <w:p w14:paraId="3D5750AE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2D4D49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0DC55B7F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store historical sensor data.</w:t>
            </w:r>
          </w:p>
        </w:tc>
        <w:tc>
          <w:tcPr>
            <w:tcW w:w="3123" w:type="dxa"/>
          </w:tcPr>
          <w:p w14:paraId="6753BEFF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Cloud-based storage of historical sensor readings.</w:t>
            </w:r>
          </w:p>
        </w:tc>
        <w:tc>
          <w:tcPr>
            <w:tcW w:w="1383" w:type="dxa"/>
          </w:tcPr>
          <w:p w14:paraId="12D32EC1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Medium</w:t>
            </w:r>
          </w:p>
        </w:tc>
        <w:tc>
          <w:tcPr>
            <w:tcW w:w="1493" w:type="dxa"/>
          </w:tcPr>
          <w:p w14:paraId="4AB56E17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50078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08FF7DAF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display the latest available sensor data during network interruptions.</w:t>
            </w:r>
          </w:p>
        </w:tc>
        <w:tc>
          <w:tcPr>
            <w:tcW w:w="3123" w:type="dxa"/>
          </w:tcPr>
          <w:p w14:paraId="4C8551DB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Offline access to cached sensor readings.</w:t>
            </w:r>
          </w:p>
        </w:tc>
        <w:tc>
          <w:tcPr>
            <w:tcW w:w="1383" w:type="dxa"/>
          </w:tcPr>
          <w:p w14:paraId="31A209A3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Medium</w:t>
            </w:r>
          </w:p>
        </w:tc>
        <w:tc>
          <w:tcPr>
            <w:tcW w:w="1493" w:type="dxa"/>
          </w:tcPr>
          <w:p w14:paraId="30588C34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37B395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4BBFADA6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allow the assigned tank owner to set each actuator to OFF, AUTO, or ON.</w:t>
            </w:r>
          </w:p>
        </w:tc>
        <w:tc>
          <w:tcPr>
            <w:tcW w:w="3123" w:type="dxa"/>
          </w:tcPr>
          <w:p w14:paraId="13758848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OFF, AUTO, and ON actuator modes with offline protection and activity logs.</w:t>
            </w:r>
          </w:p>
        </w:tc>
        <w:tc>
          <w:tcPr>
            <w:tcW w:w="1383" w:type="dxa"/>
          </w:tcPr>
          <w:p w14:paraId="1EF9F6DE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Medium</w:t>
            </w:r>
          </w:p>
        </w:tc>
        <w:tc>
          <w:tcPr>
            <w:tcW w:w="1493" w:type="dxa"/>
          </w:tcPr>
          <w:p w14:paraId="76806BC7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189009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7F8B5679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provide historical water-sensor analytics.</w:t>
            </w:r>
          </w:p>
        </w:tc>
        <w:tc>
          <w:tcPr>
            <w:tcW w:w="3123" w:type="dxa"/>
          </w:tcPr>
          <w:p w14:paraId="1F8154B3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Historical sensor charts with minimum, maximum, and average values across selectable time ranges.</w:t>
            </w:r>
          </w:p>
        </w:tc>
        <w:tc>
          <w:tcPr>
            <w:tcW w:w="1383" w:type="dxa"/>
          </w:tcPr>
          <w:p w14:paraId="3F9B0A81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Medium</w:t>
            </w:r>
          </w:p>
        </w:tc>
        <w:tc>
          <w:tcPr>
            <w:tcW w:w="1493" w:type="dxa"/>
          </w:tcPr>
          <w:p w14:paraId="39EEC889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5365D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68BC381E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allow users to manage their profiles and credentials.</w:t>
            </w:r>
          </w:p>
        </w:tc>
        <w:tc>
          <w:tcPr>
            <w:tcW w:w="3123" w:type="dxa"/>
          </w:tcPr>
          <w:p w14:paraId="17C1C904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Profile and password management based on the user's sign-in method.</w:t>
            </w:r>
          </w:p>
        </w:tc>
        <w:tc>
          <w:tcPr>
            <w:tcW w:w="1383" w:type="dxa"/>
          </w:tcPr>
          <w:p w14:paraId="00496A6F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Medium</w:t>
            </w:r>
          </w:p>
        </w:tc>
        <w:tc>
          <w:tcPr>
            <w:tcW w:w="1493" w:type="dxa"/>
          </w:tcPr>
          <w:p w14:paraId="1B84DED9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6EE3C0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054245F1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manage notifications and owner preferences.</w:t>
            </w:r>
          </w:p>
        </w:tc>
        <w:tc>
          <w:tcPr>
            <w:tcW w:w="3123" w:type="dxa"/>
          </w:tcPr>
          <w:p w14:paraId="5A81F4D5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Notification history, read status, category filters, and alert preferences.</w:t>
            </w:r>
          </w:p>
        </w:tc>
        <w:tc>
          <w:tcPr>
            <w:tcW w:w="1383" w:type="dxa"/>
          </w:tcPr>
          <w:p w14:paraId="469A77C1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Medium</w:t>
            </w:r>
          </w:p>
        </w:tc>
        <w:tc>
          <w:tcPr>
            <w:tcW w:w="1493" w:type="dxa"/>
          </w:tcPr>
          <w:p w14:paraId="2EF101EE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47928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3261D108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manage production and batch records.</w:t>
            </w:r>
          </w:p>
        </w:tc>
        <w:tc>
          <w:tcPr>
            <w:tcW w:w="3123" w:type="dxa"/>
          </w:tcPr>
          <w:p w14:paraId="6D9CF326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Batch, sampling, mortality, harvest, population, and completion records.</w:t>
            </w:r>
          </w:p>
        </w:tc>
        <w:tc>
          <w:tcPr>
            <w:tcW w:w="1383" w:type="dxa"/>
          </w:tcPr>
          <w:p w14:paraId="3928F171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72C3409B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68603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5A9AD817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maintain feeding and actuator activity logs.</w:t>
            </w:r>
          </w:p>
        </w:tc>
        <w:tc>
          <w:tcPr>
            <w:tcW w:w="3123" w:type="dxa"/>
          </w:tcPr>
          <w:p w14:paraId="0160CF37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Feeding and actuator logs with timestamps, outcomes, and failure or skip details.</w:t>
            </w:r>
          </w:p>
        </w:tc>
        <w:tc>
          <w:tcPr>
            <w:tcW w:w="1383" w:type="dxa"/>
          </w:tcPr>
          <w:p w14:paraId="79FA10D2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Medium</w:t>
            </w:r>
          </w:p>
        </w:tc>
        <w:tc>
          <w:tcPr>
            <w:tcW w:w="1493" w:type="dxa"/>
          </w:tcPr>
          <w:p w14:paraId="09645010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5BBCA7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2633D2C3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continue synchronized feeding schedules and automatic actuator control during temporary internet interruptions.</w:t>
            </w:r>
          </w:p>
        </w:tc>
        <w:tc>
          <w:tcPr>
            <w:tcW w:w="3123" w:type="dxa"/>
          </w:tcPr>
          <w:p w14:paraId="2D295B68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Local execution by the ESP32 of synchronized feeding schedules and AUTO actuator rules during temporary internet interruptions.</w:t>
            </w:r>
          </w:p>
        </w:tc>
        <w:tc>
          <w:tcPr>
            <w:tcW w:w="1383" w:type="dxa"/>
          </w:tcPr>
          <w:p w14:paraId="26A47315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0DDFBF5A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</w:tbl>
    <w:p w14:paraId="5E2757A4">
      <w:pPr>
        <w:spacing w:line="480" w:lineRule="auto"/>
        <w:ind w:left="720" w:firstLine="720"/>
        <w:jc w:val="both"/>
        <w:rPr>
          <w:rFonts w:hint="default" w:ascii="Arial" w:hAnsi="Arial" w:cs="Arial"/>
          <w:i/>
          <w:iCs/>
          <w:sz w:val="22"/>
          <w:szCs w:val="22"/>
        </w:rPr>
      </w:pPr>
    </w:p>
    <w:p w14:paraId="265A1096">
      <w:pPr>
        <w:spacing w:after="240" w:afterLines="100" w:line="480" w:lineRule="auto"/>
        <w:ind w:left="720" w:firstLine="720"/>
        <w:jc w:val="both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Table 3.1 presents the functional requirements and corresponding CrayCare features. These include sensor monitoring and threshold configuration; Wi-Fi data transmission; pump circulation and aeration; scheduled and manual feeding with water-quality override controls; user authentication and role-based access; tank, sampling, mortality, harvest, and growth management; prototype Water Quality Anomaly Detection (WQAD) trained on synthetic bootstrap data and not yet evaluated with actual tank data; notifications; historical analytics; and PDF and Excel reports with optional individual crayfish measurements.</w:t>
      </w:r>
    </w:p>
    <w:p w14:paraId="3D8C3DF8">
      <w:pPr>
        <w:spacing w:line="480" w:lineRule="auto"/>
        <w:jc w:val="center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Arial" w:cs="Arial"/>
          <w:sz w:val="22"/>
          <w:szCs w:val="22"/>
        </w:rPr>
        <w:t>Table 3.2</w:t>
      </w:r>
    </w:p>
    <w:p w14:paraId="483223CB">
      <w:pPr>
        <w:spacing w:line="480" w:lineRule="auto"/>
        <w:jc w:val="center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eastAsia="Arial" w:cs="Arial"/>
          <w:b/>
          <w:bCs/>
          <w:sz w:val="22"/>
          <w:szCs w:val="22"/>
        </w:rPr>
        <w:t>Non-Functional Requirements Matrix</w:t>
      </w:r>
    </w:p>
    <w:tbl>
      <w:tblPr>
        <w:tblStyle w:val="1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1"/>
        <w:gridCol w:w="3123"/>
        <w:gridCol w:w="1383"/>
        <w:gridCol w:w="1493"/>
      </w:tblGrid>
      <w:tr w14:paraId="3428D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00" w:type="dxa"/>
            <w:gridSpan w:val="4"/>
          </w:tcPr>
          <w:p w14:paraId="4693EE46">
            <w:pPr>
              <w:widowControl w:val="0"/>
              <w:spacing w:before="120" w:beforeLines="50" w:after="120" w:afterLines="50"/>
              <w:jc w:val="left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b/>
                <w:sz w:val="22"/>
                <w:szCs w:val="22"/>
              </w:rPr>
              <w:t>Non-Functional Requirements</w:t>
            </w:r>
          </w:p>
        </w:tc>
      </w:tr>
      <w:tr w14:paraId="3AF335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001" w:type="dxa"/>
          </w:tcPr>
          <w:p w14:paraId="1CE19B88">
            <w:pPr>
              <w:widowControl w:val="0"/>
              <w:spacing w:after="120" w:afterLines="5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b/>
                <w:sz w:val="22"/>
                <w:szCs w:val="22"/>
              </w:rPr>
              <w:t>Requirement Description</w:t>
            </w:r>
          </w:p>
        </w:tc>
        <w:tc>
          <w:tcPr>
            <w:tcW w:w="3123" w:type="dxa"/>
          </w:tcPr>
          <w:p w14:paraId="161883CE">
            <w:pPr>
              <w:widowControl w:val="0"/>
              <w:spacing w:after="120" w:afterLines="5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b/>
                <w:sz w:val="22"/>
                <w:szCs w:val="22"/>
              </w:rPr>
              <w:t>System Feature(s)</w:t>
            </w:r>
          </w:p>
        </w:tc>
        <w:tc>
          <w:tcPr>
            <w:tcW w:w="1383" w:type="dxa"/>
          </w:tcPr>
          <w:p w14:paraId="45852FAE">
            <w:pPr>
              <w:widowControl w:val="0"/>
              <w:spacing w:after="120" w:afterLines="5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b/>
                <w:sz w:val="22"/>
                <w:szCs w:val="22"/>
              </w:rPr>
              <w:t>Priority</w:t>
            </w:r>
          </w:p>
        </w:tc>
        <w:tc>
          <w:tcPr>
            <w:tcW w:w="1493" w:type="dxa"/>
          </w:tcPr>
          <w:p w14:paraId="218308BE">
            <w:pPr>
              <w:widowControl w:val="0"/>
              <w:spacing w:after="120" w:afterLines="5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b/>
                <w:sz w:val="22"/>
                <w:szCs w:val="22"/>
              </w:rPr>
              <w:t>Status</w:t>
            </w:r>
          </w:p>
        </w:tc>
      </w:tr>
      <w:tr w14:paraId="6F54D8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40CE10A7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Installed sensors must be calibrated according to their sensor-specific procedures before use.</w:t>
            </w:r>
          </w:p>
        </w:tc>
        <w:tc>
          <w:tcPr>
            <w:tcW w:w="3123" w:type="dxa"/>
          </w:tcPr>
          <w:p w14:paraId="595CB92F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Calibration procedures cover pH buffer points, DO air saturation, turbidity reference points, tank water-level geometry, and hopper empty/full points; a temperature calibration procedure is not documented.</w:t>
            </w:r>
          </w:p>
        </w:tc>
        <w:tc>
          <w:tcPr>
            <w:tcW w:w="1383" w:type="dxa"/>
          </w:tcPr>
          <w:p w14:paraId="0BF1E1BF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72D98FF7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Partially Implemented</w:t>
            </w:r>
          </w:p>
        </w:tc>
      </w:tr>
      <w:tr w14:paraId="146282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24F2E936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hardware should operate reliably under the environmental conditions specified for the tank installation.</w:t>
            </w:r>
          </w:p>
        </w:tc>
        <w:tc>
          <w:tcPr>
            <w:tcW w:w="3123" w:type="dxa"/>
          </w:tcPr>
          <w:p w14:paraId="15E98407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Environmental reliability under expected moisture, splash, and tank-installation conditions requires validation testing.</w:t>
            </w:r>
          </w:p>
        </w:tc>
        <w:tc>
          <w:tcPr>
            <w:tcW w:w="1383" w:type="dxa"/>
          </w:tcPr>
          <w:p w14:paraId="3A7AB7FE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Medium</w:t>
            </w:r>
          </w:p>
        </w:tc>
        <w:tc>
          <w:tcPr>
            <w:tcW w:w="1493" w:type="dxa"/>
          </w:tcPr>
          <w:p w14:paraId="5902DAC9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Needs Testing</w:t>
            </w:r>
          </w:p>
        </w:tc>
      </w:tr>
      <w:tr w14:paraId="5D4D49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22224272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Valid ten-minute sensor-history records must be retained when the ESP32 temporarily loses Wi-Fi and synchronized after reconnection.</w:t>
            </w:r>
          </w:p>
        </w:tc>
        <w:tc>
          <w:tcPr>
            <w:tcW w:w="3123" w:type="dxa"/>
          </w:tcPr>
          <w:p w14:paraId="175BE057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 xml:space="preserve">The ESP32 buffers ten-minute history records locally in SD/LittleFS and synchronizes them after reconnection. </w:t>
            </w:r>
          </w:p>
        </w:tc>
        <w:tc>
          <w:tcPr>
            <w:tcW w:w="1383" w:type="dxa"/>
          </w:tcPr>
          <w:p w14:paraId="3ABA23AD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11F774EC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298CB4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47D1750D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should preserve valid sensor and production records without silent corruption or duplicate outcomes.</w:t>
            </w:r>
          </w:p>
        </w:tc>
        <w:tc>
          <w:tcPr>
            <w:tcW w:w="3123" w:type="dxa"/>
          </w:tcPr>
          <w:p w14:paraId="4984610B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Input validation, Firestore transactions for related updates, and duplicate checks for buffered sensor-history uploads support record integrity; retry and duplicate behavior across all writes still requires verification.</w:t>
            </w:r>
          </w:p>
        </w:tc>
        <w:tc>
          <w:tcPr>
            <w:tcW w:w="1383" w:type="dxa"/>
          </w:tcPr>
          <w:p w14:paraId="768BBD5B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44B1DE1B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Needs Testing</w:t>
            </w:r>
          </w:p>
        </w:tc>
      </w:tr>
      <w:tr w14:paraId="32B6B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261902F9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dashboard should display a new sensor reading within five seconds of its Firestore write under stable connectivity.</w:t>
            </w:r>
          </w:p>
        </w:tc>
        <w:tc>
          <w:tcPr>
            <w:tcW w:w="3123" w:type="dxa"/>
          </w:tcPr>
          <w:p w14:paraId="2893DA68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Realtime Firestore listeners and cached readings support dashboard updates; compliance with the five-second target must be measured under stable connectivity.</w:t>
            </w:r>
          </w:p>
        </w:tc>
        <w:tc>
          <w:tcPr>
            <w:tcW w:w="1383" w:type="dxa"/>
          </w:tcPr>
          <w:p w14:paraId="4B2E9A5A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5E9ABE97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Needs Testing</w:t>
            </w:r>
          </w:p>
        </w:tc>
      </w:tr>
      <w:tr w14:paraId="3D48A0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5DF369CA">
            <w:pPr>
              <w:widowControl w:val="0"/>
              <w:jc w:val="both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should acknowledge valid actuator and Feed Now commands within 3 seconds and display device execution/status updates within 5 seconds under stable connectivity.</w:t>
            </w:r>
          </w:p>
        </w:tc>
        <w:tc>
          <w:tcPr>
            <w:tcW w:w="3123" w:type="dxa"/>
          </w:tcPr>
          <w:p w14:paraId="47FDE893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Feed Now requests are polled about every second; actuator settings and feeder-status updates are polled about every five seconds. End-to-end compliance has not yet been measured.</w:t>
            </w:r>
          </w:p>
        </w:tc>
        <w:tc>
          <w:tcPr>
            <w:tcW w:w="1383" w:type="dxa"/>
          </w:tcPr>
          <w:p w14:paraId="306F0B35">
            <w:pPr>
              <w:widowControl w:val="0"/>
              <w:jc w:val="center"/>
              <w:rPr>
                <w:rFonts w:hint="default" w:ascii="Arial" w:hAnsi="Arial" w:eastAsia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7FF689D3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>Needs Testing</w:t>
            </w:r>
          </w:p>
        </w:tc>
      </w:tr>
      <w:tr w14:paraId="3E32FA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267D380A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Tank owners should be able to review readings, change thresholds, feed, record sampling, and export reports using labeled controls and clear validation feedback.</w:t>
            </w:r>
          </w:p>
        </w:tc>
        <w:tc>
          <w:tcPr>
            <w:tcW w:w="3123" w:type="dxa"/>
          </w:tcPr>
          <w:p w14:paraId="2CDB9FB7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Guided screens and input validation support these workflows; task-based usability testing remains necessary.</w:t>
            </w:r>
          </w:p>
        </w:tc>
        <w:tc>
          <w:tcPr>
            <w:tcW w:w="1383" w:type="dxa"/>
          </w:tcPr>
          <w:p w14:paraId="008AFF49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6F7031CA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Needs Testing</w:t>
            </w:r>
          </w:p>
        </w:tc>
      </w:tr>
      <w:tr w14:paraId="554702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19461FC1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PDF and Excel reports must present selected records with descriptive headings, dates, units, and readable values without clipped columns.</w:t>
            </w:r>
          </w:p>
        </w:tc>
        <w:tc>
          <w:tcPr>
            <w:tcW w:w="3123" w:type="dxa"/>
          </w:tcPr>
          <w:p w14:paraId="323CDD6C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Report builders provide section titles, column labels, units, and calculated values; layout and readability across export formats still require validation.</w:t>
            </w:r>
          </w:p>
        </w:tc>
        <w:tc>
          <w:tcPr>
            <w:tcW w:w="1383" w:type="dxa"/>
          </w:tcPr>
          <w:p w14:paraId="64073573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Medium</w:t>
            </w:r>
          </w:p>
        </w:tc>
        <w:tc>
          <w:tcPr>
            <w:tcW w:w="1493" w:type="dxa"/>
          </w:tcPr>
          <w:p w14:paraId="039A65FB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Needs Testing</w:t>
            </w:r>
          </w:p>
        </w:tc>
      </w:tr>
      <w:tr w14:paraId="2E107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18AF1A07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must prevent unauthorized users from accessing or changing farm data outside their authorized role and tank.</w:t>
            </w:r>
          </w:p>
        </w:tc>
        <w:tc>
          <w:tcPr>
            <w:tcW w:w="3123" w:type="dxa"/>
          </w:tcPr>
          <w:p w14:paraId="1086334C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Firebase Authentication, role-based access, and owner-scoped Firestore rules for protected data and actions.</w:t>
            </w:r>
          </w:p>
        </w:tc>
        <w:tc>
          <w:tcPr>
            <w:tcW w:w="1383" w:type="dxa"/>
          </w:tcPr>
          <w:p w14:paraId="076A994B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1F878BF1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3980B2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15EA2D13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should support future maintenance and updates.</w:t>
            </w:r>
          </w:p>
        </w:tc>
        <w:tc>
          <w:tcPr>
            <w:tcW w:w="3123" w:type="dxa"/>
          </w:tcPr>
          <w:p w14:paraId="53CFE0E2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Modular and documented Flutter, Cloud Functions, ESP32, and Firestore data-contract components.</w:t>
            </w:r>
          </w:p>
        </w:tc>
        <w:tc>
          <w:tcPr>
            <w:tcW w:w="1383" w:type="dxa"/>
          </w:tcPr>
          <w:p w14:paraId="68F313AB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Medium</w:t>
            </w:r>
          </w:p>
        </w:tc>
        <w:tc>
          <w:tcPr>
            <w:tcW w:w="1493" w:type="dxa"/>
          </w:tcPr>
          <w:p w14:paraId="50467198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  <w:tr w14:paraId="63F9BD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1" w:type="dxa"/>
          </w:tcPr>
          <w:p w14:paraId="203A0084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The system should maintain compatible and authenticated data exchange among the mobile app, ESP32 hardware, Cloud Firestore, and Cloud Functions.</w:t>
            </w:r>
          </w:p>
        </w:tc>
        <w:tc>
          <w:tcPr>
            <w:tcW w:w="3123" w:type="dxa"/>
          </w:tcPr>
          <w:p w14:paraId="65621C34">
            <w:pPr>
              <w:widowControl w:val="0"/>
              <w:jc w:val="both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cs="Arial"/>
                <w:sz w:val="22"/>
                <w:szCs w:val="22"/>
              </w:rPr>
              <w:t xml:space="preserve">The Flutter app exchanges data with Firestore and invokes authenticated Cloud Functions. The ESP32 writes live readings and normal history directly to Firestore; buffered offline history is sent through the Cloud Function staging and assignment-validation route. </w:t>
            </w:r>
          </w:p>
        </w:tc>
        <w:tc>
          <w:tcPr>
            <w:tcW w:w="1383" w:type="dxa"/>
          </w:tcPr>
          <w:p w14:paraId="6BBB0E55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High</w:t>
            </w:r>
          </w:p>
        </w:tc>
        <w:tc>
          <w:tcPr>
            <w:tcW w:w="1493" w:type="dxa"/>
          </w:tcPr>
          <w:p w14:paraId="0221C11A">
            <w:pPr>
              <w:widowControl w:val="0"/>
              <w:jc w:val="center"/>
              <w:rPr>
                <w:rFonts w:hint="default" w:ascii="Arial" w:hAnsi="Arial" w:cs="Arial"/>
                <w:sz w:val="22"/>
                <w:szCs w:val="22"/>
              </w:rPr>
            </w:pPr>
            <w:r>
              <w:rPr>
                <w:rFonts w:hint="default" w:ascii="Arial" w:hAnsi="Arial" w:eastAsia="Arial" w:cs="Arial"/>
                <w:sz w:val="22"/>
                <w:szCs w:val="22"/>
              </w:rPr>
              <w:t>Implemented</w:t>
            </w:r>
          </w:p>
        </w:tc>
      </w:tr>
    </w:tbl>
    <w:p w14:paraId="7EE46379">
      <w:pPr>
        <w:spacing w:line="480" w:lineRule="auto"/>
        <w:ind w:left="720"/>
        <w:jc w:val="both"/>
        <w:rPr>
          <w:rFonts w:hint="default" w:ascii="Arial" w:hAnsi="Arial" w:cs="Arial"/>
          <w:i/>
          <w:iCs/>
          <w:sz w:val="22"/>
          <w:szCs w:val="22"/>
        </w:rPr>
      </w:pPr>
    </w:p>
    <w:p w14:paraId="1AC9133E">
      <w:pPr>
        <w:spacing w:after="240" w:afterLines="100" w:line="480" w:lineRule="auto"/>
        <w:ind w:left="719" w:firstLine="719"/>
        <w:jc w:val="both"/>
        <w:rPr>
          <w:rFonts w:hint="default" w:ascii="Arial" w:hAnsi="Arial" w:cs="Arial"/>
          <w:sz w:val="22"/>
          <w:szCs w:val="22"/>
        </w:rPr>
      </w:pPr>
      <w:r>
        <w:rPr>
          <w:rFonts w:hint="default" w:ascii="Arial" w:hAnsi="Arial" w:cs="Arial"/>
          <w:sz w:val="22"/>
          <w:szCs w:val="22"/>
        </w:rPr>
        <w:t>Table 3.2 presents CrayCare’s quality and operating requirements. These include calibrated sensor accuracy, hardware reliability, buffering of ten-minute sensor-history records during Wi-Fi interruptions, dashboard refresh and command-response targets, usability, security,</w:t>
      </w:r>
      <w:bookmarkStart w:id="0" w:name="_GoBack"/>
      <w:bookmarkEnd w:id="0"/>
      <w:r>
        <w:rPr>
          <w:rFonts w:hint="default" w:ascii="Arial" w:hAnsi="Arial" w:cs="Arial"/>
          <w:sz w:val="22"/>
          <w:szCs w:val="22"/>
        </w:rPr>
        <w:t xml:space="preserve"> data integrity, maintainability, report readability, and authenticated data exchange through Firebase services. Sensor accuracy, environmental reliability, and end-to-end response time depend on proper calibration, installation, and operating conditions.</w:t>
      </w:r>
    </w:p>
    <w:sectPr>
      <w:headerReference r:id="rId3" w:type="default"/>
      <w:footerReference r:id="rId4" w:type="default"/>
      <w:pgSz w:w="12240" w:h="15840"/>
      <w:pgMar w:top="2160" w:right="1728" w:bottom="1728" w:left="1728" w:header="720" w:footer="720" w:gutter="0"/>
      <w:cols w:space="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Helvetica">
    <w:altName w:val="Arial"/>
    <w:panose1 w:val="020B0604020202020204"/>
    <w:charset w:val="00"/>
    <w:family w:val="auto"/>
    <w:pitch w:val="default"/>
    <w:sig w:usb0="00000000" w:usb1="00000000" w:usb2="00000000" w:usb3="00000000" w:csb0="2000019F" w:csb1="4F010000"/>
  </w:font>
  <w:font w:name="Helvetica Neue">
    <w:altName w:val="Times New Roman"/>
    <w:panose1 w:val="00000000000000000000"/>
    <w:charset w:val="00"/>
    <w:family w:val="auto"/>
    <w:pitch w:val="default"/>
    <w:sig w:usb0="00000000" w:usb1="00000000" w:usb2="00000010" w:usb3="00000000" w:csb0="00000000" w:csb1="00000000"/>
  </w:font>
  <w:font w:name="Arial Regular">
    <w:altName w:val="Arial"/>
    <w:panose1 w:val="00000000000000000000"/>
    <w:charset w:val="00"/>
    <w:family w:val="auto"/>
    <w:pitch w:val="default"/>
    <w:sig w:usb0="00000000" w:usb1="00000000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23A431">
    <w:pPr>
      <w:pStyle w:val="12"/>
    </w:pPr>
    <w:r>
      <w:rPr>
        <w:sz w:val="24"/>
      </w:rP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margin">
                <wp:posOffset>5882640</wp:posOffset>
              </wp:positionH>
              <wp:positionV relativeFrom="paragraph">
                <wp:posOffset>-292100</wp:posOffset>
              </wp:positionV>
              <wp:extent cx="1828800" cy="1828800"/>
              <wp:effectExtent l="0" t="0" r="0" b="0"/>
              <wp:wrapNone/>
              <wp:docPr id="265" name="Text Box 2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5DAC71E">
                          <w:pPr>
                            <w:pStyle w:val="12"/>
                          </w:pPr>
                          <w:r>
                            <w:rPr>
                              <w:rFonts w:ascii="Arial Regular" w:hAnsi="Arial Regular" w:cs="Arial Regular"/>
                              <w:sz w:val="22"/>
                              <w:szCs w:val="22"/>
                            </w:rPr>
                            <w:fldChar w:fldCharType="begin"/>
                          </w:r>
                          <w:r>
                            <w:rPr>
                              <w:rFonts w:ascii="Arial Regular" w:hAnsi="Arial Regular" w:cs="Arial Regular"/>
                              <w:sz w:val="22"/>
                              <w:szCs w:val="22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Arial Regular" w:hAnsi="Arial Regular" w:cs="Arial Regular"/>
                              <w:sz w:val="22"/>
                              <w:szCs w:val="22"/>
                            </w:rPr>
                            <w:fldChar w:fldCharType="separate"/>
                          </w:r>
                          <w:r>
                            <w:rPr>
                              <w:rFonts w:ascii="Arial Regular" w:hAnsi="Arial Regular" w:cs="Arial Regular"/>
                              <w:sz w:val="22"/>
                              <w:szCs w:val="22"/>
                            </w:rPr>
                            <w:t>xcii</w:t>
                          </w:r>
                          <w:r>
                            <w:rPr>
                              <w:rFonts w:ascii="Arial Regular" w:hAnsi="Arial Regular" w:cs="Arial Regular"/>
                              <w:sz w:val="22"/>
                              <w:szCs w:val="22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463.2pt;margin-top:-23pt;height:144pt;width:144pt;mso-position-horizontal-relative:margin;mso-wrap-style:none;z-index:251669504;mso-width-relative:page;mso-height-relative:page;" filled="f" stroked="f" coordsize="21600,21600" o:gfxdata="UEsDBAoAAAAAAIdO4kAAAAAAAAAAAAAAAAAEAAAAZHJzL1BLAwQUAAAACACHTuJAAqY0bdgAAAAM&#10;AQAADwAAAGRycy9kb3ducmV2LnhtbE2Py07DMBBF90j8gzVI7Fo7xoogxKlERVgi0bBg6cZDEvAj&#10;st00/D3uCpYzc3Tn3Hq3WkMWDHHyTkKxZUDQ9V5PbpDw3rWbeyAxKaeV8Q4l/GCEXXN9VatK+7N7&#10;w+WQBpJDXKyUhDGluaI09iNaFbd+Rpdvnz5YlfIYBqqDOudwayhnrKRWTS5/GNWM+xH778PJSti3&#10;XRcWjMF84Et79/X6JPB5lfL2pmCPQBKu6Q+Gi35WhyY7Hf3J6UiMhAdeioxK2Igyl7oQvBB5dZTA&#10;BWdAm5r+L9H8AlBLAwQUAAAACACHTuJAYbiHSB0CAABYBAAADgAAAGRycy9lMm9Eb2MueG1srVRN&#10;i9swEL0X+h+E7o2TlA0hxFnSDSmF0F3YLT0rshwbJI2QlNjpr++TP7Jl28MeepFHmtEbvTczXt+3&#10;RrOL8qEmm/PZZMqZspKK2p5y/uNl/2nJWYjCFkKTVTm/qsDvNx8/rBu3UnOqSBfKM4DYsGpczqsY&#10;3SrLgqyUEWFCTlk4S/JGRGz9KSu8aIBudDafThdZQ75wnqQKAae73skHRP8eQCrLWqodybNRNvao&#10;XmkRQSlUtQt80722LJWMj2UZVGQ652AauxVJYB/Tmm3WYnXywlW1HJ4g3vOEN5yMqC2S3qB2Igp2&#10;9vVfUKaWngKVcSLJZD2RThGwmE3faPNcCac6LpA6uJvo4f/Byu+XJ8/qIufzxR1nVhiU/EW1kX2h&#10;lqUzKNS4sELgs0NobOFA34znAYeJeFt6k76gxOCHvtebvglOpkvL+XI5hUvCN26An71edz7Er4oM&#10;S0bOPQrY6SouhxD70DEkZbO0r7Xuiqgta3K++Hw37S7cPADXFjkSif6xyYrtsR2YHam4gpinvjmC&#10;k/sayQ8ixCfh0Q14MOYlPmIpNSEJDRZnFflf/zpP8SgSvJw16K6cWwwTZ/qbRfEAGEfDj8ZxNOzZ&#10;PBDadYY5dLIzccFHPZqlJ/MTQ7RNOeASViJTzuNoPsS+wzGEUm23XRDazYl4sM9OJugkXnDbc4SA&#10;na5JlF6JQSs0XFeZYThSR/+576Jefwib3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AKmNG3YAAAA&#10;DAEAAA8AAAAAAAAAAQAgAAAAIgAAAGRycy9kb3ducmV2LnhtbFBLAQIUABQAAAAIAIdO4kBhuIdI&#10;HQIAAFgEAAAOAAAAAAAAAAEAIAAAACcBAABkcnMvZTJvRG9jLnhtbFBLBQYAAAAABgAGAFkBAAC2&#10;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5DAC71E">
                    <w:pPr>
                      <w:pStyle w:val="12"/>
                    </w:pPr>
                    <w:r>
                      <w:rPr>
                        <w:rFonts w:ascii="Arial Regular" w:hAnsi="Arial Regular" w:cs="Arial Regular"/>
                        <w:sz w:val="22"/>
                        <w:szCs w:val="22"/>
                      </w:rPr>
                      <w:fldChar w:fldCharType="begin"/>
                    </w:r>
                    <w:r>
                      <w:rPr>
                        <w:rFonts w:ascii="Arial Regular" w:hAnsi="Arial Regular" w:cs="Arial Regular"/>
                        <w:sz w:val="22"/>
                        <w:szCs w:val="22"/>
                      </w:rPr>
                      <w:instrText xml:space="preserve"> PAGE  \* MERGEFORMAT </w:instrText>
                    </w:r>
                    <w:r>
                      <w:rPr>
                        <w:rFonts w:ascii="Arial Regular" w:hAnsi="Arial Regular" w:cs="Arial Regular"/>
                        <w:sz w:val="22"/>
                        <w:szCs w:val="22"/>
                      </w:rPr>
                      <w:fldChar w:fldCharType="separate"/>
                    </w:r>
                    <w:r>
                      <w:rPr>
                        <w:rFonts w:ascii="Arial Regular" w:hAnsi="Arial Regular" w:cs="Arial Regular"/>
                        <w:sz w:val="22"/>
                        <w:szCs w:val="22"/>
                      </w:rPr>
                      <w:t>xcii</w:t>
                    </w:r>
                    <w:r>
                      <w:rPr>
                        <w:rFonts w:ascii="Arial Regular" w:hAnsi="Arial Regular" w:cs="Arial Regular"/>
                        <w:sz w:val="22"/>
                        <w:szCs w:val="22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ascii="Times New Roman" w:hAnsi="Times New Roman" w:cs="Times New Roman"/>
        <w:sz w:val="24"/>
        <w:lang w:val="en-PH" w:eastAsia="ja-JP"/>
      </w:rPr>
      <mc:AlternateContent>
        <mc:Choice Requires="wps">
          <w:drawing>
            <wp:anchor distT="0" distB="0" distL="114300" distR="114300" simplePos="0" relativeHeight="251668480" behindDoc="1" locked="0" layoutInCell="1" allowOverlap="1">
              <wp:simplePos x="0" y="0"/>
              <wp:positionH relativeFrom="margin">
                <wp:posOffset>-175260</wp:posOffset>
              </wp:positionH>
              <wp:positionV relativeFrom="page">
                <wp:posOffset>9090660</wp:posOffset>
              </wp:positionV>
              <wp:extent cx="5932805" cy="323850"/>
              <wp:effectExtent l="0" t="0" r="10795" b="6350"/>
              <wp:wrapNone/>
              <wp:docPr id="266" name="Text Box 2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32805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7771B04">
                          <w:pPr>
                            <w:jc w:val="center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sz w:val="30"/>
                            </w:rPr>
                            <w:t>CAPSTONE PROJECT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-13.8pt;margin-top:715.8pt;height:25.5pt;width:467.15pt;mso-position-horizontal-relative:margin;mso-position-vertical-relative:page;z-index:-251648000;mso-width-relative:page;mso-height-relative:page;" fillcolor="#FFFFFF [3201]" filled="t" stroked="f" coordsize="21600,21600" o:gfxdata="UEsDBAoAAAAAAIdO4kAAAAAAAAAAAAAAAAAEAAAAZHJzL1BLAwQUAAAACACHTuJADertNdcAAAAN&#10;AQAADwAAAGRycy9kb3ducmV2LnhtbE2PO2/DMAyE9wL9DwILdEsku4GTOpYzFOhaoHnNiqVaRiTK&#10;kJTnry8ztRvJOxy/a1ZX79jZxDQElFBMBTCDXdAD9hK2m8/JAljKCrVyAY2Em0mwap+fGlXrcMFv&#10;c17nnlEIplpJsDmPNeeps8arNA2jQdJ+QvQq0xp7rqO6ULh3vBSi4l4NSB+sGs2HNd1xffIS9r2/&#10;73fFGK32boZf99tmGwYpX18KsQSWzTX/meGBT+jQEtMhnFAn5iRMynlFVhJmbwVNZHkX1RzY4XFa&#10;lBXwtuH/W7S/UEsDBBQAAAAIAIdO4kBHQ4HPRwIAAKAEAAAOAAAAZHJzL2Uyb0RvYy54bWytVEtP&#10;GzEQvlfqf7B8L5sHSSFig1JQqkqoIAHq2fF6s5a8Htd2skt/fT97E6C0Bw7NwZn345uZvbjsW8P2&#10;ygdNtuTjkxFnykqqtN2W/PFh/emMsxCFrYQhq0r+pAK/XH78cNG5hZpQQ6ZSniGIDYvOlbyJ0S2K&#10;IshGtSKckFMWypp8KyJYvy0qLzpEb00xGY3mRUe+cp6kCgHS60HJDxH9ewJSXWuprknuWmXjENUr&#10;IyJaCo12gS9ztXWtZLyt66AiMyVHpzG/SAJ6k95ieSEWWy9co+WhBPGeEt701AptkfQ51LWIgu28&#10;/itUq6WnQHU8kdQWQyMZEXQxHr3B5r4RTuVeAHVwz6CH/xdWft/feaarkk/mc86saDHyB9VH9oV6&#10;lmRAqHNhAcN7B9PYQ4G9OcoDhKnxvvZt+kdLDHrg+/SMbwonIZydTydnoxlnErrpZHo2ywMoXryd&#10;D/GropYlouQe88uwiv1NiKgEpkeTlCyQ0dVaG5MZv91cGc/2ArNe518qEi5/mBnLupLPp8idvCwl&#10;/8HO2CRReW0O+VLrQ4uJiv2mP+CxoeoJcHgaVio4udao+UaEeCc8dggI4MriLZ7aEFLSgeKsIf/r&#10;X/Jkj9FCy1mHnSx5+LkTXnFmvlkM/Xx8epqWODOns88TMP61ZvNaY3ftFQGKMe7ZyUwm+2iOZO2p&#10;/YFjXKWsUAkrkbvk8UhexeFScMxSrVbZCGvrRLyx906m0AOEq12kWucBJZgGbAB9YrC4eQiHI0uX&#10;8ZrPVi8fluVv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DertNdcAAAANAQAADwAAAAAAAAABACAA&#10;AAAiAAAAZHJzL2Rvd25yZXYueG1sUEsBAhQAFAAAAAgAh07iQEdDgc9HAgAAoAQAAA4AAAAAAAAA&#10;AQAgAAAAJgEAAGRycy9lMm9Eb2MueG1sUEsFBgAAAAAGAAYAWQEAAN8FAAAAAA=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57771B04">
                    <w:pPr>
                      <w:jc w:val="center"/>
                      <w:rPr>
                        <w:b/>
                        <w:sz w:val="28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sz w:val="30"/>
                      </w:rPr>
                      <w:t>CAPSTONE PROJECT</w:t>
                    </w:r>
                  </w:p>
                </w:txbxContent>
              </v:textbox>
            </v:shape>
          </w:pict>
        </mc:Fallback>
      </mc:AlternateContent>
    </w:r>
    <w:r>
      <w:rPr>
        <w:rFonts w:ascii="Times New Roman" w:hAnsi="Times New Roman" w:cs="Times New Roman"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column">
                <wp:posOffset>-1298575</wp:posOffset>
              </wp:positionH>
              <wp:positionV relativeFrom="paragraph">
                <wp:posOffset>-92710</wp:posOffset>
              </wp:positionV>
              <wp:extent cx="10340975" cy="0"/>
              <wp:effectExtent l="0" t="9525" r="0" b="9525"/>
              <wp:wrapNone/>
              <wp:docPr id="267" name="Straight Connector 26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4097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02.25pt;margin-top:-7.3pt;height:0pt;width:814.25pt;z-index:251666432;mso-width-relative:page;mso-height-relative:page;" filled="f" stroked="t" coordsize="21600,21600" o:gfxdata="UEsDBAoAAAAAAIdO4kAAAAAAAAAAAAAAAAAEAAAAZHJzL1BLAwQUAAAACACHTuJArNA/edoAAAAN&#10;AQAADwAAAGRycy9kb3ducmV2LnhtbE2PT0vDQBDF74LfYRnBW7ubGEuM2RQRiogKpvXgcZudJsHs&#10;bMhu//jtnYKgt5l5jze/Vy5PbhAHnELvSUMyVyCQGm97ajV8bFazHESIhqwZPKGGbwywrC4vSlNY&#10;f6QaD+vYCg6hUBgNXYxjIWVoOnQmzP2IxNrOT85EXqdW2skcOdwNMlVqIZ3piT90ZsTHDpuv9d5p&#10;uHl529TxPadVvbt7ffIPn/mz8lpfXyXqHkTEU/wzwxmf0aFipq3fkw1i0DBLVXbLXp6SbAHibMnS&#10;jPttf0+yKuX/FtUPUEsDBBQAAAAIAIdO4kBi+lkq1gEAALoDAAAOAAAAZHJzL2Uyb0RvYy54bWyt&#10;U8lu2zAQvRfoPxC815LdZhMs52AjvRStgaQfMKYoiQA3zDCW/fcd0o6TppccqgM1nOUN3+NweX9w&#10;Vuw1kgm+lfNZLYX2KnTGD638/fTw5VYKSuA7sMHrVh41yfvV50/LKTZ6EcZgO42CQTw1U2zlmFJs&#10;qorUqB3QLETtOdgHdJB4i0PVIUyM7my1qOvragrYRQxKE7F3cwrKMyJ+BDD0vVF6E9Sz0z6dUFFb&#10;SEyJRhNJrspp+16r9KvvSSdhW8lMU1m5Cdu7vFarJTQDQhyNOh8BPnKEd5wcGM9NL1AbSCCe0fwD&#10;5YzCQKFPMxVcdSJSFGEW8/qdNo8jRF24sNQUL6LT/4NVP/dbFKZr5eL6RgoPjq/8MSGYYUxiHbxn&#10;CQOKHGWtpkgNl6z9Fs87ilvMxA89uvxnSuJQ9D1e9NWHJBQ75/XXb/XdzZUU6iVYvVZGpPRdByey&#10;0UprfOYODex/UOJunPqSkt0+PBhry/1ZLyZGv6uv+FoV8FD2PAxsusjEyA9SgB142lXCAknBmi6X&#10;ZyDCYbe2KPaQZ6R8mSq3+yst994Ajae8EjpNjzOJH4Q1rpW3b6utZ5As2EmibO1CdyzKFT9faWlz&#10;Hr88M2/3pfr1ya3+AF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EkEAABbQ29udGVudF9UeXBlc10ueG1sUEsBAhQACgAAAAAAh07iQAAAAAAAAAAA&#10;AAAAAAYAAAAAAAAAAAAQAAAAKwMAAF9yZWxzL1BLAQIUABQAAAAIAIdO4kCKFGY80QAAAJQBAAAL&#10;AAAAAAAAAAEAIAAAAE8DAABfcmVscy8ucmVsc1BLAQIUAAoAAAAAAIdO4kAAAAAAAAAAAAAAAAAE&#10;AAAAAAAAAAAAEAAAAAAAAABkcnMvUEsBAhQAFAAAAAgAh07iQKzQP3naAAAADQEAAA8AAAAAAAAA&#10;AQAgAAAAIgAAAGRycy9kb3ducmV2LnhtbFBLAQIUABQAAAAIAIdO4kBi+lkq1gEAALoDAAAOAAAA&#10;AAAAAAEAIAAAACkBAABkcnMvZTJvRG9jLnhtbFBLBQYAAAAABgAGAFkBAABxBQAAAAA=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rFonts w:ascii="Times New Roman" w:hAnsi="Times New Roman" w:cs="Times New Roman"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column">
                <wp:posOffset>-1331595</wp:posOffset>
              </wp:positionH>
              <wp:positionV relativeFrom="paragraph">
                <wp:posOffset>-316230</wp:posOffset>
              </wp:positionV>
              <wp:extent cx="10330180" cy="0"/>
              <wp:effectExtent l="0" t="9525" r="0" b="9525"/>
              <wp:wrapNone/>
              <wp:docPr id="268" name="Straight Connector 26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3018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04.85pt;margin-top:-24.9pt;height:0pt;width:813.4pt;z-index:251667456;mso-width-relative:page;mso-height-relative:page;" filled="f" stroked="t" coordsize="21600,21600" o:gfxdata="UEsDBAoAAAAAAIdO4kAAAAAAAAAAAAAAAAAEAAAAZHJzL1BLAwQUAAAACACHTuJAG4Il/NsAAAAN&#10;AQAADwAAAGRycy9kb3ducmV2LnhtbE2PT0vDQBDF74LfYRnBW7ubWmwSsykiFBEtmNaDx212mgSz&#10;syG7/eO3dwqC3mbmPd78XrE8u14ccQydJw3JVIFAqr3tqNHwsV1NUhAhGrKm94QavjHAsry+Kkxu&#10;/YkqPG5iIziEQm40tDEOuZShbtGZMPUDEmt7PzoTeR0baUdz4nDXy5lS99KZjvhDawZ8arH+2hyc&#10;hrvX9baK7ymtqn329uwfP9MX5bW+vUnUA4iI5/hnhgs+o0PJTDt/IBtEr2EyU9mCvTzNMy5xscyT&#10;RQJi93uSZSH/tyh/AFBLAwQUAAAACACHTuJAX6ijkdMBAAC6AwAADgAAAGRycy9lMm9Eb2MueG1s&#10;rVPJbtswEL0X6D8QvNeSHTRwBcs52EgvRWsg7QeMKUoiwA0zjGX/fYeUs/aSQ3WghrO84Xscbu7O&#10;zoqTRjLBt3K5qKXQXoXO+KGVf37ff1lLQQl8BzZ43cqLJnm3/fxpM8VGr8IYbKdRMIinZoqtHFOK&#10;TVWRGrUDWoSoPQf7gA4Sb3GoOoSJ0Z2tVnV9W00Bu4hBaSL27uegvCLiRwBD3xul90E9Ou3TjIra&#10;QmJKNJpIcltO2/dapV99TzoJ20pmmsrKTdg+5rXabqAZEOJo1PUI8JEjvOPkwHhu+gy1hwTiEc0/&#10;UM4oDBT6tFDBVTORogizWNbvtHkYIerChaWm+Cw6/T9Y9fN0QGG6Vq5u+eI9OL7yh4RghjGJXfCe&#10;JQwocpS1miI1XLLzB7zuKB4wEz/36PKfKYlz0ffyrK8+J6HYuaxvburlmrVXT8HqpTIipe86OJGN&#10;VlrjM3do4PSDEnfj1KeU7Pbh3lhb7s96MTH6t/prhgYeyp6HgU0XmRj5QQqwA0+7SlggKVjT5fIM&#10;RDgcdxbFCfKMlC9T5XZv0nLvPdA455XQPD3OJH4Q1rhWrl9XW88gWbBZomwdQ3cpyhU/X2lpcx2/&#10;PDOv96X65clt/wJ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AbgiX82wAAAA0BAAAPAAAAAAAAAAEA&#10;IAAAACIAAABkcnMvZG93bnJldi54bWxQSwECFAAUAAAACACHTuJAX6ijkdMBAAC6AwAADgAAAAAA&#10;AAABACAAAAAqAQAAZHJzL2Uyb0RvYy54bWxQSwUGAAAAAAYABgBZAQAAbwUAAAAA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E0F13A">
    <w:pPr>
      <w:pStyle w:val="13"/>
    </w:pPr>
    <w:r>
      <w:rPr>
        <w:rFonts w:ascii="Times New Roman" w:hAnsi="Times New Roman" w:cs="Times New Roman"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column">
                <wp:posOffset>5733415</wp:posOffset>
              </wp:positionH>
              <wp:positionV relativeFrom="paragraph">
                <wp:posOffset>-456565</wp:posOffset>
              </wp:positionV>
              <wp:extent cx="0" cy="10260330"/>
              <wp:effectExtent l="9525" t="0" r="15875" b="1270"/>
              <wp:wrapNone/>
              <wp:docPr id="258" name="Straight Connector 2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26033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451.45pt;margin-top:-35.95pt;height:807.9pt;width:0pt;z-index:251665408;mso-width-relative:page;mso-height-relative:page;" filled="f" stroked="t" coordsize="21600,21600" o:gfxdata="UEsDBAoAAAAAAIdO4kAAAAAAAAAAAAAAAAAEAAAAZHJzL1BLAwQUAAAACACHTuJAC5F8qtoAAAAM&#10;AQAADwAAAGRycy9kb3ducmV2LnhtbE2Py07DMBBF90j8gzVI7Fo7LY8kxKkQUoUQIJGWBUs3niYR&#10;8TiK3dffMxUL2M3j6M6ZYnF0vdjjGDpPGpKpAoFUe9tRo+FzvZykIEI0ZE3vCTWcMMCivLwoTG79&#10;gSrcr2IjOIRCbjS0MQ65lKFu0Zkw9QMS77Z+dCZyOzbSjubA4a6XM6XupDMd8YXWDPjUYv292jkN&#10;89f3dRU/UlpW2+zt2T9+pS/Ka319lagHEBGP8Q+Gsz6rQ8lOG78jG0SvIVOzjFENk/uECyZ+JxtG&#10;b2/mGciykP+fKH8AUEsDBBQAAAAIAIdO4kBAzy+P1AEAALoDAAAOAAAAZHJzL2Uyb0RvYy54bWyt&#10;U01v2zAMvQ/YfxB0X+ykaNEZcXpI0F2GLUC3H8DIsi1AXyDVOPn3o+Qs/dilh/kgUxT5qPdIrR9O&#10;zoqjRjLBt3K5qKXQXoXO+KGVv389frmXghL4DmzwupVnTfJh8/nTeoqNXoUx2E6jYBBPzRRbOaYU&#10;m6oiNWoHtAhRez7sAzpIvMWh6hAmRne2WtX1XTUF7CIGpYnYu5sP5QURPwIY+t4ovQvq2WmfZlTU&#10;FhJTotFEkpty277XKv3se9JJ2FYy01RWLsL2Ia/VZg3NgBBHoy5XgI9c4R0nB8Zz0SvUDhKIZzT/&#10;QDmjMFDo00IFV81EiiLMYlm/0+ZphKgLF5aa4lV0+n+w6sdxj8J0rVzdcuM9OG75U0Iww5jENnjP&#10;EgYU+ZS1miI1nLL1e7zsKO4xEz/16PKfKYlT0fd81VefklCzU7F3Wa/u6pubIn71khmR0jcdnMhG&#10;K63xmTs0cPxOiatx6N+Q7Pbh0Vhb+me9mBj2a33LbVXAQ9nzMLDpIhMjP0gBduBpVwkLJAVrupye&#10;gQiHw9aiOEKekfJlqlzuTViuvQMa57hyNE+PM4kfhDWulfevs61nkCzYLFG2DqE7F+WKn1taylzG&#10;L8/M633Jfnlymz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ALkXyq2gAAAAwBAAAPAAAAAAAAAAEA&#10;IAAAACIAAABkcnMvZG93bnJldi54bWxQSwECFAAUAAAACACHTuJAQM8vj9QBAAC6AwAADgAAAAAA&#10;AAABACAAAAApAQAAZHJzL2Uyb0RvYy54bWxQSwUGAAAAAAYABgBZAQAAbwUAAAAA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rFonts w:ascii="Times New Roman" w:hAnsi="Times New Roman" w:cs="Times New Roman"/>
        <w:sz w:val="36"/>
        <w:lang w:val="en-PH" w:eastAsia="ja-JP"/>
      </w:rPr>
      <w:drawing>
        <wp:anchor distT="0" distB="0" distL="114300" distR="114300" simplePos="0" relativeHeight="251662336" behindDoc="1" locked="0" layoutInCell="1" allowOverlap="1">
          <wp:simplePos x="0" y="0"/>
          <wp:positionH relativeFrom="margin">
            <wp:posOffset>2257425</wp:posOffset>
          </wp:positionH>
          <wp:positionV relativeFrom="page">
            <wp:posOffset>100965</wp:posOffset>
          </wp:positionV>
          <wp:extent cx="781050" cy="781050"/>
          <wp:effectExtent l="0" t="0" r="6350" b="6350"/>
          <wp:wrapNone/>
          <wp:docPr id="259" name="Picture 25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9" name="Picture 259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1050" cy="781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Times New Roman" w:hAnsi="Times New Roman" w:cs="Times New Roman"/>
        <w:sz w:val="24"/>
        <w:lang w:val="en-PH" w:eastAsia="ja-JP"/>
      </w:rPr>
      <mc:AlternateContent>
        <mc:Choice Requires="wps">
          <w:drawing>
            <wp:anchor distT="0" distB="0" distL="114300" distR="114300" simplePos="0" relativeHeight="251661312" behindDoc="1" locked="0" layoutInCell="1" allowOverlap="1">
              <wp:simplePos x="0" y="0"/>
              <wp:positionH relativeFrom="margin">
                <wp:posOffset>-384810</wp:posOffset>
              </wp:positionH>
              <wp:positionV relativeFrom="topMargin">
                <wp:posOffset>879475</wp:posOffset>
              </wp:positionV>
              <wp:extent cx="6132830" cy="323850"/>
              <wp:effectExtent l="0" t="0" r="13970" b="6350"/>
              <wp:wrapNone/>
              <wp:docPr id="260" name="Text Box 2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132830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9EEF3BD">
                          <w:pPr>
                            <w:jc w:val="center"/>
                          </w:pPr>
                          <w:r>
                            <w:rPr>
                              <w:rFonts w:ascii="Times New Roman" w:hAnsi="Times New Roman" w:cs="Times New Roman"/>
                              <w:sz w:val="24"/>
                            </w:rPr>
                            <w:t>POLYTECHNIC UNIVERSITY OF THE PHILIPPINES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56.1pt;margin-top:69.25pt;height:25.5pt;width:482.9pt;mso-position-horizontal-relative:page;mso-position-vertical-relative:page;z-index:-251655168;mso-width-relative:page;mso-height-relative:page;" fillcolor="#FFFFFF [3201]" filled="t" stroked="f" coordsize="21600,21600" o:gfxdata="UEsDBAoAAAAAAIdO4kAAAAAAAAAAAAAAAAAEAAAAZHJzL1BLAwQUAAAACACHTuJAQFtuUdYAAAAL&#10;AQAADwAAAGRycy9kb3ducmV2LnhtbE2Py07DMBBF90j8gzVI7Fo7pYnSEKcLJLZItKVrNzZxhD2O&#10;bPf59R1WsJy5R3fOtOuLd+xkYhoDSijmApjBPugRBwm77fusBpayQq1cQCPhahKsu8eHVjU6nPHT&#10;nDZ5YFSCqVESbM5Tw3nqrfEqzcNkkLLvEL3KNMaB66jOVO4dXwhRca9GpAtWTebNmv5nc/QS9oO/&#10;7b+KKVrt3RI/btftLoxSPj8V4hVYNpf8B8OvPqlDR06HcESdmJMwq0RFKAUvdQmMiJUoF8AOtKlX&#10;JfCu5f9/6O5QSwMEFAAAAAgAh07iQGV0HHRHAgAAoAQAAA4AAABkcnMvZTJvRG9jLnhtbK1UTW/b&#10;MAy9D9h/EHRfnY+2y4I4RdYiw4BiLdAOOyuyHAuQRU1SYne/fk9yknbdDj0sB4UiqUfykfTiqm8N&#10;2ysfNNmSj89GnCkrqdJ2W/Lvj+sPM85CFLYShqwq+ZMK/Gr5/t2ic3M1oYZMpTwDiA3zzpW8idHN&#10;iyLIRrUinJFTFsaafCsirn5bVF50QG9NMRmNLouOfOU8SRUCtDeDkR8Q/VsAqa61VDckd62ycUD1&#10;yoiIkkKjXeDLnG1dKxnv6jqoyEzJUWnMJ4JA3qSzWC7EfOuFa7Q8pCDeksKrmlqhLYKeoG5EFGzn&#10;9V9QrZaeAtXxTFJbDIVkRlDFePSKm4dGOJVrAdXBnUgP/w9Wftvfe6arkk8uwYkVLVr+qPrIPlPP&#10;kg4MdS7M4fjg4Bp7GDA3R32AMhXe175N/yiJwQ6spxO/CU5CeTmeTmZTmCRs08l0dpHhi+fXzof4&#10;RVHLklByj/5lWsX+NkRkAtejSwoWyOhqrY3JF7/dXBvP9gK9XudfShJP/nAzlnVIZYrY6ZWl9H7w&#10;MzZpVB6bQ7xU+lBikmK/6Q98bKh6Ah2ehpEKTq41cr4VId4LjxlCmdiyeIejNoSQdJA4a8j/+pc+&#10;+aO1sHLWYSZLHn7uhFecma8WTf80Pj8HbMyX84uPE1z8S8vmpcXu2msCFWPss5NZTP7RHMXaU/sD&#10;y7hKUWESViJ2yeNRvI7DpmCZpVqtshPG1ol4ax+cTNADhatdpFrnBiWaBm5AfbpgcHMTDkuWNuPl&#10;PXs9f1iWvwF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AoAAAAAAIdO4kAAAAAAAAAAAAAAAAAG&#10;AAAAAAAAAAAAEAAAAJgDAABfcmVscy9QSwECFAAUAAAACACHTuJAihRmPNEAAACUAQAACwAAAAAA&#10;AAABACAAAAC8AwAAX3JlbHMvLnJlbHNQSwECFAAKAAAAAACHTuJAAAAAAAAAAAAAAAAABAAAAAAA&#10;AAAAABAAAAAAAAAAZHJzL1BLAQIUABQAAAAIAIdO4kBAW25R1gAAAAsBAAAPAAAAAAAAAAEAIAAA&#10;ACIAAABkcnMvZG93bnJldi54bWxQSwECFAAUAAAACACHTuJAZXQcdEcCAACgBAAADgAAAAAAAAAB&#10;ACAAAAAlAQAAZHJzL2Uyb0RvYy54bWxQSwUGAAAAAAYABgBZAQAA3gUAAAAA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39EEF3BD">
                    <w:pPr>
                      <w:jc w:val="center"/>
                    </w:pPr>
                    <w:r>
                      <w:rPr>
                        <w:rFonts w:ascii="Times New Roman" w:hAnsi="Times New Roman" w:cs="Times New Roman"/>
                        <w:sz w:val="24"/>
                      </w:rPr>
                      <w:t>POLYTECHNIC UNIVERSITY OF THE PHILIPPINES</w:t>
                    </w:r>
                  </w:p>
                </w:txbxContent>
              </v:textbox>
            </v:shape>
          </w:pict>
        </mc:Fallback>
      </mc:AlternateContent>
    </w:r>
    <w:r>
      <w:rPr>
        <w:rFonts w:ascii="Times New Roman" w:hAnsi="Times New Roman" w:cs="Times New Roman"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-71120</wp:posOffset>
              </wp:positionH>
              <wp:positionV relativeFrom="paragraph">
                <wp:posOffset>459740</wp:posOffset>
              </wp:positionV>
              <wp:extent cx="10297795" cy="0"/>
              <wp:effectExtent l="0" t="9525" r="0" b="9525"/>
              <wp:wrapNone/>
              <wp:docPr id="261" name="Straight Connector 2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29779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5.6pt;margin-top:36.2pt;height:0pt;width:810.85pt;mso-position-horizontal-relative:page;z-index:251664384;mso-width-relative:page;mso-height-relative:page;" filled="f" stroked="t" coordsize="21600,21600" o:gfxdata="UEsDBAoAAAAAAIdO4kAAAAAAAAAAAAAAAAAEAAAAZHJzL1BLAwQUAAAACACHTuJA27m8JdkAAAAK&#10;AQAADwAAAGRycy9kb3ducmV2LnhtbE2Py07DMBBF90j9B2sqsWttByghxKkQUoUQVCItC5ZuPE0i&#10;4nEUu6+/x1UXdDkzR3fOzedH27E9Dr51pEBOBTCkypmWagXf68UkBeaDJqM7R6jghB7mxegm15lx&#10;Bypxvwo1iyHkM62gCaHPOPdVg1b7qeuR4m3rBqtDHIeam0EfYrjteCLEjFvdUvzQ6B5fG6x+Vzur&#10;4O5juS7DV0qLcvv0+eZeftJ34ZS6HUvxDCzgMfzDcNaP6lBEp43bkfGsUzCRMomogsfkHtgZmEnx&#10;AGxz2fAi59cVij9QSwMEFAAAAAgAh07iQMr03mnVAQAAugMAAA4AAABkcnMvZTJvRG9jLnhtbK1T&#10;yW7bMBC9F+g/ELzXkg1ksWA5BxvppWgNpP2AMUVJBLhhhvHy9x1SjrP0kkN1oIazvOF7HK4eTs6K&#10;g0YywbdyPqul0F6FzvihlX9+P367l4IS+A5s8LqVZ03yYf31y+oYG70IY7CdRsEgnppjbOWYUmyq&#10;itSoHdAsRO052Ad0kHiLQ9UhHBnd2WpR17fVMWAXMShNxN7tFJQXRPwMYOh7o/Q2qGenfZpQUVtI&#10;TIlGE0muy2n7Xqv0q+9JJ2FbyUxTWbkJ2/u8VusVNANCHI26HAE+c4QPnBwYz02vUFtIIJ7R/APl&#10;jMJAoU8zFVw1ESmKMIt5/UGbpxGiLlxYaopX0en/waqfhx0K07VycTuXwoPjK39KCGYYk9gE71nC&#10;gCJHWatjpIZLNn6Hlx3FHWbipx5d/jMlcSr6nq/66lMSip3zerG8u1veSKFegtVrZURK33VwIhut&#10;tMZn7tDA4Qcl7sapLynZ7cOjsbbcn/XiyOjL+oavVQEPZc/DwKaLTIz8IAXYgaddJSyQFKzpcnkG&#10;Ihz2G4viAHlGypepcrt3abn3Fmic8kpomh5nEj8Ia1wr799WW88gWbBJomztQ3cuyhU/X2lpcxm/&#10;PDNv96X69cmt/wJ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Dbubwl2QAAAAoBAAAPAAAAAAAAAAEA&#10;IAAAACIAAABkcnMvZG93bnJldi54bWxQSwECFAAUAAAACACHTuJAyvTeadUBAAC6AwAADgAAAAAA&#10;AAABACAAAAAoAQAAZHJzL2Uyb0RvYy54bWxQSwUGAAAAAAYABgBZAQAAbwUAAAAA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rFonts w:ascii="Times New Roman" w:hAnsi="Times New Roman" w:cs="Times New Roman"/>
        <w:sz w:val="24"/>
        <w:lang w:val="en-PH" w:eastAsia="ja-JP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column">
                <wp:posOffset>-1318895</wp:posOffset>
              </wp:positionH>
              <wp:positionV relativeFrom="paragraph">
                <wp:posOffset>679450</wp:posOffset>
              </wp:positionV>
              <wp:extent cx="10327005" cy="0"/>
              <wp:effectExtent l="0" t="9525" r="0" b="9525"/>
              <wp:wrapNone/>
              <wp:docPr id="262" name="Straight Connector 2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2700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03.85pt;margin-top:53.5pt;height:0pt;width:813.15pt;z-index:251663360;mso-width-relative:page;mso-height-relative:page;" filled="f" stroked="t" coordsize="21600,21600" o:gfxdata="UEsDBAoAAAAAAIdO4kAAAAAAAAAAAAAAAAAEAAAAZHJzL1BLAwQUAAAACACHTuJAQSEwMtoAAAAN&#10;AQAADwAAAGRycy9kb3ducmV2LnhtbE2PT0vDQBDF74LfYRnBW7ubKk0asykiFBEVTNuDx212mgSz&#10;syG7/eO3dwqCHue9H2/eK5Zn14sjjqHzpCGZKhBItbcdNRq2m9UkAxGiIWt6T6jhGwMsy+urwuTW&#10;n6jC4zo2gkMo5EZDG+OQSxnqFp0JUz8gsbf3ozORz7GRdjQnDne9nCk1l850xB9aM+BTi/XX+uA0&#10;3L2+b6r4kdGq2i/env3jZ/aivNa3N4l6ABHxHP9guNTn6lByp50/kA2i1zCZqTRllh2V8qoLcp9k&#10;cxC7X0mWhfy/ovwBUEsDBBQAAAAIAIdO4kB9u5A31QEAALoDAAAOAAAAZHJzL2Uyb0RvYy54bWyt&#10;U8tu2zAQvBfoPxC815JdJE0FyznYSC9FayDtB6wpSiLAF3YZy/77LinHSdNLDtWBWu5jljNcru9P&#10;zoqjRjLBt3K5qKXQXoXO+KGVv389fLqTghL4DmzwupVnTfJ+8/HDeoqNXoUx2E6jYBBPzRRbOaYU&#10;m6oiNWoHtAhRew72AR0k3uJQdQgToztbrer6tpoCdhGD0kTs3c1BeUHE9wCGvjdK74J6ctqnGRW1&#10;hcSUaDSR5Kactu+1Sj/7nnQStpXMNJWVm7B9yGu1WUMzIMTRqMsR4D1HeMPJgfHc9Aq1gwTiCc0/&#10;UM4oDBT6tFDBVTORogizWNZvtHkcIerChaWmeBWd/h+s+nHcozBdK1e3Kyk8OL7yx4RghjGJbfCe&#10;JQwocpS1miI1XLL1e7zsKO4xEz/16PKfKYlT0fd81VefklDsXNafV1/q+kYK9RysXiojUvqmgxPZ&#10;aKU1PnOHBo7fKXE3Tn1OyW4fHoy15f6sFxOjf61v+FoV8FD2PAxsusjEyA9SgB142lXCAknBmi6X&#10;ZyDC4bC1KI6QZ6R8mSq3+yst994BjXNeCc3T40ziB2GNa+Xd62rrGSQLNkuUrUPozkW54ucrLW0u&#10;45dn5vW+VL88uc0f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QSEwMtoAAAANAQAADwAAAAAAAAAB&#10;ACAAAAAiAAAAZHJzL2Rvd25yZXYueG1sUEsBAhQAFAAAAAgAh07iQH27kDfVAQAAugMAAA4AAAAA&#10;AAAAAQAgAAAAKQEAAGRycy9lMm9Eb2MueG1sUEsFBgAAAAAGAAYAWQEAAHAFAAAAAA==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rFonts w:ascii="Times New Roman" w:hAnsi="Times New Roman" w:cs="Times New Roman"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7993380</wp:posOffset>
              </wp:positionH>
              <wp:positionV relativeFrom="paragraph">
                <wp:posOffset>-457835</wp:posOffset>
              </wp:positionV>
              <wp:extent cx="0" cy="10260330"/>
              <wp:effectExtent l="9525" t="0" r="15875" b="1270"/>
              <wp:wrapNone/>
              <wp:docPr id="263" name="Straight Connector 2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26033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629.4pt;margin-top:-36.05pt;height:807.9pt;width:0pt;z-index:251660288;mso-width-relative:page;mso-height-relative:page;" filled="f" stroked="t" coordsize="21600,21600" o:gfxdata="UEsDBAoAAAAAAIdO4kAAAAAAAAAAAAAAAAAEAAAAZHJzL1BLAwQUAAAACACHTuJA3D0H3NwAAAAO&#10;AQAADwAAAGRycy9kb3ducmV2LnhtbE2PzU7DMBCE70i8g7VI3Fo7KaUhxKkQUoUQIJGWA0c33iYR&#10;8TqK3R/enq04wG1ndzT7TbE8uV4ccAydJw3JVIFAqr3tqNHwsVlNMhAhGrKm94QavjHAsry8KExu&#10;/ZEqPKxjIziEQm40tDEOuZShbtGZMPUDEt92fnQmshwbaUdz5HDXy1SpW+lMR/yhNQM+tlh/rfdO&#10;w+zlbVPF94xW1e7u9ck/fGbPymt9fZWoexART/HPDGd8RoeSmbZ+TzaInnU6z5g9apgs0gTE2fK7&#10;2vI0v5ktQJaF/F+j/AFQSwMEFAAAAAgAh07iQDVCNpLVAQAAugMAAA4AAABkcnMvZTJvRG9jLnht&#10;bK1Ty27bMBC8F+g/ELzXkm3USAXLOdhIL0VrIO0HrClKIsAXdhnL/vsuKTdJ00sO1YFa7mOWM1xu&#10;7y/OirNGMsG3crmopdBehc74oZW/fj58upOCEvgObPC6lVdN8n738cN2io1ehTHYTqNgEE/NFFs5&#10;phSbqiI1age0CFF7DvYBHSTe4lB1CBOjO1ut6npTTQG7iEFpIvYe5qC8IeJ7AEPfG6UPQT057dOM&#10;itpCYko0mkhyV07b91qlH31POgnbSmaayspN2D7ltdptoRkQ4mjU7QjwniO84eTAeG76DHWABOIJ&#10;zT9QzigMFPq0UMFVM5GiCLNY1m+0eRwh6sKFpab4LDr9P1j1/XxEYbpWrjZrKTw4vvLHhGCGMYl9&#10;8J4lDChylLWaIjVcsvdHvO0oHjETv/To8p8piUvR9/qsr74koWanYu+yXm3q9bqIX71URqT0VQcn&#10;stFKa3zmDg2cv1Hibpz6JyW7fXgw1pb7s15MDPul/szXqoCHsudhYNNFJkZ+kALswNOuEhZICtZ0&#10;uTwDEQ6nvUVxhjwj5ctUud1fabn3AWic80ponh5nEj8Ia1wr715XW88gWbBZomydQnctyhU/X2lp&#10;cxu/PDOv96X65cntfgN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DcPQfc3AAAAA4BAAAPAAAAAAAA&#10;AAEAIAAAACIAAABkcnMvZG93bnJldi54bWxQSwECFAAUAAAACACHTuJANUI2ktUBAAC6AwAADgAA&#10;AAAAAAABACAAAAArAQAAZHJzL2Uyb0RvYy54bWxQSwUGAAAAAAYABgBZAQAAcgUAAAAA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rFonts w:ascii="Times New Roman" w:hAnsi="Times New Roman" w:cs="Times New Roman"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-189230</wp:posOffset>
              </wp:positionH>
              <wp:positionV relativeFrom="paragraph">
                <wp:posOffset>-471805</wp:posOffset>
              </wp:positionV>
              <wp:extent cx="0" cy="10121900"/>
              <wp:effectExtent l="9525" t="0" r="15875" b="12700"/>
              <wp:wrapNone/>
              <wp:docPr id="264" name="Straight Connector 2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1219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4.9pt;margin-top:-37.15pt;height:797pt;width:0pt;z-index:251659264;mso-width-relative:page;mso-height-relative:page;" filled="f" stroked="t" coordsize="21600,21600" o:gfxdata="UEsDBAoAAAAAAIdO4kAAAAAAAAAAAAAAAAAEAAAAZHJzL1BLAwQUAAAACACHTuJAGBrJ3doAAAAM&#10;AQAADwAAAGRycy9kb3ducmV2LnhtbE2PTUvDQBCG74L/YRnBW7ubVm0SsykiFBErmNaDx212mgSz&#10;syG7/fDfO+JBb/Px8M4zxfLsenHEMXSeNCRTBQKp9rajRsP7djVJQYRoyJreE2r4wgDL8vKiMLn1&#10;J6rwuImN4BAKudHQxjjkUoa6RWfC1A9IvNv70ZnI7dhIO5oTh7tezpS6k850xBdaM+Bji/Xn5uA0&#10;zF9et1V8S2lV7bP1k3/4SJ+V1/r6KlH3ICKe4x8MP/qsDiU77fyBbBC9hsksY/XIxeJmDoKJ38mO&#10;0dskW4AsC/n/ifIbUEsDBBQAAAAIAIdO4kCy2/Qd1QEAALoDAAAOAAAAZHJzL2Uyb0RvYy54bWyt&#10;U8tu2zAQvBfIPxC8x5KNNkgEyznYSC9FayDtB6wpSiLAF3YZy/77LinXSdNLDtWBWu5jljNcrh9P&#10;zoqjRjLBt3K5qKXQXoXO+KGVv34+3d5LQQl8BzZ43cqzJvm4ufm0nmKjV2EMttMoGMRTM8VWjinF&#10;pqpIjdoBLULUnoN9QAeJtzhUHcLE6M5Wq7q+q6aAXcSgNBF7d3NQXhDxI4Ch743Su6BenPZpRkVt&#10;ITElGk0kuSmn7Xut0o++J52EbSUzTWXlJmwf8lpt1tAMCHE06nIE+MgR3nFyYDw3vULtIIF4QfMP&#10;lDMKA4U+LVRw1UykKMIslvU7bZ5HiLpwYakpXkWn/wervh/3KEzXytXdZyk8OL7y54RghjGJbfCe&#10;JQwocpS1miI1XLL1e7zsKO4xEz/16PKfKYlT0fd81VefklCzU7F3WS9Xy4e6iF+9Vkak9FUHJ7LR&#10;Smt85g4NHL9R4m6c+iclu314MtaW+7NeTAz7UH/ha1XAQ9nzMLDpIhMjP0gBduBpVwkLJAVrulye&#10;gQiHw9aiOEKekfJlqtzur7Tcewc0znklNE+PM4kfhDWulfdvq61nkCzYLFG2DqE7F+WKn6+0tLmM&#10;X56Zt/tS/frkNr8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GBrJ3doAAAAMAQAADwAAAAAAAAAB&#10;ACAAAAAiAAAAZHJzL2Rvd25yZXYueG1sUEsBAhQAFAAAAAgAh07iQLLb9B3VAQAAugMAAA4AAAAA&#10;AAAAAQAgAAAAKQEAAGRycy9lMm9Eb2MueG1sUEsFBgAAAAAGAAYAWQEAAHAFAAAAAA==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7"/>
  <w:documentProtection w:enforcement="0"/>
  <w:defaultTabStop w:val="719"/>
  <w:drawingGridVerticalSpacing w:val="156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10F57"/>
    <w:rsid w:val="00172A27"/>
    <w:rsid w:val="005B7A2B"/>
    <w:rsid w:val="0085061B"/>
    <w:rsid w:val="008F3494"/>
    <w:rsid w:val="00907EBC"/>
    <w:rsid w:val="009C79B1"/>
    <w:rsid w:val="00B32B39"/>
    <w:rsid w:val="00CF17C8"/>
    <w:rsid w:val="00D83F94"/>
    <w:rsid w:val="0EF87DBD"/>
    <w:rsid w:val="0FDDBD26"/>
    <w:rsid w:val="0FE9F350"/>
    <w:rsid w:val="10D78096"/>
    <w:rsid w:val="10FE8C16"/>
    <w:rsid w:val="17E77EFD"/>
    <w:rsid w:val="17EFB6EF"/>
    <w:rsid w:val="17FA2B35"/>
    <w:rsid w:val="193724BD"/>
    <w:rsid w:val="1AF92712"/>
    <w:rsid w:val="1B5DF4DA"/>
    <w:rsid w:val="1BDE405B"/>
    <w:rsid w:val="1BEFE904"/>
    <w:rsid w:val="1BF3FCB2"/>
    <w:rsid w:val="1CDD0B3E"/>
    <w:rsid w:val="1DFBAF17"/>
    <w:rsid w:val="1EFF4FF0"/>
    <w:rsid w:val="1F5FD74D"/>
    <w:rsid w:val="1FBF553D"/>
    <w:rsid w:val="1FFBE0BB"/>
    <w:rsid w:val="1FFDC87B"/>
    <w:rsid w:val="25A529E0"/>
    <w:rsid w:val="25E91C13"/>
    <w:rsid w:val="275CC370"/>
    <w:rsid w:val="27DB0046"/>
    <w:rsid w:val="2AF91397"/>
    <w:rsid w:val="2BF71A18"/>
    <w:rsid w:val="2ED7C19C"/>
    <w:rsid w:val="2EE14145"/>
    <w:rsid w:val="2F3F7B4D"/>
    <w:rsid w:val="2F7EFA84"/>
    <w:rsid w:val="2FBBF339"/>
    <w:rsid w:val="2FCFC3C6"/>
    <w:rsid w:val="2FE83D11"/>
    <w:rsid w:val="2FFE0B4E"/>
    <w:rsid w:val="30EEF1D6"/>
    <w:rsid w:val="3474070A"/>
    <w:rsid w:val="34FF9C67"/>
    <w:rsid w:val="35770E98"/>
    <w:rsid w:val="35FDDA93"/>
    <w:rsid w:val="37C3B372"/>
    <w:rsid w:val="37E72D7C"/>
    <w:rsid w:val="37F71DAC"/>
    <w:rsid w:val="38FBA645"/>
    <w:rsid w:val="396D8838"/>
    <w:rsid w:val="39CFC85C"/>
    <w:rsid w:val="3ABEB25A"/>
    <w:rsid w:val="3AFEC43B"/>
    <w:rsid w:val="3B669269"/>
    <w:rsid w:val="3B9F7AB5"/>
    <w:rsid w:val="3BD98C9B"/>
    <w:rsid w:val="3CF5C104"/>
    <w:rsid w:val="3D3EFF58"/>
    <w:rsid w:val="3D77F00A"/>
    <w:rsid w:val="3D965FBF"/>
    <w:rsid w:val="3DBF9D6C"/>
    <w:rsid w:val="3DD71299"/>
    <w:rsid w:val="3DEFF77C"/>
    <w:rsid w:val="3ED75849"/>
    <w:rsid w:val="3EEF7C18"/>
    <w:rsid w:val="3EF7C816"/>
    <w:rsid w:val="3EFBEFC0"/>
    <w:rsid w:val="3EFD4A93"/>
    <w:rsid w:val="3F1FB74D"/>
    <w:rsid w:val="3F3EDA61"/>
    <w:rsid w:val="3F5D97C1"/>
    <w:rsid w:val="3FDBB55A"/>
    <w:rsid w:val="3FEBD885"/>
    <w:rsid w:val="3FFC9CF7"/>
    <w:rsid w:val="3FFF91FB"/>
    <w:rsid w:val="44AB3E32"/>
    <w:rsid w:val="45E7767A"/>
    <w:rsid w:val="47F9A9B2"/>
    <w:rsid w:val="47FB4E5F"/>
    <w:rsid w:val="49DF1782"/>
    <w:rsid w:val="49E8C1E6"/>
    <w:rsid w:val="4A23516A"/>
    <w:rsid w:val="4A7F019A"/>
    <w:rsid w:val="4AFE39CF"/>
    <w:rsid w:val="4B9EDB19"/>
    <w:rsid w:val="4BDE61FD"/>
    <w:rsid w:val="4BEF129A"/>
    <w:rsid w:val="4BF3DADA"/>
    <w:rsid w:val="4DD72A9B"/>
    <w:rsid w:val="4EFFCA62"/>
    <w:rsid w:val="4F0F8197"/>
    <w:rsid w:val="4F8E4EA0"/>
    <w:rsid w:val="4FDF8FD5"/>
    <w:rsid w:val="4FEF6117"/>
    <w:rsid w:val="4FF37AB6"/>
    <w:rsid w:val="501016CA"/>
    <w:rsid w:val="53CFD7F5"/>
    <w:rsid w:val="57558F2F"/>
    <w:rsid w:val="57DD8E29"/>
    <w:rsid w:val="57E9515B"/>
    <w:rsid w:val="57EF3000"/>
    <w:rsid w:val="57FC1050"/>
    <w:rsid w:val="57FF3F37"/>
    <w:rsid w:val="59F3303C"/>
    <w:rsid w:val="59FA145A"/>
    <w:rsid w:val="5ADDBFAD"/>
    <w:rsid w:val="5AFB3CDB"/>
    <w:rsid w:val="5AFD26F0"/>
    <w:rsid w:val="5B5BE2BA"/>
    <w:rsid w:val="5B7F2F29"/>
    <w:rsid w:val="5BAB2BA1"/>
    <w:rsid w:val="5BBF0202"/>
    <w:rsid w:val="5BBF0738"/>
    <w:rsid w:val="5BEDBC7F"/>
    <w:rsid w:val="5BF35B96"/>
    <w:rsid w:val="5BFE0871"/>
    <w:rsid w:val="5BFF2FE0"/>
    <w:rsid w:val="5BFF8E73"/>
    <w:rsid w:val="5C84BB23"/>
    <w:rsid w:val="5CDFB4B1"/>
    <w:rsid w:val="5CE953B4"/>
    <w:rsid w:val="5D165352"/>
    <w:rsid w:val="5D6BCCCF"/>
    <w:rsid w:val="5D779C85"/>
    <w:rsid w:val="5D7F9FDF"/>
    <w:rsid w:val="5DBC7793"/>
    <w:rsid w:val="5DCF26CF"/>
    <w:rsid w:val="5DDFBFC2"/>
    <w:rsid w:val="5E7B96D4"/>
    <w:rsid w:val="5E7ED01A"/>
    <w:rsid w:val="5EBB65D4"/>
    <w:rsid w:val="5EDFA0DA"/>
    <w:rsid w:val="5EFF75D6"/>
    <w:rsid w:val="5F7F78E6"/>
    <w:rsid w:val="5F7F8BEC"/>
    <w:rsid w:val="5F7FB413"/>
    <w:rsid w:val="5F8B440E"/>
    <w:rsid w:val="5FBD103A"/>
    <w:rsid w:val="5FBFBDEE"/>
    <w:rsid w:val="5FED7776"/>
    <w:rsid w:val="5FF6C21E"/>
    <w:rsid w:val="5FFFA94D"/>
    <w:rsid w:val="620B9E26"/>
    <w:rsid w:val="65AEA872"/>
    <w:rsid w:val="65FD4360"/>
    <w:rsid w:val="65FFB318"/>
    <w:rsid w:val="66E6B256"/>
    <w:rsid w:val="67BF950C"/>
    <w:rsid w:val="67F504AA"/>
    <w:rsid w:val="67FF8009"/>
    <w:rsid w:val="6AD7B063"/>
    <w:rsid w:val="6AED90D8"/>
    <w:rsid w:val="6B7EA286"/>
    <w:rsid w:val="6BFE454E"/>
    <w:rsid w:val="6BFFFE29"/>
    <w:rsid w:val="6CF9196C"/>
    <w:rsid w:val="6CFD3414"/>
    <w:rsid w:val="6DBA0337"/>
    <w:rsid w:val="6DEDFC32"/>
    <w:rsid w:val="6DFE60E4"/>
    <w:rsid w:val="6ED562B3"/>
    <w:rsid w:val="6EF28683"/>
    <w:rsid w:val="6F5AC297"/>
    <w:rsid w:val="6F9BCD5F"/>
    <w:rsid w:val="6FBE2920"/>
    <w:rsid w:val="6FBFD922"/>
    <w:rsid w:val="6FD74E3F"/>
    <w:rsid w:val="6FDF006E"/>
    <w:rsid w:val="6FDFACA8"/>
    <w:rsid w:val="6FF3AE97"/>
    <w:rsid w:val="6FFAD1E9"/>
    <w:rsid w:val="6FFDF2CC"/>
    <w:rsid w:val="705FA577"/>
    <w:rsid w:val="72660298"/>
    <w:rsid w:val="727781B8"/>
    <w:rsid w:val="72FB3525"/>
    <w:rsid w:val="731E0F1D"/>
    <w:rsid w:val="73BF2346"/>
    <w:rsid w:val="73EF0018"/>
    <w:rsid w:val="73FEC08C"/>
    <w:rsid w:val="73FF8577"/>
    <w:rsid w:val="74DD963C"/>
    <w:rsid w:val="75AB01D8"/>
    <w:rsid w:val="75BA72A3"/>
    <w:rsid w:val="75F7022D"/>
    <w:rsid w:val="75FFEB96"/>
    <w:rsid w:val="76AB27BE"/>
    <w:rsid w:val="76BDCEAF"/>
    <w:rsid w:val="76DF7D60"/>
    <w:rsid w:val="76EE2964"/>
    <w:rsid w:val="7777FFF1"/>
    <w:rsid w:val="777AFCC7"/>
    <w:rsid w:val="777B8568"/>
    <w:rsid w:val="77894891"/>
    <w:rsid w:val="77896F12"/>
    <w:rsid w:val="778CD373"/>
    <w:rsid w:val="778F622F"/>
    <w:rsid w:val="77DE765E"/>
    <w:rsid w:val="77ED99A6"/>
    <w:rsid w:val="77EF8283"/>
    <w:rsid w:val="77F17283"/>
    <w:rsid w:val="77FD58BE"/>
    <w:rsid w:val="77FF1A42"/>
    <w:rsid w:val="77FF4407"/>
    <w:rsid w:val="77FF5EB7"/>
    <w:rsid w:val="787F8B34"/>
    <w:rsid w:val="794921DD"/>
    <w:rsid w:val="79EC9F01"/>
    <w:rsid w:val="79FD69C1"/>
    <w:rsid w:val="79FE37F4"/>
    <w:rsid w:val="7AB78EF4"/>
    <w:rsid w:val="7AEB8CAF"/>
    <w:rsid w:val="7AF7B712"/>
    <w:rsid w:val="7AFD4EFB"/>
    <w:rsid w:val="7AFE55AB"/>
    <w:rsid w:val="7B462B95"/>
    <w:rsid w:val="7BBDF191"/>
    <w:rsid w:val="7BE32640"/>
    <w:rsid w:val="7BEF1847"/>
    <w:rsid w:val="7BFDF6F9"/>
    <w:rsid w:val="7BFE519E"/>
    <w:rsid w:val="7C6A1E3A"/>
    <w:rsid w:val="7CA70672"/>
    <w:rsid w:val="7CFD94D9"/>
    <w:rsid w:val="7CFED612"/>
    <w:rsid w:val="7D2F2210"/>
    <w:rsid w:val="7D3345DE"/>
    <w:rsid w:val="7D7EA773"/>
    <w:rsid w:val="7D9F4F65"/>
    <w:rsid w:val="7DA49950"/>
    <w:rsid w:val="7DB903B7"/>
    <w:rsid w:val="7DBA9E0C"/>
    <w:rsid w:val="7DC3ADAA"/>
    <w:rsid w:val="7DCBE30B"/>
    <w:rsid w:val="7DCDC975"/>
    <w:rsid w:val="7DD78097"/>
    <w:rsid w:val="7DF79BFA"/>
    <w:rsid w:val="7E7DB9D3"/>
    <w:rsid w:val="7EB41356"/>
    <w:rsid w:val="7EBDAB28"/>
    <w:rsid w:val="7EBF0E42"/>
    <w:rsid w:val="7ECF16C3"/>
    <w:rsid w:val="7ED759C0"/>
    <w:rsid w:val="7EDA1850"/>
    <w:rsid w:val="7EFB7871"/>
    <w:rsid w:val="7EFE771C"/>
    <w:rsid w:val="7F372CEC"/>
    <w:rsid w:val="7F3D93EE"/>
    <w:rsid w:val="7F3FC933"/>
    <w:rsid w:val="7F4F9805"/>
    <w:rsid w:val="7F5B9082"/>
    <w:rsid w:val="7F5EAE3D"/>
    <w:rsid w:val="7F6D6602"/>
    <w:rsid w:val="7F6FC9B3"/>
    <w:rsid w:val="7F7381C3"/>
    <w:rsid w:val="7F7F5F2F"/>
    <w:rsid w:val="7F929760"/>
    <w:rsid w:val="7FA543F7"/>
    <w:rsid w:val="7FB6E5DA"/>
    <w:rsid w:val="7FB7FEE5"/>
    <w:rsid w:val="7FBFCE36"/>
    <w:rsid w:val="7FC1BC0B"/>
    <w:rsid w:val="7FD0AFC3"/>
    <w:rsid w:val="7FD64DFD"/>
    <w:rsid w:val="7FDD06E4"/>
    <w:rsid w:val="7FDF4B33"/>
    <w:rsid w:val="7FE39F4F"/>
    <w:rsid w:val="7FE671CD"/>
    <w:rsid w:val="7FE76219"/>
    <w:rsid w:val="7FE950AA"/>
    <w:rsid w:val="7FEB52C6"/>
    <w:rsid w:val="7FEE5665"/>
    <w:rsid w:val="7FF7D3E0"/>
    <w:rsid w:val="7FF82291"/>
    <w:rsid w:val="7FFC0464"/>
    <w:rsid w:val="7FFD19BF"/>
    <w:rsid w:val="7FFD5DE9"/>
    <w:rsid w:val="7FFDBB98"/>
    <w:rsid w:val="7FFE0C12"/>
    <w:rsid w:val="7FFE6667"/>
    <w:rsid w:val="7FFF1D2D"/>
    <w:rsid w:val="7FFFBFAA"/>
    <w:rsid w:val="89EFADDD"/>
    <w:rsid w:val="8A2FF23D"/>
    <w:rsid w:val="8DBC76EC"/>
    <w:rsid w:val="8DFF2E9A"/>
    <w:rsid w:val="8EF36069"/>
    <w:rsid w:val="8F9BECF8"/>
    <w:rsid w:val="8FEEDE8F"/>
    <w:rsid w:val="8FFFF8C2"/>
    <w:rsid w:val="96E1704C"/>
    <w:rsid w:val="97D76D6B"/>
    <w:rsid w:val="9BAF17AA"/>
    <w:rsid w:val="9BB73842"/>
    <w:rsid w:val="9C7FD994"/>
    <w:rsid w:val="9DD6FA9A"/>
    <w:rsid w:val="9DEFBA20"/>
    <w:rsid w:val="9EBF496D"/>
    <w:rsid w:val="9EF3574D"/>
    <w:rsid w:val="9EFFE589"/>
    <w:rsid w:val="9F9BEFAE"/>
    <w:rsid w:val="9FB9409B"/>
    <w:rsid w:val="9FDF228A"/>
    <w:rsid w:val="A7BEB185"/>
    <w:rsid w:val="ADBFD0ED"/>
    <w:rsid w:val="ADCB5DE6"/>
    <w:rsid w:val="ADFF75E7"/>
    <w:rsid w:val="AEBFF99C"/>
    <w:rsid w:val="AF5BBF2F"/>
    <w:rsid w:val="AF7FD4B8"/>
    <w:rsid w:val="AFFD67BD"/>
    <w:rsid w:val="B1FF63AC"/>
    <w:rsid w:val="B36B929D"/>
    <w:rsid w:val="B39EAB10"/>
    <w:rsid w:val="B3DAD971"/>
    <w:rsid w:val="B3FEF0EE"/>
    <w:rsid w:val="B5AFD9E6"/>
    <w:rsid w:val="B5DD50E3"/>
    <w:rsid w:val="B6FBE1BA"/>
    <w:rsid w:val="B7BD9710"/>
    <w:rsid w:val="B7BF7D3F"/>
    <w:rsid w:val="B7DFAFE4"/>
    <w:rsid w:val="B7FB2248"/>
    <w:rsid w:val="B7FF9873"/>
    <w:rsid w:val="BA3DD9E2"/>
    <w:rsid w:val="BAE3A579"/>
    <w:rsid w:val="BAE7C053"/>
    <w:rsid w:val="BAED3A2E"/>
    <w:rsid w:val="BAFFE9F4"/>
    <w:rsid w:val="BBB1BF46"/>
    <w:rsid w:val="BBBBDB31"/>
    <w:rsid w:val="BBBE0FCE"/>
    <w:rsid w:val="BBDDDA4B"/>
    <w:rsid w:val="BBFF1CE0"/>
    <w:rsid w:val="BCDC95C4"/>
    <w:rsid w:val="BD5B2D7D"/>
    <w:rsid w:val="BD9FFEEE"/>
    <w:rsid w:val="BDDBE906"/>
    <w:rsid w:val="BDF69DF6"/>
    <w:rsid w:val="BDFD756E"/>
    <w:rsid w:val="BDFF926A"/>
    <w:rsid w:val="BE0604F1"/>
    <w:rsid w:val="BE7B9683"/>
    <w:rsid w:val="BE7DD6B7"/>
    <w:rsid w:val="BE7F9B15"/>
    <w:rsid w:val="BE9F57A7"/>
    <w:rsid w:val="BEBF9D47"/>
    <w:rsid w:val="BEDFD304"/>
    <w:rsid w:val="BEFFC5E6"/>
    <w:rsid w:val="BF1EE53B"/>
    <w:rsid w:val="BF4995C1"/>
    <w:rsid w:val="BF9FB917"/>
    <w:rsid w:val="BFCF695A"/>
    <w:rsid w:val="BFDB09BE"/>
    <w:rsid w:val="BFDB27AC"/>
    <w:rsid w:val="BFE7A973"/>
    <w:rsid w:val="BFEBF4D0"/>
    <w:rsid w:val="BFEE5E5B"/>
    <w:rsid w:val="BFEE7165"/>
    <w:rsid w:val="BFF5F6D3"/>
    <w:rsid w:val="BFF7E2A4"/>
    <w:rsid w:val="BFFBCCF7"/>
    <w:rsid w:val="BFFDB99C"/>
    <w:rsid w:val="BFFDC99E"/>
    <w:rsid w:val="BFFE8D6C"/>
    <w:rsid w:val="BFFF1309"/>
    <w:rsid w:val="BFFF37DD"/>
    <w:rsid w:val="C73FEC32"/>
    <w:rsid w:val="C7DEC7C9"/>
    <w:rsid w:val="C9EE831F"/>
    <w:rsid w:val="CA6DFDCC"/>
    <w:rsid w:val="CCED0078"/>
    <w:rsid w:val="CDEE619A"/>
    <w:rsid w:val="CDF30BB8"/>
    <w:rsid w:val="CDFD136E"/>
    <w:rsid w:val="CF37FAA2"/>
    <w:rsid w:val="CF7B48B6"/>
    <w:rsid w:val="CF7F5A1E"/>
    <w:rsid w:val="CF7FCB5B"/>
    <w:rsid w:val="CFB7526A"/>
    <w:rsid w:val="CFEE1DC2"/>
    <w:rsid w:val="CFF93778"/>
    <w:rsid w:val="D3AFE949"/>
    <w:rsid w:val="D7FFFF5E"/>
    <w:rsid w:val="D9AD8C85"/>
    <w:rsid w:val="D9FD0670"/>
    <w:rsid w:val="DA7D42C9"/>
    <w:rsid w:val="DAF71DE9"/>
    <w:rsid w:val="DAFBF32F"/>
    <w:rsid w:val="DB099C7F"/>
    <w:rsid w:val="DB1F3A61"/>
    <w:rsid w:val="DBFF3014"/>
    <w:rsid w:val="DBFF3C87"/>
    <w:rsid w:val="DCDF49D7"/>
    <w:rsid w:val="DD760DE2"/>
    <w:rsid w:val="DD9D9170"/>
    <w:rsid w:val="DD9EBED2"/>
    <w:rsid w:val="DDBDE5EF"/>
    <w:rsid w:val="DDBFA5BA"/>
    <w:rsid w:val="DDCF5AD3"/>
    <w:rsid w:val="DDF7D620"/>
    <w:rsid w:val="DDFF072A"/>
    <w:rsid w:val="DDFFD541"/>
    <w:rsid w:val="DE7F3A7B"/>
    <w:rsid w:val="DE7FCA33"/>
    <w:rsid w:val="DEDF2424"/>
    <w:rsid w:val="DEECC73A"/>
    <w:rsid w:val="DF9B224C"/>
    <w:rsid w:val="DFBF9401"/>
    <w:rsid w:val="DFEF7CB7"/>
    <w:rsid w:val="DFEF7F0F"/>
    <w:rsid w:val="DFEFFB6D"/>
    <w:rsid w:val="DFFE9C81"/>
    <w:rsid w:val="E0EF8D77"/>
    <w:rsid w:val="E1FFF013"/>
    <w:rsid w:val="E47712CD"/>
    <w:rsid w:val="E47EF11A"/>
    <w:rsid w:val="E5FA5BB8"/>
    <w:rsid w:val="E5FB1AF0"/>
    <w:rsid w:val="E6AD3DC7"/>
    <w:rsid w:val="E75FD83D"/>
    <w:rsid w:val="E7DFEEDB"/>
    <w:rsid w:val="E7EFAA5D"/>
    <w:rsid w:val="E7FBDE68"/>
    <w:rsid w:val="E9CF0D79"/>
    <w:rsid w:val="E9FF2752"/>
    <w:rsid w:val="EAF49902"/>
    <w:rsid w:val="EBD9EC17"/>
    <w:rsid w:val="EBDC9649"/>
    <w:rsid w:val="EBDFBBDE"/>
    <w:rsid w:val="EBEF81AE"/>
    <w:rsid w:val="EBF71741"/>
    <w:rsid w:val="ECB75632"/>
    <w:rsid w:val="ECE3DDE9"/>
    <w:rsid w:val="ED3755C0"/>
    <w:rsid w:val="ED3DEC50"/>
    <w:rsid w:val="ED6DE05B"/>
    <w:rsid w:val="ED7DF30D"/>
    <w:rsid w:val="ED97D89F"/>
    <w:rsid w:val="ED9EB28A"/>
    <w:rsid w:val="EDAB26E6"/>
    <w:rsid w:val="EDBB8C5F"/>
    <w:rsid w:val="EDF1CFED"/>
    <w:rsid w:val="EDFBBA5B"/>
    <w:rsid w:val="EE1B9A24"/>
    <w:rsid w:val="EEBF05D8"/>
    <w:rsid w:val="EEFBE33D"/>
    <w:rsid w:val="EF0FA5C8"/>
    <w:rsid w:val="EF3F61FC"/>
    <w:rsid w:val="EF7FD6C0"/>
    <w:rsid w:val="EF9E4645"/>
    <w:rsid w:val="EFBAE9C2"/>
    <w:rsid w:val="EFBBABCA"/>
    <w:rsid w:val="EFE76116"/>
    <w:rsid w:val="EFF10769"/>
    <w:rsid w:val="EFF73FF7"/>
    <w:rsid w:val="EFFDAA98"/>
    <w:rsid w:val="EFFF7906"/>
    <w:rsid w:val="F1DB4748"/>
    <w:rsid w:val="F3BDF242"/>
    <w:rsid w:val="F3DF183B"/>
    <w:rsid w:val="F3DFF004"/>
    <w:rsid w:val="F55FCB25"/>
    <w:rsid w:val="F57C5BD8"/>
    <w:rsid w:val="F5B82908"/>
    <w:rsid w:val="F5DE974F"/>
    <w:rsid w:val="F5EB02A2"/>
    <w:rsid w:val="F5F5F149"/>
    <w:rsid w:val="F5FBBD48"/>
    <w:rsid w:val="F6559426"/>
    <w:rsid w:val="F76EFF7A"/>
    <w:rsid w:val="F77317A7"/>
    <w:rsid w:val="F77E1ECF"/>
    <w:rsid w:val="F7D39303"/>
    <w:rsid w:val="F7DD3129"/>
    <w:rsid w:val="F7EBF692"/>
    <w:rsid w:val="F7FB47C9"/>
    <w:rsid w:val="F7FD2127"/>
    <w:rsid w:val="F8EDB789"/>
    <w:rsid w:val="F99EAE1B"/>
    <w:rsid w:val="F9DD4D8B"/>
    <w:rsid w:val="F9EFBA86"/>
    <w:rsid w:val="F9FC3B0D"/>
    <w:rsid w:val="F9FF6487"/>
    <w:rsid w:val="F9FF7FDD"/>
    <w:rsid w:val="F9FFBF57"/>
    <w:rsid w:val="FA5FA5A9"/>
    <w:rsid w:val="FA7CCBDC"/>
    <w:rsid w:val="FA7E618E"/>
    <w:rsid w:val="FAD362CD"/>
    <w:rsid w:val="FAEEBB5C"/>
    <w:rsid w:val="FAFC2E06"/>
    <w:rsid w:val="FB2BAA49"/>
    <w:rsid w:val="FB3976D6"/>
    <w:rsid w:val="FB3C3AD2"/>
    <w:rsid w:val="FB47630D"/>
    <w:rsid w:val="FB749E70"/>
    <w:rsid w:val="FB7C85FA"/>
    <w:rsid w:val="FB9DD152"/>
    <w:rsid w:val="FBB79015"/>
    <w:rsid w:val="FBBBE756"/>
    <w:rsid w:val="FBBECD8D"/>
    <w:rsid w:val="FBC7D15E"/>
    <w:rsid w:val="FBC9CD2A"/>
    <w:rsid w:val="FBD9A591"/>
    <w:rsid w:val="FBEF1280"/>
    <w:rsid w:val="FBEF7039"/>
    <w:rsid w:val="FBFEF23A"/>
    <w:rsid w:val="FBFF47EB"/>
    <w:rsid w:val="FBFF525A"/>
    <w:rsid w:val="FC644429"/>
    <w:rsid w:val="FCDFE540"/>
    <w:rsid w:val="FCEEF9A0"/>
    <w:rsid w:val="FD1B3D8C"/>
    <w:rsid w:val="FD1EB730"/>
    <w:rsid w:val="FD573EE7"/>
    <w:rsid w:val="FD5B280F"/>
    <w:rsid w:val="FD5FBC6A"/>
    <w:rsid w:val="FD678B47"/>
    <w:rsid w:val="FD773F8E"/>
    <w:rsid w:val="FD7EA537"/>
    <w:rsid w:val="FD7F8504"/>
    <w:rsid w:val="FDC75A74"/>
    <w:rsid w:val="FDC7664E"/>
    <w:rsid w:val="FDDD5A4A"/>
    <w:rsid w:val="FDE937A3"/>
    <w:rsid w:val="FDEBD1EA"/>
    <w:rsid w:val="FDEBEBFC"/>
    <w:rsid w:val="FDEDDC1C"/>
    <w:rsid w:val="FDEF3053"/>
    <w:rsid w:val="FDF7AC06"/>
    <w:rsid w:val="FDFD63EE"/>
    <w:rsid w:val="FDFE4D6B"/>
    <w:rsid w:val="FDFF21B8"/>
    <w:rsid w:val="FE3D4230"/>
    <w:rsid w:val="FE3FD1F2"/>
    <w:rsid w:val="FEB80EE9"/>
    <w:rsid w:val="FECE1EB3"/>
    <w:rsid w:val="FED74C2B"/>
    <w:rsid w:val="FEDE9C8C"/>
    <w:rsid w:val="FEDFEF39"/>
    <w:rsid w:val="FEDFF4F4"/>
    <w:rsid w:val="FEEB4B78"/>
    <w:rsid w:val="FEEE0FD2"/>
    <w:rsid w:val="FEEF4D48"/>
    <w:rsid w:val="FEEF7E9D"/>
    <w:rsid w:val="FEF59870"/>
    <w:rsid w:val="FEF93771"/>
    <w:rsid w:val="FEFB9BC8"/>
    <w:rsid w:val="FEFFF6AF"/>
    <w:rsid w:val="FF367687"/>
    <w:rsid w:val="FF3F2698"/>
    <w:rsid w:val="FF4F868E"/>
    <w:rsid w:val="FF5E3FD2"/>
    <w:rsid w:val="FF5E6525"/>
    <w:rsid w:val="FF6323AC"/>
    <w:rsid w:val="FF6A9254"/>
    <w:rsid w:val="FF6BBA39"/>
    <w:rsid w:val="FF6BD614"/>
    <w:rsid w:val="FF7E5A61"/>
    <w:rsid w:val="FF7F50CF"/>
    <w:rsid w:val="FF7FB45E"/>
    <w:rsid w:val="FF7FBDEF"/>
    <w:rsid w:val="FF9781B4"/>
    <w:rsid w:val="FF9E6BE1"/>
    <w:rsid w:val="FFADBFA0"/>
    <w:rsid w:val="FFAF5B5A"/>
    <w:rsid w:val="FFBF037F"/>
    <w:rsid w:val="FFC33723"/>
    <w:rsid w:val="FFC86BBB"/>
    <w:rsid w:val="FFCF50FC"/>
    <w:rsid w:val="FFD5AD52"/>
    <w:rsid w:val="FFDCFAA9"/>
    <w:rsid w:val="FFDF424D"/>
    <w:rsid w:val="FFE5F5B6"/>
    <w:rsid w:val="FFE68D8B"/>
    <w:rsid w:val="FFE929D1"/>
    <w:rsid w:val="FFEB92FB"/>
    <w:rsid w:val="FFF1FF40"/>
    <w:rsid w:val="FFF2E66B"/>
    <w:rsid w:val="FFF50D95"/>
    <w:rsid w:val="FFF736C0"/>
    <w:rsid w:val="FFFBA570"/>
    <w:rsid w:val="FFFD82E1"/>
    <w:rsid w:val="FFFD9A7A"/>
    <w:rsid w:val="FFFE2B7B"/>
    <w:rsid w:val="FFFEC901"/>
    <w:rsid w:val="FFFF5422"/>
    <w:rsid w:val="FFFF786B"/>
    <w:rsid w:val="FFFF8579"/>
    <w:rsid w:val="FFFF8D90"/>
    <w:rsid w:val="FFFF9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1F4E79" w:themeColor="accent1" w:themeShade="80"/>
      <w:sz w:val="32"/>
      <w:szCs w:val="32"/>
    </w:rPr>
  </w:style>
  <w:style w:type="paragraph" w:styleId="3">
    <w:name w:val="heading 2"/>
    <w:basedOn w:val="1"/>
    <w:next w:val="1"/>
    <w:link w:val="20"/>
    <w:unhideWhenUsed/>
    <w:qFormat/>
    <w:uiPriority w:val="9"/>
    <w:pPr>
      <w:keepNext/>
      <w:keepLines/>
      <w:spacing w:before="40"/>
      <w:outlineLvl w:val="1"/>
    </w:pPr>
    <w:rPr>
      <w:rFonts w:asciiTheme="majorHAnsi" w:hAnsiTheme="majorHAnsi" w:eastAsiaTheme="majorEastAsia" w:cstheme="majorBidi"/>
      <w:color w:val="1F4E79" w:themeColor="accent1" w:themeShade="80"/>
      <w:sz w:val="26"/>
      <w:szCs w:val="26"/>
    </w:rPr>
  </w:style>
  <w:style w:type="paragraph" w:styleId="4">
    <w:name w:val="heading 3"/>
    <w:basedOn w:val="1"/>
    <w:next w:val="1"/>
    <w:link w:val="22"/>
    <w:unhideWhenUsed/>
    <w:qFormat/>
    <w:uiPriority w:val="9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1F4E79" w:themeColor="accent1" w:themeShade="80"/>
      <w:sz w:val="24"/>
      <w:szCs w:val="24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annotation reference"/>
    <w:basedOn w:val="5"/>
    <w:qFormat/>
    <w:uiPriority w:val="0"/>
    <w:rPr>
      <w:sz w:val="16"/>
      <w:szCs w:val="16"/>
    </w:rPr>
  </w:style>
  <w:style w:type="paragraph" w:styleId="8">
    <w:name w:val="annotation text"/>
    <w:basedOn w:val="1"/>
    <w:link w:val="44"/>
    <w:qFormat/>
    <w:uiPriority w:val="0"/>
    <w:rPr>
      <w:sz w:val="20"/>
      <w:szCs w:val="20"/>
    </w:rPr>
  </w:style>
  <w:style w:type="paragraph" w:styleId="9">
    <w:name w:val="annotation subject"/>
    <w:basedOn w:val="8"/>
    <w:next w:val="8"/>
    <w:link w:val="45"/>
    <w:qFormat/>
    <w:uiPriority w:val="0"/>
    <w:rPr>
      <w:b/>
      <w:bCs/>
    </w:rPr>
  </w:style>
  <w:style w:type="character" w:styleId="10">
    <w:name w:val="Emphasis"/>
    <w:basedOn w:val="5"/>
    <w:qFormat/>
    <w:uiPriority w:val="0"/>
    <w:rPr>
      <w:i/>
      <w:iCs/>
    </w:rPr>
  </w:style>
  <w:style w:type="character" w:styleId="11">
    <w:name w:val="FollowedHyperlink"/>
    <w:basedOn w:val="5"/>
    <w:qFormat/>
    <w:uiPriority w:val="0"/>
    <w:rPr>
      <w:color w:val="800080"/>
      <w:u w:val="single"/>
    </w:rPr>
  </w:style>
  <w:style w:type="paragraph" w:styleId="12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3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4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character" w:styleId="15">
    <w:name w:val="Hyperlink"/>
    <w:basedOn w:val="5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6">
    <w:name w:val="Normal (Web)"/>
    <w:basedOn w:val="1"/>
    <w:semiHidden/>
    <w:unhideWhenUsed/>
    <w:qFormat/>
    <w:uiPriority w:val="99"/>
    <w:pPr>
      <w:spacing w:before="100" w:beforeAutospacing="1" w:after="100" w:afterAutospacing="1"/>
    </w:pPr>
    <w:rPr>
      <w:rFonts w:ascii="Times New Roman" w:hAnsi="Times New Roman" w:eastAsia="Times New Roman" w:cs="Times New Roman"/>
      <w:sz w:val="24"/>
      <w:szCs w:val="24"/>
    </w:rPr>
  </w:style>
  <w:style w:type="character" w:styleId="17">
    <w:name w:val="page number"/>
    <w:basedOn w:val="5"/>
    <w:qFormat/>
    <w:uiPriority w:val="0"/>
    <w:rPr>
      <w:rFonts w:ascii="Times New Roman" w:hAnsi="Times New Roman" w:eastAsia="SimSun"/>
    </w:rPr>
  </w:style>
  <w:style w:type="character" w:styleId="18">
    <w:name w:val="Strong"/>
    <w:basedOn w:val="5"/>
    <w:qFormat/>
    <w:uiPriority w:val="22"/>
    <w:rPr>
      <w:b/>
      <w:bCs/>
    </w:rPr>
  </w:style>
  <w:style w:type="table" w:styleId="19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0">
    <w:name w:val="Heading 2 Char"/>
    <w:basedOn w:val="5"/>
    <w:link w:val="3"/>
    <w:qFormat/>
    <w:uiPriority w:val="9"/>
    <w:rPr>
      <w:rFonts w:asciiTheme="majorHAnsi" w:hAnsiTheme="majorHAnsi" w:eastAsiaTheme="majorEastAsia" w:cstheme="majorBidi"/>
      <w:color w:val="1F4E79" w:themeColor="accent1" w:themeShade="80"/>
      <w:sz w:val="26"/>
      <w:szCs w:val="26"/>
    </w:rPr>
  </w:style>
  <w:style w:type="paragraph" w:styleId="21">
    <w:name w:val="List Paragraph"/>
    <w:basedOn w:val="1"/>
    <w:qFormat/>
    <w:uiPriority w:val="34"/>
    <w:pPr>
      <w:spacing w:after="160" w:line="259" w:lineRule="auto"/>
      <w:ind w:left="720"/>
      <w:contextualSpacing/>
    </w:pPr>
  </w:style>
  <w:style w:type="character" w:customStyle="1" w:styleId="22">
    <w:name w:val="Heading 3 Char"/>
    <w:basedOn w:val="5"/>
    <w:link w:val="4"/>
    <w:qFormat/>
    <w:uiPriority w:val="9"/>
    <w:rPr>
      <w:rFonts w:asciiTheme="majorHAnsi" w:hAnsiTheme="majorHAnsi" w:eastAsiaTheme="majorEastAsia" w:cstheme="majorBidi"/>
      <w:color w:val="1F4E79" w:themeColor="accent1" w:themeShade="80"/>
      <w:sz w:val="24"/>
      <w:szCs w:val="24"/>
    </w:rPr>
  </w:style>
  <w:style w:type="table" w:customStyle="1" w:styleId="23">
    <w:name w:val="_Style 10"/>
    <w:basedOn w:val="24"/>
    <w:qFormat/>
    <w:uiPriority w:val="0"/>
  </w:style>
  <w:style w:type="table" w:customStyle="1" w:styleId="24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25">
    <w:name w:val="p2"/>
    <w:qFormat/>
    <w:uiPriority w:val="0"/>
    <w:rPr>
      <w:rFonts w:ascii="Helvetica" w:hAnsi="Helvetica" w:eastAsia="Helvetica" w:cs="Times New Roman"/>
      <w:sz w:val="24"/>
      <w:szCs w:val="24"/>
      <w:lang w:val="en-US" w:eastAsia="zh-CN" w:bidi="ar-SA"/>
    </w:rPr>
  </w:style>
  <w:style w:type="paragraph" w:customStyle="1" w:styleId="26">
    <w:name w:val="p1"/>
    <w:qFormat/>
    <w:uiPriority w:val="0"/>
    <w:rPr>
      <w:rFonts w:ascii="Helvetica" w:hAnsi="Helvetica" w:eastAsia="Helvetica" w:cs="Times New Roman"/>
      <w:sz w:val="24"/>
      <w:szCs w:val="24"/>
      <w:lang w:val="en-US" w:eastAsia="zh-CN" w:bidi="ar-SA"/>
    </w:rPr>
  </w:style>
  <w:style w:type="table" w:customStyle="1" w:styleId="27">
    <w:name w:val="_Style 11"/>
    <w:basedOn w:val="24"/>
    <w:qFormat/>
    <w:uiPriority w:val="0"/>
  </w:style>
  <w:style w:type="table" w:customStyle="1" w:styleId="28">
    <w:name w:val="_Style 12"/>
    <w:basedOn w:val="24"/>
    <w:qFormat/>
    <w:uiPriority w:val="0"/>
  </w:style>
  <w:style w:type="table" w:customStyle="1" w:styleId="29">
    <w:name w:val="_Style 13"/>
    <w:basedOn w:val="24"/>
    <w:qFormat/>
    <w:uiPriority w:val="0"/>
  </w:style>
  <w:style w:type="table" w:customStyle="1" w:styleId="30">
    <w:name w:val="_Style 14"/>
    <w:basedOn w:val="24"/>
    <w:qFormat/>
    <w:uiPriority w:val="0"/>
  </w:style>
  <w:style w:type="table" w:customStyle="1" w:styleId="31">
    <w:name w:val="_Style 15"/>
    <w:basedOn w:val="24"/>
    <w:qFormat/>
    <w:uiPriority w:val="0"/>
  </w:style>
  <w:style w:type="table" w:customStyle="1" w:styleId="32">
    <w:name w:val="_Style 16"/>
    <w:basedOn w:val="24"/>
    <w:qFormat/>
    <w:uiPriority w:val="0"/>
  </w:style>
  <w:style w:type="table" w:customStyle="1" w:styleId="33">
    <w:name w:val="_Style 17"/>
    <w:basedOn w:val="24"/>
    <w:qFormat/>
    <w:uiPriority w:val="0"/>
  </w:style>
  <w:style w:type="table" w:customStyle="1" w:styleId="34">
    <w:name w:val="_Style 18"/>
    <w:basedOn w:val="24"/>
    <w:qFormat/>
    <w:uiPriority w:val="0"/>
  </w:style>
  <w:style w:type="table" w:customStyle="1" w:styleId="35">
    <w:name w:val="_Style 19"/>
    <w:basedOn w:val="24"/>
    <w:qFormat/>
    <w:uiPriority w:val="0"/>
  </w:style>
  <w:style w:type="table" w:customStyle="1" w:styleId="36">
    <w:name w:val="_Style 20"/>
    <w:basedOn w:val="24"/>
    <w:qFormat/>
    <w:uiPriority w:val="0"/>
  </w:style>
  <w:style w:type="table" w:customStyle="1" w:styleId="37">
    <w:name w:val="_Style 21"/>
    <w:basedOn w:val="24"/>
    <w:qFormat/>
    <w:uiPriority w:val="0"/>
  </w:style>
  <w:style w:type="table" w:customStyle="1" w:styleId="38">
    <w:name w:val="_Style 22"/>
    <w:basedOn w:val="24"/>
    <w:qFormat/>
    <w:uiPriority w:val="0"/>
  </w:style>
  <w:style w:type="table" w:customStyle="1" w:styleId="39">
    <w:name w:val="_Style 23"/>
    <w:basedOn w:val="24"/>
    <w:qFormat/>
    <w:uiPriority w:val="0"/>
  </w:style>
  <w:style w:type="table" w:customStyle="1" w:styleId="40">
    <w:name w:val="_Style 24"/>
    <w:basedOn w:val="24"/>
    <w:qFormat/>
    <w:uiPriority w:val="0"/>
  </w:style>
  <w:style w:type="table" w:customStyle="1" w:styleId="41">
    <w:name w:val="TableGrid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2">
    <w:name w:val="Table Grid1"/>
    <w:basedOn w:val="6"/>
    <w:qFormat/>
    <w:uiPriority w:val="39"/>
    <w:rPr>
      <w:rFonts w:ascii="Calibri" w:hAnsi="Calibri" w:eastAsia="Calibr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43">
    <w:name w:val="p3"/>
    <w:qFormat/>
    <w:uiPriority w:val="0"/>
    <w:rPr>
      <w:rFonts w:ascii="Helvetica Neue" w:hAnsi="Helvetica Neue" w:eastAsia="Helvetica Neue" w:cs="Times New Roman"/>
      <w:sz w:val="26"/>
      <w:szCs w:val="26"/>
      <w:lang w:val="en-US" w:eastAsia="zh-CN" w:bidi="ar-SA"/>
    </w:rPr>
  </w:style>
  <w:style w:type="character" w:customStyle="1" w:styleId="44">
    <w:name w:val="Comment Text Char"/>
    <w:basedOn w:val="5"/>
    <w:link w:val="8"/>
    <w:uiPriority w:val="0"/>
    <w:rPr>
      <w:rFonts w:asciiTheme="minorHAnsi" w:hAnsiTheme="minorHAnsi" w:eastAsiaTheme="minorHAnsi" w:cstheme="minorBidi"/>
    </w:rPr>
  </w:style>
  <w:style w:type="character" w:customStyle="1" w:styleId="45">
    <w:name w:val="Comment Subject Char"/>
    <w:basedOn w:val="44"/>
    <w:link w:val="9"/>
    <w:qFormat/>
    <w:uiPriority w:val="0"/>
    <w:rPr>
      <w:rFonts w:asciiTheme="minorHAnsi" w:hAnsiTheme="minorHAnsi" w:eastAsiaTheme="minorHAnsi" w:cstheme="minorBidi"/>
      <w:b/>
      <w:bCs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8</Pages>
  <Words>1725</Words>
  <Characters>11326</Characters>
  <Lines>81</Lines>
  <Paragraphs>22</Paragraphs>
  <TotalTime>187</TotalTime>
  <ScaleCrop>false</ScaleCrop>
  <LinksUpToDate>false</LinksUpToDate>
  <CharactersWithSpaces>12839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2026-04-01T15:28:00Z</dcterms:created>
  <dc:creator>Sofia Angela Vilan</dc:creator>
  <cp:lastModifiedBy>Justine Bong Montante</cp:lastModifiedBy>
  <dcterms:modified xsi:type="dcterms:W3CDTF">2026-10-05T00:17:26Z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8773D76FCC10390AA930A96904C8BC2E_41</vt:lpwstr>
  </property>
  <property fmtid="{D5CDD505-2E9C-101B-9397-08002B2CF9AE}" pid="4" name="KSOTemplateDocerSaveRecord">
    <vt:lpwstr>eyJoZGlkIjoiZDMzMmMzZTM1YWFiODIzZmNlNzMxOGMyZWRlMGUzMDYiLCJ1c2VySWQiOiI4ODEzNTYwODk3NjE1In0=</vt:lpwstr>
  </property>
</Properties>
</file>