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人员组成及分工</w:t>
      </w:r>
    </w:p>
    <w:p>
      <w:pPr>
        <w:spacing w:before="0" w:after="240"/>
        <w:jc w:val="center"/>
      </w:pPr>
      <w:r>
        <w:rPr>
          <w:rFonts w:ascii="Microsoft YaHei" w:hAnsi="Microsoft YaHei" w:eastAsia="Microsoft YaHei"/>
          <w:color w:val="596673"/>
          <w:sz w:val="21"/>
        </w:rPr>
        <w:t>电动自行车直流充电路径研究（科技类课题）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300"/>
        <w:gridCol w:w="1500"/>
        <w:gridCol w:w="4760"/>
      </w:tblGrid>
      <w:tr>
        <w:tc>
          <w:tcPr>
            <w:tcW w:type="dxa" w:w="800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序号</w:t>
            </w:r>
          </w:p>
        </w:tc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姓名/岗位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单位</w:t>
            </w:r>
          </w:p>
        </w:tc>
        <w:tc>
          <w:tcPr>
            <w:tcW w:type="dxa" w:w="4760"/>
            <w:tcMar>
              <w:top w:w="90" w:type="dxa"/>
              <w:start w:w="110" w:type="dxa"/>
              <w:bottom w:w="90" w:type="dxa"/>
              <w:end w:w="110" w:type="dxa"/>
            </w:tcMar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分工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项目负责人（待明确）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车能处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负责项目总体统筹、进度管控、跨部门协调和产业链沟通，组织阶段成果审查与验收。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标准与体系负责人（待明确）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车能处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负责BMS通信标准体系搭建、关键节点把控，协调标准框架、专家评审及发布推广工作。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组织协调负责人（待明确）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车能处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负责委内协调、调研组织、试点单位联络及项目过程资料归集，协助项目进度把控。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文本与质量负责人（待明确）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车能处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负责项目全流程文本资料、技术规范和验收材料的审核把关，确保成果符合管理及标准化要求。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技术负责人（待明确）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全来电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负责总体技术路线、BMS通信架构和关键技术决策；组织UART/CAN/BLE接口、数据链路层和应用层协议设计。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协议与测试工程师（待明确）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全来电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负责核心信号模型、帧格式、CRC校验、流控及异常处理设计；开发协议一致性测试工具，开展多品牌联调与测试报告编制。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车辆企业代表（待明确）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车辆企业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提供车辆侧控制器与直流充电接口需求、通信数据及样车验证条件，参与接口适配、联调测试和试点验证。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电池企业代表（待明确）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电池企业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提供BMS核心信号、身份认证和安全保护需求，参与电池侧协议适配、充电参数协商及互通验证。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换电/充电场景代表（待明确）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全来电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负责换电柜、充电器及IoT终端通信需求分析，参与换电互通、动态充电策略和异常停充场景验证。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科研机构专家（待明确）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科研机构</w:t>
            </w:r>
          </w:p>
        </w:tc>
        <w:tc>
          <w:tcPr>
            <w:tcW w:type="dxa" w:w="4760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负责技术方案咨询、车池桩数据协同验证、测试结果评估及标准规范专家评审。</w:t>
            </w:r>
          </w:p>
        </w:tc>
      </w:tr>
    </w:tbl>
    <w:p>
      <w:pPr>
        <w:spacing w:before="160" w:after="0"/>
      </w:pPr>
      <w:r>
        <w:rPr>
          <w:rFonts w:ascii="Microsoft YaHei" w:hAnsi="Microsoft YaHei" w:eastAsia="Microsoft YaHei"/>
          <w:color w:val="596673"/>
          <w:sz w:val="18"/>
        </w:rPr>
        <w:t>说明：课题研究文件未提供参研人员真实姓名，本文以岗位名称“待明确”代填；确定人员后请在“姓名/岗位”列替换为真实姓名。</w:t>
      </w:r>
    </w:p>
    <w:sectPr w:rsidR="00FC693F" w:rsidRPr="0006063C" w:rsidSect="00034616">
      <w:pgSz w:w="11906" w:h="16838"/>
      <w:pgMar w:top="1134" w:right="1276" w:bottom="1134" w:left="1276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