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NEGOTIATION PLAYBOOK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BioLumen Exclusive License &amp; Supply Agreement</w:t>
      </w:r>
    </w:p>
    <w:p>
      <w:pPr>
        <w:spacing w:after="200" w:before="0"/>
        <w:jc w:val="left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Internal floors, fallbacks, and walk-aways for Matchbox 7 negotiating team</w:t>
      </w:r>
    </w:p>
    <w:p>
      <w:pPr>
        <w:pStyle w:val="Heading2"/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Strategic Context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Agreement is being negotiated alongside the April 11, 2026 Term Sheet under which Matchbox 7 acquires 51% of BioLumen for $25M total consideration. Acquisition is the long-term goal; in the short term we may execute the License standalone to get product to market and pursue the acquisition once we have commercial traction.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That dual-path stance shapes the floors below. Because the License must stand on its own (acquisition could slip), most clauses cannot be left "tolerable in a parent-subsidiary context" — they must be commercially survivable as an arms-length deal. This tightens our negotiating posture: we cannot rely on ownership to fix gaps later.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The Term Sheet promised: exclusive, royalty-free license to all BioLumen IP for consumer brands. The License draft contradicts this on royalty (TBD), scope (MM1/MM3 only, food/beverage only), and structure. Use the Term Sheet as the stick: when BioLumen pushes back, the answer is "you already promised this in writing on April 11."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Tone: Paolo retains 49% of BioLumen + 40% of Matchbox 7 + Strategic Advisor role. He is on both sides of every pricing/milestone decision. Keep tone collaborative, but treat economic terms as if BioLumen could be acquired by a strategic at any point — because §11.5 (assignment) currently allows that.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How to Read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ASK = our opening position; what the redline DOCX puts on the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 = where we move if the ASK is rejected; still a good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FLOOR (highlighted yellow) = lowest we go; below this, the deal stops working commercially. Internal trigger to escalate to Joe + counsel.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WALK-AWAY (red) = clauses we cannot accept under any circumstance. If BioLumen insists, we walk and pursue the acquisition or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Severity: RED = structural / deal-breaker. YELLOW = strong negotiation. GREEN = commercially routine.</w:t>
      </w:r>
    </w:p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Redline-by-Redline Floor Map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Mirrors the order of redlines in the tracked-changes DOCX. Cross-reference clause numbers when reviewing BioLumen's response.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1700"/>
        <w:gridCol w:w="1480"/>
        <w:gridCol w:w="1500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Clause / Issue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ASK (Opening)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92400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FLOOR (yellow = ours)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WALK-AWAY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Licensee = Matchbox 7, LLC (not Joe Stein personally)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Identity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Licensee field populated as "Matchbox 7, LLC, a Delaware limited liability company." Add representation: no individual member personally liable.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None — this is a drafting fix, not a negotiation point.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as ask.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Joe Stein signing in any individual capacity. Personal liability under §9.3 indemnification is unacceptable; Stein is also seller-note guarantor under Term Sheet, can't double up.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Licensed Field — broaden beyond food/beverage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§1 / §2.1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 = any human/animal consumable: foods, beverages, dietary supplements (capsules, gummies, lozenges, tablets, powders, RTM), medical foods, and B2B ingredient sales.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Foods, beverages, supplements (all formats), and B2B ingredient sales — drop "medical foods" if needed.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Foods, beverages, AND dietary supplements in all formats including pills/gummies/capsules. Term Sheet §8 explicitly funds these.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Field that excludes pills, capsules, or gummies. Cannot ship Year-2 product line without it.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Sublicensing — affiliates / co-packers / B2B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§2.4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No-consent sublicense for: (i) Affiliates, (ii) co-manufacturers/co-packers, (iii) private-label/contract-manufacturing in ordinary course. Deemed-consent in 20 business days for B2B ingredient sales. Direct-competitor blacklist on Schedule E.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Affiliates and co-packers no-consent; B2B requires consent not unreasonably withheld with 20-business-day deemed approval.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Affiliates and co-packers no-consent. B2B with reasonable-consent + finite response window. Mr. Bill's Formula Fusion must be able to handle MM1 in their facility without per-batch approval.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Sole-discretion veto on any sublicense. Kills B2B thesis explicitly named in pitch deck and blocks ordinary-course co-pack.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Protections — CPI + 5% cap, MFC, transparency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§3.1 / §3.6 (new)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36-month price hold; annual increases capped at lesser of US PPI Industrial Chemicals or 5%; Most-Favored-Customer pricing with annual cert; cost build-up disclosure 2x/year via independent auditor; arbitration with interim pricing remedy for disputes.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24-month price hold; CPI + 7% annual cap; MFC across the Americas only; cost transparency 1x/year on request.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cap on annual price increases (any % linked to a published index), AND some form of MFC or independent pricing-reasonableness check. Without this, our $1.10 packet COGS / $2.49 wholesale bar economics can be destroyed unilaterally.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"Pricing reviewed annually by mutual agreement" with no cap and no MFC. Combined with §3.1 exclusive-supply lock = noose. We cannot fund the GTM if BioLumen can price-out our unit economics.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Standards — cGMP + latent defects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§3.5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cGMP/FDA/USDA compliance reps; CoA per shipment; 15 BDs for visible defects, 30 days from discovery for latent (capped at 18 months from delivery or product expiration, earlier).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cGMP rep; CoA per shipment; same defect windows.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Latent-defect window of at least 12 months from delivery + cGMP rep. Standard food-supply industry practice.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15 BDs from receipt as the only window with no cGMP rep. Any contamination event (recall trigger) past 15 BDs would land entirely on Matchbox 7.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Step-In Rights on supply failure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§3.7 (new)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Step-in trigger at 60 continuous days of non-supply or Insolvency Event; right to manufacture or have manufactured using Technology; exclusive license remains in effect during step-in.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90-day trigger; same step-in rights.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Some hard SLA-backed remedy with a defined trigger (90 days max) and the right to source elsewhere during the failure period. Without this, BioLumen capacity issues = company-killer.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"Commercially reasonable efforts to maintain capacity" with no remedy on failure. We are betting the company on BioLumen's production reliability with zero recourse.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 Escrow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§3.8 (new)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manufacturing documentation deposited with independent escrow agent within 90 days. Release on Insolvency / 60-day supply failure / quality breach / cessation. Perpetual royalty-free license to escrowed materials on release.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120-day deposit; release at 90-day supply failure threshold; license on release scoped to Field+Territory only.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Technology escrow with at minimum: Insolvency release condition AND defined release process. We cannot survive BioLumen disappearing or being acquired by a strategic.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No escrow at all. Combined with exclusive supply lock, BioLumen insolvency = Matchbox 7 has product on shelves with no way to make it.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 to non-exclusive on milestone miss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§4.3 / §8.3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Cure period of 12 months; suspension during BioLumen supply failures, regulatory delays, or force majeure; only 20%+ misses trigger remedy; only non-launched jurisdictions can be converted; US never converted while Licensee continues good-faith commercialization.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6-month cure; same suspensions; 30% miss threshold; non-launched jurisdictions converted on &gt;12-month miss.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 must remain exclusive while Licensee is in good-faith commercialization, regardless of milestone misses. Cure period of at least 6 months. Schedule D milestones agreed in writing pre-execution (no TBDs).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Any clause that lets BioLumen unilaterally torch US exclusivity on 60-day notice. The "exclusive Americas license" is the central moat in our investor pitch — losing it = unfundable.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Royalty-free confirmed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§5.2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"Biolumen's sole compensation is through Product supply revenue. No royalty, license fee, or other consideration on Finished Product sales."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— fully aligned with Term Sheet §10.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Royalty-free. Term Sheet already promised this; non-negotiable in spirit.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Any per-unit royalty on Finished Product sales that wasn't in the Term Sheet. We modeled unit economics on supply pricing being the only payment.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Improvements — bifurcate Licensor vs Finished Product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§6.2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Bifurcation: Licensor Improvements (modifications to MM1/MM3 underlying composition) → BioLumen, with perpetual royalty-free license back surviving termination. Finished Product Inventions (formulations, brand IP, marketing, manufacturing process) → Matchbox 7 outright.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bifurcation; jointly owned only for inventions that arguably modify both MM1 and Finished Product simultaneously.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Matchbox 7 owns Finished Product formulations (Mr. Bill's bar, Flavor Insights RTD), brand IP, packaging, and trademarks. BioLumen can have anything that's actually a mod to the underlying fiber.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Original draft's "all Improvements solely owned by Biolumen." We paid Mr. Bill's $7,500 to develop the bar formula — that formula reverting to BioLumen on termination = enterprise value zero. This is the single most valuable IP point in the deal.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No-Challenge — strike post-termination tail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§6.4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No-challenge during Term only; strike the 2-year post-termination tail.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No-challenge during Term only.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No-challenge during Term only. Post-term tails on patent challenges may be unenforceable (Lear v. Adkins).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Indefinite or 5+ year post-term no-challenge.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 — 15-year initial + Licensee-only non-renewal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§7.1 / §7.2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15-year initial term; 5-year auto-renewals; only Licensee can decline renewal (180-day notice). BioLumen non-renewal only on uncured material breach.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10-year initial term; 3-year renewals; mutual non-renewal but with 365-day notice and right of last refusal for Licensee.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10-year initial term + auto-renewals + Licensee-only non-renewal right. No institutional investor will fund a brand with foundational-IP license under 10 years.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2-year initial term as drafted, OR mutual non-renewal with short notice. Term sub-10 years = unfundable; mutual non-renewal = BioLumen can run out the clock while we invest in the moat.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Termination — wind-down + Finished Product Inventions survival + perpetual license on BioLumen breach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§8.4  </w:t>
            </w: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18-month wind-down (fulfill orders + 6 months normal-course inventory + sell-through); FPIs survive in perpetuity; on BioLumen breach termination, Licensee gets perpetual royalty-free Technology license + escrow access.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12-month wind-down; FPI survival; perpetual license on BioLumen breach scoped to existing product lines only.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Some wind-down period (12+ months) AND survival of Finished Product Inventions AND remedy on BioLumen-caused termination. Immediate-cease-and-destroy on any termination = catastrophic.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Original "immediately cease all use; return or destroy" language with no wind-down. We'd have inventory on retail shelves we couldn't sell and POs we couldn't fulfill.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BioLumen indemnification — broaden beyond IP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§9.4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Indemnification covers: IP infringement, defects in MM1/MM3, contamination/adulteration/mis-labeling, breach of §9.1 reps, gross negligence/willful misconduct/fraud. Includes recall costs.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 infringement + defects + contamination/mis-labeling. Recall costs covered if attributable to BioLumen-supplied material.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IP infringement + defects + contamination/allergen mis-labeling. These are the events Matchbox 7 has zero ability to control upstream.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IP infringement only as drafted. We hold the bag for any contamination originating in BioLumen's plant.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Liability cap — raise + carveouts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§9.5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 = greater of (a) 24-month payments or (b) $5M. No cap on: (i) §9.4 indemnification; (ii) confidentiality; (iii) exclusivity breach; (iv) supply-obligation breach; (v) fraud/GN/WM; (vi) payment obligations.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 = greater of 24-month payments or $3M. Same carveouts.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Carveouts for §9.4 indemnification, exclusivity breach, fraud/GN/WM. Cap floor of "greater of 12-month payments or $1M." Without IP-indemnification carveout, a third-party patent suit on BioLumen tech sinks the company.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12-month payments cap with no carveouts (as drafted). Year-1 payments could be tens of thousands; a multi-million IP suit gets effectively no recourse.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Governing Law &amp; Dispute Resolution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§11.1 / §11.2  </w:t>
            </w: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Delaware law; AAA Commercial Arbitration in Wilmington; English language; court carveout for injunctive relief on Articles 2/6/10.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Delaware or NY law; AAA or JAMS; same carveout.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US commercial-arbitration jurisdiction with established IP/contract jurisprudence. Court carveout for injunctive relief on exclusivity, IP, and confidentiality breaches.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Arbitration outside the US, or no carveout for injunctive relief on IP/exclusivity emergencies.</w:t>
            </w:r>
          </w:p>
        </w:tc>
      </w:tr>
      <w:tr>
        <w:trPr>
          <w:cantSplit w:val="false"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— make mutual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§11.5  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Either Party may assign on notice (no consent) to: (i) Affiliate, (ii) successor in M&amp;A or sale of substantially all assets. Other assignments require consent not unreasonably withheld.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Same.</w:t>
            </w:r>
          </w:p>
        </w:tc>
        <w:tc>
          <w:tcPr>
            <w:tcW w:type="dxa" w:w="1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Mutual right to assign to Affiliates and M&amp;A successors. Asymmetric assignment = BioLumen has veto on any Matchbox 7 capital raise that triggers assignment.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BioLumen has free assignment, Licensee requires consent. Asymmetric drafting = BioLumen veto on our cap-raise.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Hard Walk-Aways — Tier 1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Items below are strict no-go. If BioLumen will not move on any of these, the License Agreement does not get signed; we either renegotiate via the acquisition path or pause until structural alignment is reached.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Walk-Away — non-negotiable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Joe Stein signs in his individual capacity (any personal liability for Licensee obligations).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Licensed Field excludes dietary supplements / pills / gummies / capsules.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Sole-discretion veto on any sublicense (kills B2B + co-pack).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Schedule C (pricing) or Schedule D (milestones) signed with TBD entries.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Pricing with no inflation cap and no MFC reference.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BioLumen unilateral right to convert US exclusivity to non-exclusive on milestone miss.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Initial term less than 10 years.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Mutual non-renewal right (BioLumen can run out the clock).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BioLumen owns Finished Product formulations (Mr. Bill's bar, Flavor Insights RTD).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technology escrow + no step-in right + exclusive supply lock.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Termination = immediate cease-and-destroy with no wind-down period.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Liability cap with no carveout for IP-infringement indemnification.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Tactical Sequencing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1. STRUCTURAL ALIGNMENT FIRST.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Before sending the redline, send a one-page memo to BioLumen's counsel asking which deal architecture this License represents: (a) post-acquisition intercompany license, (b) pre-closing bridge license, or (c) standalone fallback. Each scenario produces a different correct contract. Get written alignment before exchanging redlines.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2. FRAME REDLINES AS TWO BUCKETS.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Drafting clarifications (Licensee identity, governing law, blank addresses, Schedule fills) — present these as cleanups. Hard for opposing counsel to reject as "negotiation."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Substantive negotiation points (term, exclusivity protection, Improvements bifurcation, pricing, step-in, escrow) — own these as our core asks. Tie each to either the Term Sheet promise or the GTM plan.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3. LEAD WITH THE TERM SHEET.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When BioLumen pushes back, route the response back to: "the Term Sheet (signed April 11) promised X; this draft contradicts it; we're asking for alignment, not a new concession." This frames most of our redlines as drafting fidelity rather than rebargaining.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4. TRADE TIER 3 → TIER 2.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Concessions available to give: Delaware vs. another commercial jurisdiction; the post-term no-challenge tail; AAA vs. JAMS; specific notice periods (90 vs 180 days). Use these to secure: term length, Improvements bifurcation, step-in rights.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5. NEVER COUNTER-SIGN WITH TBDs.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Schedules C (pricing/MOQ/min volumes) and D (milestones) must be fully populated and reasonable before signature. Allowing TBDs in operationally consequential schedules hands BioLumen unilateral control of the two levers that determine deal viability.</w:t>
      </w:r>
    </w:p>
    <w:p>
      <w:r>
        <w:br w:type="page"/>
      </w:r>
    </w:p>
    <w:p>
      <w:pPr>
        <w:pStyle w:val="Heading1"/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Process &amp; Sign-off</w:t>
      </w:r>
    </w:p>
    <w:p>
      <w:pPr>
        <w:spacing w:after="60" w:before="100"/>
        <w:jc w:val="left"/>
      </w:pPr>
      <w:r>
        <w:rPr>
          <w:rFonts w:ascii="Arial" w:cs="Arial" w:eastAsia="Arial" w:hAnsi="Arial"/>
          <w:sz w:val="22"/>
          <w:szCs w:val="22"/>
        </w:rPr>
        <w:t xml:space="preserve">Internal approvals required before counter-signing: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Joe Stein (CEO) — final commercial sign-off on all economic terms.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Justin Fowler (COO) — operational and supply-chain terms (§3, §4).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Outside Delaware-licensed counsel — full legal review of redlined draft and Schedules.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investor or counsel for lead investor — review of term length, exclusivity protection, and assignment terms (these are diligence items for the $2M raise).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Mr. Bill's Formula Fusion confirmation — that MM1/MM3 fits within the executed Development Agreement's acceptable ingredients list (or amendment is in flight).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Cross-reference checklist before signing: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 Sheet §10 royalty-free language reflected in §5.2.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Field includes everything funded in Term Sheet §8 use of funds (bars, gummies, pills).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Governance/board provisions from Term Sheet §9 do not conflict with assignment provisions 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Mr. Bill's Formula Fusion Development Agreement (signed April 2026) — confirm MM1/MM3 fits the listed acceptable ingredients OR an amendment is being executed in parallel.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Schedules A (specs), B (technology description), C (supply pricing/MOQ/minimums), D (milestones), and a NEW Schedule E (Direct Competitor list) all populated — no TBDs.</w:t>
      </w:r>
    </w:p>
    <w:p>
      <w:pPr>
        <w:spacing w:after="60" w:before="200"/>
        <w:jc w:val="left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Disclaimer: 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These notes are internal strategic guidance to support negotiation. They are not legal advice. All redlines and floors should be reviewed by qualified Delaware-licensed transactional counsel with food/CPG licensing experience before being communicated to BioLumen. Several positions taken here (Lear v. Adkins challenge enforceability, FDA classification of supplements, LLC member personal liability) involve jurisdiction-specific law requiring attorney review.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Confidential — Matchbox 7 internal use only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INTERNAL — Matchbox 7 Negotiation Notes  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|  BioLumen License Agreement  |  2026-04-29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91C1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Negotiation Notes — BioLumen License Agreement</dc:title>
  <dc:creator>Matchbox 7</dc:creator>
  <dc:description>Floors and walk-aways for the BioLumen Exclusive License &amp; Supply Agreement</dc:description>
  <cp:lastModifiedBy>Un-named</cp:lastModifiedBy>
  <cp:revision>1</cp:revision>
  <dcterms:created xsi:type="dcterms:W3CDTF">2026-04-29T18:01:23.651Z</dcterms:created>
  <dcterms:modified xsi:type="dcterms:W3CDTF">2026-04-29T18:01:23.652Z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