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2E2E"/>
          <w:sz w:val="52"/>
          <w:szCs w:val="52"/>
        </w:rPr>
        <w:t xml:space="preserve">THE GHOST TRAIN</w:t>
      </w:r>
    </w:p>
    <w:p>
      <w:pPr>
        <w:spacing w:after="100"/>
        <w:jc w:val="center"/>
      </w:pPr>
      <w:r>
        <w:rPr>
          <w:rFonts w:ascii="Arial" w:cs="Arial" w:eastAsia="Arial" w:hAnsi="Arial"/>
          <w:color w:val="666666"/>
          <w:sz w:val="32"/>
          <w:szCs w:val="32"/>
        </w:rPr>
        <w:t xml:space="preserve">Expanded Story Outline</w:t>
      </w:r>
    </w:p>
    <w:p>
      <w:pPr>
        <w:spacing w:after="200"/>
        <w:jc w:val="center"/>
      </w:pPr>
      <w:r>
        <w:rPr>
          <w:rFonts w:ascii="Arial" w:cs="Arial" w:eastAsia="Arial" w:hAnsi="Arial"/>
          <w:i/>
          <w:iCs/>
          <w:color w:val="999999"/>
          <w:sz w:val="22"/>
          <w:szCs w:val="22"/>
        </w:rPr>
        <w:t xml:space="preserve">Includes additional scenes beyond the original five-part story</w:t>
      </w:r>
    </w:p>
    <w:p>
      <w:pPr>
        <w:spacing w:after="600"/>
        <w:jc w:val="center"/>
      </w:pPr>
      <w:r>
        <w:rPr>
          <w:rFonts w:ascii="Arial" w:cs="Arial" w:eastAsia="Arial" w:hAnsi="Arial"/>
          <w:color w:val="999999"/>
          <w:sz w:val="22"/>
          <w:szCs w:val="22"/>
        </w:rPr>
        <w:t xml:space="preserve">Scenes marked </w:t>
      </w:r>
      <w:r>
        <w:rPr>
          <w:rFonts w:ascii="Arial" w:cs="Arial" w:eastAsia="Arial" w:hAnsi="Arial"/>
          <w:b/>
          <w:bCs/>
          <w:color w:val="C0392B"/>
          <w:sz w:val="22"/>
          <w:szCs w:val="22"/>
        </w:rPr>
        <w:t xml:space="preserve">[NEW SCENE]</w:t>
      </w:r>
      <w:r>
        <w:rPr>
          <w:rFonts w:ascii="Arial" w:cs="Arial" w:eastAsia="Arial" w:hAnsi="Arial"/>
          <w:color w:val="999999"/>
          <w:sz w:val="22"/>
          <w:szCs w:val="22"/>
        </w:rPr>
        <w:t xml:space="preserve"> are additions not in the original draft.</w:t>
      </w:r>
    </w:p>
    <w:p>
      <w:r>
        <w:br w:type="page"/>
      </w:r>
    </w:p>
    <w:p>
      <w:pPr>
        <w:pStyle w:val="Heading1"/>
      </w:pPr>
      <w:r>
        <w:t xml:space="preserve">Part One: Smoke and Mirrors</w:t>
      </w:r>
    </w:p>
    <w:p>
      <w:pPr>
        <w:spacing w:after="140" w:line="300"/>
      </w:pPr>
      <w:r>
        <w:t xml:space="preserve">Theme: Innocence destroyed. The fire as a rupture in the ordinary world.</w:t>
      </w:r>
    </w:p>
    <w:p>
      <w:pPr>
        <w:pBdr>
          <w:bottom w:val="single" w:color="BBBBBB" w:sz="3" w:space="6"/>
        </w:pBdr>
        <w:spacing w:before="160" w:after="160"/>
      </w:pPr>
    </w:p>
    <w:p>
      <w:pPr>
        <w:pStyle w:val="Heading2"/>
      </w:pPr>
      <w:r>
        <w:t xml:space="preserve">Scene 1 — The Commodore Hotel</w:t>
      </w:r>
    </w:p>
    <w:p>
      <w:pPr>
        <w:spacing w:after="140" w:line="300"/>
      </w:pPr>
      <w:r>
        <w:t xml:space="preserve">Saturday night. Maguire is off-duty, drinking alone at a pub in North Sydney. Boxing on the television. He’s tired, middle-aged before his time, carrying the residue of old cases. The call comes through on the bar phone. Fire at Luna Park.</w:t>
      </w:r>
    </w:p>
    <w:p>
      <w:pPr>
        <w:pStyle w:val="Heading2"/>
      </w:pPr>
      <w:r>
        <w:t xml:space="preserve">Scene 2 — The Harbour Burns</w:t>
      </w:r>
    </w:p>
    <w:p>
      <w:pPr>
        <w:spacing w:after="140" w:line="300"/>
      </w:pPr>
      <w:r>
        <w:t xml:space="preserve">Maguire drives to Milsons Point. The Ghost Train building is fully engulfed. He stands behind the tape and watches. We see the fire through his eyes — the grotesque sign reading Hell’s Doorway now literal, the firefighters pushed back by heat, the screaming. He hears Jenny Godson before he sees her. Her screams become the story’s recurring motif.</w:t>
      </w:r>
    </w:p>
    <w:p>
      <w:pPr>
        <w:pStyle w:val="Heading2"/>
      </w:pPr>
      <w:r>
        <w:rPr>
          <w:rFonts w:ascii="Arial" w:cs="Arial" w:eastAsia="Arial" w:hAnsi="Arial"/>
          <w:b/>
          <w:bCs/>
          <w:sz w:val="26"/>
          <w:szCs w:val="26"/>
        </w:rPr>
        <w:t xml:space="preserve">Scene 3 — Kovac Watches the News</w:t>
      </w:r>
      <w:r>
        <w:rPr>
          <w:rFonts w:ascii="Arial" w:cs="Arial" w:eastAsia="Arial" w:hAnsi="Arial"/>
          <w:b/>
          <w:bCs/>
          <w:color w:val="C0392B"/>
          <w:sz w:val="20"/>
          <w:szCs w:val="20"/>
        </w:rPr>
        <w:t xml:space="preserve"> [NEW SCENE]</w:t>
      </w:r>
    </w:p>
    <w:p>
      <w:pPr>
        <w:spacing w:after="140" w:line="300"/>
      </w:pPr>
      <w:r>
        <w:t xml:space="preserve">Cut to a penthouse apartment in Elizabeth Bay. Victor Kovac sits in a silk robe, eating olives and watching the fire on the late news. His lieutenant, a man named Nikos, stands in the doorway. Kovac asks: “Anyone hurt?” Nikos hesitates. “Seven dead. Six of them kids.” Kovac’s hand stops halfway to his mouth. He sets the olive down. A long silence. Then: “Get me Jessup’s handler. Tonight.” The scene reveals that the deaths were unplanned. Kovac is not grieving — he’s calculating damage.</w:t>
      </w:r>
    </w:p>
    <w:p>
      <w:pPr>
        <w:pStyle w:val="Heading2"/>
      </w:pPr>
      <w:r>
        <w:t xml:space="preserve">Scene 4 — The Aftermath</w:t>
      </w:r>
    </w:p>
    <w:p>
      <w:pPr>
        <w:spacing w:after="140" w:line="300"/>
      </w:pPr>
      <w:r>
        <w:t xml:space="preserve">Dawn at Luna Park. The building is a collapsed ruin. Maguire watches the recovery teams pull seven bodies from the wreckage. He writes their names in his notebook. The father and two sons. Four schoolboys. He underlines each name. We learn he will carry this notebook for twenty years.</w:t>
      </w:r>
    </w:p>
    <w:p>
      <w:pPr>
        <w:pStyle w:val="Heading2"/>
      </w:pPr>
      <w:r>
        <w:rPr>
          <w:rFonts w:ascii="Arial" w:cs="Arial" w:eastAsia="Arial" w:hAnsi="Arial"/>
          <w:b/>
          <w:bCs/>
          <w:sz w:val="26"/>
          <w:szCs w:val="26"/>
        </w:rPr>
        <w:t xml:space="preserve">Scene 5 — Maguire Goes Home</w:t>
      </w:r>
      <w:r>
        <w:rPr>
          <w:rFonts w:ascii="Arial" w:cs="Arial" w:eastAsia="Arial" w:hAnsi="Arial"/>
          <w:b/>
          <w:bCs/>
          <w:color w:val="C0392B"/>
          <w:sz w:val="20"/>
          <w:szCs w:val="20"/>
        </w:rPr>
        <w:t xml:space="preserve"> [NEW SCENE]</w:t>
      </w:r>
    </w:p>
    <w:p>
      <w:pPr>
        <w:spacing w:after="140" w:line="300"/>
      </w:pPr>
      <w:r>
        <w:t xml:space="preserve">Maguire returns to his flat in Crows Nest at 6am, reeking of smoke. He lives alone — a one-bedroom above a fish-and-chip shop. He sits at his kitchen table and stares at the notebook. We see his world: a half-empty fridge, a turntable with a scratched Coltrane record, a framed photo of his parents he never looks at. He opens Margaret Kinney’s case file from the desk drawer and reads it, as he does every time death gets close. Then he closes it and starts writing notes about the fire. He doesn’t sleep.</w:t>
      </w:r>
    </w:p>
    <w:p>
      <w:r>
        <w:br w:type="page"/>
      </w:r>
    </w:p>
    <w:p>
      <w:pPr>
        <w:pStyle w:val="Heading1"/>
      </w:pPr>
      <w:r>
        <w:t xml:space="preserve">Part Two: The Official Story</w:t>
      </w:r>
    </w:p>
    <w:p>
      <w:pPr>
        <w:spacing w:after="140" w:line="300"/>
      </w:pPr>
      <w:r>
        <w:t xml:space="preserve">Theme: The machinery of institutional cover-up. How the truth gets buried not by dramatic conspiracy but by ordinary laziness, cowardice, and self-interest.</w:t>
      </w:r>
    </w:p>
    <w:p>
      <w:pPr>
        <w:pBdr>
          <w:bottom w:val="single" w:color="BBBBBB" w:sz="3" w:space="6"/>
        </w:pBdr>
        <w:spacing w:before="160" w:after="160"/>
      </w:pPr>
    </w:p>
    <w:p>
      <w:pPr>
        <w:pStyle w:val="Heading2"/>
      </w:pPr>
      <w:r>
        <w:t xml:space="preserve">Scene 6 — Grainger Takes the Lead</w:t>
      </w:r>
    </w:p>
    <w:p>
      <w:pPr>
        <w:spacing w:after="140" w:line="300"/>
      </w:pPr>
      <w:r>
        <w:t xml:space="preserve">The investigation is assigned to Detective Inspector Grainger. Maguire observes Grainger’s approach: perfunctory interviews, a preference for the electrical fault theory, an eagerness to close the file. The coroner’s inquiry is a formality. Probable electrical fault. No criminal charges. Case closed.</w:t>
      </w:r>
    </w:p>
    <w:p>
      <w:pPr>
        <w:pStyle w:val="Heading2"/>
      </w:pPr>
      <w:r>
        <w:t xml:space="preserve">Scene 7 — The Kerosene Witness</w:t>
      </w:r>
    </w:p>
    <w:p>
      <w:pPr>
        <w:spacing w:after="140" w:line="300"/>
      </w:pPr>
      <w:r>
        <w:t xml:space="preserve">Maguire interviews Tommy Parsons, the nineteen-year-old ride operator who smelled kerosene before the fire. He also interviews the Melbourne tourists who saw three men in leather jackets near the back of the building. He takes these statements to Grainger, who dismisses them. “The coroner’s made his finding.”</w:t>
      </w:r>
    </w:p>
    <w:p>
      <w:pPr>
        <w:pStyle w:val="Heading2"/>
      </w:pPr>
      <w:r>
        <w:rPr>
          <w:rFonts w:ascii="Arial" w:cs="Arial" w:eastAsia="Arial" w:hAnsi="Arial"/>
          <w:b/>
          <w:bCs/>
          <w:sz w:val="26"/>
          <w:szCs w:val="26"/>
        </w:rPr>
        <w:t xml:space="preserve">Scene 8 — Kovac’s Sunday Lunch</w:t>
      </w:r>
      <w:r>
        <w:rPr>
          <w:rFonts w:ascii="Arial" w:cs="Arial" w:eastAsia="Arial" w:hAnsi="Arial"/>
          <w:b/>
          <w:bCs/>
          <w:color w:val="C0392B"/>
          <w:sz w:val="20"/>
          <w:szCs w:val="20"/>
        </w:rPr>
        <w:t xml:space="preserve"> [NEW SCENE]</w:t>
      </w:r>
    </w:p>
    <w:p>
      <w:pPr>
        <w:spacing w:after="140" w:line="300"/>
      </w:pPr>
      <w:r>
        <w:t xml:space="preserve">Three weeks after the fire. Kovac hosts a long lunch at his harbourside property in Vaucluse. Guests include a state politician, a property developer, and a retired judge. The conversation is all code — oblique references to “opportunities” at Milsons Point, the park’s likely closure, the value of patience. We see Kovac’s world from the inside: the cultivated charm, the implied threats, the transactional nature of every relationship. One guest makes a joke about the fire. Kovac silences him with a look that could strip paint.</w:t>
      </w:r>
    </w:p>
    <w:p>
      <w:pPr>
        <w:pStyle w:val="Heading2"/>
      </w:pPr>
      <w:r>
        <w:rPr>
          <w:rFonts w:ascii="Arial" w:cs="Arial" w:eastAsia="Arial" w:hAnsi="Arial"/>
          <w:b/>
          <w:bCs/>
          <w:sz w:val="26"/>
          <w:szCs w:val="26"/>
        </w:rPr>
        <w:t xml:space="preserve">Scene 9 — Claire at the Herald</w:t>
      </w:r>
      <w:r>
        <w:rPr>
          <w:rFonts w:ascii="Arial" w:cs="Arial" w:eastAsia="Arial" w:hAnsi="Arial"/>
          <w:b/>
          <w:bCs/>
          <w:color w:val="C0392B"/>
          <w:sz w:val="20"/>
          <w:szCs w:val="20"/>
        </w:rPr>
        <w:t xml:space="preserve"> [NEW SCENE]</w:t>
      </w:r>
    </w:p>
    <w:p>
      <w:pPr>
        <w:spacing w:after="140" w:line="300"/>
      </w:pPr>
      <w:r>
        <w:t xml:space="preserve">We meet Claire Dunne at the Sydney Morning Herald offices. She’s developing her photographs from the night of the fire. In the darkroom, the images emerge like ghosts — the flames, the crowd, the stunned faces. Her editor wants a human interest follow-up. She goes to North Sydney police station to chase the story and meets Maguire in the hallway. They talk for forty minutes. He doesn’t tell her about the kerosene. She doesn’t push. But both sense the other knows more than they’re saying.</w:t>
      </w:r>
    </w:p>
    <w:p>
      <w:r>
        <w:br w:type="page"/>
      </w:r>
    </w:p>
    <w:p>
      <w:pPr>
        <w:pStyle w:val="Heading1"/>
      </w:pPr>
      <w:r>
        <w:t xml:space="preserve">Part Three: The King of the Cross</w:t>
      </w:r>
    </w:p>
    <w:p>
      <w:pPr>
        <w:spacing w:after="140" w:line="300"/>
      </w:pPr>
      <w:r>
        <w:t xml:space="preserve">Theme: Power and its architecture. How a single man can control a city through money, fear, and compromised institutions.</w:t>
      </w:r>
    </w:p>
    <w:p>
      <w:pPr>
        <w:pBdr>
          <w:bottom w:val="single" w:color="BBBBBB" w:sz="3" w:space="6"/>
        </w:pBdr>
        <w:spacing w:before="160" w:after="160"/>
      </w:pPr>
    </w:p>
    <w:p>
      <w:pPr>
        <w:pStyle w:val="Heading2"/>
      </w:pPr>
      <w:r>
        <w:t xml:space="preserve">Scene 10 — The Mitchell Library</w:t>
      </w:r>
    </w:p>
    <w:p>
      <w:pPr>
        <w:spacing w:after="140" w:line="300"/>
      </w:pPr>
      <w:r>
        <w:t xml:space="preserve">Maguire, now working on his own time, digs through planning documents at the Mitchell Library. He discovers Harbour Vista Holdings and its web of shell companies. At the bottom of the corporate structure: V.K. Enterprises. Victor Kovac.</w:t>
      </w:r>
    </w:p>
    <w:p>
      <w:pPr>
        <w:pStyle w:val="Heading2"/>
      </w:pPr>
      <w:r>
        <w:rPr>
          <w:rFonts w:ascii="Arial" w:cs="Arial" w:eastAsia="Arial" w:hAnsi="Arial"/>
          <w:b/>
          <w:bCs/>
          <w:sz w:val="26"/>
          <w:szCs w:val="26"/>
        </w:rPr>
        <w:t xml:space="preserve">Scene 11 — Kovac’s Kings Cross</w:t>
      </w:r>
      <w:r>
        <w:rPr>
          <w:rFonts w:ascii="Arial" w:cs="Arial" w:eastAsia="Arial" w:hAnsi="Arial"/>
          <w:b/>
          <w:bCs/>
          <w:color w:val="C0392B"/>
          <w:sz w:val="20"/>
          <w:szCs w:val="20"/>
        </w:rPr>
        <w:t xml:space="preserve"> [NEW SCENE]</w:t>
      </w:r>
    </w:p>
    <w:p>
      <w:pPr>
        <w:spacing w:after="140" w:line="300"/>
      </w:pPr>
      <w:r>
        <w:t xml:space="preserve">A night in Kovac’s empire. We follow Nikos, his right hand, on a circuit of Kovac’s properties: a nightclub on Darlinghurst Road where the bouncers answer to Kovac, not the owner; a backroom casino above a Chinese restaurant; a massage parlour whose real product is blackmail. Nikos collects envelopes, delivers messages, and handles a minor problem involving a barman who’s been skimming. The scene establishes the scale and reach of Kovac’s operation without Kovac himself appearing. He doesn’t need to be present. His name is enough.</w:t>
      </w:r>
    </w:p>
    <w:p>
      <w:pPr>
        <w:pStyle w:val="Heading2"/>
      </w:pPr>
      <w:r>
        <w:t xml:space="preserve">Scene 12 — Superintendent Driscoll</w:t>
      </w:r>
    </w:p>
    <w:p>
      <w:pPr>
        <w:spacing w:after="140" w:line="300"/>
      </w:pPr>
      <w:r>
        <w:t xml:space="preserve">Maguire takes his findings to Superintendent Driscoll. Driscoll listens, then delivers the warning: “Leave Kovac alone, Ray.” It’s not a threat — it’s something worse. It’s pity. Driscoll knows what happens to coppers who go after men like Kovac. He’s trying to save Maguire’s career. Maguire doesn’t want to be saved.</w:t>
      </w:r>
    </w:p>
    <w:p>
      <w:pPr>
        <w:pStyle w:val="Heading2"/>
      </w:pPr>
      <w:r>
        <w:rPr>
          <w:rFonts w:ascii="Arial" w:cs="Arial" w:eastAsia="Arial" w:hAnsi="Arial"/>
          <w:b/>
          <w:bCs/>
          <w:sz w:val="26"/>
          <w:szCs w:val="26"/>
        </w:rPr>
        <w:t xml:space="preserve">Scene 13 — First Date with Claire</w:t>
      </w:r>
      <w:r>
        <w:rPr>
          <w:rFonts w:ascii="Arial" w:cs="Arial" w:eastAsia="Arial" w:hAnsi="Arial"/>
          <w:b/>
          <w:bCs/>
          <w:color w:val="C0392B"/>
          <w:sz w:val="20"/>
          <w:szCs w:val="20"/>
        </w:rPr>
        <w:t xml:space="preserve"> [NEW SCENE]</w:t>
      </w:r>
    </w:p>
    <w:p>
      <w:pPr>
        <w:spacing w:after="140" w:line="300"/>
      </w:pPr>
      <w:r>
        <w:t xml:space="preserve">1980. Maguire and Claire have dinner at a cheap Italian place in Glebe. It’s awkward and lovely. Two guarded people slowly letting their defences down. They talk about everything except the fire. Claire photographs the candle on the table. Maguire makes her laugh for the first time — a dry, unexpected joke about police paperwork. When he walks her home, she tells him: “You’re not going to let it go, are you? The fire.” He says nothing. She nods, as if she expected that. “Good,” she says. “Neither am I.”</w:t>
      </w:r>
    </w:p>
    <w:p>
      <w:r>
        <w:br w:type="page"/>
      </w:r>
    </w:p>
    <w:p>
      <w:pPr>
        <w:pStyle w:val="Heading1"/>
      </w:pPr>
      <w:r>
        <w:t xml:space="preserve">Part Four: The Long Game</w:t>
      </w:r>
    </w:p>
    <w:p>
      <w:pPr>
        <w:spacing w:after="140" w:line="300"/>
      </w:pPr>
      <w:r>
        <w:t xml:space="preserve">Theme: Obsession and its cost. The decade-long investigation as both a noble pursuit and a slow self-destruction.</w:t>
      </w:r>
    </w:p>
    <w:p>
      <w:pPr>
        <w:pBdr>
          <w:bottom w:val="single" w:color="BBBBBB" w:sz="3" w:space="6"/>
        </w:pBdr>
        <w:spacing w:before="160" w:after="160"/>
      </w:pPr>
    </w:p>
    <w:p>
      <w:pPr>
        <w:pStyle w:val="Heading2"/>
      </w:pPr>
      <w:r>
        <w:t xml:space="preserve">Scene 14 — Building the Wall</w:t>
      </w:r>
    </w:p>
    <w:p>
      <w:pPr>
        <w:spacing w:after="140" w:line="300"/>
      </w:pPr>
      <w:r>
        <w:t xml:space="preserve">Montage across the early 1980s. Maguire tracks down witnesses, takes statutory declarations, builds his evidence brick by brick. He finds Tommy Parsons on a cattle station near Dubbo and records his testimony. He maps Kovac’s corporate structure on a wall in his spare bedroom. Claire helps with research, using her press credentials to access records Maguire can’t.</w:t>
      </w:r>
    </w:p>
    <w:p>
      <w:pPr>
        <w:pStyle w:val="Heading2"/>
      </w:pPr>
      <w:r>
        <w:rPr>
          <w:rFonts w:ascii="Arial" w:cs="Arial" w:eastAsia="Arial" w:hAnsi="Arial"/>
          <w:b/>
          <w:bCs/>
          <w:sz w:val="26"/>
          <w:szCs w:val="26"/>
        </w:rPr>
        <w:t xml:space="preserve">Scene 15 — Moving In, Pulling Apart</w:t>
      </w:r>
      <w:r>
        <w:rPr>
          <w:rFonts w:ascii="Arial" w:cs="Arial" w:eastAsia="Arial" w:hAnsi="Arial"/>
          <w:b/>
          <w:bCs/>
          <w:color w:val="C0392B"/>
          <w:sz w:val="20"/>
          <w:szCs w:val="20"/>
        </w:rPr>
        <w:t xml:space="preserve"> [NEW SCENE]</w:t>
      </w:r>
    </w:p>
    <w:p>
      <w:pPr>
        <w:spacing w:after="140" w:line="300"/>
      </w:pPr>
      <w:r>
        <w:t xml:space="preserve">1986. Claire moves into Maguire’s flat, which has quietly become an incident room. The case wall dominates the spare bedroom. She tells herself it’s temporary — he’ll solve it, or he’ll let it go. But the years pass and the wall gets bigger. She finds him at 3am in the spare room, re-reading the same witness statements. She brings him tea. He doesn’t notice. The scene is quiet, devastating — the slow death of intimacy through distraction.</w:t>
      </w:r>
    </w:p>
    <w:p>
      <w:pPr>
        <w:pStyle w:val="Heading2"/>
      </w:pPr>
      <w:r>
        <w:t xml:space="preserve">Scene 16 — Delvecchio in the Rain</w:t>
      </w:r>
    </w:p>
    <w:p>
      <w:pPr>
        <w:spacing w:after="140" w:line="300"/>
      </w:pPr>
      <w:r>
        <w:t xml:space="preserve">1985. Maguire cultivates Leo Delvecchio, Kovac’s bookkeeper. They meet in a parked car in Surry Hills in the rain. Delvecchio gives him the name: Carl Jessup, career arsonist, contracted by Kovac’s people. Nobody was supposed to die. Jessup is already dead — a single-car accident near Lithgow in 1983. Maguire asks Delvecchio to testify. The bookkeeper goes pale and leaves. Two weeks later, his flat burns down. He vanishes.</w:t>
      </w:r>
    </w:p>
    <w:p>
      <w:pPr>
        <w:pStyle w:val="Heading2"/>
      </w:pPr>
      <w:r>
        <w:rPr>
          <w:rFonts w:ascii="Arial" w:cs="Arial" w:eastAsia="Arial" w:hAnsi="Arial"/>
          <w:b/>
          <w:bCs/>
          <w:sz w:val="26"/>
          <w:szCs w:val="26"/>
        </w:rPr>
        <w:t xml:space="preserve">Scene 17 — Kovac at the Opera</w:t>
      </w:r>
      <w:r>
        <w:rPr>
          <w:rFonts w:ascii="Arial" w:cs="Arial" w:eastAsia="Arial" w:hAnsi="Arial"/>
          <w:b/>
          <w:bCs/>
          <w:color w:val="C0392B"/>
          <w:sz w:val="20"/>
          <w:szCs w:val="20"/>
        </w:rPr>
        <w:t xml:space="preserve"> [NEW SCENE]</w:t>
      </w:r>
    </w:p>
    <w:p>
      <w:pPr>
        <w:spacing w:after="140" w:line="300"/>
      </w:pPr>
      <w:r>
        <w:t xml:space="preserve">1987. Kovac attends a performance of Tosca at the Sydney Opera House. His private box. Champagne at interval. He is approached by a nervous associate who tells him Delvecchio has been talking to a detective. Kovac watches the second act — the torture scene, Tosca’s anguished aria — without expression. Afterward, in the car park, he gives Nikos a single instruction. We never hear it. We don’t need to.</w:t>
      </w:r>
    </w:p>
    <w:p>
      <w:pPr>
        <w:pStyle w:val="Heading2"/>
      </w:pPr>
      <w:r>
        <w:rPr>
          <w:rFonts w:ascii="Arial" w:cs="Arial" w:eastAsia="Arial" w:hAnsi="Arial"/>
          <w:b/>
          <w:bCs/>
          <w:sz w:val="26"/>
          <w:szCs w:val="26"/>
        </w:rPr>
        <w:t xml:space="preserve">Scene 18 — Claire Leaves</w:t>
      </w:r>
      <w:r>
        <w:rPr>
          <w:rFonts w:ascii="Arial" w:cs="Arial" w:eastAsia="Arial" w:hAnsi="Arial"/>
          <w:b/>
          <w:bCs/>
          <w:color w:val="C0392B"/>
          <w:sz w:val="20"/>
          <w:szCs w:val="20"/>
        </w:rPr>
        <w:t xml:space="preserve"> [NEW SCENE]</w:t>
      </w:r>
    </w:p>
    <w:p>
      <w:pPr>
        <w:spacing w:after="140" w:line="300"/>
      </w:pPr>
      <w:r>
        <w:t xml:space="preserve">1990. The pivotal scene. Claire packs a suitcase while Maguire sits at the kitchen table. There’s no shouting. She tells him she loves him and she’s leaving. She says: “You’re not investigating the fire anymore, Ray. You’re living in it.” He wants to argue but can’t, because she’s right. She leaves the key on the table. He sits there for a long time, listening to the flat settle into silence. Then he goes back to the spare room.</w:t>
      </w:r>
    </w:p>
    <w:p>
      <w:r>
        <w:br w:type="page"/>
      </w:r>
    </w:p>
    <w:p>
      <w:pPr>
        <w:pStyle w:val="Heading1"/>
      </w:pPr>
      <w:r>
        <w:t xml:space="preserve">Part Five: The Names</w:t>
      </w:r>
    </w:p>
    <w:p>
      <w:pPr>
        <w:spacing w:after="140" w:line="300"/>
      </w:pPr>
      <w:r>
        <w:t xml:space="preserve">Theme: Imperfect justice. The gap between truth and accountability, and the question of whether one is worth anything without the other.</w:t>
      </w:r>
    </w:p>
    <w:p>
      <w:pPr>
        <w:pBdr>
          <w:bottom w:val="single" w:color="BBBBBB" w:sz="3" w:space="6"/>
        </w:pBdr>
        <w:spacing w:before="160" w:after="160"/>
      </w:pPr>
    </w:p>
    <w:p>
      <w:pPr>
        <w:pStyle w:val="Heading2"/>
      </w:pPr>
      <w:r>
        <w:t xml:space="preserve">Scene 19 — Sarah Tan and the Box</w:t>
      </w:r>
    </w:p>
    <w:p>
      <w:pPr>
        <w:spacing w:after="140" w:line="300"/>
      </w:pPr>
      <w:r>
        <w:t xml:space="preserve">1997. Constable Sarah Tan, Internal Affairs, discovers a buried memo in an archived storage facility in Parramatta. The memo links Grainger to cash payments from a Kovac intermediary. She finds Maguire—now a Chief Inspector grinding toward retirement—and brings him the documents. For the first time in years, the case moves.</w:t>
      </w:r>
    </w:p>
    <w:p>
      <w:pPr>
        <w:pStyle w:val="Heading2"/>
      </w:pPr>
      <w:r>
        <w:t xml:space="preserve">Scene 20 — The Commission Hearing</w:t>
      </w:r>
    </w:p>
    <w:p>
      <w:pPr>
        <w:spacing w:after="140" w:line="300"/>
      </w:pPr>
      <w:r>
        <w:t xml:space="preserve">1999. The Police Integrity Commission hearing. Grainger is confronted with bank records and the dead officer’s memo. After decades of silence, he breaks. He admits he was paid to bury the arson evidence. He names the intermediary. The intermediary, facing his own charges, names Kovac. The wall cracks.</w:t>
      </w:r>
    </w:p>
    <w:p>
      <w:pPr>
        <w:pStyle w:val="Heading2"/>
      </w:pPr>
      <w:r>
        <w:rPr>
          <w:rFonts w:ascii="Arial" w:cs="Arial" w:eastAsia="Arial" w:hAnsi="Arial"/>
          <w:b/>
          <w:bCs/>
          <w:sz w:val="26"/>
          <w:szCs w:val="26"/>
        </w:rPr>
        <w:t xml:space="preserve">Scene 21 — Maguire Faces Kovac</w:t>
      </w:r>
      <w:r>
        <w:rPr>
          <w:rFonts w:ascii="Arial" w:cs="Arial" w:eastAsia="Arial" w:hAnsi="Arial"/>
          <w:b/>
          <w:bCs/>
          <w:color w:val="C0392B"/>
          <w:sz w:val="20"/>
          <w:szCs w:val="20"/>
        </w:rPr>
        <w:t xml:space="preserve"> [NEW SCENE]</w:t>
      </w:r>
    </w:p>
    <w:p>
      <w:pPr>
        <w:spacing w:after="140" w:line="300"/>
      </w:pPr>
      <w:r>
        <w:t xml:space="preserve">2000. A single, devastating scene. Maguire, armed with the Commission’s findings, visits Kovac at his Vaucluse mansion. Kovac is old now, oxygen tank, nurses in the hallway. But the eyes are the same. They sit in a sunroom overlooking the harbour. Maguire lays out what he knows. Kovac listens, then says: “You’ve wasted your life on this, Detective. And for what? I’ll never see the inside of a cell.” Maguire replies: “No. But everyone will know.” He leaves. It’s the only time the two men are in the same room.</w:t>
      </w:r>
    </w:p>
    <w:p>
      <w:pPr>
        <w:pStyle w:val="Heading2"/>
      </w:pPr>
      <w:r>
        <w:rPr>
          <w:rFonts w:ascii="Arial" w:cs="Arial" w:eastAsia="Arial" w:hAnsi="Arial"/>
          <w:b/>
          <w:bCs/>
          <w:sz w:val="26"/>
          <w:szCs w:val="26"/>
        </w:rPr>
        <w:t xml:space="preserve">Scene 22 — Claire Returns</w:t>
      </w:r>
      <w:r>
        <w:rPr>
          <w:rFonts w:ascii="Arial" w:cs="Arial" w:eastAsia="Arial" w:hAnsi="Arial"/>
          <w:b/>
          <w:bCs/>
          <w:color w:val="C0392B"/>
          <w:sz w:val="20"/>
          <w:szCs w:val="20"/>
        </w:rPr>
        <w:t xml:space="preserve"> [NEW SCENE]</w:t>
      </w:r>
    </w:p>
    <w:p>
      <w:pPr>
        <w:spacing w:after="140" w:line="300"/>
      </w:pPr>
      <w:r>
        <w:t xml:space="preserve">2001. After the Commission’s findings are made public, Claire calls Maguire for the first time in eleven years. They meet for coffee at a cafe in Balmain, near where he grew up. It’s not a reconciliation. She’s remarried, has a daughter. But she tells him: “You did the right thing. I need you to hear that.” He nods. They sit in comfortable silence. Two people who understand what was lost, and why.</w:t>
      </w:r>
    </w:p>
    <w:p>
      <w:pPr>
        <w:pStyle w:val="Heading2"/>
      </w:pPr>
      <w:r>
        <w:t xml:space="preserve">Scene 23 — The Plaque</w:t>
      </w:r>
    </w:p>
    <w:p>
      <w:pPr>
        <w:spacing w:after="140" w:line="300"/>
      </w:pPr>
      <w:r>
        <w:t xml:space="preserve">The final scene. Maguire drives to Milsons Point on the anniversary of the fire. The Ghost Train site is a concrete slab. A bronze plaque on a nearby wall lists seven names. He takes out his notebook — battered, soft with age — and reads the names aloud. The wind carries them over the harbour. He closes the notebook, puts it in his pocket, and walks away.</w:t>
      </w:r>
    </w:p>
    <w:p>
      <w:r>
        <w:br w:type="page"/>
      </w:r>
    </w:p>
    <w:p>
      <w:pPr>
        <w:pStyle w:val="Heading1"/>
      </w:pPr>
      <w:r>
        <w:t xml:space="preserve">Appendix: Scene Index</w:t>
      </w:r>
    </w:p>
    <w:p>
      <w:pPr>
        <w:spacing w:after="140" w:line="300"/>
      </w:pPr>
      <w:r>
        <w:t xml:space="preserve">Below is a summary of original vs. new scenes for quick reference.</w:t>
      </w:r>
    </w:p>
    <w:p>
      <w:pPr>
        <w:pBdr>
          <w:bottom w:val="single" w:color="BBBBBB" w:sz="3" w:space="6"/>
        </w:pBdr>
        <w:spacing w:before="160" w:after="160"/>
      </w:pPr>
    </w:p>
    <w:p>
      <w:pPr>
        <w:spacing w:after="60"/>
      </w:pPr>
      <w:r>
        <w:rPr>
          <w:rFonts w:ascii="Arial" w:cs="Arial" w:eastAsia="Arial" w:hAnsi="Arial"/>
          <w:b/>
          <w:bCs/>
          <w:sz w:val="22"/>
          <w:szCs w:val="22"/>
        </w:rPr>
        <w:t xml:space="preserve">Scene 1: </w:t>
      </w:r>
      <w:r>
        <w:rPr>
          <w:rFonts w:ascii="Arial" w:cs="Arial" w:eastAsia="Arial" w:hAnsi="Arial"/>
          <w:sz w:val="22"/>
          <w:szCs w:val="22"/>
        </w:rPr>
        <w:t xml:space="preserve">The Commodore Hotel</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2: </w:t>
      </w:r>
      <w:r>
        <w:rPr>
          <w:rFonts w:ascii="Arial" w:cs="Arial" w:eastAsia="Arial" w:hAnsi="Arial"/>
          <w:sz w:val="22"/>
          <w:szCs w:val="22"/>
        </w:rPr>
        <w:t xml:space="preserve">The Harbour Burns</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3: </w:t>
      </w:r>
      <w:r>
        <w:rPr>
          <w:rFonts w:ascii="Arial" w:cs="Arial" w:eastAsia="Arial" w:hAnsi="Arial"/>
          <w:sz w:val="22"/>
          <w:szCs w:val="22"/>
        </w:rPr>
        <w:t xml:space="preserve">Kovac Watches the News</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4: </w:t>
      </w:r>
      <w:r>
        <w:rPr>
          <w:rFonts w:ascii="Arial" w:cs="Arial" w:eastAsia="Arial" w:hAnsi="Arial"/>
          <w:sz w:val="22"/>
          <w:szCs w:val="22"/>
        </w:rPr>
        <w:t xml:space="preserve">The Aftermath</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5: </w:t>
      </w:r>
      <w:r>
        <w:rPr>
          <w:rFonts w:ascii="Arial" w:cs="Arial" w:eastAsia="Arial" w:hAnsi="Arial"/>
          <w:sz w:val="22"/>
          <w:szCs w:val="22"/>
        </w:rPr>
        <w:t xml:space="preserve">Maguire Goes Home</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6: </w:t>
      </w:r>
      <w:r>
        <w:rPr>
          <w:rFonts w:ascii="Arial" w:cs="Arial" w:eastAsia="Arial" w:hAnsi="Arial"/>
          <w:sz w:val="22"/>
          <w:szCs w:val="22"/>
        </w:rPr>
        <w:t xml:space="preserve">Grainger Takes the Lead</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7: </w:t>
      </w:r>
      <w:r>
        <w:rPr>
          <w:rFonts w:ascii="Arial" w:cs="Arial" w:eastAsia="Arial" w:hAnsi="Arial"/>
          <w:sz w:val="22"/>
          <w:szCs w:val="22"/>
        </w:rPr>
        <w:t xml:space="preserve">The Kerosene Witness</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8: </w:t>
      </w:r>
      <w:r>
        <w:rPr>
          <w:rFonts w:ascii="Arial" w:cs="Arial" w:eastAsia="Arial" w:hAnsi="Arial"/>
          <w:sz w:val="22"/>
          <w:szCs w:val="22"/>
        </w:rPr>
        <w:t xml:space="preserve">Kovac’s Sunday Lunch</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9: </w:t>
      </w:r>
      <w:r>
        <w:rPr>
          <w:rFonts w:ascii="Arial" w:cs="Arial" w:eastAsia="Arial" w:hAnsi="Arial"/>
          <w:sz w:val="22"/>
          <w:szCs w:val="22"/>
        </w:rPr>
        <w:t xml:space="preserve">Claire at the Herald</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10: </w:t>
      </w:r>
      <w:r>
        <w:rPr>
          <w:rFonts w:ascii="Arial" w:cs="Arial" w:eastAsia="Arial" w:hAnsi="Arial"/>
          <w:sz w:val="22"/>
          <w:szCs w:val="22"/>
        </w:rPr>
        <w:t xml:space="preserve">The Mitchell Library</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11: </w:t>
      </w:r>
      <w:r>
        <w:rPr>
          <w:rFonts w:ascii="Arial" w:cs="Arial" w:eastAsia="Arial" w:hAnsi="Arial"/>
          <w:sz w:val="22"/>
          <w:szCs w:val="22"/>
        </w:rPr>
        <w:t xml:space="preserve">Kovac’s Kings Cross</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12: </w:t>
      </w:r>
      <w:r>
        <w:rPr>
          <w:rFonts w:ascii="Arial" w:cs="Arial" w:eastAsia="Arial" w:hAnsi="Arial"/>
          <w:sz w:val="22"/>
          <w:szCs w:val="22"/>
        </w:rPr>
        <w:t xml:space="preserve">Superintendent Driscoll</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13: </w:t>
      </w:r>
      <w:r>
        <w:rPr>
          <w:rFonts w:ascii="Arial" w:cs="Arial" w:eastAsia="Arial" w:hAnsi="Arial"/>
          <w:sz w:val="22"/>
          <w:szCs w:val="22"/>
        </w:rPr>
        <w:t xml:space="preserve">First Date with Claire</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14: </w:t>
      </w:r>
      <w:r>
        <w:rPr>
          <w:rFonts w:ascii="Arial" w:cs="Arial" w:eastAsia="Arial" w:hAnsi="Arial"/>
          <w:sz w:val="22"/>
          <w:szCs w:val="22"/>
        </w:rPr>
        <w:t xml:space="preserve">Building the Wall</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15: </w:t>
      </w:r>
      <w:r>
        <w:rPr>
          <w:rFonts w:ascii="Arial" w:cs="Arial" w:eastAsia="Arial" w:hAnsi="Arial"/>
          <w:sz w:val="22"/>
          <w:szCs w:val="22"/>
        </w:rPr>
        <w:t xml:space="preserve">Moving In, Pulling Apart</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16: </w:t>
      </w:r>
      <w:r>
        <w:rPr>
          <w:rFonts w:ascii="Arial" w:cs="Arial" w:eastAsia="Arial" w:hAnsi="Arial"/>
          <w:sz w:val="22"/>
          <w:szCs w:val="22"/>
        </w:rPr>
        <w:t xml:space="preserve">Delvecchio in the Rain</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17: </w:t>
      </w:r>
      <w:r>
        <w:rPr>
          <w:rFonts w:ascii="Arial" w:cs="Arial" w:eastAsia="Arial" w:hAnsi="Arial"/>
          <w:sz w:val="22"/>
          <w:szCs w:val="22"/>
        </w:rPr>
        <w:t xml:space="preserve">Kovac at the Opera</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18: </w:t>
      </w:r>
      <w:r>
        <w:rPr>
          <w:rFonts w:ascii="Arial" w:cs="Arial" w:eastAsia="Arial" w:hAnsi="Arial"/>
          <w:sz w:val="22"/>
          <w:szCs w:val="22"/>
        </w:rPr>
        <w:t xml:space="preserve">Claire Leaves</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19: </w:t>
      </w:r>
      <w:r>
        <w:rPr>
          <w:rFonts w:ascii="Arial" w:cs="Arial" w:eastAsia="Arial" w:hAnsi="Arial"/>
          <w:sz w:val="22"/>
          <w:szCs w:val="22"/>
        </w:rPr>
        <w:t xml:space="preserve">Sarah Tan and the Box</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20: </w:t>
      </w:r>
      <w:r>
        <w:rPr>
          <w:rFonts w:ascii="Arial" w:cs="Arial" w:eastAsia="Arial" w:hAnsi="Arial"/>
          <w:sz w:val="22"/>
          <w:szCs w:val="22"/>
        </w:rPr>
        <w:t xml:space="preserve">The Commission Hearing</w:t>
      </w:r>
      <w:r>
        <w:rPr>
          <w:rFonts w:ascii="Arial" w:cs="Arial" w:eastAsia="Arial" w:hAnsi="Arial"/>
          <w:b w:val="false"/>
          <w:bCs w:val="false"/>
          <w:color w:val="666666"/>
          <w:sz w:val="20"/>
          <w:szCs w:val="20"/>
        </w:rPr>
        <w:t xml:space="preserve">  —  Original</w:t>
      </w:r>
    </w:p>
    <w:p>
      <w:pPr>
        <w:spacing w:after="60"/>
      </w:pPr>
      <w:r>
        <w:rPr>
          <w:rFonts w:ascii="Arial" w:cs="Arial" w:eastAsia="Arial" w:hAnsi="Arial"/>
          <w:b/>
          <w:bCs/>
          <w:sz w:val="22"/>
          <w:szCs w:val="22"/>
        </w:rPr>
        <w:t xml:space="preserve">Scene 21: </w:t>
      </w:r>
      <w:r>
        <w:rPr>
          <w:rFonts w:ascii="Arial" w:cs="Arial" w:eastAsia="Arial" w:hAnsi="Arial"/>
          <w:sz w:val="22"/>
          <w:szCs w:val="22"/>
        </w:rPr>
        <w:t xml:space="preserve">Maguire Faces Kovac</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22: </w:t>
      </w:r>
      <w:r>
        <w:rPr>
          <w:rFonts w:ascii="Arial" w:cs="Arial" w:eastAsia="Arial" w:hAnsi="Arial"/>
          <w:sz w:val="22"/>
          <w:szCs w:val="22"/>
        </w:rPr>
        <w:t xml:space="preserve">Claire Returns</w:t>
      </w:r>
      <w:r>
        <w:rPr>
          <w:rFonts w:ascii="Arial" w:cs="Arial" w:eastAsia="Arial" w:hAnsi="Arial"/>
          <w:b/>
          <w:bCs/>
          <w:color w:val="C0392B"/>
          <w:sz w:val="20"/>
          <w:szCs w:val="20"/>
        </w:rPr>
        <w:t xml:space="preserve">  —  NEW</w:t>
      </w:r>
    </w:p>
    <w:p>
      <w:pPr>
        <w:spacing w:after="60"/>
      </w:pPr>
      <w:r>
        <w:rPr>
          <w:rFonts w:ascii="Arial" w:cs="Arial" w:eastAsia="Arial" w:hAnsi="Arial"/>
          <w:b/>
          <w:bCs/>
          <w:sz w:val="22"/>
          <w:szCs w:val="22"/>
        </w:rPr>
        <w:t xml:space="preserve">Scene 23: </w:t>
      </w:r>
      <w:r>
        <w:rPr>
          <w:rFonts w:ascii="Arial" w:cs="Arial" w:eastAsia="Arial" w:hAnsi="Arial"/>
          <w:sz w:val="22"/>
          <w:szCs w:val="22"/>
        </w:rPr>
        <w:t xml:space="preserve">The Plaque</w:t>
      </w:r>
      <w:r>
        <w:rPr>
          <w:rFonts w:ascii="Arial" w:cs="Arial" w:eastAsia="Arial" w:hAnsi="Arial"/>
          <w:b w:val="false"/>
          <w:bCs w:val="false"/>
          <w:color w:val="666666"/>
          <w:sz w:val="20"/>
          <w:szCs w:val="20"/>
        </w:rPr>
        <w:t xml:space="preserve">  —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2026-02-22T03:42:55.590Z</dcterms:created>
  <dcterms:modified xsi:type="dcterms:W3CDTF">2026-02-22T03:42:55.591Z</dcterms:modified>
</cp:coreProperties>
</file>

<file path=docProps/custom.xml><?xml version="1.0" encoding="utf-8"?>
<Properties xmlns="http://schemas.openxmlformats.org/officeDocument/2006/custom-properties" xmlns:vt="http://schemas.openxmlformats.org/officeDocument/2006/docPropsVTypes"/>
</file>