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2. Property Insurance (completed villa)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Coverages: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- Fire, Lightning, Explosion, Falling Aircraft, Smoke Damage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- Hurricane, Cyclone, Typhoon, Windstorm, Flood, Tempest, Water Damage, Subsidence, Landslide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- Riot, Strike, Malicious Damage, Civil Commotion</w:t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- Theft with Forcible Breaking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- Impact by Vehicle or Others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- Earthquake, Volcanic Eruption, Tsunamis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- Other Accidental Damages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- ⁠Third Party Liability Coverage (max. coverage to be determined by client)</w:t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- Business Continuity Coverage (IDR 500k/day, up to 90 days)</w:t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b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Requirements:</w:t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- Passport</w:t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- Building value (EXCLUDING the land)</w:t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- Content value (furniture &amp; appliances)</w:t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- Pinpoint location</w:t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- Most recent pictures of the property</w:t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b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Rate estimation &amp; simulation:</w:t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0.27% - 0.3% from the total sum insured (building value plus content value)</w:t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  <w:b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Example:</w:t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- Building value = IDR 1.5 billion</w:t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- Content value = IDR 500 million</w:t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- Total sum insured = IDR 2 billion</w:t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- Rate = 0.29%</w:t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- Premium/year = IDR 5.8 million/year = 500 USD. </w:t>
        <w:br w:type="textWrapping"/>
        <w:br w:type="textWrapping"/>
        <w:t xml:space="preserve">= 20 - 30 USD per month.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