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Times New Roman" w:hAnsi="Times New Roman" w:eastAsia="KaiTi"/>
          <w:b/>
          <w:sz w:val="36"/>
        </w:rPr>
        <w:t>2026/07/29 线上 访谈{澄像智检（虚构）}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KaiTi"/>
          <w:b/>
          <w:sz w:val="20"/>
        </w:rPr>
        <w:t>一、公司基本情况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KaiTi"/>
          <w:b w:val="0"/>
          <w:sz w:val="20"/>
        </w:rPr>
        <w:t>[受访者自述] 公司从事冲压件表面缺陷视觉质检软件，称当前有三条付费试点线。[S1]</w:t>
        <w:br/>
        <w:t>[公司融资稿自述] 融资稿称已有 8 家客户；未附客户名单或验收证明。[S3]</w:t>
        <w:br/>
        <w:t>以上均未独立核实。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KaiTi"/>
          <w:b/>
          <w:sz w:val="20"/>
        </w:rPr>
        <w:t>二、公司核心技术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KaiTi"/>
          <w:b w:val="0"/>
          <w:sz w:val="20"/>
        </w:rPr>
        <w:t>技术与现场表现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KaiTi"/>
          <w:b w:val="0"/>
          <w:sz w:val="20"/>
        </w:rPr>
        <w:t>[受访者自述] 公司称筛选样本准确率超过 99%，现场目标节拍为每分钟 30 件，换型仍需工程师重新标注和调阈值。[S1]</w:t>
        <w:br/>
        <w:t>[用户观察] 18 个演示零件中系统漏检 1 个；工程师随后调阈值，换型约用时 25 分钟。单次小样本不能验证总体准确率和持续节拍。[S2]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KaiTi"/>
          <w:b/>
          <w:sz w:val="20"/>
        </w:rPr>
        <w:t>三、公司核心团队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KaiTi"/>
          <w:b w:val="0"/>
          <w:sz w:val="20"/>
        </w:rPr>
        <w:t>[受访者自述] 团队 11 人，算法和交付各有负责人；本次未提供履历或劳动关系证明。[S1]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KaiTi"/>
          <w:b/>
          <w:sz w:val="20"/>
        </w:rPr>
        <w:t>四、公司核心产品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KaiTi"/>
          <w:b w:val="0"/>
          <w:sz w:val="20"/>
        </w:rPr>
        <w:t>[受访者自述] 产品配合客户现有相机和工控机部署，检测划伤、压痕和漏孔。[S1]</w:t>
        <w:br/>
        <w:t>[用户观察] 当前换型仍依赖工程师手工处理，复制成本待进一步验证。[S2]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KaiTi"/>
          <w:b/>
          <w:sz w:val="20"/>
        </w:rPr>
        <w:t>五、商业化进展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KaiTi"/>
          <w:b w:val="0"/>
          <w:sz w:val="20"/>
        </w:rPr>
        <w:t>[受访者自述] 过去十二个月签约额约 240 万元、确认收入约 120 万元；未提供合同、发票、回款或审计材料。[S1]</w:t>
        <w:br/>
        <w:t>[公司融资稿自述] 融资稿称过去十二个月收入 1200 万元，与访谈口径冲突；两项口径均未核实。[S3]</w:t>
        <w:br/>
        <w:t>[用户观察] 现场未见验收单、合同、发票或银行流水。[S2]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KaiTi"/>
          <w:b/>
          <w:sz w:val="20"/>
        </w:rPr>
        <w:t>六、融资情况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KaiTi"/>
          <w:b w:val="0"/>
          <w:sz w:val="20"/>
        </w:rPr>
        <w:t>[受访者自述/公司融资稿自述] 公司拟融资 1500 万元，用于产品化和渠道建设。[S1][S3]</w:t>
        <w:br/>
        <w:t>待交叉验证：客户验收、收入确认口径、回款、部署后效果和换型实施成本。</w:t>
      </w:r>
    </w:p>
    <w:sectPr w:rsidR="00FC693F" w:rsidRPr="0006063C" w:rsidSect="00034616">
      <w:headerReference w:type="default" r:id="rId9"/>
      <w:pgSz w:w="11906" w:h="16838"/>
      <w:pgMar w:top="1440" w:right="1800" w:bottom="1440" w:left="1800" w:header="851" w:footer="992" w:gutter="0"/>
      <w:cols w:space="425" w:num="1"/>
      <w:docGrid w:linePitch="312" w:type="lines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420"/>
  <w:characterSpacingControl w:val="compressPunctuation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doNotExpandShiftReturn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Neutral interview note template</dc:title>
  <dc:subject>Public default DOCX template for jvc-analyst meeting notes</dc:subject>
  <dc:creator>jvc-analyst</dc:creator>
  <cp:keywords>jvc-analyst, meeting notes, interview notes, public template</cp:keywords>
  <dc:description>Neutral public template using Normal paragraphs, justified body text, uniform single line spacing, doNotExpandShiftReturn, and direct formatting aligned to the default meeting-notes note layout.</dc:description>
  <cp:lastModifiedBy>jvc-analyst</cp:lastModifiedBy>
  <cp:revision>1</cp:revision>
  <dcterms:created xsi:type="dcterms:W3CDTF">2026-06-12T00:00:00Z</dcterms:created>
  <dcterms:modified xsi:type="dcterms:W3CDTF">2026-06-12T00:00:00Z</dcterms:modified>
  <cp:category/>
</cp:coreProperties>
</file>