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2937"/>
          <w:spacing w:val="20"/>
          <w:sz w:val="40"/>
          <w:szCs w:val="40"/>
        </w:rPr>
        <w:t xml:space="preserve">ADRIENNE M. KWAN</w:t>
      </w:r>
    </w:p>
    <w:p>
      <w:pPr>
        <w:spacing w:after="60"/>
        <w:jc w:val="center"/>
      </w:pPr>
      <w:r>
        <w:rPr>
          <w:rFonts w:ascii="Calibri" w:cs="Calibri" w:eastAsia="Calibri" w:hAnsi="Calibri"/>
          <w:color w:val="4B5563"/>
          <w:sz w:val="21"/>
          <w:szCs w:val="21"/>
        </w:rPr>
        <w:t xml:space="preserve">Enterprise Software Executive  |  Multi-Billion-Dollar P&amp;L  |  Go-To-Market Transformation</w:t>
      </w:r>
    </w:p>
    <w:p>
      <w:pPr>
        <w:spacing w:after="200"/>
        <w:jc w:val="center"/>
      </w:pPr>
      <w:r>
        <w:rPr>
          <w:rFonts w:ascii="Calibri" w:cs="Calibri" w:eastAsia="Calibri" w:hAnsi="Calibri"/>
          <w:color w:val="374151"/>
          <w:sz w:val="19"/>
          <w:szCs w:val="19"/>
        </w:rPr>
        <w:t xml:space="preserve">San Francisco Bay Area, CA  •  (415) 555-0182  •  justin.kulla+1@gmail.com  •  linkedin.com/in/adriennemkwan</w:t>
      </w:r>
    </w:p>
    <w:p>
      <w:pPr>
        <w:pBdr>
          <w:bottom w:val="single" w:color="1F2937" w:sz="6" w:space="4"/>
        </w:pBdr>
        <w:spacing w:after="120" w:before="240"/>
      </w:pPr>
      <w:r>
        <w:rPr>
          <w:rFonts w:ascii="Calibri" w:cs="Calibri" w:eastAsia="Calibri" w:hAnsi="Calibri"/>
          <w:b/>
          <w:bCs/>
          <w:color w:val="1F2937"/>
          <w:spacing w:val="30"/>
          <w:sz w:val="21"/>
          <w:szCs w:val="21"/>
        </w:rPr>
        <w:t xml:space="preserve">EXECUTIVE SUMMARY</w:t>
      </w:r>
    </w:p>
    <w:p>
      <w:pPr>
        <w:spacing w:after="0" w:line="264"/>
      </w:pPr>
      <w:r>
        <w:rPr>
          <w:rFonts w:ascii="Calibri" w:cs="Calibri" w:eastAsia="Calibri" w:hAnsi="Calibri"/>
          <w:sz w:val="20"/>
          <w:szCs w:val="20"/>
        </w:rPr>
        <w:t xml:space="preserve">Enterprise software operator with 27 years scaling revenue organizations at Adobe, Salesforce, Oracle, SAP, and IBM. Carried P&amp;L responsibility up to $5.4B and led global organizations of 4,000+ across sales, customer success, partners, and product marketing. Track record of taking mature businesses back to double-digit growth, integrating large acquisitions without revenue disruption, and building the operating cadence that survives leadership change. Public company board director. Repeatedly promoted into larger scope at every company on this page.</w:t>
      </w:r>
    </w:p>
    <w:p>
      <w:pPr>
        <w:pBdr>
          <w:bottom w:val="single" w:color="1F2937" w:sz="6" w:space="4"/>
        </w:pBdr>
        <w:spacing w:after="120" w:before="240"/>
      </w:pPr>
      <w:r>
        <w:rPr>
          <w:rFonts w:ascii="Calibri" w:cs="Calibri" w:eastAsia="Calibri" w:hAnsi="Calibri"/>
          <w:b/>
          <w:bCs/>
          <w:color w:val="1F2937"/>
          <w:spacing w:val="30"/>
          <w:sz w:val="21"/>
          <w:szCs w:val="21"/>
        </w:rPr>
        <w:t xml:space="preserve">PROFESSIONAL EXPERIENCE</w:t>
      </w:r>
    </w:p>
    <w:p>
      <w:pPr>
        <w:tabs>
          <w:tab w:val="right" w:pos="10080"/>
        </w:tabs>
        <w:spacing w:after="20" w:before="160"/>
      </w:pPr>
      <w:r>
        <w:rPr>
          <w:rFonts w:ascii="Calibri" w:cs="Calibri" w:eastAsia="Calibri" w:hAnsi="Calibri"/>
          <w:b/>
          <w:bCs/>
          <w:color w:val="1F2937"/>
          <w:sz w:val="21"/>
          <w:szCs w:val="21"/>
        </w:rPr>
        <w:t xml:space="preserve">ADOBE INC.</w:t>
      </w:r>
      <w:r>
        <w:rPr>
          <w:rFonts w:ascii="Calibri" w:cs="Calibri" w:eastAsia="Calibri" w:hAnsi="Calibri"/>
          <w:color w:val="4B5563"/>
          <w:sz w:val="19"/>
          <w:szCs w:val="19"/>
        </w:rPr>
        <w:tab/>
        <w:t xml:space="preserve">San Jose, CA  •  2022 – 2026</w:t>
      </w:r>
    </w:p>
    <w:p>
      <w:pPr>
        <w:tabs>
          <w:tab w:val="right" w:pos="10080"/>
        </w:tabs>
        <w:spacing w:after="40" w:before="60"/>
      </w:pPr>
      <w:r>
        <w:rPr>
          <w:rFonts w:ascii="Calibri" w:cs="Calibri" w:eastAsia="Calibri" w:hAnsi="Calibri"/>
          <w:b/>
          <w:bCs/>
          <w:i/>
          <w:iCs/>
          <w:sz w:val="20"/>
          <w:szCs w:val="20"/>
        </w:rPr>
        <w:t xml:space="preserve">President, Digital Experience Cloud</w:t>
      </w:r>
      <w:r>
        <w:rPr>
          <w:rFonts w:ascii="Calibri" w:cs="Calibri" w:eastAsia="Calibri" w:hAnsi="Calibri"/>
          <w:color w:val="4B5563"/>
          <w:sz w:val="19"/>
          <w:szCs w:val="19"/>
        </w:rPr>
        <w:tab/>
        <w:t xml:space="preserve">2022 – 2026</w:t>
      </w:r>
    </w:p>
    <w:p>
      <w:pPr>
        <w:spacing w:after="60" w:line="264"/>
      </w:pPr>
      <w:r>
        <w:rPr>
          <w:rFonts w:ascii="Calibri" w:cs="Calibri" w:eastAsia="Calibri" w:hAnsi="Calibri"/>
          <w:i/>
          <w:iCs/>
          <w:color w:val="374151"/>
          <w:sz w:val="20"/>
          <w:szCs w:val="20"/>
        </w:rPr>
        <w:t xml:space="preserve">P&amp;L: $5.4B annual revenue  •  Org: 4,100 employees across 14 countries  •  Reported to CEO</w:t>
      </w:r>
    </w:p>
    <w:p>
      <w:pPr>
        <w:pStyle w:val="ListParagraph"/>
        <w:numPr>
          <w:ilvl w:val="0"/>
          <w:numId w:val="2"/>
        </w:numPr>
        <w:spacing w:after="60" w:line="264"/>
      </w:pPr>
      <w:r>
        <w:rPr>
          <w:rFonts w:ascii="Calibri" w:cs="Calibri" w:eastAsia="Calibri" w:hAnsi="Calibri"/>
          <w:sz w:val="20"/>
          <w:szCs w:val="20"/>
        </w:rPr>
        <w:t xml:space="preserve">Grew Digital Experience Cloud revenue from $3.9B to $5.4B (11% CAGR) across four years while expanding segment operating margin by 640 basis points.</w:t>
      </w:r>
    </w:p>
    <w:p>
      <w:pPr>
        <w:pStyle w:val="ListParagraph"/>
        <w:numPr>
          <w:ilvl w:val="0"/>
          <w:numId w:val="2"/>
        </w:numPr>
        <w:spacing w:after="60" w:line="264"/>
      </w:pPr>
      <w:r>
        <w:rPr>
          <w:rFonts w:ascii="Calibri" w:cs="Calibri" w:eastAsia="Calibri" w:hAnsi="Calibri"/>
          <w:sz w:val="20"/>
          <w:szCs w:val="20"/>
        </w:rPr>
        <w:t xml:space="preserve">Rebuilt the enterprise go-to-market from product-line selling to an industry-vertical model across six verticals; average deal size increased 71% and multi-cloud attach rate rose from 34% to 58%.</w:t>
      </w:r>
    </w:p>
    <w:p>
      <w:pPr>
        <w:pStyle w:val="ListParagraph"/>
        <w:numPr>
          <w:ilvl w:val="0"/>
          <w:numId w:val="2"/>
        </w:numPr>
        <w:spacing w:after="60" w:line="264"/>
      </w:pPr>
      <w:r>
        <w:rPr>
          <w:rFonts w:ascii="Calibri" w:cs="Calibri" w:eastAsia="Calibri" w:hAnsi="Calibri"/>
          <w:sz w:val="20"/>
          <w:szCs w:val="20"/>
        </w:rPr>
        <w:t xml:space="preserve">Lifted net revenue retention from 104% to 121% by rebuilding customer success around consumption milestones and tying 30% of AE variable comp to post-sale adoption.</w:t>
      </w:r>
    </w:p>
    <w:p>
      <w:pPr>
        <w:pStyle w:val="ListParagraph"/>
        <w:numPr>
          <w:ilvl w:val="0"/>
          <w:numId w:val="2"/>
        </w:numPr>
        <w:spacing w:after="60" w:line="264"/>
      </w:pPr>
      <w:r>
        <w:rPr>
          <w:rFonts w:ascii="Calibri" w:cs="Calibri" w:eastAsia="Calibri" w:hAnsi="Calibri"/>
          <w:sz w:val="20"/>
          <w:szCs w:val="20"/>
        </w:rPr>
        <w:t xml:space="preserve">Led the go-to-market integration of two acquisitions totaling $2.1B in purchase price, retaining 94% of acquired quota-carrying reps and 97% of acquired ARR through the first full year.</w:t>
      </w:r>
    </w:p>
    <w:p>
      <w:pPr>
        <w:pStyle w:val="ListParagraph"/>
        <w:numPr>
          <w:ilvl w:val="0"/>
          <w:numId w:val="2"/>
        </w:numPr>
        <w:spacing w:after="60" w:line="264"/>
      </w:pPr>
      <w:r>
        <w:rPr>
          <w:rFonts w:ascii="Calibri" w:cs="Calibri" w:eastAsia="Calibri" w:hAnsi="Calibri"/>
          <w:sz w:val="20"/>
          <w:szCs w:val="20"/>
        </w:rPr>
        <w:t xml:space="preserve">Launched the generative AI product tier into the enterprise base, reaching $480M in bookings within seven quarters and establishing the category’s second-largest installed base.</w:t>
      </w:r>
    </w:p>
    <w:p>
      <w:pPr>
        <w:pStyle w:val="ListParagraph"/>
        <w:numPr>
          <w:ilvl w:val="0"/>
          <w:numId w:val="2"/>
        </w:numPr>
        <w:spacing w:after="60" w:line="264"/>
      </w:pPr>
      <w:r>
        <w:rPr>
          <w:rFonts w:ascii="Calibri" w:cs="Calibri" w:eastAsia="Calibri" w:hAnsi="Calibri"/>
          <w:sz w:val="20"/>
          <w:szCs w:val="20"/>
        </w:rPr>
        <w:t xml:space="preserve">Reduced enterprise sales cycle from 187 to 129 days by standing up a deal desk, a unified pricing architecture, and a forecast discipline that closed the quarter within 2% for eleven consecutive quarters.</w:t>
      </w:r>
    </w:p>
    <w:p>
      <w:pPr>
        <w:tabs>
          <w:tab w:val="right" w:pos="10080"/>
        </w:tabs>
        <w:spacing w:after="20" w:before="160"/>
      </w:pPr>
      <w:r>
        <w:rPr>
          <w:rFonts w:ascii="Calibri" w:cs="Calibri" w:eastAsia="Calibri" w:hAnsi="Calibri"/>
          <w:b/>
          <w:bCs/>
          <w:color w:val="1F2937"/>
          <w:sz w:val="21"/>
          <w:szCs w:val="21"/>
        </w:rPr>
        <w:t xml:space="preserve">SALESFORCE, INC.</w:t>
      </w:r>
      <w:r>
        <w:rPr>
          <w:rFonts w:ascii="Calibri" w:cs="Calibri" w:eastAsia="Calibri" w:hAnsi="Calibri"/>
          <w:color w:val="4B5563"/>
          <w:sz w:val="19"/>
          <w:szCs w:val="19"/>
        </w:rPr>
        <w:tab/>
        <w:t xml:space="preserve">San Francisco, CA  •  2014 – 2021</w:t>
      </w:r>
    </w:p>
    <w:p>
      <w:pPr>
        <w:tabs>
          <w:tab w:val="right" w:pos="10080"/>
        </w:tabs>
        <w:spacing w:after="40" w:before="60"/>
      </w:pPr>
      <w:r>
        <w:rPr>
          <w:rFonts w:ascii="Calibri" w:cs="Calibri" w:eastAsia="Calibri" w:hAnsi="Calibri"/>
          <w:b/>
          <w:bCs/>
          <w:i/>
          <w:iCs/>
          <w:sz w:val="20"/>
          <w:szCs w:val="20"/>
        </w:rPr>
        <w:t xml:space="preserve">EVP &amp; General Manager, Enterprise Cloud</w:t>
      </w:r>
      <w:r>
        <w:rPr>
          <w:rFonts w:ascii="Calibri" w:cs="Calibri" w:eastAsia="Calibri" w:hAnsi="Calibri"/>
          <w:color w:val="4B5563"/>
          <w:sz w:val="19"/>
          <w:szCs w:val="19"/>
        </w:rPr>
        <w:tab/>
        <w:t xml:space="preserve">2017 – 2021</w:t>
      </w:r>
    </w:p>
    <w:p>
      <w:pPr>
        <w:spacing w:after="60" w:line="264"/>
      </w:pPr>
      <w:r>
        <w:rPr>
          <w:rFonts w:ascii="Calibri" w:cs="Calibri" w:eastAsia="Calibri" w:hAnsi="Calibri"/>
          <w:i/>
          <w:iCs/>
          <w:color w:val="374151"/>
          <w:sz w:val="20"/>
          <w:szCs w:val="20"/>
        </w:rPr>
        <w:t xml:space="preserve">P&amp;L: $3.2B annual revenue  •  Org: 2,600 employees  •  Reported to President &amp; COO</w:t>
      </w:r>
    </w:p>
    <w:p>
      <w:pPr>
        <w:pStyle w:val="ListParagraph"/>
        <w:numPr>
          <w:ilvl w:val="0"/>
          <w:numId w:val="2"/>
        </w:numPr>
        <w:spacing w:after="60" w:line="264"/>
      </w:pPr>
      <w:r>
        <w:rPr>
          <w:rFonts w:ascii="Calibri" w:cs="Calibri" w:eastAsia="Calibri" w:hAnsi="Calibri"/>
          <w:sz w:val="20"/>
          <w:szCs w:val="20"/>
        </w:rPr>
        <w:t xml:space="preserve">Scaled the enterprise segment from $1.6B to $3.2B in four years, doubling the business while improving sales productivity per rep by 38%.</w:t>
      </w:r>
    </w:p>
    <w:p>
      <w:pPr>
        <w:pStyle w:val="ListParagraph"/>
        <w:numPr>
          <w:ilvl w:val="0"/>
          <w:numId w:val="2"/>
        </w:numPr>
        <w:spacing w:after="60" w:line="264"/>
      </w:pPr>
      <w:r>
        <w:rPr>
          <w:rFonts w:ascii="Calibri" w:cs="Calibri" w:eastAsia="Calibri" w:hAnsi="Calibri"/>
          <w:sz w:val="20"/>
          <w:szCs w:val="20"/>
        </w:rPr>
        <w:t xml:space="preserve">Built the company’s largest-account program covering the top 150 global customers; those accounts grew from 19% to 31% of total company revenue.</w:t>
      </w:r>
    </w:p>
    <w:p>
      <w:pPr>
        <w:pStyle w:val="ListParagraph"/>
        <w:numPr>
          <w:ilvl w:val="0"/>
          <w:numId w:val="2"/>
        </w:numPr>
        <w:spacing w:after="60" w:line="264"/>
      </w:pPr>
      <w:r>
        <w:rPr>
          <w:rFonts w:ascii="Calibri" w:cs="Calibri" w:eastAsia="Calibri" w:hAnsi="Calibri"/>
          <w:sz w:val="20"/>
          <w:szCs w:val="20"/>
        </w:rPr>
        <w:t xml:space="preserve">Owned the strategic partnership with the two largest global systems integrators, growing partner-sourced pipeline from $600M to $2.4B annually.</w:t>
      </w:r>
    </w:p>
    <w:p>
      <w:pPr>
        <w:pStyle w:val="ListParagraph"/>
        <w:numPr>
          <w:ilvl w:val="0"/>
          <w:numId w:val="2"/>
        </w:numPr>
        <w:spacing w:after="60" w:line="264"/>
      </w:pPr>
      <w:r>
        <w:rPr>
          <w:rFonts w:ascii="Calibri" w:cs="Calibri" w:eastAsia="Calibri" w:hAnsi="Calibri"/>
          <w:sz w:val="20"/>
          <w:szCs w:val="20"/>
        </w:rPr>
        <w:t xml:space="preserve">Recruited and retained a bench of 11 direct reports, six of whom were promoted into EVP or C-level roles inside or outside the company.</w:t>
      </w:r>
    </w:p>
    <w:p>
      <w:pPr>
        <w:tabs>
          <w:tab w:val="right" w:pos="10080"/>
        </w:tabs>
        <w:spacing w:after="40" w:before="60"/>
      </w:pPr>
      <w:r>
        <w:rPr>
          <w:rFonts w:ascii="Calibri" w:cs="Calibri" w:eastAsia="Calibri" w:hAnsi="Calibri"/>
          <w:b/>
          <w:bCs/>
          <w:i/>
          <w:iCs/>
          <w:sz w:val="20"/>
          <w:szCs w:val="20"/>
        </w:rPr>
        <w:t xml:space="preserve">SVP, Industry Solutions</w:t>
      </w:r>
      <w:r>
        <w:rPr>
          <w:rFonts w:ascii="Calibri" w:cs="Calibri" w:eastAsia="Calibri" w:hAnsi="Calibri"/>
          <w:color w:val="4B5563"/>
          <w:sz w:val="19"/>
          <w:szCs w:val="19"/>
        </w:rPr>
        <w:tab/>
        <w:t xml:space="preserve">2014 – 2017</w:t>
      </w:r>
    </w:p>
    <w:p>
      <w:pPr>
        <w:spacing w:after="60" w:line="264"/>
      </w:pPr>
      <w:r>
        <w:rPr>
          <w:rFonts w:ascii="Calibri" w:cs="Calibri" w:eastAsia="Calibri" w:hAnsi="Calibri"/>
          <w:i/>
          <w:iCs/>
          <w:color w:val="374151"/>
          <w:sz w:val="20"/>
          <w:szCs w:val="20"/>
        </w:rPr>
        <w:t xml:space="preserve">P&amp;L: $740M annual revenue  •  Org: 610 employees</w:t>
      </w:r>
    </w:p>
    <w:p>
      <w:pPr>
        <w:pStyle w:val="ListParagraph"/>
        <w:numPr>
          <w:ilvl w:val="0"/>
          <w:numId w:val="2"/>
        </w:numPr>
        <w:spacing w:after="60" w:line="264"/>
      </w:pPr>
      <w:r>
        <w:rPr>
          <w:rFonts w:ascii="Calibri" w:cs="Calibri" w:eastAsia="Calibri" w:hAnsi="Calibri"/>
          <w:sz w:val="20"/>
          <w:szCs w:val="20"/>
        </w:rPr>
        <w:t xml:space="preserve">Stood up the financial services and healthcare vertical practices from a standing start to $740M in combined revenue in under three years.</w:t>
      </w:r>
    </w:p>
    <w:p>
      <w:pPr>
        <w:pStyle w:val="ListParagraph"/>
        <w:numPr>
          <w:ilvl w:val="0"/>
          <w:numId w:val="2"/>
        </w:numPr>
        <w:spacing w:after="60" w:line="264"/>
      </w:pPr>
      <w:r>
        <w:rPr>
          <w:rFonts w:ascii="Calibri" w:cs="Calibri" w:eastAsia="Calibri" w:hAnsi="Calibri"/>
          <w:sz w:val="20"/>
          <w:szCs w:val="20"/>
        </w:rPr>
        <w:t xml:space="preserve">Shipped the first regulated-industry compliance packaging, unlocking 40+ enterprise logos previously blocked by data residency and audit requirements.</w:t>
      </w:r>
    </w:p>
    <w:p>
      <w:pPr>
        <w:tabs>
          <w:tab w:val="right" w:pos="10080"/>
        </w:tabs>
        <w:spacing w:after="20" w:before="160"/>
      </w:pPr>
      <w:r>
        <w:rPr>
          <w:rFonts w:ascii="Calibri" w:cs="Calibri" w:eastAsia="Calibri" w:hAnsi="Calibri"/>
          <w:b/>
          <w:bCs/>
          <w:color w:val="1F2937"/>
          <w:sz w:val="21"/>
          <w:szCs w:val="21"/>
        </w:rPr>
        <w:t xml:space="preserve">ORACLE CORPORATION</w:t>
      </w:r>
      <w:r>
        <w:rPr>
          <w:rFonts w:ascii="Calibri" w:cs="Calibri" w:eastAsia="Calibri" w:hAnsi="Calibri"/>
          <w:color w:val="4B5563"/>
          <w:sz w:val="19"/>
          <w:szCs w:val="19"/>
        </w:rPr>
        <w:tab/>
        <w:t xml:space="preserve">Redwood City, CA  •  2007 – 2014</w:t>
      </w:r>
    </w:p>
    <w:p>
      <w:pPr>
        <w:tabs>
          <w:tab w:val="right" w:pos="10080"/>
        </w:tabs>
        <w:spacing w:after="40" w:before="60"/>
      </w:pPr>
      <w:r>
        <w:rPr>
          <w:rFonts w:ascii="Calibri" w:cs="Calibri" w:eastAsia="Calibri" w:hAnsi="Calibri"/>
          <w:b/>
          <w:bCs/>
          <w:i/>
          <w:iCs/>
          <w:sz w:val="20"/>
          <w:szCs w:val="20"/>
        </w:rPr>
        <w:t xml:space="preserve">Vice President, Enterprise Applications Sales — North America</w:t>
      </w:r>
      <w:r>
        <w:rPr>
          <w:rFonts w:ascii="Calibri" w:cs="Calibri" w:eastAsia="Calibri" w:hAnsi="Calibri"/>
          <w:color w:val="4B5563"/>
          <w:sz w:val="19"/>
          <w:szCs w:val="19"/>
        </w:rPr>
        <w:tab/>
        <w:t xml:space="preserve">2010 – 2014</w:t>
      </w:r>
    </w:p>
    <w:p>
      <w:pPr>
        <w:spacing w:after="60" w:line="264"/>
      </w:pPr>
      <w:r>
        <w:rPr>
          <w:rFonts w:ascii="Calibri" w:cs="Calibri" w:eastAsia="Calibri" w:hAnsi="Calibri"/>
          <w:i/>
          <w:iCs/>
          <w:color w:val="374151"/>
          <w:sz w:val="20"/>
          <w:szCs w:val="20"/>
        </w:rPr>
        <w:t xml:space="preserve">Quota: $890M  •  Org: 340 employees</w:t>
      </w:r>
    </w:p>
    <w:p>
      <w:pPr>
        <w:pStyle w:val="ListParagraph"/>
        <w:numPr>
          <w:ilvl w:val="0"/>
          <w:numId w:val="2"/>
        </w:numPr>
        <w:spacing w:after="60" w:line="264"/>
      </w:pPr>
      <w:r>
        <w:rPr>
          <w:rFonts w:ascii="Calibri" w:cs="Calibri" w:eastAsia="Calibri" w:hAnsi="Calibri"/>
          <w:sz w:val="20"/>
          <w:szCs w:val="20"/>
        </w:rPr>
        <w:t xml:space="preserve">Delivered 106% average quota attainment across four years in a business that had missed plan in each of the three prior years.</w:t>
      </w:r>
    </w:p>
    <w:p>
      <w:pPr>
        <w:pStyle w:val="ListParagraph"/>
        <w:numPr>
          <w:ilvl w:val="0"/>
          <w:numId w:val="2"/>
        </w:numPr>
        <w:spacing w:after="60" w:line="264"/>
      </w:pPr>
      <w:r>
        <w:rPr>
          <w:rFonts w:ascii="Calibri" w:cs="Calibri" w:eastAsia="Calibri" w:hAnsi="Calibri"/>
          <w:sz w:val="20"/>
          <w:szCs w:val="20"/>
        </w:rPr>
        <w:t xml:space="preserve">Led the North America transition of the on-premise applications base to cloud subscription, converting $310M of maintenance revenue to SaaS ARR.</w:t>
      </w:r>
    </w:p>
    <w:p>
      <w:pPr>
        <w:tabs>
          <w:tab w:val="right" w:pos="10080"/>
        </w:tabs>
        <w:spacing w:after="40" w:before="60"/>
      </w:pPr>
      <w:r>
        <w:rPr>
          <w:rFonts w:ascii="Calibri" w:cs="Calibri" w:eastAsia="Calibri" w:hAnsi="Calibri"/>
          <w:b/>
          <w:bCs/>
          <w:i/>
          <w:iCs/>
          <w:sz w:val="20"/>
          <w:szCs w:val="20"/>
        </w:rPr>
        <w:t xml:space="preserve">Senior Director, Enterprise Sales — West</w:t>
      </w:r>
      <w:r>
        <w:rPr>
          <w:rFonts w:ascii="Calibri" w:cs="Calibri" w:eastAsia="Calibri" w:hAnsi="Calibri"/>
          <w:color w:val="4B5563"/>
          <w:sz w:val="19"/>
          <w:szCs w:val="19"/>
        </w:rPr>
        <w:tab/>
        <w:t xml:space="preserve">2007 – 2010</w:t>
      </w:r>
    </w:p>
    <w:p>
      <w:pPr>
        <w:pStyle w:val="ListParagraph"/>
        <w:numPr>
          <w:ilvl w:val="0"/>
          <w:numId w:val="2"/>
        </w:numPr>
        <w:spacing w:after="60" w:line="264"/>
      </w:pPr>
      <w:r>
        <w:rPr>
          <w:rFonts w:ascii="Calibri" w:cs="Calibri" w:eastAsia="Calibri" w:hAnsi="Calibri"/>
          <w:sz w:val="20"/>
          <w:szCs w:val="20"/>
        </w:rPr>
        <w:t xml:space="preserve">Grew the West region from $124M to $268M; ranked #1 of 7 regions in attainment in 2009 and 2010.</w:t>
      </w:r>
    </w:p>
    <w:p>
      <w:pPr>
        <w:tabs>
          <w:tab w:val="right" w:pos="10080"/>
        </w:tabs>
        <w:spacing w:after="20" w:before="160"/>
      </w:pPr>
      <w:r>
        <w:rPr>
          <w:rFonts w:ascii="Calibri" w:cs="Calibri" w:eastAsia="Calibri" w:hAnsi="Calibri"/>
          <w:b/>
          <w:bCs/>
          <w:color w:val="1F2937"/>
          <w:sz w:val="21"/>
          <w:szCs w:val="21"/>
        </w:rPr>
        <w:t xml:space="preserve">SAP SE</w:t>
      </w:r>
      <w:r>
        <w:rPr>
          <w:rFonts w:ascii="Calibri" w:cs="Calibri" w:eastAsia="Calibri" w:hAnsi="Calibri"/>
          <w:color w:val="4B5563"/>
          <w:sz w:val="19"/>
          <w:szCs w:val="19"/>
        </w:rPr>
        <w:tab/>
        <w:t xml:space="preserve">Palo Alto, CA  •  2003 – 2007</w:t>
      </w:r>
    </w:p>
    <w:p>
      <w:pPr>
        <w:tabs>
          <w:tab w:val="right" w:pos="10080"/>
        </w:tabs>
        <w:spacing w:after="40" w:before="60"/>
      </w:pPr>
      <w:r>
        <w:rPr>
          <w:rFonts w:ascii="Calibri" w:cs="Calibri" w:eastAsia="Calibri" w:hAnsi="Calibri"/>
          <w:b/>
          <w:bCs/>
          <w:i/>
          <w:iCs/>
          <w:sz w:val="20"/>
          <w:szCs w:val="20"/>
        </w:rPr>
        <w:t xml:space="preserve">Regional Sales Director, Western United States</w:t>
      </w:r>
      <w:r>
        <w:rPr>
          <w:rFonts w:ascii="Calibri" w:cs="Calibri" w:eastAsia="Calibri" w:hAnsi="Calibri"/>
          <w:color w:val="4B5563"/>
          <w:sz w:val="19"/>
          <w:szCs w:val="19"/>
        </w:rPr>
        <w:tab/>
        <w:t xml:space="preserve">2003 – 2007</w:t>
      </w:r>
    </w:p>
    <w:p>
      <w:pPr>
        <w:pStyle w:val="ListParagraph"/>
        <w:numPr>
          <w:ilvl w:val="0"/>
          <w:numId w:val="2"/>
        </w:numPr>
        <w:spacing w:after="60" w:line="264"/>
      </w:pPr>
      <w:r>
        <w:rPr>
          <w:rFonts w:ascii="Calibri" w:cs="Calibri" w:eastAsia="Calibri" w:hAnsi="Calibri"/>
          <w:sz w:val="20"/>
          <w:szCs w:val="20"/>
        </w:rPr>
        <w:t xml:space="preserve">Built and led a 24-person enterprise sales team from formation; exceeded plan all four years, peaking at 141% attainment.</w:t>
      </w:r>
    </w:p>
    <w:p>
      <w:pPr>
        <w:pStyle w:val="ListParagraph"/>
        <w:numPr>
          <w:ilvl w:val="0"/>
          <w:numId w:val="2"/>
        </w:numPr>
        <w:spacing w:after="60" w:line="264"/>
      </w:pPr>
      <w:r>
        <w:rPr>
          <w:rFonts w:ascii="Calibri" w:cs="Calibri" w:eastAsia="Calibri" w:hAnsi="Calibri"/>
          <w:sz w:val="20"/>
          <w:szCs w:val="20"/>
        </w:rPr>
        <w:t xml:space="preserve">Closed the largest new-logo agreement in the region’s history at the time ($41M TCV, seven-year term).</w:t>
      </w:r>
    </w:p>
    <w:p>
      <w:pPr>
        <w:tabs>
          <w:tab w:val="right" w:pos="10080"/>
        </w:tabs>
        <w:spacing w:after="20" w:before="160"/>
      </w:pPr>
      <w:r>
        <w:rPr>
          <w:rFonts w:ascii="Calibri" w:cs="Calibri" w:eastAsia="Calibri" w:hAnsi="Calibri"/>
          <w:b/>
          <w:bCs/>
          <w:color w:val="1F2937"/>
          <w:sz w:val="21"/>
          <w:szCs w:val="21"/>
        </w:rPr>
        <w:t xml:space="preserve">IBM CORPORATION</w:t>
      </w:r>
      <w:r>
        <w:rPr>
          <w:rFonts w:ascii="Calibri" w:cs="Calibri" w:eastAsia="Calibri" w:hAnsi="Calibri"/>
          <w:color w:val="4B5563"/>
          <w:sz w:val="19"/>
          <w:szCs w:val="19"/>
        </w:rPr>
        <w:tab/>
        <w:t xml:space="preserve">Armonk, NY  •  1999 – 2003</w:t>
      </w:r>
    </w:p>
    <w:p>
      <w:pPr>
        <w:tabs>
          <w:tab w:val="right" w:pos="10080"/>
        </w:tabs>
        <w:spacing w:after="40" w:before="60"/>
      </w:pPr>
      <w:r>
        <w:rPr>
          <w:rFonts w:ascii="Calibri" w:cs="Calibri" w:eastAsia="Calibri" w:hAnsi="Calibri"/>
          <w:b/>
          <w:bCs/>
          <w:i/>
          <w:iCs/>
          <w:sz w:val="20"/>
          <w:szCs w:val="20"/>
        </w:rPr>
        <w:t xml:space="preserve">Client Executive  |  Account Executive</w:t>
      </w:r>
      <w:r>
        <w:rPr>
          <w:rFonts w:ascii="Calibri" w:cs="Calibri" w:eastAsia="Calibri" w:hAnsi="Calibri"/>
          <w:color w:val="4B5563"/>
          <w:sz w:val="19"/>
          <w:szCs w:val="19"/>
        </w:rPr>
        <w:tab/>
        <w:t xml:space="preserve">1999 – 2003</w:t>
      </w:r>
    </w:p>
    <w:p>
      <w:pPr>
        <w:pStyle w:val="ListParagraph"/>
        <w:numPr>
          <w:ilvl w:val="0"/>
          <w:numId w:val="2"/>
        </w:numPr>
        <w:spacing w:after="60" w:line="264"/>
      </w:pPr>
      <w:r>
        <w:rPr>
          <w:rFonts w:ascii="Calibri" w:cs="Calibri" w:eastAsia="Calibri" w:hAnsi="Calibri"/>
          <w:sz w:val="20"/>
          <w:szCs w:val="20"/>
        </w:rPr>
        <w:t xml:space="preserve">Promoted twice in four years; President’s Club in 2001 and 2002 as top 3% of the global sales organization.</w:t>
      </w:r>
    </w:p>
    <w:p>
      <w:pPr>
        <w:pBdr>
          <w:bottom w:val="single" w:color="1F2937" w:sz="6" w:space="4"/>
        </w:pBdr>
        <w:spacing w:after="120" w:before="240"/>
      </w:pPr>
      <w:r>
        <w:rPr>
          <w:rFonts w:ascii="Calibri" w:cs="Calibri" w:eastAsia="Calibri" w:hAnsi="Calibri"/>
          <w:b/>
          <w:bCs/>
          <w:color w:val="1F2937"/>
          <w:spacing w:val="30"/>
          <w:sz w:val="21"/>
          <w:szCs w:val="21"/>
        </w:rPr>
        <w:t xml:space="preserve">BOARD &amp; ADVISORY</w:t>
      </w:r>
    </w:p>
    <w:p>
      <w:pPr>
        <w:spacing w:after="60" w:line="264"/>
      </w:pPr>
      <w:r>
        <w:rPr>
          <w:rFonts w:ascii="Calibri" w:cs="Calibri" w:eastAsia="Calibri" w:hAnsi="Calibri"/>
          <w:sz w:val="20"/>
          <w:szCs w:val="20"/>
        </w:rPr>
        <w:t xml:space="preserve">Board Director, Blackthorn Analytics (NASDAQ: BTHN) — Compensation Committee, 2021 – Present</w:t>
      </w:r>
    </w:p>
    <w:p>
      <w:pPr>
        <w:spacing w:after="60" w:line="264"/>
      </w:pPr>
      <w:r>
        <w:rPr>
          <w:rFonts w:ascii="Calibri" w:cs="Calibri" w:eastAsia="Calibri" w:hAnsi="Calibri"/>
          <w:sz w:val="20"/>
          <w:szCs w:val="20"/>
        </w:rPr>
        <w:t xml:space="preserve">Board Director, Meridian Data Systems (private equity-backed, Vista Equity Partners) — 2023 – Present</w:t>
      </w:r>
    </w:p>
    <w:p>
      <w:pPr>
        <w:spacing w:after="0" w:line="264"/>
      </w:pPr>
      <w:r>
        <w:rPr>
          <w:rFonts w:ascii="Calibri" w:cs="Calibri" w:eastAsia="Calibri" w:hAnsi="Calibri"/>
          <w:sz w:val="20"/>
          <w:szCs w:val="20"/>
        </w:rPr>
        <w:t xml:space="preserve">Trustee, Bay Area STEM Access Foundation — 2019 – Present</w:t>
      </w:r>
    </w:p>
    <w:p>
      <w:pPr>
        <w:pBdr>
          <w:bottom w:val="single" w:color="1F2937" w:sz="6" w:space="4"/>
        </w:pBdr>
        <w:spacing w:after="120" w:before="240"/>
      </w:pPr>
      <w:r>
        <w:rPr>
          <w:rFonts w:ascii="Calibri" w:cs="Calibri" w:eastAsia="Calibri" w:hAnsi="Calibri"/>
          <w:b/>
          <w:bCs/>
          <w:color w:val="1F2937"/>
          <w:spacing w:val="30"/>
          <w:sz w:val="21"/>
          <w:szCs w:val="21"/>
        </w:rPr>
        <w:t xml:space="preserve">EDUCATION</w:t>
      </w:r>
    </w:p>
    <w:p>
      <w:pPr>
        <w:spacing w:after="60" w:line="264"/>
      </w:pPr>
      <w:r>
        <w:rPr>
          <w:rFonts w:ascii="Calibri" w:cs="Calibri" w:eastAsia="Calibri" w:hAnsi="Calibri"/>
          <w:sz w:val="20"/>
          <w:szCs w:val="20"/>
        </w:rPr>
        <w:t xml:space="preserve">Kellogg School of Management, Northwestern University — Master of Business Administration, Marketing &amp; Strategy, 2003</w:t>
      </w:r>
    </w:p>
    <w:p>
      <w:pPr>
        <w:spacing w:after="0" w:line="264"/>
      </w:pPr>
      <w:r>
        <w:rPr>
          <w:rFonts w:ascii="Calibri" w:cs="Calibri" w:eastAsia="Calibri" w:hAnsi="Calibri"/>
          <w:sz w:val="20"/>
          <w:szCs w:val="20"/>
        </w:rPr>
        <w:t xml:space="preserve">University of California, Berkeley — Bachelor of Arts, Economics, 1999</w:t>
      </w:r>
    </w:p>
    <w:p>
      <w:pPr>
        <w:pBdr>
          <w:bottom w:val="single" w:color="1F2937" w:sz="6" w:space="4"/>
        </w:pBdr>
        <w:spacing w:after="120" w:before="240"/>
      </w:pPr>
      <w:r>
        <w:rPr>
          <w:rFonts w:ascii="Calibri" w:cs="Calibri" w:eastAsia="Calibri" w:hAnsi="Calibri"/>
          <w:b/>
          <w:bCs/>
          <w:color w:val="1F2937"/>
          <w:spacing w:val="30"/>
          <w:sz w:val="21"/>
          <w:szCs w:val="21"/>
        </w:rPr>
        <w:t xml:space="preserve">RECOGNITION</w:t>
      </w:r>
    </w:p>
    <w:p>
      <w:pPr>
        <w:spacing w:after="0" w:line="264"/>
      </w:pPr>
      <w:r>
        <w:rPr>
          <w:rFonts w:ascii="Calibri" w:cs="Calibri" w:eastAsia="Calibri" w:hAnsi="Calibri"/>
          <w:sz w:val="20"/>
          <w:szCs w:val="20"/>
        </w:rPr>
        <w:t xml:space="preserve">Forbes 50 Most Influential Women in Enterprise Technology (2024)  •  Adobe Chairman’s Award (2024)  •  Salesforce Executive of the Year (2019)  •  Oracle Circle of Excellence (2011, 2013)</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2026-08-14T02:54:29.957Z</dcterms:created>
  <dcterms:modified xsi:type="dcterms:W3CDTF">2026-08-14T02:54:29.995Z</dcterms:modified>
</cp:coreProperties>
</file>

<file path=docProps/custom.xml><?xml version="1.0" encoding="utf-8"?>
<Properties xmlns="http://schemas.openxmlformats.org/officeDocument/2006/custom-properties" xmlns:vt="http://schemas.openxmlformats.org/officeDocument/2006/docPropsVTypes"/>
</file>