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4f1d0be70ab4e0e4cc26bf08c0ed2cffd75139"/>
      <w:r>
        <w:t xml:space="preserve">Draw in the Air — LIOS Repositioning Addendum</w:t>
      </w:r>
      <w:bookmarkEnd w:id="20"/>
    </w:p>
    <w:p>
      <w:pPr>
        <w:pStyle w:val="FirstParagraph"/>
      </w:pPr>
      <w:r>
        <w:rPr>
          <w:b/>
        </w:rPr>
        <w:t xml:space="preserve">A short companion note that repositions both strategic documents under a single architectural umbrella: the Learning Intelligence Operating System (LIOS).</w:t>
      </w:r>
    </w:p>
    <w:p>
      <w:pPr>
        <w:pStyle w:val="BodyText"/>
      </w:pPr>
      <w:r>
        <w:t xml:space="preserve">Prepared: May 2026</w:t>
      </w:r>
      <w:r>
        <w:t xml:space="preserve"> </w:t>
      </w:r>
      <w:r>
        <w:t xml:space="preserve">Status: Repositions</w:t>
      </w:r>
      <w:r>
        <w:t xml:space="preserve"> </w:t>
      </w:r>
      <w:r>
        <w:rPr>
          <w:i/>
        </w:rPr>
        <w:t xml:space="preserve">Draw in the Air — Learning Intelligence Strategy</w:t>
      </w:r>
      <w:r>
        <w:t xml:space="preserve"> </w:t>
      </w:r>
      <w:r>
        <w:t xml:space="preserve">(Document A) and</w:t>
      </w:r>
      <w:r>
        <w:t xml:space="preserve"> </w:t>
      </w:r>
      <w:r>
        <w:rPr>
          <w:i/>
        </w:rPr>
        <w:t xml:space="preserve">Draw in the Air — Instructional Intelligence Architecture</w:t>
      </w:r>
      <w:r>
        <w:t xml:space="preserve"> </w:t>
      </w:r>
      <w:r>
        <w:t xml:space="preserve">(Document B) as two halves of one operating system.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addendum-exists"/>
      <w:r>
        <w:t xml:space="preserve">Why this addendum exists</w:t>
      </w:r>
      <w:bookmarkEnd w:id="21"/>
    </w:p>
    <w:p>
      <w:pPr>
        <w:pStyle w:val="FirstParagraph"/>
      </w:pPr>
      <w:r>
        <w:t xml:space="preserve">Document A specified</w:t>
      </w:r>
      <w:r>
        <w:t xml:space="preserve"> </w:t>
      </w:r>
      <w:r>
        <w:rPr>
          <w:i/>
        </w:rPr>
        <w:t xml:space="preserve">how the platform measures learning</w:t>
      </w:r>
      <w:r>
        <w:t xml:space="preserve">. It is, on its own, a strong measurement architecture — pseudonymous longitudinal data, gesture-quality telemetry, Elo / IRT skill ratings, mastery episodes, decay and transfer probes, classroom dimension, curriculum mapping, pre/post validation, k-anonymised dashboards, privacy-first design.</w:t>
      </w:r>
    </w:p>
    <w:p>
      <w:pPr>
        <w:pStyle w:val="BodyText"/>
      </w:pPr>
      <w:r>
        <w:t xml:space="preserve">Under stress testing, Document A revealed five structural under-specifications: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Instructional intelligence.</w:t>
      </w:r>
      <w:r>
        <w:t xml:space="preserve"> </w:t>
      </w:r>
      <w:r>
        <w:t xml:space="preserve">It instrumented learning without specifying how the platform</w:t>
      </w:r>
      <w:r>
        <w:t xml:space="preserve"> </w:t>
      </w:r>
      <w:r>
        <w:rPr>
          <w:i/>
        </w:rPr>
        <w:t xml:space="preserve">teaches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Telemetry trust.</w:t>
      </w:r>
      <w:r>
        <w:t xml:space="preserve"> </w:t>
      </w:r>
      <w:r>
        <w:t xml:space="preserve">It assumed every captured attempt was a valid learning attempt.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Cognitive friction.</w:t>
      </w:r>
      <w:r>
        <w:t xml:space="preserve"> </w:t>
      </w:r>
      <w:r>
        <w:t xml:space="preserve">It conflated</w:t>
      </w:r>
      <w:r>
        <w:t xml:space="preserve"> </w:t>
      </w:r>
      <w:r>
        <w:t xml:space="preserve">“</w:t>
      </w:r>
      <w:r>
        <w:t xml:space="preserve">doesn’t know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is overwhelmed.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Real-world resilience.</w:t>
      </w:r>
      <w:r>
        <w:t xml:space="preserve"> </w:t>
      </w:r>
      <w:r>
        <w:t xml:space="preserve">It assumed clean, sequential interaction in idealised classrooms.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Positioning.</w:t>
      </w:r>
      <w:r>
        <w:t xml:space="preserve"> </w:t>
      </w:r>
      <w:r>
        <w:t xml:space="preserve">It framed the company as an EdTech product, not as a movement-interaction-intelligence platform with a category-defining moat.</w:t>
      </w:r>
    </w:p>
    <w:p>
      <w:pPr>
        <w:pStyle w:val="FirstParagraph"/>
      </w:pPr>
      <w:r>
        <w:t xml:space="preserve">Document B addresses these in depth. This addendum is the half-page bridge that names the combined system and makes the strategic framing explicit.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c93df48d47fa8d69d897dd955415a95284c712"/>
      <w:r>
        <w:t xml:space="preserve">The Learning Intelligence Operating System</w:t>
      </w:r>
      <w:bookmarkEnd w:id="22"/>
    </w:p>
    <w:p>
      <w:pPr>
        <w:pStyle w:val="FirstParagraph"/>
      </w:pPr>
      <w:r>
        <w:t xml:space="preserve">LIOS is the combined architecture. It has six pillars, each owned and specified by a section of the two strategic documents.</w:t>
      </w:r>
    </w:p>
    <w:p>
      <w:pPr>
        <w:pStyle w:val="Heading3"/>
      </w:pPr>
      <w:bookmarkStart w:id="23" w:name="sensing"/>
      <w:r>
        <w:t xml:space="preserve">1. Sensing</w:t>
      </w:r>
      <w:bookmarkEnd w:id="23"/>
    </w:p>
    <w:p>
      <w:pPr>
        <w:pStyle w:val="FirstParagraph"/>
      </w:pPr>
      <w:r>
        <w:t xml:space="preserve">Instrumentation of every interaction — gesture trajectories summarised to scalars on-device, hesitation, independence, session quality.</w:t>
      </w:r>
      <w:r>
        <w:t xml:space="preserve"> </w:t>
      </w:r>
      <w:r>
        <w:rPr>
          <w:i/>
        </w:rPr>
        <w:t xml:space="preserve">Specified in Document A §2, extended by Document B §3 inputs.</w:t>
      </w:r>
    </w:p>
    <w:p>
      <w:pPr>
        <w:pStyle w:val="Heading3"/>
      </w:pPr>
      <w:bookmarkStart w:id="24" w:name="trust"/>
      <w:r>
        <w:t xml:space="preserve">2. Trust</w:t>
      </w:r>
      <w:bookmarkEnd w:id="24"/>
    </w:p>
    <w:p>
      <w:pPr>
        <w:pStyle w:val="FirstParagraph"/>
      </w:pPr>
      <w:r>
        <w:t xml:space="preserve">Every captured attempt carries a credibility score. Low-credibility attempts are quarantined before they touch the measurement layer. The data the company publishes is the data the company can defend.</w:t>
      </w:r>
      <w:r>
        <w:t xml:space="preserve"> </w:t>
      </w:r>
      <w:r>
        <w:rPr>
          <w:i/>
        </w:rPr>
        <w:t xml:space="preserve">Specified in Document B §3.</w:t>
      </w:r>
    </w:p>
    <w:p>
      <w:pPr>
        <w:pStyle w:val="Heading3"/>
      </w:pPr>
      <w:bookmarkStart w:id="25" w:name="measurement"/>
      <w:r>
        <w:t xml:space="preserve">3. Measurement</w:t>
      </w:r>
      <w:bookmarkEnd w:id="25"/>
    </w:p>
    <w:p>
      <w:pPr>
        <w:pStyle w:val="FirstParagraph"/>
      </w:pPr>
      <w:r>
        <w:t xml:space="preserve">Pseudonymous longitudinal skill state. Elo / IRT rating, mastery episodes, retention strength, transfer index, learning velocity, confidence index, motor-precision index. Calibrated by age band and skill family.</w:t>
      </w:r>
      <w:r>
        <w:t xml:space="preserve"> </w:t>
      </w:r>
      <w:r>
        <w:rPr>
          <w:i/>
        </w:rPr>
        <w:t xml:space="preserve">Specified in Document A §3–6.</w:t>
      </w:r>
    </w:p>
    <w:p>
      <w:pPr>
        <w:pStyle w:val="Heading3"/>
      </w:pPr>
      <w:bookmarkStart w:id="26" w:name="adaptation"/>
      <w:r>
        <w:t xml:space="preserve">4. Adaptation</w:t>
      </w:r>
      <w:bookmarkEnd w:id="26"/>
    </w:p>
    <w:p>
      <w:pPr>
        <w:pStyle w:val="FirstParagraph"/>
      </w:pPr>
      <w:r>
        <w:t xml:space="preserve">Real-time teaching. The Adaptive Learning Engine selects the next item, scaffold, modality, break and intervention to keep the child in the desirable-difficulty band, in flow, and out of frustration. Cognitive-friction detectors govern responses. Frustration recovery is a deterministic state machine, not a hope.</w:t>
      </w:r>
      <w:r>
        <w:t xml:space="preserve"> </w:t>
      </w:r>
      <w:r>
        <w:rPr>
          <w:i/>
        </w:rPr>
        <w:t xml:space="preserve">Specified in Document B §4–8.</w:t>
      </w:r>
    </w:p>
    <w:p>
      <w:pPr>
        <w:pStyle w:val="Heading3"/>
      </w:pPr>
      <w:bookmarkStart w:id="27" w:name="resilience"/>
      <w:r>
        <w:t xml:space="preserve">5. Resilience</w:t>
      </w:r>
      <w:bookmarkEnd w:id="27"/>
    </w:p>
    <w:p>
      <w:pPr>
        <w:pStyle w:val="FirstParagraph"/>
      </w:pPr>
      <w:r>
        <w:t xml:space="preserve">Real classrooms, shared devices, bad Wi-Fi, multi-hand chaos, mid-session interruptions, long absences. Plus engineering-side observability: ingestion integrity, idempotency, latency, anomaly detection, SLOs the platform commits to publicly.</w:t>
      </w:r>
      <w:r>
        <w:t xml:space="preserve"> </w:t>
      </w:r>
      <w:r>
        <w:rPr>
          <w:i/>
        </w:rPr>
        <w:t xml:space="preserve">Specified in Document B §10–11.</w:t>
      </w:r>
    </w:p>
    <w:p>
      <w:pPr>
        <w:pStyle w:val="Heading3"/>
      </w:pPr>
      <w:bookmarkStart w:id="28" w:name="governance"/>
      <w:r>
        <w:t xml:space="preserve">6. Governance</w:t>
      </w:r>
      <w:bookmarkEnd w:id="28"/>
    </w:p>
    <w:p>
      <w:pPr>
        <w:pStyle w:val="FirstParagraph"/>
      </w:pPr>
      <w:r>
        <w:t xml:space="preserve">Privacy posture (no PII, on-device hand tracking, pseudonymous learner_uid, k-anonymity ≥ 5, ICO Children’s Code, GDPR/COPPA/FERPA). Scientific Advisory Layer. Pre-registered efficacy studies. Ethics review. Open transparency reports on data quality.</w:t>
      </w:r>
      <w:r>
        <w:t xml:space="preserve"> </w:t>
      </w:r>
      <w:r>
        <w:rPr>
          <w:i/>
        </w:rPr>
        <w:t xml:space="preserve">Specified in Document A §8–9 and Document B §12.</w:t>
      </w:r>
    </w:p>
    <w:p>
      <w:pPr>
        <w:pStyle w:val="BodyText"/>
      </w:pPr>
      <w:r>
        <w:t xml:space="preserve">The two qualitative companions to the six pillars: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Human Observation Layer.</w:t>
      </w:r>
      <w:r>
        <w:t xml:space="preserve"> </w:t>
      </w:r>
      <w:r>
        <w:t xml:space="preserve">Teacher and parent qualitative signal joined to telemetry. The single most important calibration the system has against overfitting to machine-observable behaviour.</w:t>
      </w:r>
      <w:r>
        <w:t xml:space="preserve"> </w:t>
      </w:r>
      <w:r>
        <w:rPr>
          <w:i/>
        </w:rPr>
        <w:t xml:space="preserve">Specified in Document B §9.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Validation.</w:t>
      </w:r>
      <w:r>
        <w:t xml:space="preserve"> </w:t>
      </w:r>
      <w:r>
        <w:t xml:space="preserve">Pre/post protocols, baseline-endline, waitlist-control, pre-registered, peer-reviewable.</w:t>
      </w:r>
      <w:r>
        <w:t xml:space="preserve"> </w:t>
      </w:r>
      <w:r>
        <w:rPr>
          <w:i/>
        </w:rPr>
        <w:t xml:space="preserve">Specified in Document A §8 + §12.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what-lios-unlocks"/>
      <w:r>
        <w:t xml:space="preserve">What LIOS unlocks</w:t>
      </w:r>
      <w:bookmarkEnd w:id="29"/>
    </w:p>
    <w:p>
      <w:pPr>
        <w:pStyle w:val="FirstParagraph"/>
      </w:pPr>
      <w:r>
        <w:t xml:space="preserve">The shift from</w:t>
      </w:r>
      <w:r>
        <w:t xml:space="preserve"> </w:t>
      </w:r>
      <w:r>
        <w:t xml:space="preserve">“</w:t>
      </w:r>
      <w:r>
        <w:t xml:space="preserve">analytics architecture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operating system</w:t>
      </w:r>
      <w:r>
        <w:t xml:space="preserve">”</w:t>
      </w:r>
      <w:r>
        <w:t xml:space="preserve"> </w:t>
      </w:r>
      <w:r>
        <w:t xml:space="preserve">is not branding. It is the framework that lets the company say, with the architecture to back it:</w:t>
      </w:r>
    </w:p>
    <w:p>
      <w:pPr>
        <w:pStyle w:val="BlockText"/>
      </w:pPr>
      <w:r>
        <w:rPr>
          <w:i/>
        </w:rPr>
        <w:t xml:space="preserve">Draw in the Air is the leading privacy-safe movement-interaction intelligence platform. Our first market is early-years learning, where we deliver measurable efficacy at scale. The same operating system serves occupational therapy, SEN provision, rehabilitation, motor assessment, and accessibility — markets we reach via partnerships over the next 18 months. Every hour of telemetry compounds a data moat no competitor can replicate without going through years of children in classrooms.</w:t>
      </w:r>
    </w:p>
    <w:p>
      <w:pPr>
        <w:pStyle w:val="FirstParagraph"/>
      </w:pPr>
      <w:r>
        <w:t xml:space="preserve">That is a category-defining story. It is also true, and architecturally honest — the data model, the credibility layer, the engine interfaces, and the curriculum map specified in Documents A and B port directly to those adjacent markets without re-engineering, exactly as designed.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he-roadmap-unified"/>
      <w:r>
        <w:t xml:space="preserve">The roadmap, unified</w:t>
      </w:r>
      <w:bookmarkEnd w:id="30"/>
    </w:p>
    <w:p>
      <w:pPr>
        <w:pStyle w:val="FirstParagraph"/>
      </w:pPr>
      <w:r>
        <w:t xml:space="preserve">The combined 24-week engineering programme (Document A §10 + Document B §15) ships LIOS in two coordinated tracks: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Track 1 — Measurement (Document A):</w:t>
      </w:r>
      <w:r>
        <w:t xml:space="preserve"> </w:t>
      </w:r>
      <w:r>
        <w:t xml:space="preserve">event idempotency → longitudinal schema → gesture quality on-device → classroom dimension → decay &amp; transfer probes → new dashboards → pilot efficacy study.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Track 2 — Instruction (Document B):</w:t>
      </w:r>
      <w:r>
        <w:t xml:space="preserve"> </w:t>
      </w:r>
      <w:r>
        <w:t xml:space="preserve">trust scoring → cognitive friction detectors → adaptive engine v1 → human observation layer → classroom resilience → observability &amp; SLOs → adaptive engine v2 → scientific advisory + first study → SEN/ADHD/ASD profile system.</w:t>
      </w:r>
    </w:p>
    <w:p>
      <w:pPr>
        <w:pStyle w:val="FirstParagraph"/>
      </w:pPr>
      <w:r>
        <w:t xml:space="preserve">Run together — measurement and instruction sprints alternating, each unblocking the next — LIOS is in production by week 24, with the first peer-review-ready efficacy paper in flight by week 20 and the first clinical-adjacent dataset gathered by week 24.</w:t>
      </w:r>
    </w:p>
    <w:p>
      <w:pPr>
        <w:pStyle w:val="BodyText"/>
      </w:pPr>
      <w:r>
        <w:t xml:space="preserve">This is the unified architecture the company is now building. The two documents that follow are its specification.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2026-05-18T23:48:30Z</dcterms:created>
  <dcterms:modified xsi:type="dcterms:W3CDTF">2026-05-18T23:48:30Z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