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sz w:val="22"/>
          <w:szCs w:val="22"/>
        </w:rPr>
        <w:t xml:space="preserve"/>
      </w:r>
    </w:p>
    <w:p>
      <w:pPr>
        <w:spacing w:after="60"/>
        <w:jc w:val="center"/>
      </w:pPr>
      <w:r>
        <w:rPr>
          <w:rFonts w:ascii="Calibri" w:cs="Calibri" w:eastAsia="Calibri" w:hAnsi="Calibri"/>
          <w:b/>
          <w:bCs/>
          <w:color w:val="0F766E"/>
          <w:spacing w:val="60"/>
          <w:sz w:val="32"/>
          <w:szCs w:val="32"/>
        </w:rPr>
        <w:t xml:space="preserve">DRAW IN THE AIR</w:t>
      </w:r>
    </w:p>
    <w:p>
      <w:pPr>
        <w:spacing w:after="600"/>
        <w:jc w:val="center"/>
      </w:pPr>
      <w:r>
        <w:rPr>
          <w:rFonts w:ascii="Calibri" w:cs="Calibri" w:eastAsia="Calibri" w:hAnsi="Calibri"/>
          <w:i/>
          <w:iCs/>
          <w:color w:val="4B5563"/>
          <w:sz w:val="24"/>
          <w:szCs w:val="24"/>
        </w:rPr>
        <w:t xml:space="preserve">Learning Intelligence Strategy</w:t>
      </w:r>
    </w:p>
    <w:p>
      <w:pPr>
        <w:spacing w:after="80"/>
        <w:jc w:val="center"/>
      </w:pPr>
      <w:r>
        <w:rPr>
          <w:rFonts w:ascii="Calibri" w:cs="Calibri" w:eastAsia="Calibri" w:hAnsi="Calibri"/>
          <w:b/>
          <w:bCs/>
          <w:color w:val="111827"/>
          <w:sz w:val="44"/>
          <w:szCs w:val="44"/>
        </w:rPr>
        <w:t xml:space="preserve">From Engagement Analytics to</w:t>
      </w:r>
    </w:p>
    <w:p>
      <w:pPr>
        <w:spacing w:after="600"/>
        <w:jc w:val="center"/>
      </w:pPr>
      <w:r>
        <w:rPr>
          <w:rFonts w:ascii="Calibri" w:cs="Calibri" w:eastAsia="Calibri" w:hAnsi="Calibri"/>
          <w:b/>
          <w:bCs/>
          <w:color w:val="0F766E"/>
          <w:sz w:val="44"/>
          <w:szCs w:val="44"/>
        </w:rPr>
        <w:t xml:space="preserve">Measurable Learning Outcomes</w:t>
      </w:r>
    </w:p>
    <w:p>
      <w:pPr>
        <w:pBdr>
          <w:bottom w:val="single" w:color="0F766E" w:sz="12" w:space="1"/>
        </w:pBdr>
        <w:spacing w:after="360"/>
        <w:jc w:val="center"/>
      </w:pPr>
      <w:r>
        <w:t xml:space="preserve"/>
      </w:r>
    </w:p>
    <w:p>
      <w:pPr>
        <w:spacing w:after="120"/>
        <w:jc w:val="center"/>
      </w:pPr>
      <w:r>
        <w:rPr>
          <w:rFonts w:ascii="Calibri" w:cs="Calibri" w:eastAsia="Calibri" w:hAnsi="Calibri"/>
          <w:color w:val="4B5563"/>
          <w:sz w:val="22"/>
          <w:szCs w:val="22"/>
        </w:rPr>
        <w:t xml:space="preserve">A complete redesign of the learning analytics, behavioural</w:t>
      </w:r>
    </w:p>
    <w:p>
      <w:pPr>
        <w:spacing w:after="120"/>
        <w:jc w:val="center"/>
      </w:pPr>
      <w:r>
        <w:rPr>
          <w:rFonts w:ascii="Calibri" w:cs="Calibri" w:eastAsia="Calibri" w:hAnsi="Calibri"/>
          <w:color w:val="4B5563"/>
          <w:sz w:val="22"/>
          <w:szCs w:val="22"/>
        </w:rPr>
        <w:t xml:space="preserve">measurement, and evidence architecture — purpose-built for</w:t>
      </w:r>
    </w:p>
    <w:p>
      <w:pPr>
        <w:spacing w:after="1200"/>
        <w:jc w:val="center"/>
      </w:pPr>
      <w:r>
        <w:rPr>
          <w:rFonts w:ascii="Calibri" w:cs="Calibri" w:eastAsia="Calibri" w:hAnsi="Calibri"/>
          <w:color w:val="4B5563"/>
          <w:sz w:val="22"/>
          <w:szCs w:val="22"/>
        </w:rPr>
        <w:t xml:space="preserve">investor due diligence, school adoption, and grant-grade efficacy validation.</w:t>
      </w:r>
    </w:p>
    <w:p>
      <w:pPr>
        <w:spacing w:after="80"/>
        <w:jc w:val="center"/>
      </w:pPr>
      <w:r>
        <w:rPr>
          <w:rFonts w:ascii="Calibri" w:cs="Calibri" w:eastAsia="Calibri" w:hAnsi="Calibri"/>
          <w:i/>
          <w:iCs/>
          <w:color w:val="4B5563"/>
          <w:sz w:val="20"/>
          <w:szCs w:val="20"/>
        </w:rPr>
        <w:t xml:space="preserve">Prepared by Justin Ukaegbu  •  May 2026</w:t>
      </w:r>
    </w:p>
    <w:p>
      <w:pPr>
        <w:jc w:val="center"/>
      </w:pPr>
      <w:r>
        <w:rPr>
          <w:rFonts w:ascii="Calibri" w:cs="Calibri" w:eastAsia="Calibri" w:hAnsi="Calibri"/>
          <w:i/>
          <w:iCs/>
          <w:color w:val="4B5563"/>
          <w:sz w:val="18"/>
          <w:szCs w:val="18"/>
        </w:rPr>
        <w:t xml:space="preserve">Version 1.0  •  Confidential</w:t>
      </w:r>
    </w:p>
    <w:p>
      <w:pPr>
        <w:pStyle w:val="Heading1"/>
        <w:pageBreakBefore/>
        <w:spacing w:after="160" w:before="360"/>
      </w:pPr>
      <w:r>
        <w:rPr>
          <w:rFonts w:ascii="Calibri" w:cs="Calibri" w:eastAsia="Calibri" w:hAnsi="Calibri"/>
          <w:b/>
          <w:bCs/>
          <w:color w:val="0F766E"/>
          <w:sz w:val="36"/>
          <w:szCs w:val="36"/>
        </w:rPr>
        <w:t xml:space="preserve">Contents</w:t>
      </w:r>
    </w:p>
    <w:p>
      <w:pPr>
        <w:tabs>
          <w:tab w:val="right" w:pos="9000" w:leader="dot"/>
        </w:tabs>
        <w:spacing w:after="100"/>
      </w:pPr>
      <w:r>
        <w:rPr>
          <w:rFonts w:ascii="Calibri" w:cs="Calibri" w:eastAsia="Calibri" w:hAnsi="Calibri"/>
          <w:color w:val="111827"/>
          <w:sz w:val="22"/>
          <w:szCs w:val="22"/>
        </w:rPr>
        <w:t xml:space="preserve">Executive Summary</w:t>
      </w:r>
      <w:r>
        <w:rPr>
          <w:rFonts w:ascii="Calibri" w:cs="Calibri" w:eastAsia="Calibri" w:hAnsi="Calibri"/>
          <w:sz w:val="22"/>
          <w:szCs w:val="22"/>
        </w:rPr>
        <w:t xml:space="preserve">	</w:t>
      </w:r>
      <w:r>
        <w:rPr>
          <w:rFonts w:ascii="Calibri" w:cs="Calibri" w:eastAsia="Calibri" w:hAnsi="Calibri"/>
          <w:color w:val="4B5563"/>
          <w:sz w:val="22"/>
          <w:szCs w:val="22"/>
        </w:rPr>
        <w:t xml:space="preserve">2</w:t>
      </w:r>
    </w:p>
    <w:p>
      <w:pPr>
        <w:tabs>
          <w:tab w:val="right" w:pos="9000" w:leader="dot"/>
        </w:tabs>
        <w:spacing w:after="100"/>
      </w:pPr>
      <w:r>
        <w:rPr>
          <w:rFonts w:ascii="Calibri" w:cs="Calibri" w:eastAsia="Calibri" w:hAnsi="Calibri"/>
          <w:color w:val="111827"/>
          <w:sz w:val="22"/>
          <w:szCs w:val="22"/>
        </w:rPr>
        <w:t xml:space="preserve">1. Critical Flaws in the Current Data System</w:t>
      </w:r>
      <w:r>
        <w:rPr>
          <w:rFonts w:ascii="Calibri" w:cs="Calibri" w:eastAsia="Calibri" w:hAnsi="Calibri"/>
          <w:sz w:val="22"/>
          <w:szCs w:val="22"/>
        </w:rPr>
        <w:t xml:space="preserve">	</w:t>
      </w:r>
      <w:r>
        <w:rPr>
          <w:rFonts w:ascii="Calibri" w:cs="Calibri" w:eastAsia="Calibri" w:hAnsi="Calibri"/>
          <w:color w:val="4B5563"/>
          <w:sz w:val="22"/>
          <w:szCs w:val="22"/>
        </w:rPr>
        <w:t xml:space="preserve">3</w:t>
      </w:r>
    </w:p>
    <w:p>
      <w:pPr>
        <w:tabs>
          <w:tab w:val="right" w:pos="9000" w:leader="dot"/>
        </w:tabs>
        <w:spacing w:after="100"/>
      </w:pPr>
      <w:r>
        <w:rPr>
          <w:rFonts w:ascii="Calibri" w:cs="Calibri" w:eastAsia="Calibri" w:hAnsi="Calibri"/>
          <w:color w:val="111827"/>
          <w:sz w:val="22"/>
          <w:szCs w:val="22"/>
        </w:rPr>
        <w:t xml:space="preserve">2. Missing Instrumentation</w:t>
      </w:r>
      <w:r>
        <w:rPr>
          <w:rFonts w:ascii="Calibri" w:cs="Calibri" w:eastAsia="Calibri" w:hAnsi="Calibri"/>
          <w:sz w:val="22"/>
          <w:szCs w:val="22"/>
        </w:rPr>
        <w:t xml:space="preserve">	</w:t>
      </w:r>
      <w:r>
        <w:rPr>
          <w:rFonts w:ascii="Calibri" w:cs="Calibri" w:eastAsia="Calibri" w:hAnsi="Calibri"/>
          <w:color w:val="4B5563"/>
          <w:sz w:val="22"/>
          <w:szCs w:val="22"/>
        </w:rPr>
        <w:t xml:space="preserve">4</w:t>
      </w:r>
    </w:p>
    <w:p>
      <w:pPr>
        <w:tabs>
          <w:tab w:val="right" w:pos="9000" w:leader="dot"/>
        </w:tabs>
        <w:spacing w:after="100"/>
      </w:pPr>
      <w:r>
        <w:rPr>
          <w:rFonts w:ascii="Calibri" w:cs="Calibri" w:eastAsia="Calibri" w:hAnsi="Calibri"/>
          <w:color w:val="111827"/>
          <w:sz w:val="22"/>
          <w:szCs w:val="22"/>
        </w:rPr>
        <w:t xml:space="preserve">3. New Analytics Architecture</w:t>
      </w:r>
      <w:r>
        <w:rPr>
          <w:rFonts w:ascii="Calibri" w:cs="Calibri" w:eastAsia="Calibri" w:hAnsi="Calibri"/>
          <w:sz w:val="22"/>
          <w:szCs w:val="22"/>
        </w:rPr>
        <w:t xml:space="preserve">	</w:t>
      </w:r>
      <w:r>
        <w:rPr>
          <w:rFonts w:ascii="Calibri" w:cs="Calibri" w:eastAsia="Calibri" w:hAnsi="Calibri"/>
          <w:color w:val="4B5563"/>
          <w:sz w:val="22"/>
          <w:szCs w:val="22"/>
        </w:rPr>
        <w:t xml:space="preserve">5</w:t>
      </w:r>
    </w:p>
    <w:p>
      <w:pPr>
        <w:tabs>
          <w:tab w:val="right" w:pos="9000" w:leader="dot"/>
        </w:tabs>
        <w:spacing w:after="100"/>
      </w:pPr>
      <w:r>
        <w:rPr>
          <w:rFonts w:ascii="Calibri" w:cs="Calibri" w:eastAsia="Calibri" w:hAnsi="Calibri"/>
          <w:color w:val="111827"/>
          <w:sz w:val="22"/>
          <w:szCs w:val="22"/>
        </w:rPr>
        <w:t xml:space="preserve">4. Behavioural Learning Model</w:t>
      </w:r>
      <w:r>
        <w:rPr>
          <w:rFonts w:ascii="Calibri" w:cs="Calibri" w:eastAsia="Calibri" w:hAnsi="Calibri"/>
          <w:sz w:val="22"/>
          <w:szCs w:val="22"/>
        </w:rPr>
        <w:t xml:space="preserve">	</w:t>
      </w:r>
      <w:r>
        <w:rPr>
          <w:rFonts w:ascii="Calibri" w:cs="Calibri" w:eastAsia="Calibri" w:hAnsi="Calibri"/>
          <w:color w:val="4B5563"/>
          <w:sz w:val="22"/>
          <w:szCs w:val="22"/>
        </w:rPr>
        <w:t xml:space="preserve">6</w:t>
      </w:r>
    </w:p>
    <w:p>
      <w:pPr>
        <w:tabs>
          <w:tab w:val="right" w:pos="9000" w:leader="dot"/>
        </w:tabs>
        <w:spacing w:after="100"/>
      </w:pPr>
      <w:r>
        <w:rPr>
          <w:rFonts w:ascii="Calibri" w:cs="Calibri" w:eastAsia="Calibri" w:hAnsi="Calibri"/>
          <w:color w:val="111827"/>
          <w:sz w:val="22"/>
          <w:szCs w:val="22"/>
        </w:rPr>
        <w:t xml:space="preserve">5. Skill Progression Logic</w:t>
      </w:r>
      <w:r>
        <w:rPr>
          <w:rFonts w:ascii="Calibri" w:cs="Calibri" w:eastAsia="Calibri" w:hAnsi="Calibri"/>
          <w:sz w:val="22"/>
          <w:szCs w:val="22"/>
        </w:rPr>
        <w:t xml:space="preserve">	</w:t>
      </w:r>
      <w:r>
        <w:rPr>
          <w:rFonts w:ascii="Calibri" w:cs="Calibri" w:eastAsia="Calibri" w:hAnsi="Calibri"/>
          <w:color w:val="4B5563"/>
          <w:sz w:val="22"/>
          <w:szCs w:val="22"/>
        </w:rPr>
        <w:t xml:space="preserve">7</w:t>
      </w:r>
    </w:p>
    <w:p>
      <w:pPr>
        <w:tabs>
          <w:tab w:val="right" w:pos="9000" w:leader="dot"/>
        </w:tabs>
        <w:spacing w:after="100"/>
      </w:pPr>
      <w:r>
        <w:rPr>
          <w:rFonts w:ascii="Calibri" w:cs="Calibri" w:eastAsia="Calibri" w:hAnsi="Calibri"/>
          <w:color w:val="111827"/>
          <w:sz w:val="22"/>
          <w:szCs w:val="22"/>
        </w:rPr>
        <w:t xml:space="preserve">6. Recommended Metrics</w:t>
      </w:r>
      <w:r>
        <w:rPr>
          <w:rFonts w:ascii="Calibri" w:cs="Calibri" w:eastAsia="Calibri" w:hAnsi="Calibri"/>
          <w:sz w:val="22"/>
          <w:szCs w:val="22"/>
        </w:rPr>
        <w:t xml:space="preserve">	</w:t>
      </w:r>
      <w:r>
        <w:rPr>
          <w:rFonts w:ascii="Calibri" w:cs="Calibri" w:eastAsia="Calibri" w:hAnsi="Calibri"/>
          <w:color w:val="4B5563"/>
          <w:sz w:val="22"/>
          <w:szCs w:val="22"/>
        </w:rPr>
        <w:t xml:space="preserve">8</w:t>
      </w:r>
    </w:p>
    <w:p>
      <w:pPr>
        <w:tabs>
          <w:tab w:val="right" w:pos="9000" w:leader="dot"/>
        </w:tabs>
        <w:spacing w:after="100"/>
      </w:pPr>
      <w:r>
        <w:rPr>
          <w:rFonts w:ascii="Calibri" w:cs="Calibri" w:eastAsia="Calibri" w:hAnsi="Calibri"/>
          <w:color w:val="111827"/>
          <w:sz w:val="22"/>
          <w:szCs w:val="22"/>
        </w:rPr>
        <w:t xml:space="preserve">7. Dashboard Redesign</w:t>
      </w:r>
      <w:r>
        <w:rPr>
          <w:rFonts w:ascii="Calibri" w:cs="Calibri" w:eastAsia="Calibri" w:hAnsi="Calibri"/>
          <w:sz w:val="22"/>
          <w:szCs w:val="22"/>
        </w:rPr>
        <w:t xml:space="preserve">	</w:t>
      </w:r>
      <w:r>
        <w:rPr>
          <w:rFonts w:ascii="Calibri" w:cs="Calibri" w:eastAsia="Calibri" w:hAnsi="Calibri"/>
          <w:color w:val="4B5563"/>
          <w:sz w:val="22"/>
          <w:szCs w:val="22"/>
        </w:rPr>
        <w:t xml:space="preserve">9</w:t>
      </w:r>
    </w:p>
    <w:p>
      <w:pPr>
        <w:tabs>
          <w:tab w:val="right" w:pos="9000" w:leader="dot"/>
        </w:tabs>
        <w:spacing w:after="100"/>
      </w:pPr>
      <w:r>
        <w:rPr>
          <w:rFonts w:ascii="Calibri" w:cs="Calibri" w:eastAsia="Calibri" w:hAnsi="Calibri"/>
          <w:color w:val="111827"/>
          <w:sz w:val="22"/>
          <w:szCs w:val="22"/>
        </w:rPr>
        <w:t xml:space="preserve">8. Learning-Outcome Framework</w:t>
      </w:r>
      <w:r>
        <w:rPr>
          <w:rFonts w:ascii="Calibri" w:cs="Calibri" w:eastAsia="Calibri" w:hAnsi="Calibri"/>
          <w:sz w:val="22"/>
          <w:szCs w:val="22"/>
        </w:rPr>
        <w:t xml:space="preserve">	</w:t>
      </w:r>
      <w:r>
        <w:rPr>
          <w:rFonts w:ascii="Calibri" w:cs="Calibri" w:eastAsia="Calibri" w:hAnsi="Calibri"/>
          <w:color w:val="4B5563"/>
          <w:sz w:val="22"/>
          <w:szCs w:val="22"/>
        </w:rPr>
        <w:t xml:space="preserve">10</w:t>
      </w:r>
    </w:p>
    <w:p>
      <w:pPr>
        <w:tabs>
          <w:tab w:val="right" w:pos="9000" w:leader="dot"/>
        </w:tabs>
        <w:spacing w:after="100"/>
      </w:pPr>
      <w:r>
        <w:rPr>
          <w:rFonts w:ascii="Calibri" w:cs="Calibri" w:eastAsia="Calibri" w:hAnsi="Calibri"/>
          <w:color w:val="111827"/>
          <w:sz w:val="22"/>
          <w:szCs w:val="22"/>
        </w:rPr>
        <w:t xml:space="preserve">9. Privacy-Safe Implementation Strategy</w:t>
      </w:r>
      <w:r>
        <w:rPr>
          <w:rFonts w:ascii="Calibri" w:cs="Calibri" w:eastAsia="Calibri" w:hAnsi="Calibri"/>
          <w:sz w:val="22"/>
          <w:szCs w:val="22"/>
        </w:rPr>
        <w:t xml:space="preserve">	</w:t>
      </w:r>
      <w:r>
        <w:rPr>
          <w:rFonts w:ascii="Calibri" w:cs="Calibri" w:eastAsia="Calibri" w:hAnsi="Calibri"/>
          <w:color w:val="4B5563"/>
          <w:sz w:val="22"/>
          <w:szCs w:val="22"/>
        </w:rPr>
        <w:t xml:space="preserve">11</w:t>
      </w:r>
    </w:p>
    <w:p>
      <w:pPr>
        <w:tabs>
          <w:tab w:val="right" w:pos="9000" w:leader="dot"/>
        </w:tabs>
        <w:spacing w:after="100"/>
      </w:pPr>
      <w:r>
        <w:rPr>
          <w:rFonts w:ascii="Calibri" w:cs="Calibri" w:eastAsia="Calibri" w:hAnsi="Calibri"/>
          <w:color w:val="111827"/>
          <w:sz w:val="22"/>
          <w:szCs w:val="22"/>
        </w:rPr>
        <w:t xml:space="preserve">10. Immediate Engineering Priorities</w:t>
      </w:r>
      <w:r>
        <w:rPr>
          <w:rFonts w:ascii="Calibri" w:cs="Calibri" w:eastAsia="Calibri" w:hAnsi="Calibri"/>
          <w:sz w:val="22"/>
          <w:szCs w:val="22"/>
        </w:rPr>
        <w:t xml:space="preserve">	</w:t>
      </w:r>
      <w:r>
        <w:rPr>
          <w:rFonts w:ascii="Calibri" w:cs="Calibri" w:eastAsia="Calibri" w:hAnsi="Calibri"/>
          <w:color w:val="4B5563"/>
          <w:sz w:val="22"/>
          <w:szCs w:val="22"/>
        </w:rPr>
        <w:t xml:space="preserve">12</w:t>
      </w:r>
    </w:p>
    <w:p>
      <w:pPr>
        <w:tabs>
          <w:tab w:val="right" w:pos="9000" w:leader="dot"/>
        </w:tabs>
        <w:spacing w:after="100"/>
      </w:pPr>
      <w:r>
        <w:rPr>
          <w:rFonts w:ascii="Calibri" w:cs="Calibri" w:eastAsia="Calibri" w:hAnsi="Calibri"/>
          <w:color w:val="111827"/>
          <w:sz w:val="22"/>
          <w:szCs w:val="22"/>
        </w:rPr>
        <w:t xml:space="preserve">11. Long-Term Data Moat Opportunities</w:t>
      </w:r>
      <w:r>
        <w:rPr>
          <w:rFonts w:ascii="Calibri" w:cs="Calibri" w:eastAsia="Calibri" w:hAnsi="Calibri"/>
          <w:sz w:val="22"/>
          <w:szCs w:val="22"/>
        </w:rPr>
        <w:t xml:space="preserve">	</w:t>
      </w:r>
      <w:r>
        <w:rPr>
          <w:rFonts w:ascii="Calibri" w:cs="Calibri" w:eastAsia="Calibri" w:hAnsi="Calibri"/>
          <w:color w:val="4B5563"/>
          <w:sz w:val="22"/>
          <w:szCs w:val="22"/>
        </w:rPr>
        <w:t xml:space="preserve">13</w:t>
      </w:r>
    </w:p>
    <w:p>
      <w:pPr>
        <w:tabs>
          <w:tab w:val="right" w:pos="9000" w:leader="dot"/>
        </w:tabs>
        <w:spacing w:after="100"/>
      </w:pPr>
      <w:r>
        <w:rPr>
          <w:rFonts w:ascii="Calibri" w:cs="Calibri" w:eastAsia="Calibri" w:hAnsi="Calibri"/>
          <w:color w:val="111827"/>
          <w:sz w:val="22"/>
          <w:szCs w:val="22"/>
        </w:rPr>
        <w:t xml:space="preserve">12. Scientific Validation of Learning Improvement</w:t>
      </w:r>
      <w:r>
        <w:rPr>
          <w:rFonts w:ascii="Calibri" w:cs="Calibri" w:eastAsia="Calibri" w:hAnsi="Calibri"/>
          <w:sz w:val="22"/>
          <w:szCs w:val="22"/>
        </w:rPr>
        <w:t xml:space="preserve">	</w:t>
      </w:r>
      <w:r>
        <w:rPr>
          <w:rFonts w:ascii="Calibri" w:cs="Calibri" w:eastAsia="Calibri" w:hAnsi="Calibri"/>
          <w:color w:val="4B5563"/>
          <w:sz w:val="22"/>
          <w:szCs w:val="22"/>
        </w:rPr>
        <w:t xml:space="preserve">14</w:t>
      </w:r>
    </w:p>
    <w:p>
      <w:pPr>
        <w:tabs>
          <w:tab w:val="right" w:pos="9000" w:leader="dot"/>
        </w:tabs>
        <w:spacing w:after="100"/>
      </w:pPr>
      <w:r>
        <w:rPr>
          <w:rFonts w:ascii="Calibri" w:cs="Calibri" w:eastAsia="Calibri" w:hAnsi="Calibri"/>
          <w:color w:val="111827"/>
          <w:sz w:val="22"/>
          <w:szCs w:val="22"/>
        </w:rPr>
        <w:t xml:space="preserve">Appendix A — Event &amp; Construct Mapping Reference</w:t>
      </w:r>
      <w:r>
        <w:rPr>
          <w:rFonts w:ascii="Calibri" w:cs="Calibri" w:eastAsia="Calibri" w:hAnsi="Calibri"/>
          <w:sz w:val="22"/>
          <w:szCs w:val="22"/>
        </w:rPr>
        <w:t xml:space="preserve">	</w:t>
      </w:r>
      <w:r>
        <w:rPr>
          <w:rFonts w:ascii="Calibri" w:cs="Calibri" w:eastAsia="Calibri" w:hAnsi="Calibri"/>
          <w:color w:val="4B5563"/>
          <w:sz w:val="22"/>
          <w:szCs w:val="22"/>
        </w:rPr>
        <w:t xml:space="preserve">15</w:t>
      </w:r>
    </w:p>
    <w:p>
      <w:pPr>
        <w:tabs>
          <w:tab w:val="right" w:pos="9000" w:leader="dot"/>
        </w:tabs>
        <w:spacing w:after="100"/>
      </w:pPr>
      <w:r>
        <w:rPr>
          <w:rFonts w:ascii="Calibri" w:cs="Calibri" w:eastAsia="Calibri" w:hAnsi="Calibri"/>
          <w:color w:val="111827"/>
          <w:sz w:val="22"/>
          <w:szCs w:val="22"/>
        </w:rPr>
        <w:t xml:space="preserve">Appendix B — Migration Plan &amp; Schema Sketch</w:t>
      </w:r>
      <w:r>
        <w:rPr>
          <w:rFonts w:ascii="Calibri" w:cs="Calibri" w:eastAsia="Calibri" w:hAnsi="Calibri"/>
          <w:sz w:val="22"/>
          <w:szCs w:val="22"/>
        </w:rPr>
        <w:t xml:space="preserve">	</w:t>
      </w:r>
      <w:r>
        <w:rPr>
          <w:rFonts w:ascii="Calibri" w:cs="Calibri" w:eastAsia="Calibri" w:hAnsi="Calibri"/>
          <w:color w:val="4B5563"/>
          <w:sz w:val="22"/>
          <w:szCs w:val="22"/>
        </w:rPr>
        <w:t xml:space="preserve">16</w:t>
      </w:r>
    </w:p>
    <w:p>
      <w:pPr>
        <w:pStyle w:val="Heading1"/>
        <w:pageBreakBefore/>
        <w:spacing w:after="160" w:before="360"/>
      </w:pPr>
      <w:r>
        <w:rPr>
          <w:rFonts w:ascii="Calibri" w:cs="Calibri" w:eastAsia="Calibri" w:hAnsi="Calibri"/>
          <w:b/>
          <w:bCs/>
          <w:color w:val="0F766E"/>
          <w:sz w:val="36"/>
          <w:szCs w:val="36"/>
        </w:rPr>
        <w:t xml:space="preserve">Executive Summary</w:t>
      </w:r>
    </w:p>
    <w:p>
      <w:pPr>
        <w:pBdr>
          <w:bottom w:val="single" w:color="0F766E" w:sz="8" w:space="1"/>
        </w:pBdr>
        <w:spacing w:after="200" w:before="80"/>
      </w:pPr>
      <w:r>
        <w:t xml:space="preserve"/>
      </w:r>
    </w:p>
    <w:p>
      <w:pPr>
        <w:spacing w:after="120" w:before="0"/>
      </w:pPr>
      <w:r>
        <w:rPr>
          <w:rFonts w:ascii="Calibri" w:cs="Calibri" w:eastAsia="Calibri" w:hAnsi="Calibri"/>
          <w:color w:val="111827"/>
          <w:sz w:val="22"/>
          <w:szCs w:val="22"/>
        </w:rPr>
        <w:t xml:space="preserve">Draw in the Air has built a credible engagement-analytics pipeline. Across </w:t>
      </w:r>
      <w:r>
        <w:rPr>
          <w:rFonts w:ascii="Calibri" w:cs="Calibri" w:eastAsia="Calibri" w:hAnsi="Calibri"/>
          <w:b/>
          <w:bCs/>
          <w:i w:val="false"/>
          <w:iCs w:val="false"/>
          <w:color w:val="111827"/>
          <w:sz w:val="22"/>
          <w:szCs w:val="22"/>
        </w:rPr>
        <w:t xml:space="preserve">11 SQL migrations</w:t>
      </w:r>
      <w:r>
        <w:rPr>
          <w:rFonts w:ascii="Calibri" w:cs="Calibri" w:eastAsia="Calibri" w:hAnsi="Calibri"/>
          <w:color w:val="111827"/>
          <w:sz w:val="22"/>
          <w:szCs w:val="22"/>
        </w:rPr>
        <w:t xml:space="preserve">, a custom event taxonomy, an admin Insights dashboard with six tabs, an anomaly-check cron, a daily-digest edge function, and </w:t>
      </w:r>
      <w:r>
        <w:rPr>
          <w:rFonts w:ascii="Calibri" w:cs="Calibri" w:eastAsia="Calibri" w:hAnsi="Calibri"/>
          <w:b/>
          <w:bCs/>
          <w:i w:val="false"/>
          <w:iCs w:val="false"/>
          <w:color w:val="111827"/>
          <w:sz w:val="22"/>
          <w:szCs w:val="22"/>
        </w:rPr>
        <w:t xml:space="preserve">~165 instrumented client files</w:t>
      </w:r>
      <w:r>
        <w:rPr>
          <w:rFonts w:ascii="Calibri" w:cs="Calibri" w:eastAsia="Calibri" w:hAnsi="Calibri"/>
          <w:color w:val="111827"/>
          <w:sz w:val="22"/>
          <w:szCs w:val="22"/>
        </w:rPr>
        <w:t xml:space="preserve">, the platform can already answer: did children play, did the tracker initialise, are sessions long, are errors rising? That is real, working infrastructure — most pre-seed EdTech companies do not have it.</w:t>
      </w:r>
    </w:p>
    <w:p>
      <w:pPr>
        <w:spacing w:after="120" w:before="0"/>
      </w:pPr>
      <w:r>
        <w:rPr>
          <w:rFonts w:ascii="Calibri" w:cs="Calibri" w:eastAsia="Calibri" w:hAnsi="Calibri"/>
          <w:color w:val="111827"/>
          <w:sz w:val="22"/>
          <w:szCs w:val="22"/>
        </w:rPr>
        <w:t xml:space="preserve">But engagement-as-proxy will not survive due diligence from a serious EdTech investor, the UK Department for Education, an Innovate UK Smart Grant, a US ESSER-funded district, or a learning-science research partner. They will all ask the same question, and the platform cannot currently answer it: </w:t>
      </w:r>
      <w:r>
        <w:rPr>
          <w:rFonts w:ascii="Calibri" w:cs="Calibri" w:eastAsia="Calibri" w:hAnsi="Calibri"/>
          <w:b/>
          <w:bCs/>
          <w:i w:val="false"/>
          <w:iCs w:val="false"/>
          <w:color w:val="0F766E"/>
          <w:sz w:val="22"/>
          <w:szCs w:val="22"/>
        </w:rPr>
        <w:t xml:space="preserve">do children measurably improve while using Draw in the Air?</w:t>
      </w:r>
    </w:p>
    <w:p>
      <w:pPr>
        <w:spacing w:after="120" w:before="0"/>
      </w:pPr>
      <w:r>
        <w:rPr>
          <w:rFonts w:ascii="Calibri" w:cs="Calibri" w:eastAsia="Calibri" w:hAnsi="Calibri"/>
          <w:color w:val="111827"/>
          <w:sz w:val="22"/>
          <w:szCs w:val="22"/>
        </w:rPr>
        <w:t xml:space="preserve">This document is a complete redesign that shifts the system from </w:t>
      </w:r>
      <w:r>
        <w:rPr>
          <w:rFonts w:ascii="Calibri" w:cs="Calibri" w:eastAsia="Calibri" w:hAnsi="Calibri"/>
          <w:b w:val="false"/>
          <w:bCs w:val="false"/>
          <w:i/>
          <w:iCs/>
          <w:color w:val="111827"/>
          <w:sz w:val="22"/>
          <w:szCs w:val="22"/>
        </w:rPr>
        <w:t xml:space="preserve">“children enjoyed the platform”</w:t>
      </w:r>
      <w:r>
        <w:rPr>
          <w:rFonts w:ascii="Calibri" w:cs="Calibri" w:eastAsia="Calibri" w:hAnsi="Calibri"/>
          <w:color w:val="111827"/>
          <w:sz w:val="22"/>
          <w:szCs w:val="22"/>
        </w:rPr>
        <w:t xml:space="preserve"> to </w:t>
      </w:r>
      <w:r>
        <w:rPr>
          <w:rFonts w:ascii="Calibri" w:cs="Calibri" w:eastAsia="Calibri" w:hAnsi="Calibri"/>
          <w:b w:val="false"/>
          <w:bCs w:val="false"/>
          <w:i/>
          <w:iCs/>
          <w:color w:val="0F766E"/>
          <w:sz w:val="22"/>
          <w:szCs w:val="22"/>
        </w:rPr>
        <w:t xml:space="preserve">“children measurably improved while using the platform.”</w:t>
      </w:r>
      <w:r>
        <w:rPr>
          <w:rFonts w:ascii="Calibri" w:cs="Calibri" w:eastAsia="Calibri" w:hAnsi="Calibri"/>
          <w:color w:val="111827"/>
          <w:sz w:val="22"/>
          <w:szCs w:val="22"/>
        </w:rPr>
        <w:t xml:space="preserve"> The redesign rests on three commitments:</w:t>
      </w:r>
    </w:p>
    <w:p>
      <w:pPr>
        <w:pStyle w:val="ListParagraph"/>
        <w:numPr>
          <w:ilvl w:val="0"/>
          <w:numId w:val="2"/>
        </w:numPr>
        <w:spacing w:after="80"/>
      </w:pPr>
      <w:r>
        <w:rPr>
          <w:rFonts w:ascii="Calibri" w:cs="Calibri" w:eastAsia="Calibri" w:hAnsi="Calibri"/>
          <w:color w:val="111827"/>
          <w:sz w:val="22"/>
          <w:szCs w:val="22"/>
        </w:rPr>
        <w:t xml:space="preserve">From event counts to construct scores. Every observable behaviour maps onto one of five learning constructs — Decoding, Execution, Latency, Transfer, Autonomy — collectively the DELTA-5 framework. Constructs roll up into a per-child Learning Health Index (LHI), per-class arcs, and per-cohort efficacy curves.</w:t>
      </w:r>
    </w:p>
    <w:p>
      <w:pPr>
        <w:pStyle w:val="ListParagraph"/>
        <w:numPr>
          <w:ilvl w:val="0"/>
          <w:numId w:val="2"/>
        </w:numPr>
        <w:spacing w:after="80"/>
      </w:pPr>
      <w:r>
        <w:rPr>
          <w:rFonts w:ascii="Calibri" w:cs="Calibri" w:eastAsia="Calibri" w:hAnsi="Calibri"/>
          <w:color w:val="111827"/>
          <w:sz w:val="22"/>
          <w:szCs w:val="22"/>
        </w:rPr>
        <w:t xml:space="preserve">From engagement signals to mastery probes. The platform stops trusting replays and completions as evidence of learning. It introduces non-adaptive probe items (held out from practice) that measure retention and transfer on a fixed schedule. This is how learning science distinguishes practice from learning.</w:t>
      </w:r>
    </w:p>
    <w:p>
      <w:pPr>
        <w:pStyle w:val="ListParagraph"/>
        <w:numPr>
          <w:ilvl w:val="0"/>
          <w:numId w:val="2"/>
        </w:numPr>
        <w:spacing w:after="80"/>
      </w:pPr>
      <w:r>
        <w:rPr>
          <w:rFonts w:ascii="Calibri" w:cs="Calibri" w:eastAsia="Calibri" w:hAnsi="Calibri"/>
          <w:color w:val="111827"/>
          <w:sz w:val="22"/>
          <w:szCs w:val="22"/>
        </w:rPr>
        <w:t xml:space="preserve">From per-tab pseudonyms to a consented, verifiable learner ledger. A parent- or teacher-gated, ephemeral-by-default identifier model that bridges classroom and analytics — without storing names, emails, IPs, or biometric features. COPPA-, UK-GDPR-K-, and GDPR-Article-8-aligned by construction.</w:t>
      </w:r>
    </w:p>
    <w:p>
      <w:pPr>
        <w:spacing w:after="120" w:before="200"/>
      </w:pPr>
      <w:r>
        <w:rPr>
          <w:rFonts w:ascii="Calibri" w:cs="Calibri" w:eastAsia="Calibri" w:hAnsi="Calibri"/>
          <w:b/>
          <w:bCs/>
          <w:i w:val="false"/>
          <w:iCs w:val="false"/>
          <w:color w:val="111827"/>
          <w:sz w:val="22"/>
          <w:szCs w:val="22"/>
        </w:rPr>
        <w:t xml:space="preserve">Key findings from the audit:</w:t>
      </w:r>
    </w:p>
    <w:p>
      <w:pPr>
        <w:pStyle w:val="ListParagraph"/>
        <w:numPr>
          <w:ilvl w:val="0"/>
          <w:numId w:val="3"/>
        </w:numPr>
        <w:spacing w:after="80"/>
      </w:pPr>
      <w:r>
        <w:rPr>
          <w:rFonts w:ascii="Calibri" w:cs="Calibri" w:eastAsia="Calibri" w:hAnsi="Calibri"/>
          <w:b w:val="false"/>
          <w:bCs w:val="false"/>
          <w:color w:val="111827"/>
          <w:sz w:val="22"/>
          <w:szCs w:val="22"/>
        </w:rPr>
        <w:t xml:space="preserve">Tracing mode records every recorded attempt as isCorrect:true. The Learning tab's mastery numbers for tracing are an attempt count, not a learning signal.</w:t>
      </w:r>
    </w:p>
    <w:p>
      <w:pPr>
        <w:pStyle w:val="ListParagraph"/>
        <w:numPr>
          <w:ilvl w:val="0"/>
          <w:numId w:val="3"/>
        </w:numPr>
        <w:spacing w:after="80"/>
      </w:pPr>
      <w:r>
        <w:rPr>
          <w:rFonts w:ascii="Calibri" w:cs="Calibri" w:eastAsia="Calibri" w:hAnsi="Calibri"/>
          <w:b w:val="false"/>
          <w:bCs w:val="false"/>
          <w:color w:val="111827"/>
          <w:sz w:val="22"/>
          <w:szCs w:val="22"/>
        </w:rPr>
        <w:t xml:space="preserve">action_duration_ms — the closest thing to a cognitive-load signal — is a hardcoded constant (the dwell threshold) in four of seven activity modes. The "time per item" surfaced on dashboards is informationless for those modes.</w:t>
      </w:r>
    </w:p>
    <w:p>
      <w:pPr>
        <w:pStyle w:val="ListParagraph"/>
        <w:numPr>
          <w:ilvl w:val="0"/>
          <w:numId w:val="3"/>
        </w:numPr>
        <w:spacing w:after="80"/>
      </w:pPr>
      <w:r>
        <w:rPr>
          <w:rFonts w:ascii="Calibri" w:cs="Calibri" w:eastAsia="Calibri" w:hAnsi="Calibri"/>
          <w:b w:val="false"/>
          <w:bCs w:val="false"/>
          <w:color w:val="111827"/>
          <w:sz w:val="22"/>
          <w:szCs w:val="22"/>
        </w:rPr>
        <w:t xml:space="preserve">Classroom mode and analytics events are entirely disjoint data systems. There is no foreign key, no join RPC, and no migration linking session_students.id to analytics_events.session_id. Class-level learning evidence is currently impossible to produce.</w:t>
      </w:r>
    </w:p>
    <w:p>
      <w:pPr>
        <w:pStyle w:val="ListParagraph"/>
        <w:numPr>
          <w:ilvl w:val="0"/>
          <w:numId w:val="3"/>
        </w:numPr>
        <w:spacing w:after="80"/>
      </w:pPr>
      <w:r>
        <w:rPr>
          <w:rFonts w:ascii="Calibri" w:cs="Calibri" w:eastAsia="Calibri" w:hAnsi="Calibri"/>
          <w:b w:val="false"/>
          <w:bCs w:val="false"/>
          <w:color w:val="111827"/>
          <w:sz w:val="22"/>
          <w:szCs w:val="22"/>
        </w:rPr>
        <w:t xml:space="preserve">school_id and class_id are present on every event schema but are universally NULL in production. The dashboard's classrooms RPC will always return zero schools.</w:t>
      </w:r>
    </w:p>
    <w:p>
      <w:pPr>
        <w:pStyle w:val="ListParagraph"/>
        <w:numPr>
          <w:ilvl w:val="0"/>
          <w:numId w:val="3"/>
        </w:numPr>
        <w:spacing w:after="80"/>
      </w:pPr>
      <w:r>
        <w:rPr>
          <w:rFonts w:ascii="Calibri" w:cs="Calibri" w:eastAsia="Calibri" w:hAnsi="Calibri"/>
          <w:b w:val="false"/>
          <w:bCs w:val="false"/>
          <w:color w:val="111827"/>
          <w:sz w:val="22"/>
          <w:szCs w:val="22"/>
        </w:rPr>
        <w:t xml:space="preserve">attempt_number resets to one every time a tab is opened. There is no real longitudinal attempt sequencing per device or per learner.</w:t>
      </w:r>
    </w:p>
    <w:p>
      <w:pPr>
        <w:pStyle w:val="ListParagraph"/>
        <w:numPr>
          <w:ilvl w:val="0"/>
          <w:numId w:val="3"/>
        </w:numPr>
        <w:spacing w:after="80"/>
      </w:pPr>
      <w:r>
        <w:rPr>
          <w:rFonts w:ascii="Calibri" w:cs="Calibri" w:eastAsia="Calibri" w:hAnsi="Calibri"/>
          <w:b w:val="false"/>
          <w:bCs w:val="false"/>
          <w:color w:val="111827"/>
          <w:sz w:val="22"/>
          <w:szCs w:val="22"/>
        </w:rPr>
        <w:t xml:space="preserve">No materialized views or rollups exist. Every dashboard query scans the raw events table. Past low five-figure DAU this becomes a performance and cost problem.</w:t>
      </w:r>
    </w:p>
    <w:p>
      <w:pPr>
        <w:pStyle w:val="ListParagraph"/>
        <w:numPr>
          <w:ilvl w:val="0"/>
          <w:numId w:val="3"/>
        </w:numPr>
        <w:spacing w:after="80"/>
      </w:pPr>
      <w:r>
        <w:rPr>
          <w:rFonts w:ascii="Calibri" w:cs="Calibri" w:eastAsia="Calibri" w:hAnsi="Calibri"/>
          <w:b w:val="false"/>
          <w:bCs w:val="false"/>
          <w:color w:val="111827"/>
          <w:sz w:val="22"/>
          <w:szCs w:val="22"/>
        </w:rPr>
        <w:t xml:space="preserve">Free Paint — likely the most-played mode for under-5s — emits zero events. The product surface with the highest creative-engagement gradient is invisible to the dashboard.</w:t>
      </w:r>
    </w:p>
    <w:p>
      <w:pPr>
        <w:pStyle w:val="ListParagraph"/>
        <w:numPr>
          <w:ilvl w:val="0"/>
          <w:numId w:val="3"/>
        </w:numPr>
        <w:spacing w:after="80"/>
      </w:pPr>
      <w:r>
        <w:rPr>
          <w:rFonts w:ascii="Calibri" w:cs="Calibri" w:eastAsia="Calibri" w:hAnsi="Calibri"/>
          <w:b w:val="false"/>
          <w:bCs w:val="false"/>
          <w:color w:val="111827"/>
          <w:sz w:val="22"/>
          <w:szCs w:val="22"/>
        </w:rPr>
        <w:t xml:space="preserve">No COPPA / GDPR-K explicit parental consent flow exists. Analytics initialise on module import, before any age or consent gate is shown.</w:t>
      </w:r>
    </w:p>
    <w:p>
      <w:pPr>
        <w:spacing w:after="120" w:before="160"/>
      </w:pPr>
      <w:r>
        <w:rPr>
          <w:rFonts w:ascii="Calibri" w:cs="Calibri" w:eastAsia="Calibri" w:hAnsi="Calibri"/>
          <w:b w:val="false"/>
          <w:bCs w:val="false"/>
          <w:i w:val="false"/>
          <w:iCs w:val="false"/>
          <w:color w:val="111827"/>
          <w:sz w:val="22"/>
          <w:szCs w:val="22"/>
        </w:rPr>
        <w:t xml:space="preserve">What follows is the full architectural response, including immediate engineering priorities, a behavioural model, a privacy-safe identifier system, the scientific validation strategy, and the long-term data-moat opportunity.</w:t>
      </w:r>
    </w:p>
    <w:p>
      <w:pPr>
        <w:pStyle w:val="Heading1"/>
        <w:pageBreakBefore/>
        <w:spacing w:after="160" w:before="360"/>
      </w:pPr>
      <w:r>
        <w:rPr>
          <w:rFonts w:ascii="Calibri" w:cs="Calibri" w:eastAsia="Calibri" w:hAnsi="Calibri"/>
          <w:b/>
          <w:bCs/>
          <w:color w:val="0F766E"/>
          <w:sz w:val="36"/>
          <w:szCs w:val="36"/>
        </w:rPr>
        <w:t xml:space="preserve">1. Critical Flaws in the Current Data System</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The current system is engagement-capable but learning-incapable. Below are the seventeen defects that prevent it from producing credible learning-outcome evidence today. Each is named by its concrete failure mode, not by its symptom. They are numbered in order of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660"/>
      </w:tblGrid>
      <w:tr>
        <w:trPr>
          <w:tblHeader/>
        </w:trPr>
        <w:tc>
          <w:tcPr>
            <w:tcW w:type="dxa" w:w="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w:t>
            </w:r>
          </w:p>
        </w:tc>
        <w:tc>
          <w:tcPr>
            <w:tcW w:type="dxa" w:w="30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Defect</w:t>
            </w:r>
          </w:p>
        </w:tc>
        <w:tc>
          <w:tcPr>
            <w:tcW w:type="dxa" w:w="56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Why it blocks learning evidence</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Fabricated success in tracing mode</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preWritingLogic.ts hardcodes isCorrect: true on every mirrored item_dropped. Every tracing attempt is recorded as correct. The Learning tab's "items mastered" for tracing is therefore an attempt count, not a learning signal. Any pre/post comparison that uses these rows is invalid.</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1.2</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Disjoint classroom and analytics systems</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session_students.id and analytics_events.session_id are never joined. The classmode tables are a separate island. Teacher-visible aggregations (class_summary, class_student_stats) produce stars and durations, not learning evidence. No RPC, FK, or migration bridges them.</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1.3</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school_id and class_id are universally NULL in production</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Both columns exist on analytics_events and are referenced by dashboard_classrooms(in_days). But every call site of startSession passes empty strings. dashboard_classrooms will always return zero rows. This is silently broken.</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1.4</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action_duration_ms is a dwell constant in 4 of 7 modes</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Balloon Math, Rainbow Bridge, Gesture Spelling, and Pre-Writing report a constant (~600 ms). Only Sort &amp; Place, Colour Builder, and Word Search use real markGrab / elapsedSinceGrab. The dashboard_mastery.avg_ms column is meaningless for those modes — but it is presented as a learning latency signal.</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1.5</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attempt_number is per-tab, not per-device or per-learner</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nextAttemptNumber resets on every startSession. A child's tenth attempt at letter B reads as attempt one after a refresh. There is no longitudinal attempt sequencing in the client. Real sequencing requires server-side computation that no RPC does.</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1.6</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Replays are counted as new successes</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mode_completed fires every time a stage finishes. dashboard_top_modes counts the seventh completion of the same letter the same way as the first. Persistent children inflate completion counts; efficient children undercount.</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1.7</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Free Paint emits zero analytics events</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 core mode is invisible to the dashboard. The creative-engagement gradient — likely the strongest "did the child want to come back" signal — is unmeasured.</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1.8</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hint_shown fires from only one mode</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Colour Builder is the only mode that emits hint_shown despite every mode having hint logic. The cross-cutting "did hints help the child to mastery faster?" question is unanswerable.</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1.9</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meta jsonb has no schema or validation</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Each mode hand-rolls field names (itemKey vs item_key, expected_color vs expected_bin_id vs expected_letter). analytics.ts coalesces these heuristically into expected_value / actual_value. Any typo or refactor silently corrupts the mastery output without breaking the build.</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1.10</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materialised views, no rollups, no continuous aggregates</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Every dashboard query scans raw events. dashboard_retention_deep does a LATERAL EXISTS per cohort-week cell on raw events. Past low five-figure DAU, dashboards become slow and Supabase compute costs rise sharply.</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1.11</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foreign keys on analytics tables</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analytics_events.session_id and learning_attempts.session_id are uuid NOT NULL with no referential constraint. Orphaned rows are silently accepted. Sessions can fire events without any session_started row existing.</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1.12</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reliable session-end pairing</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endSession is called explicitly by some call sites; beforeunload only flushes the queue, it does not enqueue a synthetic session_ended. Many sessions are open-ended and median duration is derived from max(occurred_at) - min(occurred_at). Fatigue_score and explicit reason fields are missing for those.</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1.13</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curriculum graph is persisted</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Item prerequisites (vertical-down before lowercase b, single-digit addition before two-digit) live implicitly in TypeScript content files. The platform cannot answer "did mastering X accelerate later mastery of Y?".</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1.14</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retention probing — only practice</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Every interaction is adaptive practice. There is no mechanism for re-testing a "mastered" item at a delay to check whether the skill has stuck. Mastery is therefore measured at the most generous possible moment.</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1.15</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item-difficulty estimation</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All items are treated as equivalent for mastery thresholding. A correct answer on the easiest item carries the same weight as on the hardest. Cross-child and cross-class comparisons are misleading.</w:t>
            </w:r>
          </w:p>
        </w:tc>
      </w:tr>
      <w:tr>
        <w:tc>
          <w:tcPr>
            <w:tcW w:type="dxa" w:w="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1.16</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Unbounded low-information telemetry</w:t>
            </w:r>
          </w:p>
        </w:tc>
        <w:tc>
          <w:tcPr>
            <w:tcW w:type="dxa" w:w="56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session_heartbeat (every 30s) and tracker_quality_sample (every 1s) accumulate without aggregation. A long-idle tablet produces dozens of heartbeats and thousands of quality samples. Pure storage tax that adds no learning signal.</w:t>
            </w:r>
          </w:p>
        </w:tc>
      </w:tr>
      <w:tr>
        <w:tc>
          <w:tcPr>
            <w:tcW w:type="dxa" w:w="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1.17</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COPPA / UK-GDPR-K explicit parental consent gate before analytics</w:t>
            </w:r>
          </w:p>
        </w:tc>
        <w:tc>
          <w:tcPr>
            <w:tcW w:type="dxa" w:w="56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initAnalytics runs on module import, before any age band is selected, before AdultGate is shown, before the parental transparency banner is acknowledged. Persistent device_id is written to localStorage immediately. This is the most serious privacy risk in the current architecture.</w:t>
            </w:r>
          </w:p>
        </w:tc>
      </w:tr>
    </w:tbl>
    <w:p>
      <w:pPr>
        <w:pStyle w:val="Heading1"/>
        <w:pageBreakBefore/>
        <w:spacing w:after="160" w:before="360"/>
      </w:pPr>
      <w:r>
        <w:rPr>
          <w:rFonts w:ascii="Calibri" w:cs="Calibri" w:eastAsia="Calibri" w:hAnsi="Calibri"/>
          <w:b/>
          <w:bCs/>
          <w:color w:val="0F766E"/>
          <w:sz w:val="36"/>
          <w:szCs w:val="36"/>
        </w:rPr>
        <w:t xml:space="preserve">2. Missing Instrumentation</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The audit identified the events and signals that ARE captured. This section identifies what is missing per mode, organised so each gap maps cleanly to a learning construct.</w:t>
      </w:r>
    </w:p>
    <w:p>
      <w:pPr>
        <w:pStyle w:val="Heading2"/>
        <w:spacing w:after="120" w:before="280"/>
      </w:pPr>
      <w:r>
        <w:rPr>
          <w:rFonts w:ascii="Calibri" w:cs="Calibri" w:eastAsia="Calibri" w:hAnsi="Calibri"/>
          <w:b/>
          <w:bCs/>
          <w:color w:val="111827"/>
          <w:sz w:val="28"/>
          <w:szCs w:val="28"/>
        </w:rPr>
        <w:t xml:space="preserve">2.1  Cross-mode missing signals</w:t>
      </w:r>
    </w:p>
    <w:p>
      <w:pPr>
        <w:pStyle w:val="ListParagraph"/>
        <w:numPr>
          <w:ilvl w:val="0"/>
          <w:numId w:val="3"/>
        </w:numPr>
        <w:spacing w:after="80"/>
      </w:pPr>
      <w:r>
        <w:rPr>
          <w:rFonts w:ascii="Calibri" w:cs="Calibri" w:eastAsia="Calibri" w:hAnsi="Calibri"/>
          <w:b w:val="false"/>
          <w:bCs w:val="false"/>
          <w:color w:val="111827"/>
          <w:sz w:val="22"/>
          <w:szCs w:val="22"/>
        </w:rPr>
        <w:t xml:space="preserve">attempt_n per (device, item) — the persistent attempt counter, computed server-side at write time.</w:t>
      </w:r>
    </w:p>
    <w:p>
      <w:pPr>
        <w:pStyle w:val="ListParagraph"/>
        <w:numPr>
          <w:ilvl w:val="0"/>
          <w:numId w:val="3"/>
        </w:numPr>
        <w:spacing w:after="80"/>
      </w:pPr>
      <w:r>
        <w:rPr>
          <w:rFonts w:ascii="Calibri" w:cs="Calibri" w:eastAsia="Calibri" w:hAnsi="Calibri"/>
          <w:b w:val="false"/>
          <w:bCs w:val="false"/>
          <w:color w:val="111827"/>
          <w:sz w:val="22"/>
          <w:szCs w:val="22"/>
        </w:rPr>
        <w:t xml:space="preserve">first_attempt_correct boolean — captured separately from later-attempt correctness. The two are different cognitive signals.</w:t>
      </w:r>
    </w:p>
    <w:p>
      <w:pPr>
        <w:pStyle w:val="ListParagraph"/>
        <w:numPr>
          <w:ilvl w:val="0"/>
          <w:numId w:val="3"/>
        </w:numPr>
        <w:spacing w:after="80"/>
      </w:pPr>
      <w:r>
        <w:rPr>
          <w:rFonts w:ascii="Calibri" w:cs="Calibri" w:eastAsia="Calibri" w:hAnsi="Calibri"/>
          <w:b w:val="false"/>
          <w:bCs w:val="false"/>
          <w:color w:val="111827"/>
          <w:sz w:val="22"/>
          <w:szCs w:val="22"/>
        </w:rPr>
        <w:t xml:space="preserve">time_to_first_action_ms — the time between item appearance and any user input. The cleanest reaction-time proxy.</w:t>
      </w:r>
    </w:p>
    <w:p>
      <w:pPr>
        <w:pStyle w:val="ListParagraph"/>
        <w:numPr>
          <w:ilvl w:val="0"/>
          <w:numId w:val="3"/>
        </w:numPr>
        <w:spacing w:after="80"/>
      </w:pPr>
      <w:r>
        <w:rPr>
          <w:rFonts w:ascii="Calibri" w:cs="Calibri" w:eastAsia="Calibri" w:hAnsi="Calibri"/>
          <w:b w:val="false"/>
          <w:bCs w:val="false"/>
          <w:color w:val="111827"/>
          <w:sz w:val="22"/>
          <w:szCs w:val="22"/>
        </w:rPr>
        <w:t xml:space="preserve">time_to_first_correct_ms — currently captured only on stage_completed in Sort &amp; Place. Should be standard across modes.</w:t>
      </w:r>
    </w:p>
    <w:p>
      <w:pPr>
        <w:pStyle w:val="ListParagraph"/>
        <w:numPr>
          <w:ilvl w:val="0"/>
          <w:numId w:val="3"/>
        </w:numPr>
        <w:spacing w:after="80"/>
      </w:pPr>
      <w:r>
        <w:rPr>
          <w:rFonts w:ascii="Calibri" w:cs="Calibri" w:eastAsia="Calibri" w:hAnsi="Calibri"/>
          <w:b w:val="false"/>
          <w:bCs w:val="false"/>
          <w:color w:val="111827"/>
          <w:sz w:val="22"/>
          <w:szCs w:val="22"/>
        </w:rPr>
        <w:t xml:space="preserve">hint_offered, hint_shown, hint_acted_on — three separate events, not one. "Hint offered" includes hints the system would have shown but suppressed, which is how we A/B hinting strategies.</w:t>
      </w:r>
    </w:p>
    <w:p>
      <w:pPr>
        <w:pStyle w:val="ListParagraph"/>
        <w:numPr>
          <w:ilvl w:val="0"/>
          <w:numId w:val="3"/>
        </w:numPr>
        <w:spacing w:after="80"/>
      </w:pPr>
      <w:r>
        <w:rPr>
          <w:rFonts w:ascii="Calibri" w:cs="Calibri" w:eastAsia="Calibri" w:hAnsi="Calibri"/>
          <w:b w:val="false"/>
          <w:bCs w:val="false"/>
          <w:color w:val="111827"/>
          <w:sz w:val="22"/>
          <w:szCs w:val="22"/>
        </w:rPr>
        <w:t xml:space="preserve">hesitation_ms — gap between item appearance and first movement, separated from time-to-action.</w:t>
      </w:r>
    </w:p>
    <w:p>
      <w:pPr>
        <w:pStyle w:val="ListParagraph"/>
        <w:numPr>
          <w:ilvl w:val="0"/>
          <w:numId w:val="3"/>
        </w:numPr>
        <w:spacing w:after="80"/>
      </w:pPr>
      <w:r>
        <w:rPr>
          <w:rFonts w:ascii="Calibri" w:cs="Calibri" w:eastAsia="Calibri" w:hAnsi="Calibri"/>
          <w:b w:val="false"/>
          <w:bCs w:val="false"/>
          <w:color w:val="111827"/>
          <w:sz w:val="22"/>
          <w:szCs w:val="22"/>
        </w:rPr>
        <w:t xml:space="preserve">motion_path_quality_score — a single 0-1 value per attempt summarising stroke jitter, mean velocity, and direction reversals.</w:t>
      </w:r>
    </w:p>
    <w:p>
      <w:pPr>
        <w:pStyle w:val="ListParagraph"/>
        <w:numPr>
          <w:ilvl w:val="0"/>
          <w:numId w:val="3"/>
        </w:numPr>
        <w:spacing w:after="80"/>
      </w:pPr>
      <w:r>
        <w:rPr>
          <w:rFonts w:ascii="Calibri" w:cs="Calibri" w:eastAsia="Calibri" w:hAnsi="Calibri"/>
          <w:b w:val="false"/>
          <w:bCs w:val="false"/>
          <w:color w:val="111827"/>
          <w:sz w:val="22"/>
          <w:szCs w:val="22"/>
        </w:rPr>
        <w:t xml:space="preserve">completion_independence — whether stage completed without hint, prompt, or scaffolding.</w:t>
      </w:r>
    </w:p>
    <w:p>
      <w:pPr>
        <w:pStyle w:val="ListParagraph"/>
        <w:numPr>
          <w:ilvl w:val="0"/>
          <w:numId w:val="3"/>
        </w:numPr>
        <w:spacing w:after="80"/>
      </w:pPr>
      <w:r>
        <w:rPr>
          <w:rFonts w:ascii="Calibri" w:cs="Calibri" w:eastAsia="Calibri" w:hAnsi="Calibri"/>
          <w:b w:val="false"/>
          <w:bCs w:val="false"/>
          <w:color w:val="111827"/>
          <w:sz w:val="22"/>
          <w:szCs w:val="22"/>
        </w:rPr>
        <w:t xml:space="preserve">replay_count_pre_attempt — number of prior attempts on this item by this learner. Distinguishes practice from first encounter.</w:t>
      </w:r>
    </w:p>
    <w:p>
      <w:pPr>
        <w:pStyle w:val="ListParagraph"/>
        <w:numPr>
          <w:ilvl w:val="0"/>
          <w:numId w:val="3"/>
        </w:numPr>
        <w:spacing w:after="80"/>
      </w:pPr>
      <w:r>
        <w:rPr>
          <w:rFonts w:ascii="Calibri" w:cs="Calibri" w:eastAsia="Calibri" w:hAnsi="Calibri"/>
          <w:b w:val="false"/>
          <w:bCs w:val="false"/>
          <w:color w:val="111827"/>
          <w:sz w:val="22"/>
          <w:szCs w:val="22"/>
        </w:rPr>
        <w:t xml:space="preserve">difficulty_at_attempt — the IRT-derived item difficulty at the moment the attempt was made (item difficulty drifts as more attempts arrive).</w:t>
      </w:r>
    </w:p>
    <w:p>
      <w:pPr>
        <w:pStyle w:val="Heading2"/>
        <w:spacing w:after="120" w:before="280"/>
      </w:pPr>
      <w:r>
        <w:rPr>
          <w:rFonts w:ascii="Calibri" w:cs="Calibri" w:eastAsia="Calibri" w:hAnsi="Calibri"/>
          <w:b/>
          <w:bCs/>
          <w:color w:val="111827"/>
          <w:sz w:val="28"/>
          <w:szCs w:val="28"/>
        </w:rPr>
        <w:t xml:space="preserve">2.2  Per-mode missing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Mode</w:t>
            </w:r>
          </w:p>
        </w:tc>
        <w:tc>
          <w:tcPr>
            <w:tcW w:type="dxa" w:w="69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Critical missing instrumentation</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Tracing &amp; Pre-writing</w:t>
            </w:r>
          </w:p>
        </w:tc>
        <w:tc>
          <w:tcPr>
            <w:tcW w:type="dxa" w:w="6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Stroke directionality and start-point error. Reversal detection (early-literacy red flag). Pen-lift count. Number of strokes per letter vs canonical. Hausdorff or Fréchet stroke-path distance instead of frame-ratio. Comparison of first-attempt vs best-attempt accuracy.</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Balloon Math</w:t>
            </w:r>
          </w:p>
        </w:tc>
        <w:tc>
          <w:tcPr>
            <w:tcW w:type="dxa" w:w="6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Reaction time from target draw to first dwell-start (not the constant). Fact-fluency progression — did the child get faster on the same equation type within the session? Off-by-one classification of mistakes. Distractor proximity (was the wrong balloon adjacent to right answer?).</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Rainbow Bridge</w:t>
            </w:r>
          </w:p>
        </w:tc>
        <w:tc>
          <w:tcPr>
            <w:tcW w:type="dxa" w:w="6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Pattern-length stratification on the dashboard side. Near-miss colour confusion (red vs orange vs pink — educationally meaningful). Streak / persistence counters. Step-level reaction time.</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Word Search</w:t>
            </w:r>
          </w:p>
        </w:tc>
        <w:tc>
          <w:tcPr>
            <w:tcW w:type="dxa" w:w="6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First-letter-touched anchor accuracy. Hint usage (no event emitted today). Partial-path quality on failed selections. Diagonal vs horizontal selection preference. Reading-direction errors (right-to-left in a left-to-right curriculum).</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Sort &amp; Place</w:t>
            </w:r>
          </w:p>
        </w:tc>
        <w:tc>
          <w:tcPr>
            <w:tcW w:type="dxa" w:w="6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Hovered-wrong-bin-then-corrected near-miss event. Category-abstraction signal (sorted by colour when criterion was shape). Drop-position precision within bin (fine-motor signal).</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Gesture Spelling</w:t>
            </w:r>
          </w:p>
        </w:tc>
        <w:tc>
          <w:tcPr>
            <w:tcW w:type="dxa" w:w="6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Per-letter dwell-search time. Letter-tile confusion graph (b↔d, p↔q — clinically significant). Revisit count after a wrong tap. Phonics-aware grouping (CVC vs CVCC vs blend).</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Colour Builder</w:t>
            </w:r>
          </w:p>
        </w:tc>
        <w:tc>
          <w:tcPr>
            <w:tcW w:type="dxa" w:w="6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Primary→secondary mixing-rule comprehension (red+blue=purple by intent vs trial-and-error — measured by first-attempt accuracy). Abandoned-recipe events. Re-try-after-hint counter.</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Bubble Calibration</w:t>
            </w:r>
          </w:p>
        </w:tc>
        <w:tc>
          <w:tcPr>
            <w:tcW w:type="dxa" w:w="6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The single most important upstream signal. Per-quadrant accuracy. Successful-pop latency distribution. Reach extent (could the child reach corners?). Body-fatigue (slowdown across rounds). Laterality (one-hand vs alternating). All of these predict downstream activity success.</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Free Paint</w:t>
            </w:r>
          </w:p>
        </w:tc>
        <w:tc>
          <w:tcPr>
            <w:tcW w:type="dxa" w:w="6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Currently emits nothing. Need: stroke counts, canvas coverage percent, palette diversity, time-to-first-stroke, sustained-engagement duration. Plus a "creative novelty" signal — were strokes repetitive or varied?</w:t>
            </w:r>
          </w:p>
        </w:tc>
      </w:tr>
    </w:tbl>
    <w:p>
      <w:pPr>
        <w:pStyle w:val="Heading2"/>
        <w:spacing w:after="120" w:before="280"/>
      </w:pPr>
      <w:r>
        <w:rPr>
          <w:rFonts w:ascii="Calibri" w:cs="Calibri" w:eastAsia="Calibri" w:hAnsi="Calibri"/>
          <w:b/>
          <w:bCs/>
          <w:color w:val="111827"/>
          <w:sz w:val="28"/>
          <w:szCs w:val="28"/>
        </w:rPr>
        <w:t xml:space="preserve">2.3  Missing classroom-level instrumentation</w:t>
      </w:r>
    </w:p>
    <w:p>
      <w:pPr>
        <w:pStyle w:val="ListParagraph"/>
        <w:numPr>
          <w:ilvl w:val="0"/>
          <w:numId w:val="3"/>
        </w:numPr>
        <w:spacing w:after="80"/>
      </w:pPr>
      <w:r>
        <w:rPr>
          <w:rFonts w:ascii="Calibri" w:cs="Calibri" w:eastAsia="Calibri" w:hAnsi="Calibri"/>
          <w:b w:val="false"/>
          <w:bCs w:val="false"/>
          <w:color w:val="111827"/>
          <w:sz w:val="22"/>
          <w:szCs w:val="22"/>
        </w:rPr>
        <w:t xml:space="preserve">class_id and school_id passed through startSession for every classmode play. Today this is silently null.</w:t>
      </w:r>
    </w:p>
    <w:p>
      <w:pPr>
        <w:pStyle w:val="ListParagraph"/>
        <w:numPr>
          <w:ilvl w:val="0"/>
          <w:numId w:val="3"/>
        </w:numPr>
        <w:spacing w:after="80"/>
      </w:pPr>
      <w:r>
        <w:rPr>
          <w:rFonts w:ascii="Calibri" w:cs="Calibri" w:eastAsia="Calibri" w:hAnsi="Calibri"/>
          <w:b w:val="false"/>
          <w:bCs w:val="false"/>
          <w:color w:val="111827"/>
          <w:sz w:val="22"/>
          <w:szCs w:val="22"/>
        </w:rPr>
        <w:t xml:space="preserve">learner_token — a per-class pseudonymous identifier that joins classmode session_students rows to analytics_events without exposing names.</w:t>
      </w:r>
    </w:p>
    <w:p>
      <w:pPr>
        <w:pStyle w:val="ListParagraph"/>
        <w:numPr>
          <w:ilvl w:val="0"/>
          <w:numId w:val="3"/>
        </w:numPr>
        <w:spacing w:after="80"/>
      </w:pPr>
      <w:r>
        <w:rPr>
          <w:rFonts w:ascii="Calibri" w:cs="Calibri" w:eastAsia="Calibri" w:hAnsi="Calibri"/>
          <w:b w:val="false"/>
          <w:bCs w:val="false"/>
          <w:color w:val="111827"/>
          <w:sz w:val="22"/>
          <w:szCs w:val="22"/>
        </w:rPr>
        <w:t xml:space="preserve">class_session_started / class_session_ended events with the classmode session id in meta.</w:t>
      </w:r>
    </w:p>
    <w:p>
      <w:pPr>
        <w:pStyle w:val="ListParagraph"/>
        <w:numPr>
          <w:ilvl w:val="0"/>
          <w:numId w:val="3"/>
        </w:numPr>
        <w:spacing w:after="80"/>
      </w:pPr>
      <w:r>
        <w:rPr>
          <w:rFonts w:ascii="Calibri" w:cs="Calibri" w:eastAsia="Calibri" w:hAnsi="Calibri"/>
          <w:b w:val="false"/>
          <w:bCs w:val="false"/>
          <w:color w:val="111827"/>
          <w:sz w:val="22"/>
          <w:szCs w:val="22"/>
        </w:rPr>
        <w:t xml:space="preserve">teacher_intervention events — when the teacher manually unlocks a stage, pauses, kicks, or moves a student. These are clinical signals.</w:t>
      </w:r>
    </w:p>
    <w:p>
      <w:pPr>
        <w:pStyle w:val="ListParagraph"/>
        <w:numPr>
          <w:ilvl w:val="0"/>
          <w:numId w:val="3"/>
        </w:numPr>
        <w:spacing w:after="80"/>
      </w:pPr>
      <w:r>
        <w:rPr>
          <w:rFonts w:ascii="Calibri" w:cs="Calibri" w:eastAsia="Calibri" w:hAnsi="Calibri"/>
          <w:b w:val="false"/>
          <w:bCs w:val="false"/>
          <w:color w:val="111827"/>
          <w:sz w:val="22"/>
          <w:szCs w:val="22"/>
        </w:rPr>
        <w:t xml:space="preserve">group_pace metrics — was the class waiting for slowest 10%, or pulling away from them?</w:t>
      </w:r>
    </w:p>
    <w:p>
      <w:pPr>
        <w:pStyle w:val="Heading2"/>
        <w:spacing w:after="120" w:before="280"/>
      </w:pPr>
      <w:r>
        <w:rPr>
          <w:rFonts w:ascii="Calibri" w:cs="Calibri" w:eastAsia="Calibri" w:hAnsi="Calibri"/>
          <w:b/>
          <w:bCs/>
          <w:color w:val="111827"/>
          <w:sz w:val="28"/>
          <w:szCs w:val="28"/>
        </w:rPr>
        <w:t xml:space="preserve">2.4  Missing infrastructure-quality instrumentation</w:t>
      </w:r>
    </w:p>
    <w:p>
      <w:pPr>
        <w:pStyle w:val="ListParagraph"/>
        <w:numPr>
          <w:ilvl w:val="0"/>
          <w:numId w:val="3"/>
        </w:numPr>
        <w:spacing w:after="80"/>
      </w:pPr>
      <w:r>
        <w:rPr>
          <w:rFonts w:ascii="Calibri" w:cs="Calibri" w:eastAsia="Calibri" w:hAnsi="Calibri"/>
          <w:b w:val="false"/>
          <w:bCs w:val="false"/>
          <w:color w:val="111827"/>
          <w:sz w:val="22"/>
          <w:szCs w:val="22"/>
        </w:rPr>
        <w:t xml:space="preserve">Country code — derived from CDN headers at write time, not from IP stored in the row. Required for grant geography reporting.</w:t>
      </w:r>
    </w:p>
    <w:p>
      <w:pPr>
        <w:pStyle w:val="ListParagraph"/>
        <w:numPr>
          <w:ilvl w:val="0"/>
          <w:numId w:val="3"/>
        </w:numPr>
        <w:spacing w:after="80"/>
      </w:pPr>
      <w:r>
        <w:rPr>
          <w:rFonts w:ascii="Calibri" w:cs="Calibri" w:eastAsia="Calibri" w:hAnsi="Calibri"/>
          <w:b w:val="false"/>
          <w:bCs w:val="false"/>
          <w:color w:val="111827"/>
          <w:sz w:val="22"/>
          <w:szCs w:val="22"/>
        </w:rPr>
        <w:t xml:space="preserve">Device class — tablet vs laptop vs Chromebook. The current device_type field collapses too many cases.</w:t>
      </w:r>
    </w:p>
    <w:p>
      <w:pPr>
        <w:pStyle w:val="ListParagraph"/>
        <w:numPr>
          <w:ilvl w:val="0"/>
          <w:numId w:val="3"/>
        </w:numPr>
        <w:spacing w:after="80"/>
      </w:pPr>
      <w:r>
        <w:rPr>
          <w:rFonts w:ascii="Calibri" w:cs="Calibri" w:eastAsia="Calibri" w:hAnsi="Calibri"/>
          <w:b w:val="false"/>
          <w:bCs w:val="false"/>
          <w:color w:val="111827"/>
          <w:sz w:val="22"/>
          <w:szCs w:val="22"/>
        </w:rPr>
        <w:t xml:space="preserve">Camera capability tier — low-fps mobile vs high-fps webcam. Currently lumped together in tracker_quality_sample, which obscures real learning effects.</w:t>
      </w:r>
    </w:p>
    <w:p>
      <w:pPr>
        <w:pStyle w:val="ListParagraph"/>
        <w:numPr>
          <w:ilvl w:val="0"/>
          <w:numId w:val="3"/>
        </w:numPr>
        <w:spacing w:after="80"/>
      </w:pPr>
      <w:r>
        <w:rPr>
          <w:rFonts w:ascii="Calibri" w:cs="Calibri" w:eastAsia="Calibri" w:hAnsi="Calibri"/>
          <w:b w:val="false"/>
          <w:bCs w:val="false"/>
          <w:color w:val="111827"/>
          <w:sz w:val="22"/>
          <w:szCs w:val="22"/>
        </w:rPr>
        <w:t xml:space="preserve">Audio enabled flag — does the platform have voice prompts on? Many under-5 learning effects depend on it.</w:t>
      </w:r>
    </w:p>
    <w:p>
      <w:pPr>
        <w:pStyle w:val="Heading1"/>
        <w:pageBreakBefore/>
        <w:spacing w:after="160" w:before="360"/>
      </w:pPr>
      <w:r>
        <w:rPr>
          <w:rFonts w:ascii="Calibri" w:cs="Calibri" w:eastAsia="Calibri" w:hAnsi="Calibri"/>
          <w:b/>
          <w:bCs/>
          <w:color w:val="0F766E"/>
          <w:sz w:val="36"/>
          <w:szCs w:val="36"/>
        </w:rPr>
        <w:t xml:space="preserve">3. New Analytics Architecture</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The new architecture is a three-layer system. Each layer has a different purpose, audience, and retention policy. Treating them as separate concerns is what allows the platform to be both engagement-aware and learning-credible.</w:t>
      </w:r>
    </w:p>
    <w:p>
      <w:pPr>
        <w:pStyle w:val="Heading2"/>
        <w:spacing w:after="120" w:before="280"/>
      </w:pPr>
      <w:r>
        <w:rPr>
          <w:rFonts w:ascii="Calibri" w:cs="Calibri" w:eastAsia="Calibri" w:hAnsi="Calibri"/>
          <w:b/>
          <w:bCs/>
          <w:color w:val="111827"/>
          <w:sz w:val="28"/>
          <w:szCs w:val="28"/>
        </w:rPr>
        <w:t xml:space="preserve">3.1  The three-layer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Layer</w:t>
            </w:r>
          </w:p>
        </w:tc>
        <w:tc>
          <w:tcPr>
            <w:tcW w:type="dxa" w:w="28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Content</w:t>
            </w:r>
          </w:p>
        </w:tc>
        <w:tc>
          <w:tcPr>
            <w:tcW w:type="dxa" w:w="22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Primary audience</w:t>
            </w:r>
          </w:p>
        </w:tc>
        <w:tc>
          <w:tcPr>
            <w:tcW w:type="dxa" w:w="21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Retention</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Layer 1 — Behavioural signals</w:t>
            </w:r>
          </w:p>
        </w:tc>
        <w:tc>
          <w:tcPr>
            <w:tcW w:type="dxa" w:w="2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Raw events and attempts.</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Engineers, ops.</w:t>
            </w:r>
          </w:p>
        </w:tc>
        <w:tc>
          <w:tcPr>
            <w:tcW w:type="dxa" w:w="2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Append-only, 365-day rolling.</w:t>
            </w:r>
          </w:p>
        </w:tc>
      </w:tr>
      <w:tr>
        <w:tc>
          <w:tcPr>
            <w:tcW w:type="dxa" w:w="22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Layer 2 — Learning constructs</w:t>
            </w:r>
          </w:p>
        </w:tc>
        <w:tc>
          <w:tcPr>
            <w:tcW w:type="dxa" w:w="2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Derived per-attempt, per-skill, per-learner scores.</w:t>
            </w:r>
          </w:p>
        </w:tc>
        <w:tc>
          <w:tcPr>
            <w:tcW w:type="dxa" w:w="22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Product, teachers, researchers.</w:t>
            </w:r>
          </w:p>
        </w:tc>
        <w:tc>
          <w:tcPr>
            <w:tcW w:type="dxa" w:w="21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Indefinite. Per-skill ledgers updated on each attempt.</w:t>
            </w:r>
          </w:p>
        </w:tc>
      </w:tr>
      <w:tr>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Layer 3 — Learning outcomes</w:t>
            </w:r>
          </w:p>
        </w:tc>
        <w:tc>
          <w:tcPr>
            <w:tcW w:type="dxa" w:w="2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Pre/post deltas, mastery curves, transfer evidence.</w:t>
            </w:r>
          </w:p>
        </w:tc>
        <w:tc>
          <w:tcPr>
            <w:tcW w:type="dxa" w:w="22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Investors, schools, grant bodies.</w:t>
            </w:r>
          </w:p>
        </w:tc>
        <w:tc>
          <w:tcPr>
            <w:tcW w:type="dxa" w:w="21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Published as aggregates only, with k-anonymity ≥ 5 enforced.</w:t>
            </w:r>
          </w:p>
        </w:tc>
      </w:tr>
    </w:tbl>
    <w:p>
      <w:pPr>
        <w:pStyle w:val="Heading2"/>
        <w:spacing w:after="120" w:before="280"/>
      </w:pPr>
      <w:r>
        <w:rPr>
          <w:rFonts w:ascii="Calibri" w:cs="Calibri" w:eastAsia="Calibri" w:hAnsi="Calibri"/>
          <w:b/>
          <w:bCs/>
          <w:color w:val="111827"/>
          <w:sz w:val="28"/>
          <w:szCs w:val="28"/>
        </w:rPr>
        <w:t xml:space="preserve">3.2  Data schema additions</w:t>
      </w:r>
    </w:p>
    <w:p>
      <w:pPr>
        <w:spacing w:after="120" w:before="0"/>
      </w:pPr>
      <w:r>
        <w:rPr>
          <w:rFonts w:ascii="Calibri" w:cs="Calibri" w:eastAsia="Calibri" w:hAnsi="Calibri"/>
          <w:b w:val="false"/>
          <w:bCs w:val="false"/>
          <w:i w:val="false"/>
          <w:iCs w:val="false"/>
          <w:color w:val="111827"/>
          <w:sz w:val="22"/>
          <w:szCs w:val="22"/>
        </w:rPr>
        <w:t xml:space="preserve">The schema below preserves existing tables and adds the layer-2 and layer-3 structures. Migration order matters: tables first, then RPCs, then materialised views.</w:t>
      </w:r>
    </w:p>
    <w:p>
      <w:pPr>
        <w:pStyle w:val="Heading3"/>
        <w:spacing w:after="80" w:before="200"/>
      </w:pPr>
      <w:r>
        <w:rPr>
          <w:rFonts w:ascii="Calibri" w:cs="Calibri" w:eastAsia="Calibri" w:hAnsi="Calibri"/>
          <w:b/>
          <w:bCs/>
          <w:color w:val="0F766E"/>
          <w:sz w:val="24"/>
          <w:szCs w:val="24"/>
        </w:rPr>
        <w:t xml:space="preserve">skills</w:t>
      </w:r>
    </w:p>
    <w:p>
      <w:pPr>
        <w:pStyle w:val="ListParagraph"/>
        <w:numPr>
          <w:ilvl w:val="0"/>
          <w:numId w:val="3"/>
        </w:numPr>
        <w:spacing w:after="80"/>
      </w:pPr>
      <w:r>
        <w:rPr>
          <w:rFonts w:ascii="Calibri" w:cs="Calibri" w:eastAsia="Calibri" w:hAnsi="Calibri"/>
          <w:b w:val="false"/>
          <w:bCs w:val="false"/>
          <w:color w:val="111827"/>
          <w:sz w:val="22"/>
          <w:szCs w:val="22"/>
        </w:rPr>
        <w:t xml:space="preserve">skill_id (text primary key) — e.g. letter:b:lowercase, math:add-within-10, motor:vertical-down.</w:t>
      </w:r>
    </w:p>
    <w:p>
      <w:pPr>
        <w:pStyle w:val="ListParagraph"/>
        <w:numPr>
          <w:ilvl w:val="0"/>
          <w:numId w:val="3"/>
        </w:numPr>
        <w:spacing w:after="80"/>
      </w:pPr>
      <w:r>
        <w:rPr>
          <w:rFonts w:ascii="Calibri" w:cs="Calibri" w:eastAsia="Calibri" w:hAnsi="Calibri"/>
          <w:b w:val="false"/>
          <w:bCs w:val="false"/>
          <w:color w:val="111827"/>
          <w:sz w:val="22"/>
          <w:szCs w:val="22"/>
        </w:rPr>
        <w:t xml:space="preserve">domain — literacy | numeracy | motor | colour | pattern | spatial.</w:t>
      </w:r>
    </w:p>
    <w:p>
      <w:pPr>
        <w:pStyle w:val="ListParagraph"/>
        <w:numPr>
          <w:ilvl w:val="0"/>
          <w:numId w:val="3"/>
        </w:numPr>
        <w:spacing w:after="80"/>
      </w:pPr>
      <w:r>
        <w:rPr>
          <w:rFonts w:ascii="Calibri" w:cs="Calibri" w:eastAsia="Calibri" w:hAnsi="Calibri"/>
          <w:b w:val="false"/>
          <w:bCs w:val="false"/>
          <w:color w:val="111827"/>
          <w:sz w:val="22"/>
          <w:szCs w:val="22"/>
        </w:rPr>
        <w:t xml:space="preserve">framework_mapping — JSON of EYFS area, Development Matters statement, EarlyMath standard, Common Core, etc.</w:t>
      </w:r>
    </w:p>
    <w:p>
      <w:pPr>
        <w:pStyle w:val="ListParagraph"/>
        <w:numPr>
          <w:ilvl w:val="0"/>
          <w:numId w:val="3"/>
        </w:numPr>
        <w:spacing w:after="80"/>
      </w:pPr>
      <w:r>
        <w:rPr>
          <w:rFonts w:ascii="Calibri" w:cs="Calibri" w:eastAsia="Calibri" w:hAnsi="Calibri"/>
          <w:b w:val="false"/>
          <w:bCs w:val="false"/>
          <w:color w:val="111827"/>
          <w:sz w:val="22"/>
          <w:szCs w:val="22"/>
        </w:rPr>
        <w:t xml:space="preserve">prerequisites (text[]) — array of skill_ids that should be in the learner's ledger first.</w:t>
      </w:r>
    </w:p>
    <w:p>
      <w:pPr>
        <w:pStyle w:val="ListParagraph"/>
        <w:numPr>
          <w:ilvl w:val="0"/>
          <w:numId w:val="3"/>
        </w:numPr>
        <w:spacing w:after="80"/>
      </w:pPr>
      <w:r>
        <w:rPr>
          <w:rFonts w:ascii="Calibri" w:cs="Calibri" w:eastAsia="Calibri" w:hAnsi="Calibri"/>
          <w:b w:val="false"/>
          <w:bCs w:val="false"/>
          <w:color w:val="111827"/>
          <w:sz w:val="22"/>
          <w:szCs w:val="22"/>
        </w:rPr>
        <w:t xml:space="preserve">difficulty_init (double) — IRT-style difficulty in logit space, updated by the rollup job.</w:t>
      </w:r>
    </w:p>
    <w:p>
      <w:pPr>
        <w:pStyle w:val="Heading3"/>
        <w:spacing w:after="80" w:before="200"/>
      </w:pPr>
      <w:r>
        <w:rPr>
          <w:rFonts w:ascii="Calibri" w:cs="Calibri" w:eastAsia="Calibri" w:hAnsi="Calibri"/>
          <w:b/>
          <w:bCs/>
          <w:color w:val="0F766E"/>
          <w:sz w:val="24"/>
          <w:szCs w:val="24"/>
        </w:rPr>
        <w:t xml:space="preserve">skill_ledger</w:t>
      </w:r>
    </w:p>
    <w:p>
      <w:pPr>
        <w:pStyle w:val="ListParagraph"/>
        <w:numPr>
          <w:ilvl w:val="0"/>
          <w:numId w:val="3"/>
        </w:numPr>
        <w:spacing w:after="80"/>
      </w:pPr>
      <w:r>
        <w:rPr>
          <w:rFonts w:ascii="Calibri" w:cs="Calibri" w:eastAsia="Calibri" w:hAnsi="Calibri"/>
          <w:b w:val="false"/>
          <w:bCs w:val="false"/>
          <w:color w:val="111827"/>
          <w:sz w:val="22"/>
          <w:szCs w:val="22"/>
        </w:rPr>
        <w:t xml:space="preserve">learner_token (text) — the per-class or per-device pseudonym (see Section 9).</w:t>
      </w:r>
    </w:p>
    <w:p>
      <w:pPr>
        <w:pStyle w:val="ListParagraph"/>
        <w:numPr>
          <w:ilvl w:val="0"/>
          <w:numId w:val="3"/>
        </w:numPr>
        <w:spacing w:after="80"/>
      </w:pPr>
      <w:r>
        <w:rPr>
          <w:rFonts w:ascii="Calibri" w:cs="Calibri" w:eastAsia="Calibri" w:hAnsi="Calibri"/>
          <w:b w:val="false"/>
          <w:bCs w:val="false"/>
          <w:color w:val="111827"/>
          <w:sz w:val="22"/>
          <w:szCs w:val="22"/>
        </w:rPr>
        <w:t xml:space="preserve">skill_id (text references skills).</w:t>
      </w:r>
    </w:p>
    <w:p>
      <w:pPr>
        <w:pStyle w:val="ListParagraph"/>
        <w:numPr>
          <w:ilvl w:val="0"/>
          <w:numId w:val="3"/>
        </w:numPr>
        <w:spacing w:after="80"/>
      </w:pPr>
      <w:r>
        <w:rPr>
          <w:rFonts w:ascii="Calibri" w:cs="Calibri" w:eastAsia="Calibri" w:hAnsi="Calibri"/>
          <w:b w:val="false"/>
          <w:bCs w:val="false"/>
          <w:color w:val="111827"/>
          <w:sz w:val="22"/>
          <w:szCs w:val="22"/>
        </w:rPr>
        <w:t xml:space="preserve">p_known (double) — Bayesian Knowledge Tracing posterior, in [0,1].</w:t>
      </w:r>
    </w:p>
    <w:p>
      <w:pPr>
        <w:pStyle w:val="ListParagraph"/>
        <w:numPr>
          <w:ilvl w:val="0"/>
          <w:numId w:val="3"/>
        </w:numPr>
        <w:spacing w:after="80"/>
      </w:pPr>
      <w:r>
        <w:rPr>
          <w:rFonts w:ascii="Calibri" w:cs="Calibri" w:eastAsia="Calibri" w:hAnsi="Calibri"/>
          <w:b w:val="false"/>
          <w:bCs w:val="false"/>
          <w:color w:val="111827"/>
          <w:sz w:val="22"/>
          <w:szCs w:val="22"/>
        </w:rPr>
        <w:t xml:space="preserve">ewma_accuracy (double) — exponentially-weighted accuracy.</w:t>
      </w:r>
    </w:p>
    <w:p>
      <w:pPr>
        <w:pStyle w:val="ListParagraph"/>
        <w:numPr>
          <w:ilvl w:val="0"/>
          <w:numId w:val="3"/>
        </w:numPr>
        <w:spacing w:after="80"/>
      </w:pPr>
      <w:r>
        <w:rPr>
          <w:rFonts w:ascii="Calibri" w:cs="Calibri" w:eastAsia="Calibri" w:hAnsi="Calibri"/>
          <w:b w:val="false"/>
          <w:bCs w:val="false"/>
          <w:color w:val="111827"/>
          <w:sz w:val="22"/>
          <w:szCs w:val="22"/>
        </w:rPr>
        <w:t xml:space="preserve">ewma_latency_ms (double) — exponentially-weighted reaction time.</w:t>
      </w:r>
    </w:p>
    <w:p>
      <w:pPr>
        <w:pStyle w:val="ListParagraph"/>
        <w:numPr>
          <w:ilvl w:val="0"/>
          <w:numId w:val="3"/>
        </w:numPr>
        <w:spacing w:after="80"/>
      </w:pPr>
      <w:r>
        <w:rPr>
          <w:rFonts w:ascii="Calibri" w:cs="Calibri" w:eastAsia="Calibri" w:hAnsi="Calibri"/>
          <w:b w:val="false"/>
          <w:bCs w:val="false"/>
          <w:color w:val="111827"/>
          <w:sz w:val="22"/>
          <w:szCs w:val="22"/>
        </w:rPr>
        <w:t xml:space="preserve">streak (int) — current consecutive-correct attempts.</w:t>
      </w:r>
    </w:p>
    <w:p>
      <w:pPr>
        <w:pStyle w:val="ListParagraph"/>
        <w:numPr>
          <w:ilvl w:val="0"/>
          <w:numId w:val="3"/>
        </w:numPr>
        <w:spacing w:after="80"/>
      </w:pPr>
      <w:r>
        <w:rPr>
          <w:rFonts w:ascii="Calibri" w:cs="Calibri" w:eastAsia="Calibri" w:hAnsi="Calibri"/>
          <w:b w:val="false"/>
          <w:bCs w:val="false"/>
          <w:color w:val="111827"/>
          <w:sz w:val="22"/>
          <w:szCs w:val="22"/>
        </w:rPr>
        <w:t xml:space="preserve">mastery_state — new | practising | strong | mastered | retained.</w:t>
      </w:r>
    </w:p>
    <w:p>
      <w:pPr>
        <w:pStyle w:val="ListParagraph"/>
        <w:numPr>
          <w:ilvl w:val="0"/>
          <w:numId w:val="3"/>
        </w:numPr>
        <w:spacing w:after="80"/>
      </w:pPr>
      <w:r>
        <w:rPr>
          <w:rFonts w:ascii="Calibri" w:cs="Calibri" w:eastAsia="Calibri" w:hAnsi="Calibri"/>
          <w:b w:val="false"/>
          <w:bCs w:val="false"/>
          <w:color w:val="111827"/>
          <w:sz w:val="22"/>
          <w:szCs w:val="22"/>
        </w:rPr>
        <w:t xml:space="preserve">first_seen_at, last_attempt_at — bounds for the learning arc.</w:t>
      </w:r>
    </w:p>
    <w:p>
      <w:pPr>
        <w:pStyle w:val="ListParagraph"/>
        <w:numPr>
          <w:ilvl w:val="0"/>
          <w:numId w:val="3"/>
        </w:numPr>
        <w:spacing w:after="80"/>
      </w:pPr>
      <w:r>
        <w:rPr>
          <w:rFonts w:ascii="Calibri" w:cs="Calibri" w:eastAsia="Calibri" w:hAnsi="Calibri"/>
          <w:b w:val="false"/>
          <w:bCs w:val="false"/>
          <w:color w:val="111827"/>
          <w:sz w:val="22"/>
          <w:szCs w:val="22"/>
        </w:rPr>
        <w:t xml:space="preserve">n_attempts, n_correct — raw counts for transparency.</w:t>
      </w:r>
    </w:p>
    <w:p>
      <w:pPr>
        <w:pStyle w:val="Heading3"/>
        <w:spacing w:after="80" w:before="200"/>
      </w:pPr>
      <w:r>
        <w:rPr>
          <w:rFonts w:ascii="Calibri" w:cs="Calibri" w:eastAsia="Calibri" w:hAnsi="Calibri"/>
          <w:b/>
          <w:bCs/>
          <w:color w:val="0F766E"/>
          <w:sz w:val="24"/>
          <w:szCs w:val="24"/>
        </w:rPr>
        <w:t xml:space="preserve">mastery_probes</w:t>
      </w:r>
    </w:p>
    <w:p>
      <w:pPr>
        <w:pStyle w:val="ListParagraph"/>
        <w:numPr>
          <w:ilvl w:val="0"/>
          <w:numId w:val="3"/>
        </w:numPr>
        <w:spacing w:after="80"/>
      </w:pPr>
      <w:r>
        <w:rPr>
          <w:rFonts w:ascii="Calibri" w:cs="Calibri" w:eastAsia="Calibri" w:hAnsi="Calibri"/>
          <w:b w:val="false"/>
          <w:bCs w:val="false"/>
          <w:color w:val="111827"/>
          <w:sz w:val="22"/>
          <w:szCs w:val="22"/>
        </w:rPr>
        <w:t xml:space="preserve">probe_id, learner_token, skill_id.</w:t>
      </w:r>
    </w:p>
    <w:p>
      <w:pPr>
        <w:pStyle w:val="ListParagraph"/>
        <w:numPr>
          <w:ilvl w:val="0"/>
          <w:numId w:val="3"/>
        </w:numPr>
        <w:spacing w:after="80"/>
      </w:pPr>
      <w:r>
        <w:rPr>
          <w:rFonts w:ascii="Calibri" w:cs="Calibri" w:eastAsia="Calibri" w:hAnsi="Calibri"/>
          <w:b w:val="false"/>
          <w:bCs w:val="false"/>
          <w:color w:val="111827"/>
          <w:sz w:val="22"/>
          <w:szCs w:val="22"/>
        </w:rPr>
        <w:t xml:space="preserve">scheduled_at — when the system intends to re-test the skill.</w:t>
      </w:r>
    </w:p>
    <w:p>
      <w:pPr>
        <w:pStyle w:val="ListParagraph"/>
        <w:numPr>
          <w:ilvl w:val="0"/>
          <w:numId w:val="3"/>
        </w:numPr>
        <w:spacing w:after="80"/>
      </w:pPr>
      <w:r>
        <w:rPr>
          <w:rFonts w:ascii="Calibri" w:cs="Calibri" w:eastAsia="Calibri" w:hAnsi="Calibri"/>
          <w:b w:val="false"/>
          <w:bCs w:val="false"/>
          <w:color w:val="111827"/>
          <w:sz w:val="22"/>
          <w:szCs w:val="22"/>
        </w:rPr>
        <w:t xml:space="preserve">administered_at, outcome — whether the probe was actually shown, and whether it was passed.</w:t>
      </w:r>
    </w:p>
    <w:p>
      <w:pPr>
        <w:pStyle w:val="ListParagraph"/>
        <w:numPr>
          <w:ilvl w:val="0"/>
          <w:numId w:val="3"/>
        </w:numPr>
        <w:spacing w:after="80"/>
      </w:pPr>
      <w:r>
        <w:rPr>
          <w:rFonts w:ascii="Calibri" w:cs="Calibri" w:eastAsia="Calibri" w:hAnsi="Calibri"/>
          <w:b w:val="false"/>
          <w:bCs w:val="false"/>
          <w:color w:val="111827"/>
          <w:sz w:val="22"/>
          <w:szCs w:val="22"/>
        </w:rPr>
        <w:t xml:space="preserve">latency_ms, hint_used — fidelity of the probe attempt.</w:t>
      </w:r>
    </w:p>
    <w:p>
      <w:pPr>
        <w:pStyle w:val="Heading3"/>
        <w:spacing w:after="80" w:before="200"/>
      </w:pPr>
      <w:r>
        <w:rPr>
          <w:rFonts w:ascii="Calibri" w:cs="Calibri" w:eastAsia="Calibri" w:hAnsi="Calibri"/>
          <w:b/>
          <w:bCs/>
          <w:color w:val="0F766E"/>
          <w:sz w:val="24"/>
          <w:szCs w:val="24"/>
        </w:rPr>
        <w:t xml:space="preserve">classmode_bridge</w:t>
      </w:r>
    </w:p>
    <w:p>
      <w:pPr>
        <w:pStyle w:val="ListParagraph"/>
        <w:numPr>
          <w:ilvl w:val="0"/>
          <w:numId w:val="3"/>
        </w:numPr>
        <w:spacing w:after="80"/>
      </w:pPr>
      <w:r>
        <w:rPr>
          <w:rFonts w:ascii="Calibri" w:cs="Calibri" w:eastAsia="Calibri" w:hAnsi="Calibri"/>
          <w:b w:val="false"/>
          <w:bCs w:val="false"/>
          <w:color w:val="111827"/>
          <w:sz w:val="22"/>
          <w:szCs w:val="22"/>
        </w:rPr>
        <w:t xml:space="preserve">learner_token, session_students_id, session_id (classmode).</w:t>
      </w:r>
    </w:p>
    <w:p>
      <w:pPr>
        <w:pStyle w:val="ListParagraph"/>
        <w:numPr>
          <w:ilvl w:val="0"/>
          <w:numId w:val="3"/>
        </w:numPr>
        <w:spacing w:after="80"/>
      </w:pPr>
      <w:r>
        <w:rPr>
          <w:rFonts w:ascii="Calibri" w:cs="Calibri" w:eastAsia="Calibri" w:hAnsi="Calibri"/>
          <w:b w:val="false"/>
          <w:bCs w:val="false"/>
          <w:color w:val="111827"/>
          <w:sz w:val="22"/>
          <w:szCs w:val="22"/>
        </w:rPr>
        <w:t xml:space="preserve">issued_at, expired_at. Tokens rotate per class session by default.</w:t>
      </w:r>
    </w:p>
    <w:p>
      <w:pPr>
        <w:pStyle w:val="ListParagraph"/>
        <w:numPr>
          <w:ilvl w:val="0"/>
          <w:numId w:val="3"/>
        </w:numPr>
        <w:spacing w:after="80"/>
      </w:pPr>
      <w:r>
        <w:rPr>
          <w:rFonts w:ascii="Calibri" w:cs="Calibri" w:eastAsia="Calibri" w:hAnsi="Calibri"/>
          <w:b w:val="false"/>
          <w:bCs w:val="false"/>
          <w:color w:val="111827"/>
          <w:sz w:val="22"/>
          <w:szCs w:val="22"/>
        </w:rPr>
        <w:t xml:space="preserve">This is the bridge between classmode and analytics that today is missing.</w:t>
      </w:r>
    </w:p>
    <w:p>
      <w:pPr>
        <w:pStyle w:val="Heading3"/>
        <w:spacing w:after="80" w:before="200"/>
      </w:pPr>
      <w:r>
        <w:rPr>
          <w:rFonts w:ascii="Calibri" w:cs="Calibri" w:eastAsia="Calibri" w:hAnsi="Calibri"/>
          <w:b/>
          <w:bCs/>
          <w:color w:val="0F766E"/>
          <w:sz w:val="24"/>
          <w:szCs w:val="24"/>
        </w:rPr>
        <w:t xml:space="preserve">attempts_v2</w:t>
      </w:r>
    </w:p>
    <w:p>
      <w:pPr>
        <w:spacing w:after="80" w:before="0"/>
      </w:pPr>
      <w:r>
        <w:rPr>
          <w:rFonts w:ascii="Calibri" w:cs="Calibri" w:eastAsia="Calibri" w:hAnsi="Calibri"/>
          <w:b w:val="false"/>
          <w:bCs w:val="false"/>
          <w:i w:val="false"/>
          <w:iCs w:val="false"/>
          <w:color w:val="111827"/>
          <w:sz w:val="22"/>
          <w:szCs w:val="22"/>
        </w:rPr>
        <w:t xml:space="preserve">A successor to learning_attempts with the missing fields baked in. The current learning_attempts is preserved and read-only during migration; new writes go to attempts_v2.</w:t>
      </w:r>
    </w:p>
    <w:p>
      <w:pPr>
        <w:pStyle w:val="ListParagraph"/>
        <w:numPr>
          <w:ilvl w:val="0"/>
          <w:numId w:val="3"/>
        </w:numPr>
        <w:spacing w:after="80"/>
      </w:pPr>
      <w:r>
        <w:rPr>
          <w:rFonts w:ascii="Calibri" w:cs="Calibri" w:eastAsia="Calibri" w:hAnsi="Calibri"/>
          <w:b w:val="false"/>
          <w:bCs w:val="false"/>
          <w:color w:val="111827"/>
          <w:sz w:val="22"/>
          <w:szCs w:val="22"/>
        </w:rPr>
        <w:t xml:space="preserve">learner_token (replaces or sits alongside device_id).</w:t>
      </w:r>
    </w:p>
    <w:p>
      <w:pPr>
        <w:pStyle w:val="ListParagraph"/>
        <w:numPr>
          <w:ilvl w:val="0"/>
          <w:numId w:val="3"/>
        </w:numPr>
        <w:spacing w:after="80"/>
      </w:pPr>
      <w:r>
        <w:rPr>
          <w:rFonts w:ascii="Calibri" w:cs="Calibri" w:eastAsia="Calibri" w:hAnsi="Calibri"/>
          <w:b w:val="false"/>
          <w:bCs w:val="false"/>
          <w:color w:val="111827"/>
          <w:sz w:val="22"/>
          <w:szCs w:val="22"/>
        </w:rPr>
        <w:t xml:space="preserve">skill_id (resolved from game_mode + item_key via a mapping table).</w:t>
      </w:r>
    </w:p>
    <w:p>
      <w:pPr>
        <w:pStyle w:val="ListParagraph"/>
        <w:numPr>
          <w:ilvl w:val="0"/>
          <w:numId w:val="3"/>
        </w:numPr>
        <w:spacing w:after="80"/>
      </w:pPr>
      <w:r>
        <w:rPr>
          <w:rFonts w:ascii="Calibri" w:cs="Calibri" w:eastAsia="Calibri" w:hAnsi="Calibri"/>
          <w:b w:val="false"/>
          <w:bCs w:val="false"/>
          <w:color w:val="111827"/>
          <w:sz w:val="22"/>
          <w:szCs w:val="22"/>
        </w:rPr>
        <w:t xml:space="preserve">attempt_n_per_learner (computed server-side at insert).</w:t>
      </w:r>
    </w:p>
    <w:p>
      <w:pPr>
        <w:pStyle w:val="ListParagraph"/>
        <w:numPr>
          <w:ilvl w:val="0"/>
          <w:numId w:val="3"/>
        </w:numPr>
        <w:spacing w:after="80"/>
      </w:pPr>
      <w:r>
        <w:rPr>
          <w:rFonts w:ascii="Calibri" w:cs="Calibri" w:eastAsia="Calibri" w:hAnsi="Calibri"/>
          <w:b w:val="false"/>
          <w:bCs w:val="false"/>
          <w:color w:val="111827"/>
          <w:sz w:val="22"/>
          <w:szCs w:val="22"/>
        </w:rPr>
        <w:t xml:space="preserve">first_attempt_correct (the first row per (learner_token, skill_id) sets this; later rows null it).</w:t>
      </w:r>
    </w:p>
    <w:p>
      <w:pPr>
        <w:pStyle w:val="ListParagraph"/>
        <w:numPr>
          <w:ilvl w:val="0"/>
          <w:numId w:val="3"/>
        </w:numPr>
        <w:spacing w:after="80"/>
      </w:pPr>
      <w:r>
        <w:rPr>
          <w:rFonts w:ascii="Calibri" w:cs="Calibri" w:eastAsia="Calibri" w:hAnsi="Calibri"/>
          <w:b w:val="false"/>
          <w:bCs w:val="false"/>
          <w:color w:val="111827"/>
          <w:sz w:val="22"/>
          <w:szCs w:val="22"/>
        </w:rPr>
        <w:t xml:space="preserve">time_to_first_action_ms, time_to_first_correct_ms, hesitation_ms.</w:t>
      </w:r>
    </w:p>
    <w:p>
      <w:pPr>
        <w:pStyle w:val="ListParagraph"/>
        <w:numPr>
          <w:ilvl w:val="0"/>
          <w:numId w:val="3"/>
        </w:numPr>
        <w:spacing w:after="80"/>
      </w:pPr>
      <w:r>
        <w:rPr>
          <w:rFonts w:ascii="Calibri" w:cs="Calibri" w:eastAsia="Calibri" w:hAnsi="Calibri"/>
          <w:b w:val="false"/>
          <w:bCs w:val="false"/>
          <w:color w:val="111827"/>
          <w:sz w:val="22"/>
          <w:szCs w:val="22"/>
        </w:rPr>
        <w:t xml:space="preserve">motion_quality_score (mode-specific, normalised to [0,1]).</w:t>
      </w:r>
    </w:p>
    <w:p>
      <w:pPr>
        <w:pStyle w:val="ListParagraph"/>
        <w:numPr>
          <w:ilvl w:val="0"/>
          <w:numId w:val="3"/>
        </w:numPr>
        <w:spacing w:after="80"/>
      </w:pPr>
      <w:r>
        <w:rPr>
          <w:rFonts w:ascii="Calibri" w:cs="Calibri" w:eastAsia="Calibri" w:hAnsi="Calibri"/>
          <w:b w:val="false"/>
          <w:bCs w:val="false"/>
          <w:color w:val="111827"/>
          <w:sz w:val="22"/>
          <w:szCs w:val="22"/>
        </w:rPr>
        <w:t xml:space="preserve">hint_offered, hint_shown, hint_acted_on (three independent flags).</w:t>
      </w:r>
    </w:p>
    <w:p>
      <w:pPr>
        <w:pStyle w:val="ListParagraph"/>
        <w:numPr>
          <w:ilvl w:val="0"/>
          <w:numId w:val="3"/>
        </w:numPr>
        <w:spacing w:after="80"/>
      </w:pPr>
      <w:r>
        <w:rPr>
          <w:rFonts w:ascii="Calibri" w:cs="Calibri" w:eastAsia="Calibri" w:hAnsi="Calibri"/>
          <w:b w:val="false"/>
          <w:bCs w:val="false"/>
          <w:color w:val="111827"/>
          <w:sz w:val="22"/>
          <w:szCs w:val="22"/>
        </w:rPr>
        <w:t xml:space="preserve">difficulty_at_attempt (snapshot of skill difficulty when this attempt was recorded).</w:t>
      </w:r>
    </w:p>
    <w:p>
      <w:pPr>
        <w:pStyle w:val="ListParagraph"/>
        <w:numPr>
          <w:ilvl w:val="0"/>
          <w:numId w:val="3"/>
        </w:numPr>
        <w:spacing w:after="80"/>
      </w:pPr>
      <w:r>
        <w:rPr>
          <w:rFonts w:ascii="Calibri" w:cs="Calibri" w:eastAsia="Calibri" w:hAnsi="Calibri"/>
          <w:b w:val="false"/>
          <w:bCs w:val="false"/>
          <w:color w:val="111827"/>
          <w:sz w:val="22"/>
          <w:szCs w:val="22"/>
        </w:rPr>
        <w:t xml:space="preserve">is_probe (boolean) — set true for items drawn from the held-out probe pool.</w:t>
      </w:r>
    </w:p>
    <w:p>
      <w:pPr>
        <w:pStyle w:val="Heading3"/>
        <w:spacing w:after="80" w:before="200"/>
      </w:pPr>
      <w:r>
        <w:rPr>
          <w:rFonts w:ascii="Calibri" w:cs="Calibri" w:eastAsia="Calibri" w:hAnsi="Calibri"/>
          <w:b/>
          <w:bCs/>
          <w:color w:val="0F766E"/>
          <w:sz w:val="24"/>
          <w:szCs w:val="24"/>
        </w:rPr>
        <w:t xml:space="preserve">daily_rollups</w:t>
      </w:r>
    </w:p>
    <w:p>
      <w:pPr>
        <w:spacing w:after="80" w:before="0"/>
      </w:pPr>
      <w:r>
        <w:rPr>
          <w:rFonts w:ascii="Calibri" w:cs="Calibri" w:eastAsia="Calibri" w:hAnsi="Calibri"/>
          <w:b w:val="false"/>
          <w:bCs w:val="false"/>
          <w:i w:val="false"/>
          <w:iCs w:val="false"/>
          <w:color w:val="111827"/>
          <w:sz w:val="22"/>
          <w:szCs w:val="22"/>
        </w:rPr>
        <w:t xml:space="preserve">A materialised view, refreshed nightly, plus an hourly incremental for live dashboards.</w:t>
      </w:r>
    </w:p>
    <w:p>
      <w:pPr>
        <w:pStyle w:val="ListParagraph"/>
        <w:numPr>
          <w:ilvl w:val="0"/>
          <w:numId w:val="3"/>
        </w:numPr>
        <w:spacing w:after="80"/>
      </w:pPr>
      <w:r>
        <w:rPr>
          <w:rFonts w:ascii="Calibri" w:cs="Calibri" w:eastAsia="Calibri" w:hAnsi="Calibri"/>
          <w:b w:val="false"/>
          <w:bCs w:val="false"/>
          <w:color w:val="111827"/>
          <w:sz w:val="22"/>
          <w:szCs w:val="22"/>
        </w:rPr>
        <w:t xml:space="preserve">rollup_date, learner_token, skill_id.</w:t>
      </w:r>
    </w:p>
    <w:p>
      <w:pPr>
        <w:pStyle w:val="ListParagraph"/>
        <w:numPr>
          <w:ilvl w:val="0"/>
          <w:numId w:val="3"/>
        </w:numPr>
        <w:spacing w:after="80"/>
      </w:pPr>
      <w:r>
        <w:rPr>
          <w:rFonts w:ascii="Calibri" w:cs="Calibri" w:eastAsia="Calibri" w:hAnsi="Calibri"/>
          <w:b w:val="false"/>
          <w:bCs w:val="false"/>
          <w:color w:val="111827"/>
          <w:sz w:val="22"/>
          <w:szCs w:val="22"/>
        </w:rPr>
        <w:t xml:space="preserve">attempts_today, correct_today, mean_latency_ms_today.</w:t>
      </w:r>
    </w:p>
    <w:p>
      <w:pPr>
        <w:pStyle w:val="ListParagraph"/>
        <w:numPr>
          <w:ilvl w:val="0"/>
          <w:numId w:val="3"/>
        </w:numPr>
        <w:spacing w:after="80"/>
      </w:pPr>
      <w:r>
        <w:rPr>
          <w:rFonts w:ascii="Calibri" w:cs="Calibri" w:eastAsia="Calibri" w:hAnsi="Calibri"/>
          <w:b w:val="false"/>
          <w:bCs w:val="false"/>
          <w:color w:val="111827"/>
          <w:sz w:val="22"/>
          <w:szCs w:val="22"/>
        </w:rPr>
        <w:t xml:space="preserve">p_known_eod (end-of-day BKT posterior).</w:t>
      </w:r>
    </w:p>
    <w:p>
      <w:pPr>
        <w:pStyle w:val="ListParagraph"/>
        <w:numPr>
          <w:ilvl w:val="0"/>
          <w:numId w:val="3"/>
        </w:numPr>
        <w:spacing w:after="80"/>
      </w:pPr>
      <w:r>
        <w:rPr>
          <w:rFonts w:ascii="Calibri" w:cs="Calibri" w:eastAsia="Calibri" w:hAnsi="Calibri"/>
          <w:b w:val="false"/>
          <w:bCs w:val="false"/>
          <w:color w:val="111827"/>
          <w:sz w:val="22"/>
          <w:szCs w:val="22"/>
        </w:rPr>
        <w:t xml:space="preserve">lhi_today (Learning Health Index — see Section 6).</w:t>
      </w:r>
    </w:p>
    <w:p>
      <w:pPr>
        <w:pStyle w:val="Heading3"/>
        <w:spacing w:after="80" w:before="200"/>
      </w:pPr>
      <w:r>
        <w:rPr>
          <w:rFonts w:ascii="Calibri" w:cs="Calibri" w:eastAsia="Calibri" w:hAnsi="Calibri"/>
          <w:b/>
          <w:bCs/>
          <w:color w:val="0F766E"/>
          <w:sz w:val="24"/>
          <w:szCs w:val="24"/>
        </w:rPr>
        <w:t xml:space="preserve">class_rollups, cohort_rollups</w:t>
      </w:r>
    </w:p>
    <w:p>
      <w:pPr>
        <w:spacing w:after="120" w:before="0"/>
      </w:pPr>
      <w:r>
        <w:rPr>
          <w:rFonts w:ascii="Calibri" w:cs="Calibri" w:eastAsia="Calibri" w:hAnsi="Calibri"/>
          <w:b w:val="false"/>
          <w:bCs w:val="false"/>
          <w:i w:val="false"/>
          <w:iCs w:val="false"/>
          <w:color w:val="111827"/>
          <w:sz w:val="22"/>
          <w:szCs w:val="22"/>
        </w:rPr>
        <w:t xml:space="preserve">Per-class and per-cohort daily rollups, computed from skill_ledger × classmode_bridge. These power the teacher and investor surfaces.</w:t>
      </w:r>
    </w:p>
    <w:p>
      <w:pPr>
        <w:pStyle w:val="Heading2"/>
        <w:spacing w:after="120" w:before="280"/>
      </w:pPr>
      <w:r>
        <w:rPr>
          <w:rFonts w:ascii="Calibri" w:cs="Calibri" w:eastAsia="Calibri" w:hAnsi="Calibri"/>
          <w:b/>
          <w:bCs/>
          <w:color w:val="111827"/>
          <w:sz w:val="28"/>
          <w:szCs w:val="28"/>
        </w:rPr>
        <w:t xml:space="preserve">3.3  Event hygiene rules</w:t>
      </w:r>
    </w:p>
    <w:p>
      <w:pPr>
        <w:pStyle w:val="ListParagraph"/>
        <w:numPr>
          <w:ilvl w:val="0"/>
          <w:numId w:val="2"/>
        </w:numPr>
        <w:spacing w:after="80"/>
      </w:pPr>
      <w:r>
        <w:rPr>
          <w:rFonts w:ascii="Calibri" w:cs="Calibri" w:eastAsia="Calibri" w:hAnsi="Calibri"/>
          <w:color w:val="111827"/>
          <w:sz w:val="22"/>
          <w:szCs w:val="22"/>
        </w:rPr>
        <w:t xml:space="preserve">Every event MUST emit through a typed dispatcher with a Zod schema for its meta payload. Compile-time enforcement of payload shape replaces today's heuristic coalescing.</w:t>
      </w:r>
    </w:p>
    <w:p>
      <w:pPr>
        <w:pStyle w:val="ListParagraph"/>
        <w:numPr>
          <w:ilvl w:val="0"/>
          <w:numId w:val="2"/>
        </w:numPr>
        <w:spacing w:after="80"/>
      </w:pPr>
      <w:r>
        <w:rPr>
          <w:rFonts w:ascii="Calibri" w:cs="Calibri" w:eastAsia="Calibri" w:hAnsi="Calibri"/>
          <w:color w:val="111827"/>
          <w:sz w:val="22"/>
          <w:szCs w:val="22"/>
        </w:rPr>
        <w:t xml:space="preserve">No event named the same as a UI string. The taxonomy is system-owned. Renames go through a versioned event registry.</w:t>
      </w:r>
    </w:p>
    <w:p>
      <w:pPr>
        <w:pStyle w:val="ListParagraph"/>
        <w:numPr>
          <w:ilvl w:val="0"/>
          <w:numId w:val="2"/>
        </w:numPr>
        <w:spacing w:after="80"/>
      </w:pPr>
      <w:r>
        <w:rPr>
          <w:rFonts w:ascii="Calibri" w:cs="Calibri" w:eastAsia="Calibri" w:hAnsi="Calibri"/>
          <w:color w:val="111827"/>
          <w:sz w:val="22"/>
          <w:szCs w:val="22"/>
        </w:rPr>
        <w:t xml:space="preserve">All time fields end in _ms. All count fields end in _n. All boolean fields are prefixed is_ or has_. Lint rule, not convention.</w:t>
      </w:r>
    </w:p>
    <w:p>
      <w:pPr>
        <w:pStyle w:val="ListParagraph"/>
        <w:numPr>
          <w:ilvl w:val="0"/>
          <w:numId w:val="2"/>
        </w:numPr>
        <w:spacing w:after="80"/>
      </w:pPr>
      <w:r>
        <w:rPr>
          <w:rFonts w:ascii="Calibri" w:cs="Calibri" w:eastAsia="Calibri" w:hAnsi="Calibri"/>
          <w:color w:val="111827"/>
          <w:sz w:val="22"/>
          <w:szCs w:val="22"/>
        </w:rPr>
        <w:t xml:space="preserve">Attempt-level events are immutable; correction is by append. No update or delete on attempts_v2.</w:t>
      </w:r>
    </w:p>
    <w:p>
      <w:pPr>
        <w:pStyle w:val="ListParagraph"/>
        <w:numPr>
          <w:ilvl w:val="0"/>
          <w:numId w:val="2"/>
        </w:numPr>
        <w:spacing w:after="80"/>
      </w:pPr>
      <w:r>
        <w:rPr>
          <w:rFonts w:ascii="Calibri" w:cs="Calibri" w:eastAsia="Calibri" w:hAnsi="Calibri"/>
          <w:color w:val="111827"/>
          <w:sz w:val="22"/>
          <w:szCs w:val="22"/>
        </w:rPr>
        <w:t xml:space="preserve">Sampling-class events (heartbeat, tracker_quality_sample) write to a separate time-series table with TTL ≤ 30 days, not to analytics_events.</w:t>
      </w:r>
    </w:p>
    <w:p>
      <w:pPr>
        <w:pStyle w:val="Heading2"/>
        <w:spacing w:after="120" w:before="280"/>
      </w:pPr>
      <w:r>
        <w:rPr>
          <w:rFonts w:ascii="Calibri" w:cs="Calibri" w:eastAsia="Calibri" w:hAnsi="Calibri"/>
          <w:b/>
          <w:bCs/>
          <w:color w:val="111827"/>
          <w:sz w:val="28"/>
          <w:szCs w:val="28"/>
        </w:rPr>
        <w:t xml:space="preserve">3.4  Reliability and observability</w:t>
      </w:r>
    </w:p>
    <w:p>
      <w:pPr>
        <w:pStyle w:val="ListParagraph"/>
        <w:numPr>
          <w:ilvl w:val="0"/>
          <w:numId w:val="3"/>
        </w:numPr>
        <w:spacing w:after="80"/>
      </w:pPr>
      <w:r>
        <w:rPr>
          <w:rFonts w:ascii="Calibri" w:cs="Calibri" w:eastAsia="Calibri" w:hAnsi="Calibri"/>
          <w:b w:val="false"/>
          <w:bCs w:val="false"/>
          <w:color w:val="111827"/>
          <w:sz w:val="22"/>
          <w:szCs w:val="22"/>
        </w:rPr>
        <w:t xml:space="preserve">Add foreign keys: analytics_events.session_id → sessions(id). Backfill missing parents.</w:t>
      </w:r>
    </w:p>
    <w:p>
      <w:pPr>
        <w:pStyle w:val="ListParagraph"/>
        <w:numPr>
          <w:ilvl w:val="0"/>
          <w:numId w:val="3"/>
        </w:numPr>
        <w:spacing w:after="80"/>
      </w:pPr>
      <w:r>
        <w:rPr>
          <w:rFonts w:ascii="Calibri" w:cs="Calibri" w:eastAsia="Calibri" w:hAnsi="Calibri"/>
          <w:b w:val="false"/>
          <w:bCs w:val="false"/>
          <w:color w:val="111827"/>
          <w:sz w:val="22"/>
          <w:szCs w:val="22"/>
        </w:rPr>
        <w:t xml:space="preserve">A synthetic session_ended on beforeunload is enqueued even though the queue cannot flush; the next session start picks it up and writes a "session-orphaned" inference row.</w:t>
      </w:r>
    </w:p>
    <w:p>
      <w:pPr>
        <w:pStyle w:val="ListParagraph"/>
        <w:numPr>
          <w:ilvl w:val="0"/>
          <w:numId w:val="3"/>
        </w:numPr>
        <w:spacing w:after="80"/>
      </w:pPr>
      <w:r>
        <w:rPr>
          <w:rFonts w:ascii="Calibri" w:cs="Calibri" w:eastAsia="Calibri" w:hAnsi="Calibri"/>
          <w:b w:val="false"/>
          <w:bCs w:val="false"/>
          <w:color w:val="111827"/>
          <w:sz w:val="22"/>
          <w:szCs w:val="22"/>
        </w:rPr>
        <w:t xml:space="preserve">Daily reconciliation job: count attempts_v2 rows by mode and compare against expected rate ranges. Alert on &gt;2σ deviations.</w:t>
      </w:r>
    </w:p>
    <w:p>
      <w:pPr>
        <w:pStyle w:val="ListParagraph"/>
        <w:numPr>
          <w:ilvl w:val="0"/>
          <w:numId w:val="3"/>
        </w:numPr>
        <w:spacing w:after="80"/>
      </w:pPr>
      <w:r>
        <w:rPr>
          <w:rFonts w:ascii="Calibri" w:cs="Calibri" w:eastAsia="Calibri" w:hAnsi="Calibri"/>
          <w:b w:val="false"/>
          <w:bCs w:val="false"/>
          <w:color w:val="111827"/>
          <w:sz w:val="22"/>
          <w:szCs w:val="22"/>
        </w:rPr>
        <w:t xml:space="preserve">Schema-test suite using PostgreSQL's anonymous DO blocks, run in CI on every migration.</w:t>
      </w:r>
    </w:p>
    <w:p>
      <w:pPr>
        <w:pStyle w:val="Heading1"/>
        <w:pageBreakBefore/>
        <w:spacing w:after="160" w:before="360"/>
      </w:pPr>
      <w:r>
        <w:rPr>
          <w:rFonts w:ascii="Calibri" w:cs="Calibri" w:eastAsia="Calibri" w:hAnsi="Calibri"/>
          <w:b/>
          <w:bCs/>
          <w:color w:val="0F766E"/>
          <w:sz w:val="36"/>
          <w:szCs w:val="36"/>
        </w:rPr>
        <w:t xml:space="preserve">4. Behavioural Learning Model</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A learning system has to declare what it believes "learning" is. This section makes that explicit. The model is intentionally pragmatic — it is the simplest credible thing that lets the platform produce a defensible learning curve per child. It draws on Bayesian Knowledge Tracing (Corbett &amp; Anderson 1995), Item Response Theory (Lord 1980, Rasch 1960), and the cognitive load / desirable difficulty literature (Sweller, Bjork &amp; Bjork).</w:t>
      </w:r>
    </w:p>
    <w:p>
      <w:pPr>
        <w:pStyle w:val="Heading2"/>
        <w:spacing w:after="120" w:before="280"/>
      </w:pPr>
      <w:r>
        <w:rPr>
          <w:rFonts w:ascii="Calibri" w:cs="Calibri" w:eastAsia="Calibri" w:hAnsi="Calibri"/>
          <w:b/>
          <w:bCs/>
          <w:color w:val="111827"/>
          <w:sz w:val="28"/>
          <w:szCs w:val="28"/>
        </w:rPr>
        <w:t xml:space="preserve">4.1  What we are inferring</w:t>
      </w:r>
    </w:p>
    <w:p>
      <w:pPr>
        <w:spacing w:after="80" w:before="0"/>
      </w:pPr>
      <w:r>
        <w:rPr>
          <w:rFonts w:ascii="Calibri" w:cs="Calibri" w:eastAsia="Calibri" w:hAnsi="Calibri"/>
          <w:b w:val="false"/>
          <w:bCs w:val="false"/>
          <w:i w:val="false"/>
          <w:iCs w:val="false"/>
          <w:color w:val="111827"/>
          <w:sz w:val="22"/>
          <w:szCs w:val="22"/>
        </w:rPr>
        <w:t xml:space="preserve">For each learner, for each skill, we estimate three latent quantities that change over time:</w:t>
      </w:r>
    </w:p>
    <w:p>
      <w:pPr>
        <w:pStyle w:val="ListParagraph"/>
        <w:numPr>
          <w:ilvl w:val="0"/>
          <w:numId w:val="3"/>
        </w:numPr>
        <w:spacing w:after="80"/>
      </w:pPr>
      <w:r>
        <w:rPr>
          <w:rFonts w:ascii="Calibri" w:cs="Calibri" w:eastAsia="Calibri" w:hAnsi="Calibri"/>
          <w:b w:val="false"/>
          <w:bCs w:val="false"/>
          <w:color w:val="111827"/>
          <w:sz w:val="22"/>
          <w:szCs w:val="22"/>
        </w:rPr>
        <w:t xml:space="preserve">p_known — the probability that the learner has mastered the skill, in the BKT sense.</w:t>
      </w:r>
    </w:p>
    <w:p>
      <w:pPr>
        <w:pStyle w:val="ListParagraph"/>
        <w:numPr>
          <w:ilvl w:val="0"/>
          <w:numId w:val="3"/>
        </w:numPr>
        <w:spacing w:after="80"/>
      </w:pPr>
      <w:r>
        <w:rPr>
          <w:rFonts w:ascii="Calibri" w:cs="Calibri" w:eastAsia="Calibri" w:hAnsi="Calibri"/>
          <w:b w:val="false"/>
          <w:bCs w:val="false"/>
          <w:color w:val="111827"/>
          <w:sz w:val="22"/>
          <w:szCs w:val="22"/>
        </w:rPr>
        <w:t xml:space="preserve">latency — the expected time to a correct response, smoothed via EWMA.</w:t>
      </w:r>
    </w:p>
    <w:p>
      <w:pPr>
        <w:pStyle w:val="ListParagraph"/>
        <w:numPr>
          <w:ilvl w:val="0"/>
          <w:numId w:val="3"/>
        </w:numPr>
        <w:spacing w:after="80"/>
      </w:pPr>
      <w:r>
        <w:rPr>
          <w:rFonts w:ascii="Calibri" w:cs="Calibri" w:eastAsia="Calibri" w:hAnsi="Calibri"/>
          <w:b w:val="false"/>
          <w:bCs w:val="false"/>
          <w:color w:val="111827"/>
          <w:sz w:val="22"/>
          <w:szCs w:val="22"/>
        </w:rPr>
        <w:t xml:space="preserve">autonomy — the probability the learner can succeed without hint or scaffold.</w:t>
      </w:r>
    </w:p>
    <w:p>
      <w:pPr>
        <w:spacing w:after="120" w:before="0"/>
      </w:pPr>
      <w:r>
        <w:rPr>
          <w:rFonts w:ascii="Calibri" w:cs="Calibri" w:eastAsia="Calibri" w:hAnsi="Calibri"/>
          <w:b w:val="false"/>
          <w:bCs w:val="false"/>
          <w:i w:val="false"/>
          <w:iCs w:val="false"/>
          <w:color w:val="111827"/>
          <w:sz w:val="22"/>
          <w:szCs w:val="22"/>
        </w:rPr>
        <w:t xml:space="preserve">Each can move up (learning gain) or down (decay between sessions). The combination of all three across many skills is what makes a learning trajectory.</w:t>
      </w:r>
    </w:p>
    <w:p>
      <w:pPr>
        <w:pStyle w:val="Heading2"/>
        <w:spacing w:after="120" w:before="280"/>
      </w:pPr>
      <w:r>
        <w:rPr>
          <w:rFonts w:ascii="Calibri" w:cs="Calibri" w:eastAsia="Calibri" w:hAnsi="Calibri"/>
          <w:b/>
          <w:bCs/>
          <w:color w:val="111827"/>
          <w:sz w:val="28"/>
          <w:szCs w:val="28"/>
        </w:rPr>
        <w:t xml:space="preserve">4.2  Bayesian Knowledge Tracing applied per skill</w:t>
      </w:r>
    </w:p>
    <w:p>
      <w:pPr>
        <w:spacing w:after="80" w:before="0"/>
      </w:pPr>
      <w:r>
        <w:rPr>
          <w:rFonts w:ascii="Calibri" w:cs="Calibri" w:eastAsia="Calibri" w:hAnsi="Calibri"/>
          <w:b w:val="false"/>
          <w:bCs w:val="false"/>
          <w:i w:val="false"/>
          <w:iCs w:val="false"/>
          <w:color w:val="111827"/>
          <w:sz w:val="22"/>
          <w:szCs w:val="22"/>
        </w:rPr>
        <w:t xml:space="preserve">BKT has four parameters per skill: p_init (the prior probability of mastery), p_learn (the probability of transitioning from unknown to known on a single opportunity), p_slip (the probability of an error given mastery), and p_guess (the probability of a lucky correct given non-mastery). For a children's platform, sensible defaults are:</w:t>
      </w:r>
    </w:p>
    <w:p>
      <w:pPr>
        <w:pStyle w:val="ListParagraph"/>
        <w:numPr>
          <w:ilvl w:val="0"/>
          <w:numId w:val="3"/>
        </w:numPr>
        <w:spacing w:after="80"/>
      </w:pPr>
      <w:r>
        <w:rPr>
          <w:rFonts w:ascii="Calibri" w:cs="Calibri" w:eastAsia="Calibri" w:hAnsi="Calibri"/>
          <w:b w:val="false"/>
          <w:bCs w:val="false"/>
          <w:color w:val="111827"/>
          <w:sz w:val="22"/>
          <w:szCs w:val="22"/>
        </w:rPr>
        <w:t xml:space="preserve">p_init = 0.05 — most under-7s have not seen most skills.</w:t>
      </w:r>
    </w:p>
    <w:p>
      <w:pPr>
        <w:pStyle w:val="ListParagraph"/>
        <w:numPr>
          <w:ilvl w:val="0"/>
          <w:numId w:val="3"/>
        </w:numPr>
        <w:spacing w:after="80"/>
      </w:pPr>
      <w:r>
        <w:rPr>
          <w:rFonts w:ascii="Calibri" w:cs="Calibri" w:eastAsia="Calibri" w:hAnsi="Calibri"/>
          <w:b w:val="false"/>
          <w:bCs w:val="false"/>
          <w:color w:val="111827"/>
          <w:sz w:val="22"/>
          <w:szCs w:val="22"/>
        </w:rPr>
        <w:t xml:space="preserve">p_learn = 0.20 — moderate. Will be calibrated empirically per skill once we have 200+ attempts.</w:t>
      </w:r>
    </w:p>
    <w:p>
      <w:pPr>
        <w:pStyle w:val="ListParagraph"/>
        <w:numPr>
          <w:ilvl w:val="0"/>
          <w:numId w:val="3"/>
        </w:numPr>
        <w:spacing w:after="80"/>
      </w:pPr>
      <w:r>
        <w:rPr>
          <w:rFonts w:ascii="Calibri" w:cs="Calibri" w:eastAsia="Calibri" w:hAnsi="Calibri"/>
          <w:b w:val="false"/>
          <w:bCs w:val="false"/>
          <w:color w:val="111827"/>
          <w:sz w:val="22"/>
          <w:szCs w:val="22"/>
        </w:rPr>
        <w:t xml:space="preserve">p_slip = 0.08 — accounts for hand-tracking noise.</w:t>
      </w:r>
    </w:p>
    <w:p>
      <w:pPr>
        <w:pStyle w:val="ListParagraph"/>
        <w:numPr>
          <w:ilvl w:val="0"/>
          <w:numId w:val="3"/>
        </w:numPr>
        <w:spacing w:after="80"/>
      </w:pPr>
      <w:r>
        <w:rPr>
          <w:rFonts w:ascii="Calibri" w:cs="Calibri" w:eastAsia="Calibri" w:hAnsi="Calibri"/>
          <w:b w:val="false"/>
          <w:bCs w:val="false"/>
          <w:color w:val="111827"/>
          <w:sz w:val="22"/>
          <w:szCs w:val="22"/>
        </w:rPr>
        <w:t xml:space="preserve">p_guess = 0.15 for two-bin choices, 0.25 for four-option, 0.05 for free-stroke. Skill-by-skill.</w:t>
      </w:r>
    </w:p>
    <w:p>
      <w:pPr>
        <w:spacing w:after="80" w:before="0"/>
      </w:pPr>
      <w:r>
        <w:rPr>
          <w:rFonts w:ascii="Calibri" w:cs="Calibri" w:eastAsia="Calibri" w:hAnsi="Calibri"/>
          <w:b w:val="false"/>
          <w:bCs w:val="false"/>
          <w:i w:val="false"/>
          <w:iCs w:val="false"/>
          <w:color w:val="111827"/>
          <w:sz w:val="22"/>
          <w:szCs w:val="22"/>
        </w:rPr>
        <w:t xml:space="preserve">After each attempt, p_known updates by Bayes' rule:</w:t>
      </w:r>
    </w:p>
    <w:p>
      <w:pPr>
        <w:spacing w:after="120" w:before="0"/>
      </w:pPr>
      <w:r>
        <w:rPr>
          <w:rFonts w:ascii="Consolas" w:cs="Consolas" w:eastAsia="Consolas" w:hAnsi="Consolas"/>
          <w:b w:val="false"/>
          <w:bCs w:val="false"/>
          <w:i w:val="false"/>
          <w:iCs w:val="false"/>
          <w:color w:val="111827"/>
          <w:sz w:val="20"/>
          <w:szCs w:val="20"/>
        </w:rPr>
        <w:t xml:space="preserve">  P(known | correct) = P(known) × (1 - p_slip) ÷ [P(known) × (1 - p_slip) + (1 - P(known)) × p_guess]</w:t>
      </w:r>
    </w:p>
    <w:p>
      <w:pPr>
        <w:spacing w:after="120" w:before="0"/>
      </w:pPr>
      <w:r>
        <w:rPr>
          <w:rFonts w:ascii="Consolas" w:cs="Consolas" w:eastAsia="Consolas" w:hAnsi="Consolas"/>
          <w:b w:val="false"/>
          <w:bCs w:val="false"/>
          <w:i w:val="false"/>
          <w:iCs w:val="false"/>
          <w:color w:val="111827"/>
          <w:sz w:val="20"/>
          <w:szCs w:val="20"/>
        </w:rPr>
        <w:t xml:space="preserve">  P(known | incorrect) = P(known) × p_slip ÷ [P(known) × p_slip + (1 - P(known)) × (1 - p_guess)]</w:t>
      </w:r>
    </w:p>
    <w:p>
      <w:pPr>
        <w:spacing w:after="120" w:before="0"/>
      </w:pPr>
      <w:r>
        <w:rPr>
          <w:rFonts w:ascii="Consolas" w:cs="Consolas" w:eastAsia="Consolas" w:hAnsi="Consolas"/>
          <w:b w:val="false"/>
          <w:bCs w:val="false"/>
          <w:i w:val="false"/>
          <w:iCs w:val="false"/>
          <w:color w:val="111827"/>
          <w:sz w:val="20"/>
          <w:szCs w:val="20"/>
        </w:rPr>
        <w:t xml:space="preserve">  Then: P_next(known) = P(known | observation) + (1 - P(known | observation)) × p_learn</w:t>
      </w:r>
    </w:p>
    <w:p>
      <w:pPr>
        <w:spacing w:after="120" w:before="0"/>
      </w:pPr>
      <w:r>
        <w:rPr>
          <w:rFonts w:ascii="Calibri" w:cs="Calibri" w:eastAsia="Calibri" w:hAnsi="Calibri"/>
          <w:b w:val="false"/>
          <w:bCs w:val="false"/>
          <w:i w:val="false"/>
          <w:iCs w:val="false"/>
          <w:color w:val="111827"/>
          <w:sz w:val="22"/>
          <w:szCs w:val="22"/>
        </w:rPr>
        <w:t xml:space="preserve">Mastery is declared at p_known ≥ 0.95 sustained across two non-adjacent days. Retained mastery is declared at p_known ≥ 0.85 after a 7-day probe without re-practice.</w:t>
      </w:r>
    </w:p>
    <w:p>
      <w:pPr>
        <w:pStyle w:val="Heading2"/>
        <w:spacing w:after="120" w:before="280"/>
      </w:pPr>
      <w:r>
        <w:rPr>
          <w:rFonts w:ascii="Calibri" w:cs="Calibri" w:eastAsia="Calibri" w:hAnsi="Calibri"/>
          <w:b/>
          <w:bCs/>
          <w:color w:val="111827"/>
          <w:sz w:val="28"/>
          <w:szCs w:val="28"/>
        </w:rPr>
        <w:t xml:space="preserve">4.3  Latency model</w:t>
      </w:r>
    </w:p>
    <w:p>
      <w:pPr>
        <w:spacing w:after="120" w:before="0"/>
      </w:pPr>
      <w:r>
        <w:rPr>
          <w:rFonts w:ascii="Calibri" w:cs="Calibri" w:eastAsia="Calibri" w:hAnsi="Calibri"/>
          <w:b w:val="false"/>
          <w:bCs w:val="false"/>
          <w:i w:val="false"/>
          <w:iCs w:val="false"/>
          <w:color w:val="111827"/>
          <w:sz w:val="22"/>
          <w:szCs w:val="22"/>
        </w:rPr>
        <w:t xml:space="preserve">Latency is modelled as a log-normal random variable per (learner, skill). The platform tracks the EWMA of log(time_to_first_correct_ms) with a smoothing parameter α = 0.3. Improvement is declared as a sustained decrease of ≥ 0.2 log-seconds across a 5-attempt window.</w:t>
      </w:r>
    </w:p>
    <w:p>
      <w:pPr>
        <w:pStyle w:val="Heading2"/>
        <w:spacing w:after="120" w:before="280"/>
      </w:pPr>
      <w:r>
        <w:rPr>
          <w:rFonts w:ascii="Calibri" w:cs="Calibri" w:eastAsia="Calibri" w:hAnsi="Calibri"/>
          <w:b/>
          <w:bCs/>
          <w:color w:val="111827"/>
          <w:sz w:val="28"/>
          <w:szCs w:val="28"/>
        </w:rPr>
        <w:t xml:space="preserve">4.4  Autonomy model</w:t>
      </w:r>
    </w:p>
    <w:p>
      <w:pPr>
        <w:spacing w:after="120" w:before="0"/>
      </w:pPr>
      <w:r>
        <w:rPr>
          <w:rFonts w:ascii="Calibri" w:cs="Calibri" w:eastAsia="Calibri" w:hAnsi="Calibri"/>
          <w:b w:val="false"/>
          <w:bCs w:val="false"/>
          <w:i w:val="false"/>
          <w:iCs w:val="false"/>
          <w:color w:val="111827"/>
          <w:sz w:val="22"/>
          <w:szCs w:val="22"/>
        </w:rPr>
        <w:t xml:space="preserve">Autonomy is the inverse of dependency. For each skill, the platform tracks the rate of hint_acted_on per attempt, exponentially weighted. Mastery without autonomy (high p_known with high hint rate) is flagged separately on the teacher view — it is partial knowledge.</w:t>
      </w:r>
    </w:p>
    <w:p>
      <w:pPr>
        <w:pStyle w:val="Heading2"/>
        <w:spacing w:after="120" w:before="280"/>
      </w:pPr>
      <w:r>
        <w:rPr>
          <w:rFonts w:ascii="Calibri" w:cs="Calibri" w:eastAsia="Calibri" w:hAnsi="Calibri"/>
          <w:b/>
          <w:bCs/>
          <w:color w:val="111827"/>
          <w:sz w:val="28"/>
          <w:szCs w:val="28"/>
        </w:rPr>
        <w:t xml:space="preserve">4.5  Decay and forgetting</w:t>
      </w:r>
    </w:p>
    <w:p>
      <w:pPr>
        <w:spacing w:after="80" w:before="0"/>
      </w:pPr>
      <w:r>
        <w:rPr>
          <w:rFonts w:ascii="Calibri" w:cs="Calibri" w:eastAsia="Calibri" w:hAnsi="Calibri"/>
          <w:b w:val="false"/>
          <w:bCs w:val="false"/>
          <w:i w:val="false"/>
          <w:iCs w:val="false"/>
          <w:color w:val="111827"/>
          <w:sz w:val="22"/>
          <w:szCs w:val="22"/>
        </w:rPr>
        <w:t xml:space="preserve">Without re-probing, p_known should decay slowly toward a prior. We model decay as exponential:</w:t>
      </w:r>
    </w:p>
    <w:p>
      <w:pPr>
        <w:spacing w:after="120" w:before="0"/>
      </w:pPr>
      <w:r>
        <w:rPr>
          <w:rFonts w:ascii="Consolas" w:cs="Consolas" w:eastAsia="Consolas" w:hAnsi="Consolas"/>
          <w:b w:val="false"/>
          <w:bCs w:val="false"/>
          <w:i w:val="false"/>
          <w:iCs w:val="false"/>
          <w:color w:val="111827"/>
          <w:sz w:val="20"/>
          <w:szCs w:val="20"/>
        </w:rPr>
        <w:t xml:space="preserve">  P(known, t) = P(known, t₀) × exp(-λ × Δt_days)</w:t>
      </w:r>
    </w:p>
    <w:p>
      <w:pPr>
        <w:spacing w:after="120" w:before="0"/>
      </w:pPr>
      <w:r>
        <w:rPr>
          <w:rFonts w:ascii="Calibri" w:cs="Calibri" w:eastAsia="Calibri" w:hAnsi="Calibri"/>
          <w:b w:val="false"/>
          <w:bCs w:val="false"/>
          <w:i w:val="false"/>
          <w:iCs w:val="false"/>
          <w:color w:val="111827"/>
          <w:sz w:val="22"/>
          <w:szCs w:val="22"/>
        </w:rPr>
        <w:t xml:space="preserve">With λ = 0.02 per day for under-7s, calibrated against the partner-school cohort. This decay is what makes probes meaningful — without it, "mastery" is forever, which is not how children actually work.</w:t>
      </w:r>
    </w:p>
    <w:p>
      <w:pPr>
        <w:pStyle w:val="Heading2"/>
        <w:spacing w:after="120" w:before="280"/>
      </w:pPr>
      <w:r>
        <w:rPr>
          <w:rFonts w:ascii="Calibri" w:cs="Calibri" w:eastAsia="Calibri" w:hAnsi="Calibri"/>
          <w:b/>
          <w:bCs/>
          <w:color w:val="111827"/>
          <w:sz w:val="28"/>
          <w:szCs w:val="28"/>
        </w:rPr>
        <w:t xml:space="preserve">4.6  Difficulty estimation (IRT-lite)</w:t>
      </w:r>
    </w:p>
    <w:p>
      <w:pPr>
        <w:spacing w:after="80" w:before="0"/>
      </w:pPr>
      <w:r>
        <w:rPr>
          <w:rFonts w:ascii="Calibri" w:cs="Calibri" w:eastAsia="Calibri" w:hAnsi="Calibri"/>
          <w:b w:val="false"/>
          <w:bCs w:val="false"/>
          <w:i w:val="false"/>
          <w:iCs w:val="false"/>
          <w:color w:val="111827"/>
          <w:sz w:val="22"/>
          <w:szCs w:val="22"/>
        </w:rPr>
        <w:t xml:space="preserve">Each item has a difficulty parameter d in logit space. We update d by Elo-style mutual updates against learner ability θ:</w:t>
      </w:r>
    </w:p>
    <w:p>
      <w:pPr>
        <w:spacing w:after="120" w:before="0"/>
      </w:pPr>
      <w:r>
        <w:rPr>
          <w:rFonts w:ascii="Consolas" w:cs="Consolas" w:eastAsia="Consolas" w:hAnsi="Consolas"/>
          <w:b w:val="false"/>
          <w:bCs w:val="false"/>
          <w:i w:val="false"/>
          <w:iCs w:val="false"/>
          <w:color w:val="111827"/>
          <w:sz w:val="20"/>
          <w:szCs w:val="20"/>
        </w:rPr>
        <w:t xml:space="preserve">  E[correct] = sigmoid(θ - d)</w:t>
      </w:r>
    </w:p>
    <w:p>
      <w:pPr>
        <w:spacing w:after="120" w:before="0"/>
      </w:pPr>
      <w:r>
        <w:rPr>
          <w:rFonts w:ascii="Consolas" w:cs="Consolas" w:eastAsia="Consolas" w:hAnsi="Consolas"/>
          <w:b w:val="false"/>
          <w:bCs w:val="false"/>
          <w:i w:val="false"/>
          <w:iCs w:val="false"/>
          <w:color w:val="111827"/>
          <w:sz w:val="20"/>
          <w:szCs w:val="20"/>
        </w:rPr>
        <w:t xml:space="preserve">  θ_new = θ_old + K × (correct - E[correct]),  K = 0.4</w:t>
      </w:r>
    </w:p>
    <w:p>
      <w:pPr>
        <w:spacing w:after="120" w:before="0"/>
      </w:pPr>
      <w:r>
        <w:rPr>
          <w:rFonts w:ascii="Consolas" w:cs="Consolas" w:eastAsia="Consolas" w:hAnsi="Consolas"/>
          <w:b w:val="false"/>
          <w:bCs w:val="false"/>
          <w:i w:val="false"/>
          <w:iCs w:val="false"/>
          <w:color w:val="111827"/>
          <w:sz w:val="20"/>
          <w:szCs w:val="20"/>
        </w:rPr>
        <w:t xml:space="preserve">  d_new = d_old + K × (E[correct] - correct),  K = 0.1 (items drift slower than learners)</w:t>
      </w:r>
    </w:p>
    <w:p>
      <w:pPr>
        <w:spacing w:after="120" w:before="0"/>
      </w:pPr>
      <w:r>
        <w:rPr>
          <w:rFonts w:ascii="Calibri" w:cs="Calibri" w:eastAsia="Calibri" w:hAnsi="Calibri"/>
          <w:b w:val="false"/>
          <w:bCs w:val="false"/>
          <w:i w:val="false"/>
          <w:iCs w:val="false"/>
          <w:color w:val="111827"/>
          <w:sz w:val="22"/>
          <w:szCs w:val="22"/>
        </w:rPr>
        <w:t xml:space="preserve">θ is a per-learner-per-domain (literacy, numeracy, motor) scalar. It is not stored as "intelligence" — it is a calibration parameter for difficulty comparison only. It does not appear on any teacher- or parent-facing surface.</w:t>
      </w:r>
    </w:p>
    <w:p>
      <w:pPr>
        <w:pStyle w:val="Heading2"/>
        <w:spacing w:after="120" w:before="280"/>
      </w:pPr>
      <w:r>
        <w:rPr>
          <w:rFonts w:ascii="Calibri" w:cs="Calibri" w:eastAsia="Calibri" w:hAnsi="Calibri"/>
          <w:b/>
          <w:bCs/>
          <w:color w:val="111827"/>
          <w:sz w:val="28"/>
          <w:szCs w:val="28"/>
        </w:rPr>
        <w:t xml:space="preserve">4.7  What this model does NOT do</w:t>
      </w:r>
    </w:p>
    <w:p>
      <w:pPr>
        <w:pStyle w:val="ListParagraph"/>
        <w:numPr>
          <w:ilvl w:val="0"/>
          <w:numId w:val="3"/>
        </w:numPr>
        <w:spacing w:after="80"/>
      </w:pPr>
      <w:r>
        <w:rPr>
          <w:rFonts w:ascii="Calibri" w:cs="Calibri" w:eastAsia="Calibri" w:hAnsi="Calibri"/>
          <w:b w:val="false"/>
          <w:bCs w:val="false"/>
          <w:color w:val="111827"/>
          <w:sz w:val="22"/>
          <w:szCs w:val="22"/>
        </w:rPr>
        <w:t xml:space="preserve">It does not diagnose dyslexia, dyspraxia, dyscalculia, or any clinical condition. The platform produces patterns; clinicians produce diagnoses.</w:t>
      </w:r>
    </w:p>
    <w:p>
      <w:pPr>
        <w:pStyle w:val="ListParagraph"/>
        <w:numPr>
          <w:ilvl w:val="0"/>
          <w:numId w:val="3"/>
        </w:numPr>
        <w:spacing w:after="80"/>
      </w:pPr>
      <w:r>
        <w:rPr>
          <w:rFonts w:ascii="Calibri" w:cs="Calibri" w:eastAsia="Calibri" w:hAnsi="Calibri"/>
          <w:b w:val="false"/>
          <w:bCs w:val="false"/>
          <w:color w:val="111827"/>
          <w:sz w:val="22"/>
          <w:szCs w:val="22"/>
        </w:rPr>
        <w:t xml:space="preserve">It does not produce intelligence or ability rankings. θ is a calibration parameter, not a score.</w:t>
      </w:r>
    </w:p>
    <w:p>
      <w:pPr>
        <w:pStyle w:val="ListParagraph"/>
        <w:numPr>
          <w:ilvl w:val="0"/>
          <w:numId w:val="3"/>
        </w:numPr>
        <w:spacing w:after="80"/>
      </w:pPr>
      <w:r>
        <w:rPr>
          <w:rFonts w:ascii="Calibri" w:cs="Calibri" w:eastAsia="Calibri" w:hAnsi="Calibri"/>
          <w:b w:val="false"/>
          <w:bCs w:val="false"/>
          <w:color w:val="111827"/>
          <w:sz w:val="22"/>
          <w:szCs w:val="22"/>
        </w:rPr>
        <w:t xml:space="preserve">It does not predict future performance beyond the next session. Long-horizon predictions in child learning are unreliable and would be misleading.</w:t>
      </w:r>
    </w:p>
    <w:p>
      <w:pPr>
        <w:pStyle w:val="ListParagraph"/>
        <w:numPr>
          <w:ilvl w:val="0"/>
          <w:numId w:val="3"/>
        </w:numPr>
        <w:spacing w:after="80"/>
      </w:pPr>
      <w:r>
        <w:rPr>
          <w:rFonts w:ascii="Calibri" w:cs="Calibri" w:eastAsia="Calibri" w:hAnsi="Calibri"/>
          <w:b w:val="false"/>
          <w:bCs w:val="false"/>
          <w:color w:val="111827"/>
          <w:sz w:val="22"/>
          <w:szCs w:val="22"/>
        </w:rPr>
        <w:t xml:space="preserve">It does not rank children against children. Comparisons are always against the child's own prior trajectory or against an anonymised cohort distribution.</w:t>
      </w:r>
    </w:p>
    <w:p>
      <w:pPr>
        <w:pStyle w:val="Heading1"/>
        <w:pageBreakBefore/>
        <w:spacing w:after="160" w:before="360"/>
      </w:pPr>
      <w:r>
        <w:rPr>
          <w:rFonts w:ascii="Calibri" w:cs="Calibri" w:eastAsia="Calibri" w:hAnsi="Calibri"/>
          <w:b/>
          <w:bCs/>
          <w:color w:val="0F766E"/>
          <w:sz w:val="36"/>
          <w:szCs w:val="36"/>
        </w:rPr>
        <w:t xml:space="preserve">5. Skill Progression Logic</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The skill graph is what makes the system more than a flat collection of items. It is also the artefact that EdTech buyers and grant reviewers most want to see, because it shows pedagogical intent.</w:t>
      </w:r>
    </w:p>
    <w:p>
      <w:pPr>
        <w:pStyle w:val="Heading2"/>
        <w:spacing w:after="120" w:before="280"/>
      </w:pPr>
      <w:r>
        <w:rPr>
          <w:rFonts w:ascii="Calibri" w:cs="Calibri" w:eastAsia="Calibri" w:hAnsi="Calibri"/>
          <w:b/>
          <w:bCs/>
          <w:color w:val="111827"/>
          <w:sz w:val="28"/>
          <w:szCs w:val="28"/>
        </w:rPr>
        <w:t xml:space="preserve">5.1  Skill graph structure</w:t>
      </w:r>
    </w:p>
    <w:p>
      <w:pPr>
        <w:spacing w:after="80" w:before="0"/>
      </w:pPr>
      <w:r>
        <w:rPr>
          <w:rFonts w:ascii="Calibri" w:cs="Calibri" w:eastAsia="Calibri" w:hAnsi="Calibri"/>
          <w:b w:val="false"/>
          <w:bCs w:val="false"/>
          <w:i w:val="false"/>
          <w:iCs w:val="false"/>
          <w:color w:val="111827"/>
          <w:sz w:val="22"/>
          <w:szCs w:val="22"/>
        </w:rPr>
        <w:t xml:space="preserve">Each skill is a node. Each node has prerequisites (directed edges from required prior skills) and corequisites (skills that should be in similar p_known state). The graph is acyclic and stored in the skills table.</w:t>
      </w:r>
    </w:p>
    <w:p>
      <w:pPr>
        <w:spacing w:after="80" w:before="0"/>
      </w:pPr>
      <w:r>
        <w:rPr>
          <w:rFonts w:ascii="Calibri" w:cs="Calibri" w:eastAsia="Calibri" w:hAnsi="Calibri"/>
          <w:b/>
          <w:bCs/>
          <w:i w:val="false"/>
          <w:iCs w:val="false"/>
          <w:color w:val="111827"/>
          <w:sz w:val="22"/>
          <w:szCs w:val="22"/>
        </w:rPr>
        <w:t xml:space="preserve">Three example slices:</w:t>
      </w:r>
    </w:p>
    <w:p>
      <w:pPr>
        <w:pStyle w:val="ListParagraph"/>
        <w:numPr>
          <w:ilvl w:val="0"/>
          <w:numId w:val="3"/>
        </w:numPr>
        <w:spacing w:after="80"/>
      </w:pPr>
      <w:r>
        <w:rPr>
          <w:rFonts w:ascii="Calibri" w:cs="Calibri" w:eastAsia="Calibri" w:hAnsi="Calibri"/>
          <w:b/>
          <w:bCs/>
          <w:i w:val="false"/>
          <w:iCs w:val="false"/>
          <w:color w:val="111827"/>
          <w:sz w:val="22"/>
          <w:szCs w:val="22"/>
        </w:rPr>
        <w:t xml:space="preserve">Pre-writing → Tracing: </w:t>
      </w:r>
      <w:r>
        <w:rPr>
          <w:rFonts w:ascii="Calibri" w:cs="Calibri" w:eastAsia="Calibri" w:hAnsi="Calibri"/>
          <w:color w:val="111827"/>
          <w:sz w:val="22"/>
          <w:szCs w:val="22"/>
        </w:rPr>
        <w:t xml:space="preserve">motor:vertical-down  ←  motor:diagonal-right-down  ←  letter:b:lowercase, letter:d:lowercase, letter:p:lowercase, letter:q:lowercase.</w:t>
      </w:r>
    </w:p>
    <w:p>
      <w:pPr>
        <w:pStyle w:val="ListParagraph"/>
        <w:numPr>
          <w:ilvl w:val="0"/>
          <w:numId w:val="3"/>
        </w:numPr>
        <w:spacing w:after="80"/>
      </w:pPr>
      <w:r>
        <w:rPr>
          <w:rFonts w:ascii="Calibri" w:cs="Calibri" w:eastAsia="Calibri" w:hAnsi="Calibri"/>
          <w:b/>
          <w:bCs/>
          <w:i w:val="false"/>
          <w:iCs w:val="false"/>
          <w:color w:val="111827"/>
          <w:sz w:val="22"/>
          <w:szCs w:val="22"/>
        </w:rPr>
        <w:t xml:space="preserve">Numeracy: </w:t>
      </w:r>
      <w:r>
        <w:rPr>
          <w:rFonts w:ascii="Calibri" w:cs="Calibri" w:eastAsia="Calibri" w:hAnsi="Calibri"/>
          <w:color w:val="111827"/>
          <w:sz w:val="22"/>
          <w:szCs w:val="22"/>
        </w:rPr>
        <w:t xml:space="preserve">numeracy:count-to-10  ←  numeracy:numeral-recognition-0-9  ←  numeracy:single-digit-add  ←  numeracy:add-within-10  ←  numeracy:add-within-20.</w:t>
      </w:r>
    </w:p>
    <w:p>
      <w:pPr>
        <w:pStyle w:val="ListParagraph"/>
        <w:numPr>
          <w:ilvl w:val="0"/>
          <w:numId w:val="3"/>
        </w:numPr>
        <w:spacing w:after="80"/>
      </w:pPr>
      <w:r>
        <w:rPr>
          <w:rFonts w:ascii="Calibri" w:cs="Calibri" w:eastAsia="Calibri" w:hAnsi="Calibri"/>
          <w:b/>
          <w:bCs/>
          <w:i w:val="false"/>
          <w:iCs w:val="false"/>
          <w:color w:val="111827"/>
          <w:sz w:val="22"/>
          <w:szCs w:val="22"/>
        </w:rPr>
        <w:t xml:space="preserve">Colour: </w:t>
      </w:r>
      <w:r>
        <w:rPr>
          <w:rFonts w:ascii="Calibri" w:cs="Calibri" w:eastAsia="Calibri" w:hAnsi="Calibri"/>
          <w:color w:val="111827"/>
          <w:sz w:val="22"/>
          <w:szCs w:val="22"/>
        </w:rPr>
        <w:t xml:space="preserve">colour:primary-recognise  ←  colour:secondary-recognise  ←  colour:primary-mix-rule  ←  colour:secondary-mix-rule.</w:t>
      </w:r>
    </w:p>
    <w:p>
      <w:pPr>
        <w:pStyle w:val="Heading2"/>
        <w:spacing w:after="120" w:before="280"/>
      </w:pPr>
      <w:r>
        <w:rPr>
          <w:rFonts w:ascii="Calibri" w:cs="Calibri" w:eastAsia="Calibri" w:hAnsi="Calibri"/>
          <w:b/>
          <w:bCs/>
          <w:color w:val="111827"/>
          <w:sz w:val="28"/>
          <w:szCs w:val="28"/>
        </w:rPr>
        <w:t xml:space="preserve">5.2  Stage gating and unlock rules</w:t>
      </w:r>
    </w:p>
    <w:p>
      <w:pPr>
        <w:spacing w:after="80" w:before="0"/>
      </w:pPr>
      <w:r>
        <w:rPr>
          <w:rFonts w:ascii="Calibri" w:cs="Calibri" w:eastAsia="Calibri" w:hAnsi="Calibri"/>
          <w:b w:val="false"/>
          <w:bCs w:val="false"/>
          <w:i w:val="false"/>
          <w:iCs w:val="false"/>
          <w:color w:val="111827"/>
          <w:sz w:val="22"/>
          <w:szCs w:val="22"/>
        </w:rPr>
        <w:t xml:space="preserve">The platform should not let a child practise a skill in deep isolation if its prerequisite has p_known &lt; 0.5. Instead, the prerequisite is re-offered first. The gate is soft (one tap to override) and the override is logged as prerequisite_skipped.</w:t>
      </w:r>
    </w:p>
    <w:p>
      <w:pPr>
        <w:pStyle w:val="ListParagraph"/>
        <w:numPr>
          <w:ilvl w:val="0"/>
          <w:numId w:val="3"/>
        </w:numPr>
        <w:spacing w:after="80"/>
      </w:pPr>
      <w:r>
        <w:rPr>
          <w:rFonts w:ascii="Calibri" w:cs="Calibri" w:eastAsia="Calibri" w:hAnsi="Calibri"/>
          <w:b w:val="false"/>
          <w:bCs w:val="false"/>
          <w:color w:val="111827"/>
          <w:sz w:val="22"/>
          <w:szCs w:val="22"/>
        </w:rPr>
        <w:t xml:space="preserve">Hard gate: prerequisites with p_known &lt; 0.3 must be addressed before the dependent is offered.</w:t>
      </w:r>
    </w:p>
    <w:p>
      <w:pPr>
        <w:pStyle w:val="ListParagraph"/>
        <w:numPr>
          <w:ilvl w:val="0"/>
          <w:numId w:val="3"/>
        </w:numPr>
        <w:spacing w:after="80"/>
      </w:pPr>
      <w:r>
        <w:rPr>
          <w:rFonts w:ascii="Calibri" w:cs="Calibri" w:eastAsia="Calibri" w:hAnsi="Calibri"/>
          <w:b w:val="false"/>
          <w:bCs w:val="false"/>
          <w:color w:val="111827"/>
          <w:sz w:val="22"/>
          <w:szCs w:val="22"/>
        </w:rPr>
        <w:t xml:space="preserve">Soft gate: prerequisites with 0.3 ≤ p_known &lt; 0.6 are recommended but optional.</w:t>
      </w:r>
    </w:p>
    <w:p>
      <w:pPr>
        <w:pStyle w:val="ListParagraph"/>
        <w:numPr>
          <w:ilvl w:val="0"/>
          <w:numId w:val="3"/>
        </w:numPr>
        <w:spacing w:after="80"/>
      </w:pPr>
      <w:r>
        <w:rPr>
          <w:rFonts w:ascii="Calibri" w:cs="Calibri" w:eastAsia="Calibri" w:hAnsi="Calibri"/>
          <w:b w:val="false"/>
          <w:bCs w:val="false"/>
          <w:color w:val="111827"/>
          <w:sz w:val="22"/>
          <w:szCs w:val="22"/>
        </w:rPr>
        <w:t xml:space="preserve">Free choice: above 0.6, the child may pick anything in the unlocked frontier.</w:t>
      </w:r>
    </w:p>
    <w:p>
      <w:pPr>
        <w:pStyle w:val="Heading2"/>
        <w:spacing w:after="120" w:before="280"/>
      </w:pPr>
      <w:r>
        <w:rPr>
          <w:rFonts w:ascii="Calibri" w:cs="Calibri" w:eastAsia="Calibri" w:hAnsi="Calibri"/>
          <w:b/>
          <w:bCs/>
          <w:color w:val="111827"/>
          <w:sz w:val="28"/>
          <w:szCs w:val="28"/>
        </w:rPr>
        <w:t xml:space="preserve">5.3  Adaptive sequencing</w:t>
      </w:r>
    </w:p>
    <w:p>
      <w:pPr>
        <w:spacing w:after="120" w:before="0"/>
      </w:pPr>
      <w:r>
        <w:rPr>
          <w:rFonts w:ascii="Calibri" w:cs="Calibri" w:eastAsia="Calibri" w:hAnsi="Calibri"/>
          <w:b w:val="false"/>
          <w:bCs w:val="false"/>
          <w:i w:val="false"/>
          <w:iCs w:val="false"/>
          <w:color w:val="111827"/>
          <w:sz w:val="22"/>
          <w:szCs w:val="22"/>
        </w:rPr>
        <w:t xml:space="preserve">Within the unlocked frontier, the next item is chosen by maximising expected information gain — the item where the platform is most uncertain about the learner's p_known. This concentrates practice where it teaches the most. Items where p_known &gt; 0.9 are de-prioritised in favour of probe scheduling (Section 8.3).</w:t>
      </w:r>
    </w:p>
    <w:p>
      <w:pPr>
        <w:pStyle w:val="Heading2"/>
        <w:spacing w:after="120" w:before="280"/>
      </w:pPr>
      <w:r>
        <w:rPr>
          <w:rFonts w:ascii="Calibri" w:cs="Calibri" w:eastAsia="Calibri" w:hAnsi="Calibri"/>
          <w:b/>
          <w:bCs/>
          <w:color w:val="111827"/>
          <w:sz w:val="28"/>
          <w:szCs w:val="28"/>
        </w:rPr>
        <w:t xml:space="preserve">5.4  Mastery progression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State</w:t>
            </w:r>
          </w:p>
        </w:tc>
        <w:tc>
          <w:tcPr>
            <w:tcW w:type="dxa" w:w="38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Criterion</w:t>
            </w:r>
          </w:p>
        </w:tc>
        <w:tc>
          <w:tcPr>
            <w:tcW w:type="dxa" w:w="37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What happens next</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new</w:t>
            </w:r>
          </w:p>
        </w:tc>
        <w:tc>
          <w:tcPr>
            <w:tcW w:type="dxa" w:w="3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attempts recorded.</w:t>
            </w:r>
          </w:p>
        </w:tc>
        <w:tc>
          <w:tcPr>
            <w:tcW w:type="dxa" w:w="3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Item enters the candidate pool.</w:t>
            </w:r>
          </w:p>
        </w:tc>
      </w:tr>
      <w:tr>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emerging</w:t>
            </w:r>
          </w:p>
        </w:tc>
        <w:tc>
          <w:tcPr>
            <w:tcW w:type="dxa" w:w="3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1–4 attempts, p_known &lt; 0.5.</w:t>
            </w:r>
          </w:p>
        </w:tc>
        <w:tc>
          <w:tcPr>
            <w:tcW w:type="dxa" w:w="37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High-frequency presentation, easy variant.</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practising</w:t>
            </w:r>
          </w:p>
        </w:tc>
        <w:tc>
          <w:tcPr>
            <w:tcW w:type="dxa" w:w="3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5+ attempts, 0.5 ≤ p_known &lt; 0.85.</w:t>
            </w:r>
          </w:p>
        </w:tc>
        <w:tc>
          <w:tcPr>
            <w:tcW w:type="dxa" w:w="3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Mixed practice, occasional harder variant.</w:t>
            </w:r>
          </w:p>
        </w:tc>
      </w:tr>
      <w:tr>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strong</w:t>
            </w:r>
          </w:p>
        </w:tc>
        <w:tc>
          <w:tcPr>
            <w:tcW w:type="dxa" w:w="3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p_known ≥ 0.85, attempts ≥ 5.</w:t>
            </w:r>
          </w:p>
        </w:tc>
        <w:tc>
          <w:tcPr>
            <w:tcW w:type="dxa" w:w="37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Eligible for probe scheduling at +3 days.</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mastered</w:t>
            </w:r>
          </w:p>
        </w:tc>
        <w:tc>
          <w:tcPr>
            <w:tcW w:type="dxa" w:w="3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p_known ≥ 0.95 sustained across two non-adjacent days.</w:t>
            </w:r>
          </w:p>
        </w:tc>
        <w:tc>
          <w:tcPr>
            <w:tcW w:type="dxa" w:w="3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scheduled at +7 days.</w:t>
            </w:r>
          </w:p>
        </w:tc>
      </w:tr>
      <w:tr>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retained</w:t>
            </w:r>
          </w:p>
        </w:tc>
        <w:tc>
          <w:tcPr>
            <w:tcW w:type="dxa" w:w="3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passed at +7 days without practice in between.</w:t>
            </w:r>
          </w:p>
        </w:tc>
        <w:tc>
          <w:tcPr>
            <w:tcW w:type="dxa" w:w="37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scheduled at +30 days.</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decayed</w:t>
            </w:r>
          </w:p>
        </w:tc>
        <w:tc>
          <w:tcPr>
            <w:tcW w:type="dxa" w:w="3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failed at +7 or +30.</w:t>
            </w:r>
          </w:p>
        </w:tc>
        <w:tc>
          <w:tcPr>
            <w:tcW w:type="dxa" w:w="3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Returns to practising state.</w:t>
            </w:r>
          </w:p>
        </w:tc>
      </w:tr>
    </w:tbl>
    <w:p>
      <w:pPr>
        <w:pStyle w:val="Heading2"/>
        <w:spacing w:after="120" w:before="280"/>
      </w:pPr>
      <w:r>
        <w:rPr>
          <w:rFonts w:ascii="Calibri" w:cs="Calibri" w:eastAsia="Calibri" w:hAnsi="Calibri"/>
          <w:b/>
          <w:bCs/>
          <w:color w:val="111827"/>
          <w:sz w:val="28"/>
          <w:szCs w:val="28"/>
        </w:rPr>
        <w:t xml:space="preserve">5.5  Confidence progression</w:t>
      </w:r>
    </w:p>
    <w:p>
      <w:pPr>
        <w:spacing w:after="80" w:before="0"/>
      </w:pPr>
      <w:r>
        <w:rPr>
          <w:rFonts w:ascii="Calibri" w:cs="Calibri" w:eastAsia="Calibri" w:hAnsi="Calibri"/>
          <w:b w:val="false"/>
          <w:bCs w:val="false"/>
          <w:i w:val="false"/>
          <w:iCs w:val="false"/>
          <w:color w:val="111827"/>
          <w:sz w:val="22"/>
          <w:szCs w:val="22"/>
        </w:rPr>
        <w:t xml:space="preserve">Confidence is the platform's name for autonomy + low hesitation + low hint use. It is reported separately because the school-facing audience values it as much as accuracy. Confidence levels:</w:t>
      </w:r>
    </w:p>
    <w:p>
      <w:pPr>
        <w:pStyle w:val="ListParagraph"/>
        <w:numPr>
          <w:ilvl w:val="0"/>
          <w:numId w:val="3"/>
        </w:numPr>
        <w:spacing w:after="80"/>
      </w:pPr>
      <w:r>
        <w:rPr>
          <w:rFonts w:ascii="Calibri" w:cs="Calibri" w:eastAsia="Calibri" w:hAnsi="Calibri"/>
          <w:b w:val="false"/>
          <w:bCs w:val="false"/>
          <w:color w:val="111827"/>
          <w:sz w:val="22"/>
          <w:szCs w:val="22"/>
        </w:rPr>
        <w:t xml:space="preserve">Tentative: hesitation_ms &gt; 75th percentile for the skill, or hint_acted_on rate &gt; 0.3.</w:t>
      </w:r>
    </w:p>
    <w:p>
      <w:pPr>
        <w:pStyle w:val="ListParagraph"/>
        <w:numPr>
          <w:ilvl w:val="0"/>
          <w:numId w:val="3"/>
        </w:numPr>
        <w:spacing w:after="80"/>
      </w:pPr>
      <w:r>
        <w:rPr>
          <w:rFonts w:ascii="Calibri" w:cs="Calibri" w:eastAsia="Calibri" w:hAnsi="Calibri"/>
          <w:b w:val="false"/>
          <w:bCs w:val="false"/>
          <w:color w:val="111827"/>
          <w:sz w:val="22"/>
          <w:szCs w:val="22"/>
        </w:rPr>
        <w:t xml:space="preserve">Building: hesitation 25–75th percentile, hint rate 0.1–0.3.</w:t>
      </w:r>
    </w:p>
    <w:p>
      <w:pPr>
        <w:pStyle w:val="ListParagraph"/>
        <w:numPr>
          <w:ilvl w:val="0"/>
          <w:numId w:val="3"/>
        </w:numPr>
        <w:spacing w:after="80"/>
      </w:pPr>
      <w:r>
        <w:rPr>
          <w:rFonts w:ascii="Calibri" w:cs="Calibri" w:eastAsia="Calibri" w:hAnsi="Calibri"/>
          <w:b w:val="false"/>
          <w:bCs w:val="false"/>
          <w:color w:val="111827"/>
          <w:sz w:val="22"/>
          <w:szCs w:val="22"/>
        </w:rPr>
        <w:t xml:space="preserve">Confident: hesitation &lt; 25th percentile, hint rate &lt; 0.1, first_attempt_correct ≥ 0.7 across last 5 attempts.</w:t>
      </w:r>
    </w:p>
    <w:p>
      <w:pPr>
        <w:pStyle w:val="Heading1"/>
        <w:pageBreakBefore/>
        <w:spacing w:after="160" w:before="360"/>
      </w:pPr>
      <w:r>
        <w:rPr>
          <w:rFonts w:ascii="Calibri" w:cs="Calibri" w:eastAsia="Calibri" w:hAnsi="Calibri"/>
          <w:b/>
          <w:bCs/>
          <w:color w:val="0F766E"/>
          <w:sz w:val="36"/>
          <w:szCs w:val="36"/>
        </w:rPr>
        <w:t xml:space="preserve">6. Recommended Metrics</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A small metric set, each with a precise definition, an interpretation, and a primary audience. Resist the urge to add more — credibility is built on a few well-defended numbers, not on dashboards full of weak ones.</w:t>
      </w:r>
    </w:p>
    <w:p>
      <w:pPr>
        <w:pStyle w:val="Heading2"/>
        <w:spacing w:after="120" w:before="280"/>
      </w:pPr>
      <w:r>
        <w:rPr>
          <w:rFonts w:ascii="Calibri" w:cs="Calibri" w:eastAsia="Calibri" w:hAnsi="Calibri"/>
          <w:b/>
          <w:bCs/>
          <w:color w:val="111827"/>
          <w:sz w:val="28"/>
          <w:szCs w:val="28"/>
        </w:rPr>
        <w:t xml:space="preserve">6.1  The DELTA-5 construct framework</w:t>
      </w:r>
    </w:p>
    <w:p>
      <w:pPr>
        <w:spacing w:after="80" w:before="0"/>
      </w:pPr>
      <w:r>
        <w:rPr>
          <w:rFonts w:ascii="Calibri" w:cs="Calibri" w:eastAsia="Calibri" w:hAnsi="Calibri"/>
          <w:b w:val="false"/>
          <w:bCs w:val="false"/>
          <w:i w:val="false"/>
          <w:iCs w:val="false"/>
          <w:color w:val="111827"/>
          <w:sz w:val="22"/>
          <w:szCs w:val="22"/>
        </w:rPr>
        <w:t xml:space="preserve">Every observable behaviour maps onto one of five constructs. The mapping is fixed in code (see Appendix A). Each construct has a normalised 0–100 score per (learner, skill,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Construct</w:t>
            </w:r>
          </w:p>
        </w:tc>
        <w:tc>
          <w:tcPr>
            <w:tcW w:type="dxa" w:w="30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What it measures</w:t>
            </w:r>
          </w:p>
        </w:tc>
        <w:tc>
          <w:tcPr>
            <w:tcW w:type="dxa" w:w="45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Primary signals</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 — Decoding</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Recognition accuracy and speed.</w:t>
            </w:r>
          </w:p>
        </w:tc>
        <w:tc>
          <w:tcPr>
            <w:tcW w:type="dxa" w:w="4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first_attempt_correct, accuracy slope, recognition latency.</w:t>
            </w:r>
          </w:p>
        </w:tc>
      </w:tr>
      <w:tr>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 — Execution</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Motor and procedural precision.</w:t>
            </w:r>
          </w:p>
        </w:tc>
        <w:tc>
          <w:tcPr>
            <w:tcW w:type="dxa" w:w="4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Stroke quality, target accuracy, dwell stability.</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 — Latency</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Reaction time and time-to-correct.</w:t>
            </w:r>
          </w:p>
        </w:tc>
        <w:tc>
          <w:tcPr>
            <w:tcW w:type="dxa" w:w="4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time_to_first_action_ms, time_to_first_correct_ms, hesitation_ms.</w:t>
            </w:r>
          </w:p>
        </w:tc>
      </w:tr>
      <w:tr>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 — Transfer</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Skill applied in new context.</w:t>
            </w:r>
          </w:p>
        </w:tc>
        <w:tc>
          <w:tcPr>
            <w:tcW w:type="dxa" w:w="4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accuracy on items not used in practice; cross-mode skill carry.</w:t>
            </w:r>
          </w:p>
        </w:tc>
      </w:tr>
      <w:tr>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 — Autonomy</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Independence from hints and scaffolds.</w:t>
            </w:r>
          </w:p>
        </w:tc>
        <w:tc>
          <w:tcPr>
            <w:tcW w:type="dxa" w:w="4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hint_acted_on rate, completion_independence, prerequisite_skipped success rate.</w:t>
            </w:r>
          </w:p>
        </w:tc>
      </w:tr>
    </w:tbl>
    <w:p>
      <w:pPr>
        <w:pStyle w:val="Heading2"/>
        <w:spacing w:after="120" w:before="280"/>
      </w:pPr>
      <w:r>
        <w:rPr>
          <w:rFonts w:ascii="Calibri" w:cs="Calibri" w:eastAsia="Calibri" w:hAnsi="Calibri"/>
          <w:b/>
          <w:bCs/>
          <w:color w:val="111827"/>
          <w:sz w:val="28"/>
          <w:szCs w:val="28"/>
        </w:rPr>
        <w:t xml:space="preserve">6.2  Learning Health Index (LHI)</w:t>
      </w:r>
    </w:p>
    <w:p>
      <w:pPr>
        <w:spacing w:after="80" w:before="0"/>
      </w:pPr>
      <w:r>
        <w:rPr>
          <w:rFonts w:ascii="Calibri" w:cs="Calibri" w:eastAsia="Calibri" w:hAnsi="Calibri"/>
          <w:b w:val="false"/>
          <w:bCs w:val="false"/>
          <w:i w:val="false"/>
          <w:iCs w:val="false"/>
          <w:color w:val="111827"/>
          <w:sz w:val="22"/>
          <w:szCs w:val="22"/>
        </w:rPr>
        <w:t xml:space="preserve">LHI is a single composite, 0–100, intended for headline and longitudinal display. It is a deliberate over-simplification — what investors and head teachers want is one number that moves with effort. The construct breakdown is always available a click away.</w:t>
      </w:r>
    </w:p>
    <w:p>
      <w:pPr>
        <w:spacing w:after="120" w:before="0"/>
      </w:pPr>
      <w:r>
        <w:rPr>
          <w:rFonts w:ascii="Consolas" w:cs="Consolas" w:eastAsia="Consolas" w:hAnsi="Consolas"/>
          <w:b w:val="false"/>
          <w:bCs w:val="false"/>
          <w:i w:val="false"/>
          <w:iCs w:val="false"/>
          <w:color w:val="111827"/>
          <w:sz w:val="20"/>
          <w:szCs w:val="20"/>
        </w:rPr>
        <w:t xml:space="preserve">  LHI = 0.25 × D + 0.20 × E + 0.15 × L + 0.25 × T + 0.15 × A</w:t>
      </w:r>
    </w:p>
    <w:p>
      <w:pPr>
        <w:spacing w:after="120" w:before="0"/>
      </w:pPr>
      <w:r>
        <w:rPr>
          <w:rFonts w:ascii="Calibri" w:cs="Calibri" w:eastAsia="Calibri" w:hAnsi="Calibri"/>
          <w:b w:val="false"/>
          <w:bCs w:val="false"/>
          <w:i w:val="false"/>
          <w:iCs w:val="false"/>
          <w:color w:val="111827"/>
          <w:sz w:val="22"/>
          <w:szCs w:val="22"/>
        </w:rPr>
        <w:t xml:space="preserve">Transfer (T) is weighted highest because it is the construct most resistant to gaming and most predictive of real-world skill. Autonomy is weighted lowest to avoid penalising scaffolding-rich pedagogies.</w:t>
      </w:r>
    </w:p>
    <w:p>
      <w:pPr>
        <w:pStyle w:val="Heading2"/>
        <w:spacing w:after="120" w:before="280"/>
      </w:pPr>
      <w:r>
        <w:rPr>
          <w:rFonts w:ascii="Calibri" w:cs="Calibri" w:eastAsia="Calibri" w:hAnsi="Calibri"/>
          <w:b/>
          <w:bCs/>
          <w:color w:val="111827"/>
          <w:sz w:val="28"/>
          <w:szCs w:val="28"/>
        </w:rPr>
        <w:t xml:space="preserve">6.3  Headline metrics by audience</w:t>
      </w:r>
    </w:p>
    <w:p>
      <w:pPr>
        <w:pStyle w:val="Heading3"/>
        <w:spacing w:after="80" w:before="200"/>
      </w:pPr>
      <w:r>
        <w:rPr>
          <w:rFonts w:ascii="Calibri" w:cs="Calibri" w:eastAsia="Calibri" w:hAnsi="Calibri"/>
          <w:b/>
          <w:bCs/>
          <w:color w:val="0F766E"/>
          <w:sz w:val="24"/>
          <w:szCs w:val="24"/>
        </w:rPr>
        <w:t xml:space="preserve">For the child (and their parent)</w:t>
      </w:r>
    </w:p>
    <w:p>
      <w:pPr>
        <w:pStyle w:val="ListParagraph"/>
        <w:numPr>
          <w:ilvl w:val="0"/>
          <w:numId w:val="3"/>
        </w:numPr>
        <w:spacing w:after="80"/>
      </w:pPr>
      <w:r>
        <w:rPr>
          <w:rFonts w:ascii="Calibri" w:cs="Calibri" w:eastAsia="Calibri" w:hAnsi="Calibri"/>
          <w:b w:val="false"/>
          <w:bCs w:val="false"/>
          <w:color w:val="111827"/>
          <w:sz w:val="22"/>
          <w:szCs w:val="22"/>
        </w:rPr>
        <w:t xml:space="preserve">Skills strong this week — count, with a visible roster.</w:t>
      </w:r>
    </w:p>
    <w:p>
      <w:pPr>
        <w:pStyle w:val="ListParagraph"/>
        <w:numPr>
          <w:ilvl w:val="0"/>
          <w:numId w:val="3"/>
        </w:numPr>
        <w:spacing w:after="80"/>
      </w:pPr>
      <w:r>
        <w:rPr>
          <w:rFonts w:ascii="Calibri" w:cs="Calibri" w:eastAsia="Calibri" w:hAnsi="Calibri"/>
          <w:b w:val="false"/>
          <w:bCs w:val="false"/>
          <w:color w:val="111827"/>
          <w:sz w:val="22"/>
          <w:szCs w:val="22"/>
        </w:rPr>
        <w:t xml:space="preserve">Letters / numbers recognised faster than last week — count, with the deltas.</w:t>
      </w:r>
    </w:p>
    <w:p>
      <w:pPr>
        <w:pStyle w:val="ListParagraph"/>
        <w:numPr>
          <w:ilvl w:val="0"/>
          <w:numId w:val="3"/>
        </w:numPr>
        <w:spacing w:after="80"/>
      </w:pPr>
      <w:r>
        <w:rPr>
          <w:rFonts w:ascii="Calibri" w:cs="Calibri" w:eastAsia="Calibri" w:hAnsi="Calibri"/>
          <w:b w:val="false"/>
          <w:bCs w:val="false"/>
          <w:color w:val="111827"/>
          <w:sz w:val="22"/>
          <w:szCs w:val="22"/>
        </w:rPr>
        <w:t xml:space="preserve">Practice streak — days in a row with at least one attempt.</w:t>
      </w:r>
    </w:p>
    <w:p>
      <w:pPr>
        <w:pStyle w:val="ListParagraph"/>
        <w:numPr>
          <w:ilvl w:val="0"/>
          <w:numId w:val="3"/>
        </w:numPr>
        <w:spacing w:after="80"/>
      </w:pPr>
      <w:r>
        <w:rPr>
          <w:rFonts w:ascii="Calibri" w:cs="Calibri" w:eastAsia="Calibri" w:hAnsi="Calibri"/>
          <w:b w:val="false"/>
          <w:bCs w:val="false"/>
          <w:color w:val="111827"/>
          <w:sz w:val="22"/>
          <w:szCs w:val="22"/>
        </w:rPr>
        <w:t xml:space="preserve">Most improved skill — celebratory framing.</w:t>
      </w:r>
    </w:p>
    <w:p>
      <w:pPr>
        <w:pStyle w:val="Heading3"/>
        <w:spacing w:after="80" w:before="200"/>
      </w:pPr>
      <w:r>
        <w:rPr>
          <w:rFonts w:ascii="Calibri" w:cs="Calibri" w:eastAsia="Calibri" w:hAnsi="Calibri"/>
          <w:b/>
          <w:bCs/>
          <w:color w:val="0F766E"/>
          <w:sz w:val="24"/>
          <w:szCs w:val="24"/>
        </w:rPr>
        <w:t xml:space="preserve">For the teacher</w:t>
      </w:r>
    </w:p>
    <w:p>
      <w:pPr>
        <w:pStyle w:val="ListParagraph"/>
        <w:numPr>
          <w:ilvl w:val="0"/>
          <w:numId w:val="3"/>
        </w:numPr>
        <w:spacing w:after="80"/>
      </w:pPr>
      <w:r>
        <w:rPr>
          <w:rFonts w:ascii="Calibri" w:cs="Calibri" w:eastAsia="Calibri" w:hAnsi="Calibri"/>
          <w:b w:val="false"/>
          <w:bCs w:val="false"/>
          <w:color w:val="111827"/>
          <w:sz w:val="22"/>
          <w:szCs w:val="22"/>
        </w:rPr>
        <w:t xml:space="preserve">Class LHI today vs last week.</w:t>
      </w:r>
    </w:p>
    <w:p>
      <w:pPr>
        <w:pStyle w:val="ListParagraph"/>
        <w:numPr>
          <w:ilvl w:val="0"/>
          <w:numId w:val="3"/>
        </w:numPr>
        <w:spacing w:after="80"/>
      </w:pPr>
      <w:r>
        <w:rPr>
          <w:rFonts w:ascii="Calibri" w:cs="Calibri" w:eastAsia="Calibri" w:hAnsi="Calibri"/>
          <w:b w:val="false"/>
          <w:bCs w:val="false"/>
          <w:color w:val="111827"/>
          <w:sz w:val="22"/>
          <w:szCs w:val="22"/>
        </w:rPr>
        <w:t xml:space="preserve">Pupils gaining (LHI delta ≥ +5 over 7 days), pupils stable, pupils stalling (delta ≤ -3).</w:t>
      </w:r>
    </w:p>
    <w:p>
      <w:pPr>
        <w:pStyle w:val="ListParagraph"/>
        <w:numPr>
          <w:ilvl w:val="0"/>
          <w:numId w:val="3"/>
        </w:numPr>
        <w:spacing w:after="80"/>
      </w:pPr>
      <w:r>
        <w:rPr>
          <w:rFonts w:ascii="Calibri" w:cs="Calibri" w:eastAsia="Calibri" w:hAnsi="Calibri"/>
          <w:b w:val="false"/>
          <w:bCs w:val="false"/>
          <w:color w:val="111827"/>
          <w:sz w:val="22"/>
          <w:szCs w:val="22"/>
        </w:rPr>
        <w:t xml:space="preserve">Skills the class is collectively struggling with (≥ 30% of class at p_known &lt; 0.5).</w:t>
      </w:r>
    </w:p>
    <w:p>
      <w:pPr>
        <w:pStyle w:val="ListParagraph"/>
        <w:numPr>
          <w:ilvl w:val="0"/>
          <w:numId w:val="3"/>
        </w:numPr>
        <w:spacing w:after="80"/>
      </w:pPr>
      <w:r>
        <w:rPr>
          <w:rFonts w:ascii="Calibri" w:cs="Calibri" w:eastAsia="Calibri" w:hAnsi="Calibri"/>
          <w:b w:val="false"/>
          <w:bCs w:val="false"/>
          <w:color w:val="111827"/>
          <w:sz w:val="22"/>
          <w:szCs w:val="22"/>
        </w:rPr>
        <w:t xml:space="preserve">Intervention list — pupils with at least one decayed skill or stalled trajectory.</w:t>
      </w:r>
    </w:p>
    <w:p>
      <w:pPr>
        <w:pStyle w:val="ListParagraph"/>
        <w:numPr>
          <w:ilvl w:val="0"/>
          <w:numId w:val="3"/>
        </w:numPr>
        <w:spacing w:after="80"/>
      </w:pPr>
      <w:r>
        <w:rPr>
          <w:rFonts w:ascii="Calibri" w:cs="Calibri" w:eastAsia="Calibri" w:hAnsi="Calibri"/>
          <w:b w:val="false"/>
          <w:bCs w:val="false"/>
          <w:color w:val="111827"/>
          <w:sz w:val="22"/>
          <w:szCs w:val="22"/>
        </w:rPr>
        <w:t xml:space="preserve">Curriculum coverage by EYFS area / KS1 strand.</w:t>
      </w:r>
    </w:p>
    <w:p>
      <w:pPr>
        <w:pStyle w:val="Heading3"/>
        <w:spacing w:after="80" w:before="200"/>
      </w:pPr>
      <w:r>
        <w:rPr>
          <w:rFonts w:ascii="Calibri" w:cs="Calibri" w:eastAsia="Calibri" w:hAnsi="Calibri"/>
          <w:b/>
          <w:bCs/>
          <w:color w:val="0F766E"/>
          <w:sz w:val="24"/>
          <w:szCs w:val="24"/>
        </w:rPr>
        <w:t xml:space="preserve">For the school leader</w:t>
      </w:r>
    </w:p>
    <w:p>
      <w:pPr>
        <w:pStyle w:val="ListParagraph"/>
        <w:numPr>
          <w:ilvl w:val="0"/>
          <w:numId w:val="3"/>
        </w:numPr>
        <w:spacing w:after="80"/>
      </w:pPr>
      <w:r>
        <w:rPr>
          <w:rFonts w:ascii="Calibri" w:cs="Calibri" w:eastAsia="Calibri" w:hAnsi="Calibri"/>
          <w:b w:val="false"/>
          <w:bCs w:val="false"/>
          <w:color w:val="111827"/>
          <w:sz w:val="22"/>
          <w:szCs w:val="22"/>
        </w:rPr>
        <w:t xml:space="preserve">Term-on-term cohort LHI growth.</w:t>
      </w:r>
    </w:p>
    <w:p>
      <w:pPr>
        <w:pStyle w:val="ListParagraph"/>
        <w:numPr>
          <w:ilvl w:val="0"/>
          <w:numId w:val="3"/>
        </w:numPr>
        <w:spacing w:after="80"/>
      </w:pPr>
      <w:r>
        <w:rPr>
          <w:rFonts w:ascii="Calibri" w:cs="Calibri" w:eastAsia="Calibri" w:hAnsi="Calibri"/>
          <w:b w:val="false"/>
          <w:bCs w:val="false"/>
          <w:color w:val="111827"/>
          <w:sz w:val="22"/>
          <w:szCs w:val="22"/>
        </w:rPr>
        <w:t xml:space="preserve">Distribution of pupils across LHI bands.</w:t>
      </w:r>
    </w:p>
    <w:p>
      <w:pPr>
        <w:pStyle w:val="ListParagraph"/>
        <w:numPr>
          <w:ilvl w:val="0"/>
          <w:numId w:val="3"/>
        </w:numPr>
        <w:spacing w:after="80"/>
      </w:pPr>
      <w:r>
        <w:rPr>
          <w:rFonts w:ascii="Calibri" w:cs="Calibri" w:eastAsia="Calibri" w:hAnsi="Calibri"/>
          <w:b w:val="false"/>
          <w:bCs w:val="false"/>
          <w:color w:val="111827"/>
          <w:sz w:val="22"/>
          <w:szCs w:val="22"/>
        </w:rPr>
        <w:t xml:space="preserve">EYFS framework attainment band.</w:t>
      </w:r>
    </w:p>
    <w:p>
      <w:pPr>
        <w:pStyle w:val="ListParagraph"/>
        <w:numPr>
          <w:ilvl w:val="0"/>
          <w:numId w:val="3"/>
        </w:numPr>
        <w:spacing w:after="80"/>
      </w:pPr>
      <w:r>
        <w:rPr>
          <w:rFonts w:ascii="Calibri" w:cs="Calibri" w:eastAsia="Calibri" w:hAnsi="Calibri"/>
          <w:b w:val="false"/>
          <w:bCs w:val="false"/>
          <w:color w:val="111827"/>
          <w:sz w:val="22"/>
          <w:szCs w:val="22"/>
        </w:rPr>
        <w:t xml:space="preserve">Engagement-to-mastery ratio — minutes played per mastered skill (efficiency of the platform).</w:t>
      </w:r>
    </w:p>
    <w:p>
      <w:pPr>
        <w:pStyle w:val="Heading3"/>
        <w:spacing w:after="80" w:before="200"/>
      </w:pPr>
      <w:r>
        <w:rPr>
          <w:rFonts w:ascii="Calibri" w:cs="Calibri" w:eastAsia="Calibri" w:hAnsi="Calibri"/>
          <w:b/>
          <w:bCs/>
          <w:color w:val="0F766E"/>
          <w:sz w:val="24"/>
          <w:szCs w:val="24"/>
        </w:rPr>
        <w:t xml:space="preserve">For the investor / grant reviewer</w:t>
      </w:r>
    </w:p>
    <w:p>
      <w:pPr>
        <w:pStyle w:val="ListParagraph"/>
        <w:numPr>
          <w:ilvl w:val="0"/>
          <w:numId w:val="3"/>
        </w:numPr>
        <w:spacing w:after="80"/>
      </w:pPr>
      <w:r>
        <w:rPr>
          <w:rFonts w:ascii="Calibri" w:cs="Calibri" w:eastAsia="Calibri" w:hAnsi="Calibri"/>
          <w:b w:val="false"/>
          <w:bCs w:val="false"/>
          <w:color w:val="111827"/>
          <w:sz w:val="22"/>
          <w:szCs w:val="22"/>
        </w:rPr>
        <w:t xml:space="preserve">Pre/post LHI gain by cohort and by mode.</w:t>
      </w:r>
    </w:p>
    <w:p>
      <w:pPr>
        <w:pStyle w:val="ListParagraph"/>
        <w:numPr>
          <w:ilvl w:val="0"/>
          <w:numId w:val="3"/>
        </w:numPr>
        <w:spacing w:after="80"/>
      </w:pPr>
      <w:r>
        <w:rPr>
          <w:rFonts w:ascii="Calibri" w:cs="Calibri" w:eastAsia="Calibri" w:hAnsi="Calibri"/>
          <w:b w:val="false"/>
          <w:bCs w:val="false"/>
          <w:color w:val="111827"/>
          <w:sz w:val="22"/>
          <w:szCs w:val="22"/>
        </w:rPr>
        <w:t xml:space="preserve">Effect size (Cohen's d) vs the sham-content control group.</w:t>
      </w:r>
    </w:p>
    <w:p>
      <w:pPr>
        <w:pStyle w:val="ListParagraph"/>
        <w:numPr>
          <w:ilvl w:val="0"/>
          <w:numId w:val="3"/>
        </w:numPr>
        <w:spacing w:after="80"/>
      </w:pPr>
      <w:r>
        <w:rPr>
          <w:rFonts w:ascii="Calibri" w:cs="Calibri" w:eastAsia="Calibri" w:hAnsi="Calibri"/>
          <w:b w:val="false"/>
          <w:bCs w:val="false"/>
          <w:color w:val="111827"/>
          <w:sz w:val="22"/>
          <w:szCs w:val="22"/>
        </w:rPr>
        <w:t xml:space="preserve">Retention curve — % of mastered skills still retained at 7 / 30 / 90 days.</w:t>
      </w:r>
    </w:p>
    <w:p>
      <w:pPr>
        <w:pStyle w:val="ListParagraph"/>
        <w:numPr>
          <w:ilvl w:val="0"/>
          <w:numId w:val="3"/>
        </w:numPr>
        <w:spacing w:after="80"/>
      </w:pPr>
      <w:r>
        <w:rPr>
          <w:rFonts w:ascii="Calibri" w:cs="Calibri" w:eastAsia="Calibri" w:hAnsi="Calibri"/>
          <w:b w:val="false"/>
          <w:bCs w:val="false"/>
          <w:color w:val="111827"/>
          <w:sz w:val="22"/>
          <w:szCs w:val="22"/>
        </w:rPr>
        <w:t xml:space="preserve">Transfer rate — % of skills mastered on practice items that pass probes drawn from a different mode.</w:t>
      </w:r>
    </w:p>
    <w:p>
      <w:pPr>
        <w:pStyle w:val="ListParagraph"/>
        <w:numPr>
          <w:ilvl w:val="0"/>
          <w:numId w:val="3"/>
        </w:numPr>
        <w:spacing w:after="80"/>
      </w:pPr>
      <w:r>
        <w:rPr>
          <w:rFonts w:ascii="Calibri" w:cs="Calibri" w:eastAsia="Calibri" w:hAnsi="Calibri"/>
          <w:b w:val="false"/>
          <w:bCs w:val="false"/>
          <w:color w:val="111827"/>
          <w:sz w:val="22"/>
          <w:szCs w:val="22"/>
        </w:rPr>
        <w:t xml:space="preserve">Population coverage — distinct learners by region, school type, and age band.</w:t>
      </w:r>
    </w:p>
    <w:p>
      <w:pPr>
        <w:pStyle w:val="Heading2"/>
        <w:spacing w:after="120" w:before="280"/>
      </w:pPr>
      <w:r>
        <w:rPr>
          <w:rFonts w:ascii="Calibri" w:cs="Calibri" w:eastAsia="Calibri" w:hAnsi="Calibri"/>
          <w:b/>
          <w:bCs/>
          <w:color w:val="111827"/>
          <w:sz w:val="28"/>
          <w:szCs w:val="28"/>
        </w:rPr>
        <w:t xml:space="preserve">6.4  Metrics we are explicitly NOT showing</w:t>
      </w:r>
    </w:p>
    <w:p>
      <w:pPr>
        <w:pStyle w:val="ListParagraph"/>
        <w:numPr>
          <w:ilvl w:val="0"/>
          <w:numId w:val="3"/>
        </w:numPr>
        <w:spacing w:after="80"/>
      </w:pPr>
      <w:r>
        <w:rPr>
          <w:rFonts w:ascii="Calibri" w:cs="Calibri" w:eastAsia="Calibri" w:hAnsi="Calibri"/>
          <w:b w:val="false"/>
          <w:bCs w:val="false"/>
          <w:color w:val="111827"/>
          <w:sz w:val="22"/>
          <w:szCs w:val="22"/>
        </w:rPr>
        <w:t xml:space="preserve">Per-child rankings. They produce hostile parent dynamics and are pedagogically wrong.</w:t>
      </w:r>
    </w:p>
    <w:p>
      <w:pPr>
        <w:pStyle w:val="ListParagraph"/>
        <w:numPr>
          <w:ilvl w:val="0"/>
          <w:numId w:val="3"/>
        </w:numPr>
        <w:spacing w:after="80"/>
      </w:pPr>
      <w:r>
        <w:rPr>
          <w:rFonts w:ascii="Calibri" w:cs="Calibri" w:eastAsia="Calibri" w:hAnsi="Calibri"/>
          <w:b w:val="false"/>
          <w:bCs w:val="false"/>
          <w:color w:val="111827"/>
          <w:sz w:val="22"/>
          <w:szCs w:val="22"/>
        </w:rPr>
        <w:t xml:space="preserve">Raw IQ / ability scores. The model uses θ for calibration only.</w:t>
      </w:r>
    </w:p>
    <w:p>
      <w:pPr>
        <w:pStyle w:val="ListParagraph"/>
        <w:numPr>
          <w:ilvl w:val="0"/>
          <w:numId w:val="3"/>
        </w:numPr>
        <w:spacing w:after="80"/>
      </w:pPr>
      <w:r>
        <w:rPr>
          <w:rFonts w:ascii="Calibri" w:cs="Calibri" w:eastAsia="Calibri" w:hAnsi="Calibri"/>
          <w:b w:val="false"/>
          <w:bCs w:val="false"/>
          <w:color w:val="111827"/>
          <w:sz w:val="22"/>
          <w:szCs w:val="22"/>
        </w:rPr>
        <w:t xml:space="preserve">"Time on platform" as a headline. It is in the engineering tabs only.</w:t>
      </w:r>
    </w:p>
    <w:p>
      <w:pPr>
        <w:pStyle w:val="ListParagraph"/>
        <w:numPr>
          <w:ilvl w:val="0"/>
          <w:numId w:val="3"/>
        </w:numPr>
        <w:spacing w:after="80"/>
      </w:pPr>
      <w:r>
        <w:rPr>
          <w:rFonts w:ascii="Calibri" w:cs="Calibri" w:eastAsia="Calibri" w:hAnsi="Calibri"/>
          <w:b w:val="false"/>
          <w:bCs w:val="false"/>
          <w:color w:val="111827"/>
          <w:sz w:val="22"/>
          <w:szCs w:val="22"/>
        </w:rPr>
        <w:t xml:space="preserve">Replay count as a positive signal.</w:t>
      </w:r>
    </w:p>
    <w:p>
      <w:pPr>
        <w:pStyle w:val="Heading1"/>
        <w:pageBreakBefore/>
        <w:spacing w:after="160" w:before="360"/>
      </w:pPr>
      <w:r>
        <w:rPr>
          <w:rFonts w:ascii="Calibri" w:cs="Calibri" w:eastAsia="Calibri" w:hAnsi="Calibri"/>
          <w:b/>
          <w:bCs/>
          <w:color w:val="0F766E"/>
          <w:sz w:val="36"/>
          <w:szCs w:val="36"/>
        </w:rPr>
        <w:t xml:space="preserve">7. Dashboard Redesign</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Today the platform has one admin dashboard with six engagement-shaped tabs. The redesign is four distinct surfaces, one per audience, each with the same underlying data but a very different selection and visual grammar. This is the central interface-product question — who is the dashboard for?</w:t>
      </w:r>
    </w:p>
    <w:p>
      <w:pPr>
        <w:pStyle w:val="Heading2"/>
        <w:spacing w:after="120" w:before="280"/>
      </w:pPr>
      <w:r>
        <w:rPr>
          <w:rFonts w:ascii="Calibri" w:cs="Calibri" w:eastAsia="Calibri" w:hAnsi="Calibri"/>
          <w:b/>
          <w:bCs/>
          <w:color w:val="111827"/>
          <w:sz w:val="28"/>
          <w:szCs w:val="28"/>
        </w:rPr>
        <w:t xml:space="preserve">7.1  The four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880"/>
        <w:gridCol w:w="1680"/>
      </w:tblGrid>
      <w:tr>
        <w:trPr>
          <w:tblHeader/>
        </w:trPr>
        <w:tc>
          <w:tcPr>
            <w:tcW w:type="dxa" w:w="24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Surface</w:t>
            </w:r>
          </w:p>
        </w:tc>
        <w:tc>
          <w:tcPr>
            <w:tcW w:type="dxa" w:w="34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Headline content</w:t>
            </w:r>
          </w:p>
        </w:tc>
        <w:tc>
          <w:tcPr>
            <w:tcW w:type="dxa" w:w="188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Route</w:t>
            </w:r>
          </w:p>
        </w:tc>
        <w:tc>
          <w:tcPr>
            <w:tcW w:type="dxa" w:w="168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Access control</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Researcher / Investor Insights</w:t>
            </w:r>
          </w:p>
        </w:tc>
        <w:tc>
          <w:tcPr>
            <w:tcW w:type="dxa" w:w="3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Cohort LHI curves, retention, transfer, control-group deltas, effect sizes.</w:t>
            </w:r>
          </w:p>
        </w:tc>
        <w:tc>
          <w:tcPr>
            <w:tcW w:type="dxa" w:w="188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/admin/insights (existing path, redesigned).</w:t>
            </w:r>
          </w:p>
        </w:tc>
        <w:tc>
          <w:tcPr>
            <w:tcW w:type="dxa" w:w="168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Email-allowlist + role gate.</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 Leader Console</w:t>
            </w:r>
          </w:p>
        </w:tc>
        <w:tc>
          <w:tcPr>
            <w:tcW w:type="dxa" w:w="3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Whole-school LHI distribution, term comparisons, EYFS attainment, intervention map.</w:t>
            </w:r>
          </w:p>
        </w:tc>
        <w:tc>
          <w:tcPr>
            <w:tcW w:type="dxa" w:w="188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/school/console (new).</w:t>
            </w:r>
          </w:p>
        </w:tc>
        <w:tc>
          <w:tcPr>
            <w:tcW w:type="dxa" w:w="168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 admin auth.</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Teacher Console</w:t>
            </w:r>
          </w:p>
        </w:tc>
        <w:tc>
          <w:tcPr>
            <w:tcW w:type="dxa" w:w="3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Class roster with per-pupil LHI arcs, intervention list, curriculum coverage.</w:t>
            </w:r>
          </w:p>
        </w:tc>
        <w:tc>
          <w:tcPr>
            <w:tcW w:type="dxa" w:w="188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/classmode/teacher (extended).</w:t>
            </w:r>
          </w:p>
        </w:tc>
        <w:tc>
          <w:tcPr>
            <w:tcW w:type="dxa" w:w="168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Teacher OAuth + class binding.</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Parent / Child Surface</w:t>
            </w:r>
          </w:p>
        </w:tc>
        <w:tc>
          <w:tcPr>
            <w:tcW w:type="dxa" w:w="3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My child's growth, weekly wins, what to practise next, retention badges.</w:t>
            </w:r>
          </w:p>
        </w:tc>
        <w:tc>
          <w:tcPr>
            <w:tcW w:type="dxa" w:w="188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/parent/progress (new).</w:t>
            </w:r>
          </w:p>
        </w:tc>
        <w:tc>
          <w:tcPr>
            <w:tcW w:type="dxa" w:w="168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Parent passphrase + child-side adult gate.</w:t>
            </w:r>
          </w:p>
        </w:tc>
      </w:tr>
    </w:tbl>
    <w:p>
      <w:pPr>
        <w:pStyle w:val="Heading2"/>
        <w:spacing w:after="120" w:before="280"/>
      </w:pPr>
      <w:r>
        <w:rPr>
          <w:rFonts w:ascii="Calibri" w:cs="Calibri" w:eastAsia="Calibri" w:hAnsi="Calibri"/>
          <w:b/>
          <w:bCs/>
          <w:color w:val="111827"/>
          <w:sz w:val="28"/>
          <w:szCs w:val="28"/>
        </w:rPr>
        <w:t xml:space="preserve">7.2  Visual grammar (consistent across surfaces)</w:t>
      </w:r>
    </w:p>
    <w:p>
      <w:pPr>
        <w:pStyle w:val="ListParagraph"/>
        <w:numPr>
          <w:ilvl w:val="0"/>
          <w:numId w:val="3"/>
        </w:numPr>
        <w:spacing w:after="80"/>
      </w:pPr>
      <w:r>
        <w:rPr>
          <w:rFonts w:ascii="Calibri" w:cs="Calibri" w:eastAsia="Calibri" w:hAnsi="Calibri"/>
          <w:b w:val="false"/>
          <w:bCs w:val="false"/>
          <w:color w:val="111827"/>
          <w:sz w:val="22"/>
          <w:szCs w:val="22"/>
        </w:rPr>
        <w:t xml:space="preserve">Time on the x-axis. Always. Even the headline cards show a 14-day sparkline beneath the number.</w:t>
      </w:r>
    </w:p>
    <w:p>
      <w:pPr>
        <w:pStyle w:val="ListParagraph"/>
        <w:numPr>
          <w:ilvl w:val="0"/>
          <w:numId w:val="3"/>
        </w:numPr>
        <w:spacing w:after="80"/>
      </w:pPr>
      <w:r>
        <w:rPr>
          <w:rFonts w:ascii="Calibri" w:cs="Calibri" w:eastAsia="Calibri" w:hAnsi="Calibri"/>
          <w:b w:val="false"/>
          <w:bCs w:val="false"/>
          <w:color w:val="111827"/>
          <w:sz w:val="22"/>
          <w:szCs w:val="22"/>
        </w:rPr>
        <w:t xml:space="preserve">Construct colour code: D = teal, E = indigo, L = amber, T = green, A = violet. Used consistently across all charts.</w:t>
      </w:r>
    </w:p>
    <w:p>
      <w:pPr>
        <w:pStyle w:val="ListParagraph"/>
        <w:numPr>
          <w:ilvl w:val="0"/>
          <w:numId w:val="3"/>
        </w:numPr>
        <w:spacing w:after="80"/>
      </w:pPr>
      <w:r>
        <w:rPr>
          <w:rFonts w:ascii="Calibri" w:cs="Calibri" w:eastAsia="Calibri" w:hAnsi="Calibri"/>
          <w:b w:val="false"/>
          <w:bCs w:val="false"/>
          <w:color w:val="111827"/>
          <w:sz w:val="22"/>
          <w:szCs w:val="22"/>
        </w:rPr>
        <w:t xml:space="preserve">Confidence intervals visible by default on any aggregate (small samples cause big bands; that honesty builds trust).</w:t>
      </w:r>
    </w:p>
    <w:p>
      <w:pPr>
        <w:pStyle w:val="ListParagraph"/>
        <w:numPr>
          <w:ilvl w:val="0"/>
          <w:numId w:val="3"/>
        </w:numPr>
        <w:spacing w:after="80"/>
      </w:pPr>
      <w:r>
        <w:rPr>
          <w:rFonts w:ascii="Calibri" w:cs="Calibri" w:eastAsia="Calibri" w:hAnsi="Calibri"/>
          <w:b w:val="false"/>
          <w:bCs w:val="false"/>
          <w:color w:val="111827"/>
          <w:sz w:val="22"/>
          <w:szCs w:val="22"/>
        </w:rPr>
        <w:t xml:space="preserve">Cohort comparisons rendered as paired bars, not as differences. The reader does the subtraction; the chart does not lie.</w:t>
      </w:r>
    </w:p>
    <w:p>
      <w:pPr>
        <w:pStyle w:val="ListParagraph"/>
        <w:numPr>
          <w:ilvl w:val="0"/>
          <w:numId w:val="3"/>
        </w:numPr>
        <w:spacing w:after="80"/>
      </w:pPr>
      <w:r>
        <w:rPr>
          <w:rFonts w:ascii="Calibri" w:cs="Calibri" w:eastAsia="Calibri" w:hAnsi="Calibri"/>
          <w:b w:val="false"/>
          <w:bCs w:val="false"/>
          <w:color w:val="111827"/>
          <w:sz w:val="22"/>
          <w:szCs w:val="22"/>
        </w:rPr>
        <w:t xml:space="preserve">Every chart has a "How is this calculated?" affordance that links to a one-paragraph definition.</w:t>
      </w:r>
    </w:p>
    <w:p>
      <w:pPr>
        <w:pStyle w:val="Heading2"/>
        <w:spacing w:after="120" w:before="280"/>
      </w:pPr>
      <w:r>
        <w:rPr>
          <w:rFonts w:ascii="Calibri" w:cs="Calibri" w:eastAsia="Calibri" w:hAnsi="Calibri"/>
          <w:b/>
          <w:bCs/>
          <w:color w:val="111827"/>
          <w:sz w:val="28"/>
          <w:szCs w:val="28"/>
        </w:rPr>
        <w:t xml:space="preserve">7.3  Researcher / Investor view — key panels</w:t>
      </w:r>
    </w:p>
    <w:p>
      <w:pPr>
        <w:pStyle w:val="ListParagraph"/>
        <w:numPr>
          <w:ilvl w:val="0"/>
          <w:numId w:val="3"/>
        </w:numPr>
        <w:spacing w:after="80"/>
      </w:pPr>
      <w:r>
        <w:rPr>
          <w:rFonts w:ascii="Calibri" w:cs="Calibri" w:eastAsia="Calibri" w:hAnsi="Calibri"/>
          <w:b w:val="false"/>
          <w:bCs w:val="false"/>
          <w:color w:val="111827"/>
          <w:sz w:val="22"/>
          <w:szCs w:val="22"/>
        </w:rPr>
        <w:t xml:space="preserve">Cohort LHI curves (line chart per weekly cohort, x = days since first session, y = mean LHI).</w:t>
      </w:r>
    </w:p>
    <w:p>
      <w:pPr>
        <w:pStyle w:val="ListParagraph"/>
        <w:numPr>
          <w:ilvl w:val="0"/>
          <w:numId w:val="3"/>
        </w:numPr>
        <w:spacing w:after="80"/>
      </w:pPr>
      <w:r>
        <w:rPr>
          <w:rFonts w:ascii="Calibri" w:cs="Calibri" w:eastAsia="Calibri" w:hAnsi="Calibri"/>
          <w:b w:val="false"/>
          <w:bCs w:val="false"/>
          <w:color w:val="111827"/>
          <w:sz w:val="22"/>
          <w:szCs w:val="22"/>
        </w:rPr>
        <w:t xml:space="preserve">Retention curves per construct (D, E, L, T, A) — % of skills retained at 7 / 30 / 90 days.</w:t>
      </w:r>
    </w:p>
    <w:p>
      <w:pPr>
        <w:pStyle w:val="ListParagraph"/>
        <w:numPr>
          <w:ilvl w:val="0"/>
          <w:numId w:val="3"/>
        </w:numPr>
        <w:spacing w:after="80"/>
      </w:pPr>
      <w:r>
        <w:rPr>
          <w:rFonts w:ascii="Calibri" w:cs="Calibri" w:eastAsia="Calibri" w:hAnsi="Calibri"/>
          <w:b w:val="false"/>
          <w:bCs w:val="false"/>
          <w:color w:val="111827"/>
          <w:sz w:val="22"/>
          <w:szCs w:val="22"/>
        </w:rPr>
        <w:t xml:space="preserve">Transfer matrix (heatmap: source mode × target mode, cell = transfer rate).</w:t>
      </w:r>
    </w:p>
    <w:p>
      <w:pPr>
        <w:pStyle w:val="ListParagraph"/>
        <w:numPr>
          <w:ilvl w:val="0"/>
          <w:numId w:val="3"/>
        </w:numPr>
        <w:spacing w:after="80"/>
      </w:pPr>
      <w:r>
        <w:rPr>
          <w:rFonts w:ascii="Calibri" w:cs="Calibri" w:eastAsia="Calibri" w:hAnsi="Calibri"/>
          <w:b w:val="false"/>
          <w:bCs w:val="false"/>
          <w:color w:val="111827"/>
          <w:sz w:val="22"/>
          <w:szCs w:val="22"/>
        </w:rPr>
        <w:t xml:space="preserve">Sham-control vs treatment effect size with confidence band.</w:t>
      </w:r>
    </w:p>
    <w:p>
      <w:pPr>
        <w:pStyle w:val="ListParagraph"/>
        <w:numPr>
          <w:ilvl w:val="0"/>
          <w:numId w:val="3"/>
        </w:numPr>
        <w:spacing w:after="80"/>
      </w:pPr>
      <w:r>
        <w:rPr>
          <w:rFonts w:ascii="Calibri" w:cs="Calibri" w:eastAsia="Calibri" w:hAnsi="Calibri"/>
          <w:b w:val="false"/>
          <w:bCs w:val="false"/>
          <w:color w:val="111827"/>
          <w:sz w:val="22"/>
          <w:szCs w:val="22"/>
        </w:rPr>
        <w:t xml:space="preserve">Geographic &amp; device distribution (country, device tier).</w:t>
      </w:r>
    </w:p>
    <w:p>
      <w:pPr>
        <w:pStyle w:val="ListParagraph"/>
        <w:numPr>
          <w:ilvl w:val="0"/>
          <w:numId w:val="3"/>
        </w:numPr>
        <w:spacing w:after="80"/>
      </w:pPr>
      <w:r>
        <w:rPr>
          <w:rFonts w:ascii="Calibri" w:cs="Calibri" w:eastAsia="Calibri" w:hAnsi="Calibri"/>
          <w:b w:val="false"/>
          <w:bCs w:val="false"/>
          <w:color w:val="111827"/>
          <w:sz w:val="22"/>
          <w:szCs w:val="22"/>
        </w:rPr>
        <w:t xml:space="preserve">Item-difficulty histogram per domain (literacy, numeracy, motor).</w:t>
      </w:r>
    </w:p>
    <w:p>
      <w:pPr>
        <w:pStyle w:val="Heading2"/>
        <w:spacing w:after="120" w:before="280"/>
      </w:pPr>
      <w:r>
        <w:rPr>
          <w:rFonts w:ascii="Calibri" w:cs="Calibri" w:eastAsia="Calibri" w:hAnsi="Calibri"/>
          <w:b/>
          <w:bCs/>
          <w:color w:val="111827"/>
          <w:sz w:val="28"/>
          <w:szCs w:val="28"/>
        </w:rPr>
        <w:t xml:space="preserve">7.4  School Leader view — key panels</w:t>
      </w:r>
    </w:p>
    <w:p>
      <w:pPr>
        <w:pStyle w:val="ListParagraph"/>
        <w:numPr>
          <w:ilvl w:val="0"/>
          <w:numId w:val="3"/>
        </w:numPr>
        <w:spacing w:after="80"/>
      </w:pPr>
      <w:r>
        <w:rPr>
          <w:rFonts w:ascii="Calibri" w:cs="Calibri" w:eastAsia="Calibri" w:hAnsi="Calibri"/>
          <w:b w:val="false"/>
          <w:bCs w:val="false"/>
          <w:color w:val="111827"/>
          <w:sz w:val="22"/>
          <w:szCs w:val="22"/>
        </w:rPr>
        <w:t xml:space="preserve">Whole-school LHI distribution (histogram with median / IQR markers).</w:t>
      </w:r>
    </w:p>
    <w:p>
      <w:pPr>
        <w:pStyle w:val="ListParagraph"/>
        <w:numPr>
          <w:ilvl w:val="0"/>
          <w:numId w:val="3"/>
        </w:numPr>
        <w:spacing w:after="80"/>
      </w:pPr>
      <w:r>
        <w:rPr>
          <w:rFonts w:ascii="Calibri" w:cs="Calibri" w:eastAsia="Calibri" w:hAnsi="Calibri"/>
          <w:b w:val="false"/>
          <w:bCs w:val="false"/>
          <w:color w:val="111827"/>
          <w:sz w:val="22"/>
          <w:szCs w:val="22"/>
        </w:rPr>
        <w:t xml:space="preserve">Term-on-term LHI delta vs national / regional benchmark band.</w:t>
      </w:r>
    </w:p>
    <w:p>
      <w:pPr>
        <w:pStyle w:val="ListParagraph"/>
        <w:numPr>
          <w:ilvl w:val="0"/>
          <w:numId w:val="3"/>
        </w:numPr>
        <w:spacing w:after="80"/>
      </w:pPr>
      <w:r>
        <w:rPr>
          <w:rFonts w:ascii="Calibri" w:cs="Calibri" w:eastAsia="Calibri" w:hAnsi="Calibri"/>
          <w:b w:val="false"/>
          <w:bCs w:val="false"/>
          <w:color w:val="111827"/>
          <w:sz w:val="22"/>
          <w:szCs w:val="22"/>
        </w:rPr>
        <w:t xml:space="preserve">EYFS area attainment grid (one row per area, columns are bands).</w:t>
      </w:r>
    </w:p>
    <w:p>
      <w:pPr>
        <w:pStyle w:val="ListParagraph"/>
        <w:numPr>
          <w:ilvl w:val="0"/>
          <w:numId w:val="3"/>
        </w:numPr>
        <w:spacing w:after="80"/>
      </w:pPr>
      <w:r>
        <w:rPr>
          <w:rFonts w:ascii="Calibri" w:cs="Calibri" w:eastAsia="Calibri" w:hAnsi="Calibri"/>
          <w:b w:val="false"/>
          <w:bCs w:val="false"/>
          <w:color w:val="111827"/>
          <w:sz w:val="22"/>
          <w:szCs w:val="22"/>
        </w:rPr>
        <w:t xml:space="preserve">Per-class LHI arc thumbnails (small multiples).</w:t>
      </w:r>
    </w:p>
    <w:p>
      <w:pPr>
        <w:pStyle w:val="ListParagraph"/>
        <w:numPr>
          <w:ilvl w:val="0"/>
          <w:numId w:val="3"/>
        </w:numPr>
        <w:spacing w:after="80"/>
      </w:pPr>
      <w:r>
        <w:rPr>
          <w:rFonts w:ascii="Calibri" w:cs="Calibri" w:eastAsia="Calibri" w:hAnsi="Calibri"/>
          <w:b w:val="false"/>
          <w:bCs w:val="false"/>
          <w:color w:val="111827"/>
          <w:sz w:val="22"/>
          <w:szCs w:val="22"/>
        </w:rPr>
        <w:t xml:space="preserve">Engagement-to-mastery ratio by class.</w:t>
      </w:r>
    </w:p>
    <w:p>
      <w:pPr>
        <w:pStyle w:val="ListParagraph"/>
        <w:numPr>
          <w:ilvl w:val="0"/>
          <w:numId w:val="3"/>
        </w:numPr>
        <w:spacing w:after="80"/>
      </w:pPr>
      <w:r>
        <w:rPr>
          <w:rFonts w:ascii="Calibri" w:cs="Calibri" w:eastAsia="Calibri" w:hAnsi="Calibri"/>
          <w:b w:val="false"/>
          <w:bCs w:val="false"/>
          <w:color w:val="111827"/>
          <w:sz w:val="22"/>
          <w:szCs w:val="22"/>
        </w:rPr>
        <w:t xml:space="preserve">Year-group cohort curves.</w:t>
      </w:r>
    </w:p>
    <w:p>
      <w:pPr>
        <w:pStyle w:val="Heading2"/>
        <w:spacing w:after="120" w:before="280"/>
      </w:pPr>
      <w:r>
        <w:rPr>
          <w:rFonts w:ascii="Calibri" w:cs="Calibri" w:eastAsia="Calibri" w:hAnsi="Calibri"/>
          <w:b/>
          <w:bCs/>
          <w:color w:val="111827"/>
          <w:sz w:val="28"/>
          <w:szCs w:val="28"/>
        </w:rPr>
        <w:t xml:space="preserve">7.5  Teacher view — key panels</w:t>
      </w:r>
    </w:p>
    <w:p>
      <w:pPr>
        <w:pStyle w:val="ListParagraph"/>
        <w:numPr>
          <w:ilvl w:val="0"/>
          <w:numId w:val="3"/>
        </w:numPr>
        <w:spacing w:after="80"/>
      </w:pPr>
      <w:r>
        <w:rPr>
          <w:rFonts w:ascii="Calibri" w:cs="Calibri" w:eastAsia="Calibri" w:hAnsi="Calibri"/>
          <w:b w:val="false"/>
          <w:bCs w:val="false"/>
          <w:color w:val="111827"/>
          <w:sz w:val="22"/>
          <w:szCs w:val="22"/>
        </w:rPr>
        <w:t xml:space="preserve">Class roster as a sortable list: name, LHI today, LHI delta over 7 days, confidence level, last-played-at.</w:t>
      </w:r>
    </w:p>
    <w:p>
      <w:pPr>
        <w:pStyle w:val="ListParagraph"/>
        <w:numPr>
          <w:ilvl w:val="0"/>
          <w:numId w:val="3"/>
        </w:numPr>
        <w:spacing w:after="80"/>
      </w:pPr>
      <w:r>
        <w:rPr>
          <w:rFonts w:ascii="Calibri" w:cs="Calibri" w:eastAsia="Calibri" w:hAnsi="Calibri"/>
          <w:b w:val="false"/>
          <w:bCs w:val="false"/>
          <w:color w:val="111827"/>
          <w:sz w:val="22"/>
          <w:szCs w:val="22"/>
        </w:rPr>
        <w:t xml:space="preserve">Intervention pane: pupils with stalled or decayed skills, with the specific skill named.</w:t>
      </w:r>
    </w:p>
    <w:p>
      <w:pPr>
        <w:pStyle w:val="ListParagraph"/>
        <w:numPr>
          <w:ilvl w:val="0"/>
          <w:numId w:val="3"/>
        </w:numPr>
        <w:spacing w:after="80"/>
      </w:pPr>
      <w:r>
        <w:rPr>
          <w:rFonts w:ascii="Calibri" w:cs="Calibri" w:eastAsia="Calibri" w:hAnsi="Calibri"/>
          <w:b w:val="false"/>
          <w:bCs w:val="false"/>
          <w:color w:val="111827"/>
          <w:sz w:val="22"/>
          <w:szCs w:val="22"/>
        </w:rPr>
        <w:t xml:space="preserve">Curriculum coverage matrix: skills × pupils, cell shaded by mastery state.</w:t>
      </w:r>
    </w:p>
    <w:p>
      <w:pPr>
        <w:pStyle w:val="ListParagraph"/>
        <w:numPr>
          <w:ilvl w:val="0"/>
          <w:numId w:val="3"/>
        </w:numPr>
        <w:spacing w:after="80"/>
      </w:pPr>
      <w:r>
        <w:rPr>
          <w:rFonts w:ascii="Calibri" w:cs="Calibri" w:eastAsia="Calibri" w:hAnsi="Calibri"/>
          <w:b w:val="false"/>
          <w:bCs w:val="false"/>
          <w:color w:val="111827"/>
          <w:sz w:val="22"/>
          <w:szCs w:val="22"/>
        </w:rPr>
        <w:t xml:space="preserve">Class skill-friction map: which skills are &gt;30% of class struggling on.</w:t>
      </w:r>
    </w:p>
    <w:p>
      <w:pPr>
        <w:pStyle w:val="ListParagraph"/>
        <w:numPr>
          <w:ilvl w:val="0"/>
          <w:numId w:val="3"/>
        </w:numPr>
        <w:spacing w:after="80"/>
      </w:pPr>
      <w:r>
        <w:rPr>
          <w:rFonts w:ascii="Calibri" w:cs="Calibri" w:eastAsia="Calibri" w:hAnsi="Calibri"/>
          <w:b w:val="false"/>
          <w:bCs w:val="false"/>
          <w:color w:val="111827"/>
          <w:sz w:val="22"/>
          <w:szCs w:val="22"/>
        </w:rPr>
        <w:t xml:space="preserve">Today's pace: time-to-first-correct distribution across class.</w:t>
      </w:r>
    </w:p>
    <w:p>
      <w:pPr>
        <w:pStyle w:val="ListParagraph"/>
        <w:numPr>
          <w:ilvl w:val="0"/>
          <w:numId w:val="3"/>
        </w:numPr>
        <w:spacing w:after="80"/>
      </w:pPr>
      <w:r>
        <w:rPr>
          <w:rFonts w:ascii="Calibri" w:cs="Calibri" w:eastAsia="Calibri" w:hAnsi="Calibri"/>
          <w:b w:val="false"/>
          <w:bCs w:val="false"/>
          <w:color w:val="111827"/>
          <w:sz w:val="22"/>
          <w:szCs w:val="22"/>
        </w:rPr>
        <w:t xml:space="preserve">Quick-action: assign a probe set, switch to a different activity.</w:t>
      </w:r>
    </w:p>
    <w:p>
      <w:pPr>
        <w:pStyle w:val="Heading2"/>
        <w:spacing w:after="120" w:before="280"/>
      </w:pPr>
      <w:r>
        <w:rPr>
          <w:rFonts w:ascii="Calibri" w:cs="Calibri" w:eastAsia="Calibri" w:hAnsi="Calibri"/>
          <w:b/>
          <w:bCs/>
          <w:color w:val="111827"/>
          <w:sz w:val="28"/>
          <w:szCs w:val="28"/>
        </w:rPr>
        <w:t xml:space="preserve">7.6  Parent / Child view — key panels</w:t>
      </w:r>
    </w:p>
    <w:p>
      <w:pPr>
        <w:pStyle w:val="ListParagraph"/>
        <w:numPr>
          <w:ilvl w:val="0"/>
          <w:numId w:val="3"/>
        </w:numPr>
        <w:spacing w:after="80"/>
      </w:pPr>
      <w:r>
        <w:rPr>
          <w:rFonts w:ascii="Calibri" w:cs="Calibri" w:eastAsia="Calibri" w:hAnsi="Calibri"/>
          <w:b w:val="false"/>
          <w:bCs w:val="false"/>
          <w:color w:val="111827"/>
          <w:sz w:val="22"/>
          <w:szCs w:val="22"/>
        </w:rPr>
        <w:t xml:space="preserve">Growth tree visualisation: skill nodes light up as they progress through states (new → practising → mastered → retained).</w:t>
      </w:r>
    </w:p>
    <w:p>
      <w:pPr>
        <w:pStyle w:val="ListParagraph"/>
        <w:numPr>
          <w:ilvl w:val="0"/>
          <w:numId w:val="3"/>
        </w:numPr>
        <w:spacing w:after="80"/>
      </w:pPr>
      <w:r>
        <w:rPr>
          <w:rFonts w:ascii="Calibri" w:cs="Calibri" w:eastAsia="Calibri" w:hAnsi="Calibri"/>
          <w:b w:val="false"/>
          <w:bCs w:val="false"/>
          <w:color w:val="111827"/>
          <w:sz w:val="22"/>
          <w:szCs w:val="22"/>
        </w:rPr>
        <w:t xml:space="preserve">"This week" summary: 3–5 named wins, framed positively.</w:t>
      </w:r>
    </w:p>
    <w:p>
      <w:pPr>
        <w:pStyle w:val="ListParagraph"/>
        <w:numPr>
          <w:ilvl w:val="0"/>
          <w:numId w:val="3"/>
        </w:numPr>
        <w:spacing w:after="80"/>
      </w:pPr>
      <w:r>
        <w:rPr>
          <w:rFonts w:ascii="Calibri" w:cs="Calibri" w:eastAsia="Calibri" w:hAnsi="Calibri"/>
          <w:b w:val="false"/>
          <w:bCs w:val="false"/>
          <w:color w:val="111827"/>
          <w:sz w:val="22"/>
          <w:szCs w:val="22"/>
        </w:rPr>
        <w:t xml:space="preserve">Streak badge.</w:t>
      </w:r>
    </w:p>
    <w:p>
      <w:pPr>
        <w:pStyle w:val="ListParagraph"/>
        <w:numPr>
          <w:ilvl w:val="0"/>
          <w:numId w:val="3"/>
        </w:numPr>
        <w:spacing w:after="80"/>
      </w:pPr>
      <w:r>
        <w:rPr>
          <w:rFonts w:ascii="Calibri" w:cs="Calibri" w:eastAsia="Calibri" w:hAnsi="Calibri"/>
          <w:b w:val="false"/>
          <w:bCs w:val="false"/>
          <w:color w:val="111827"/>
          <w:sz w:val="22"/>
          <w:szCs w:val="22"/>
        </w:rPr>
        <w:t xml:space="preserve">"What to try next" suggestion drawn from the unlocked frontier.</w:t>
      </w:r>
    </w:p>
    <w:p>
      <w:pPr>
        <w:pStyle w:val="ListParagraph"/>
        <w:numPr>
          <w:ilvl w:val="0"/>
          <w:numId w:val="3"/>
        </w:numPr>
        <w:spacing w:after="80"/>
      </w:pPr>
      <w:r>
        <w:rPr>
          <w:rFonts w:ascii="Calibri" w:cs="Calibri" w:eastAsia="Calibri" w:hAnsi="Calibri"/>
          <w:b w:val="false"/>
          <w:bCs w:val="false"/>
          <w:color w:val="111827"/>
          <w:sz w:val="22"/>
          <w:szCs w:val="22"/>
        </w:rPr>
        <w:t xml:space="preserve">Privacy footer: every chart links to "what data is this, where is it stored, how do I delete it?".</w:t>
      </w:r>
    </w:p>
    <w:p>
      <w:pPr>
        <w:pStyle w:val="Heading2"/>
        <w:spacing w:after="120" w:before="280"/>
      </w:pPr>
      <w:r>
        <w:rPr>
          <w:rFonts w:ascii="Calibri" w:cs="Calibri" w:eastAsia="Calibri" w:hAnsi="Calibri"/>
          <w:b/>
          <w:bCs/>
          <w:color w:val="111827"/>
          <w:sz w:val="28"/>
          <w:szCs w:val="28"/>
        </w:rPr>
        <w:t xml:space="preserve">7.7  Public landing — what to show</w:t>
      </w:r>
    </w:p>
    <w:p>
      <w:pPr>
        <w:spacing w:after="80" w:before="0"/>
      </w:pPr>
      <w:r>
        <w:rPr>
          <w:rFonts w:ascii="Calibri" w:cs="Calibri" w:eastAsia="Calibri" w:hAnsi="Calibri"/>
          <w:b w:val="false"/>
          <w:bCs w:val="false"/>
          <w:i w:val="false"/>
          <w:iCs w:val="false"/>
          <w:color w:val="111827"/>
          <w:sz w:val="22"/>
          <w:szCs w:val="22"/>
        </w:rPr>
        <w:t xml:space="preserve">The current landing surfaces "10,000+ letters traced" (hardcoded copy) and aggregate counts from landing_public_proof. The redesigned landing should:</w:t>
      </w:r>
    </w:p>
    <w:p>
      <w:pPr>
        <w:pStyle w:val="ListParagraph"/>
        <w:numPr>
          <w:ilvl w:val="0"/>
          <w:numId w:val="3"/>
        </w:numPr>
        <w:spacing w:after="80"/>
      </w:pPr>
      <w:r>
        <w:rPr>
          <w:rFonts w:ascii="Calibri" w:cs="Calibri" w:eastAsia="Calibri" w:hAnsi="Calibri"/>
          <w:b w:val="false"/>
          <w:bCs w:val="false"/>
          <w:color w:val="111827"/>
          <w:sz w:val="22"/>
          <w:szCs w:val="22"/>
        </w:rPr>
        <w:t xml:space="preserve">Replace fabricated marketing numbers with verifiable, k-anonymised platform-wide aggregates.</w:t>
      </w:r>
    </w:p>
    <w:p>
      <w:pPr>
        <w:pStyle w:val="ListParagraph"/>
        <w:numPr>
          <w:ilvl w:val="0"/>
          <w:numId w:val="3"/>
        </w:numPr>
        <w:spacing w:after="80"/>
      </w:pPr>
      <w:r>
        <w:rPr>
          <w:rFonts w:ascii="Calibri" w:cs="Calibri" w:eastAsia="Calibri" w:hAnsi="Calibri"/>
          <w:b w:val="false"/>
          <w:bCs w:val="false"/>
          <w:color w:val="111827"/>
          <w:sz w:val="22"/>
          <w:szCs w:val="22"/>
        </w:rPr>
        <w:t xml:space="preserve">Add a "median LHI gain in first 4 weeks" headline once the partner-school study completes.</w:t>
      </w:r>
    </w:p>
    <w:p>
      <w:pPr>
        <w:pStyle w:val="ListParagraph"/>
        <w:numPr>
          <w:ilvl w:val="0"/>
          <w:numId w:val="3"/>
        </w:numPr>
        <w:spacing w:after="80"/>
      </w:pPr>
      <w:r>
        <w:rPr>
          <w:rFonts w:ascii="Calibri" w:cs="Calibri" w:eastAsia="Calibri" w:hAnsi="Calibri"/>
          <w:b w:val="false"/>
          <w:bCs w:val="false"/>
          <w:color w:val="111827"/>
          <w:sz w:val="22"/>
          <w:szCs w:val="22"/>
        </w:rPr>
        <w:t xml:space="preserve">Add a per-country counter (e.g. "Children learning in 14 countries this week").</w:t>
      </w:r>
    </w:p>
    <w:p>
      <w:pPr>
        <w:pStyle w:val="ListParagraph"/>
        <w:numPr>
          <w:ilvl w:val="0"/>
          <w:numId w:val="3"/>
        </w:numPr>
        <w:spacing w:after="80"/>
      </w:pPr>
      <w:r>
        <w:rPr>
          <w:rFonts w:ascii="Calibri" w:cs="Calibri" w:eastAsia="Calibri" w:hAnsi="Calibri"/>
          <w:b w:val="false"/>
          <w:bCs w:val="false"/>
          <w:color w:val="111827"/>
          <w:sz w:val="22"/>
          <w:szCs w:val="22"/>
        </w:rPr>
        <w:t xml:space="preserve">Add an Open Science footer linking to the methodology page (Section 12).</w:t>
      </w:r>
    </w:p>
    <w:p>
      <w:pPr>
        <w:pStyle w:val="Heading1"/>
        <w:pageBreakBefore/>
        <w:spacing w:after="160" w:before="360"/>
      </w:pPr>
      <w:r>
        <w:rPr>
          <w:rFonts w:ascii="Calibri" w:cs="Calibri" w:eastAsia="Calibri" w:hAnsi="Calibri"/>
          <w:b/>
          <w:bCs/>
          <w:color w:val="0F766E"/>
          <w:sz w:val="36"/>
          <w:szCs w:val="36"/>
        </w:rPr>
        <w:t xml:space="preserve">8. Learning-Outcome Framework</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A learning-outcome framework is the contract between the platform and an external auditor. It says: here is what we will measure, how, on what schedule, with what controls, and with what publication commitment. Without it, every claim is rhetorical.</w:t>
      </w:r>
    </w:p>
    <w:p>
      <w:pPr>
        <w:pStyle w:val="Heading2"/>
        <w:spacing w:after="120" w:before="280"/>
      </w:pPr>
      <w:r>
        <w:rPr>
          <w:rFonts w:ascii="Calibri" w:cs="Calibri" w:eastAsia="Calibri" w:hAnsi="Calibri"/>
          <w:b/>
          <w:bCs/>
          <w:color w:val="111827"/>
          <w:sz w:val="28"/>
          <w:szCs w:val="28"/>
        </w:rPr>
        <w:t xml:space="preserve">8.1  Outcome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400"/>
        <w:gridCol w:w="2560"/>
      </w:tblGrid>
      <w:tr>
        <w:trPr>
          <w:tblHeader/>
        </w:trPr>
        <w:tc>
          <w:tcPr>
            <w:tcW w:type="dxa" w:w="1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Dimension</w:t>
            </w:r>
          </w:p>
        </w:tc>
        <w:tc>
          <w:tcPr>
            <w:tcW w:type="dxa" w:w="2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Measurement</w:t>
            </w:r>
          </w:p>
        </w:tc>
        <w:tc>
          <w:tcPr>
            <w:tcW w:type="dxa" w:w="24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Probe location</w:t>
            </w:r>
          </w:p>
        </w:tc>
        <w:tc>
          <w:tcPr>
            <w:tcW w:type="dxa" w:w="25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Framework alignment</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Letter / numeral recognition</w:t>
            </w:r>
          </w:p>
        </w:tc>
        <w:tc>
          <w:tcPr>
            <w:tcW w:type="dxa" w:w="2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first_attempt_correct rate × latency reduction on probe items.</w:t>
            </w:r>
          </w:p>
        </w:tc>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Hidden probe set in tracing, gesture-spelling, balloon-math modes.</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EYFS Literacy CL/W; KS1 Reading.</w:t>
            </w:r>
          </w:p>
        </w:tc>
      </w:tr>
      <w:tr>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Motor precision</w:t>
            </w:r>
          </w:p>
        </w:tc>
        <w:tc>
          <w:tcPr>
            <w:tcW w:type="dxa" w:w="2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Stroke-quality slope; reduction of off-path frames; pen-lift count trend.</w:t>
            </w:r>
          </w:p>
        </w:tc>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Pre-writing and tracing probe items.</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EYFS Physical Development; Handwriting standards.</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Number sense</w:t>
            </w:r>
          </w:p>
        </w:tc>
        <w:tc>
          <w:tcPr>
            <w:tcW w:type="dxa" w:w="2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Accuracy × latency on add-within-10 and 20 probe items.</w:t>
            </w:r>
          </w:p>
        </w:tc>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Balloon-math probe set.</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EYFS Mathematics; KS1 Number &amp; Place Value.</w:t>
            </w:r>
          </w:p>
        </w:tc>
      </w:tr>
      <w:tr>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Pattern &amp; memory</w:t>
            </w:r>
          </w:p>
        </w:tc>
        <w:tc>
          <w:tcPr>
            <w:tcW w:type="dxa" w:w="2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Pattern-length × accuracy curve in Rainbow Bridge.</w:t>
            </w:r>
          </w:p>
        </w:tc>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Cross-session pattern probes.</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EYFS Specific Areas — Understanding the World.</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Confidence &amp; autonomy</w:t>
            </w:r>
          </w:p>
        </w:tc>
        <w:tc>
          <w:tcPr>
            <w:tcW w:type="dxa" w:w="2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Hesitation reduction, hint-rate reduction, completion-independence rate.</w:t>
            </w:r>
          </w:p>
        </w:tc>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All probe sessions.</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EYFS Characteristics of Effective Learning (Active Learning).</w:t>
            </w:r>
          </w:p>
        </w:tc>
      </w:tr>
      <w:tr>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Skill retention</w:t>
            </w:r>
          </w:p>
        </w:tc>
        <w:tc>
          <w:tcPr>
            <w:tcW w:type="dxa" w:w="2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 mastered skills passed at +7 / +30 / +90 days.</w:t>
            </w:r>
          </w:p>
        </w:tc>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Scheduled probes.</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OECD Future of Education; SEDA retention benchmarks.</w:t>
            </w:r>
          </w:p>
        </w:tc>
      </w:tr>
    </w:tbl>
    <w:p>
      <w:pPr>
        <w:pStyle w:val="Heading2"/>
        <w:spacing w:after="120" w:before="280"/>
      </w:pPr>
      <w:r>
        <w:rPr>
          <w:rFonts w:ascii="Calibri" w:cs="Calibri" w:eastAsia="Calibri" w:hAnsi="Calibri"/>
          <w:b/>
          <w:bCs/>
          <w:color w:val="111827"/>
          <w:sz w:val="28"/>
          <w:szCs w:val="28"/>
        </w:rPr>
        <w:t xml:space="preserve">8.2  The probe pool</w:t>
      </w:r>
    </w:p>
    <w:p>
      <w:pPr>
        <w:spacing w:after="80" w:before="0"/>
      </w:pPr>
      <w:r>
        <w:rPr>
          <w:rFonts w:ascii="Calibri" w:cs="Calibri" w:eastAsia="Calibri" w:hAnsi="Calibri"/>
          <w:b w:val="false"/>
          <w:bCs w:val="false"/>
          <w:i w:val="false"/>
          <w:iCs w:val="false"/>
          <w:color w:val="111827"/>
          <w:sz w:val="22"/>
          <w:szCs w:val="22"/>
        </w:rPr>
        <w:t xml:space="preserve">Probes are items the adaptive engine is forbidden from using for practice. They are drawn from the same content but tagged is_probe in the skills table. The probe pool size per skill is 3–5 items. Probes are administered:</w:t>
      </w:r>
    </w:p>
    <w:p>
      <w:pPr>
        <w:pStyle w:val="ListParagraph"/>
        <w:numPr>
          <w:ilvl w:val="0"/>
          <w:numId w:val="3"/>
        </w:numPr>
        <w:spacing w:after="80"/>
      </w:pPr>
      <w:r>
        <w:rPr>
          <w:rFonts w:ascii="Calibri" w:cs="Calibri" w:eastAsia="Calibri" w:hAnsi="Calibri"/>
          <w:b w:val="false"/>
          <w:bCs w:val="false"/>
          <w:color w:val="111827"/>
          <w:sz w:val="22"/>
          <w:szCs w:val="22"/>
        </w:rPr>
        <w:t xml:space="preserve">At baseline — first 2 sessions of a new learner.</w:t>
      </w:r>
    </w:p>
    <w:p>
      <w:pPr>
        <w:pStyle w:val="ListParagraph"/>
        <w:numPr>
          <w:ilvl w:val="0"/>
          <w:numId w:val="3"/>
        </w:numPr>
        <w:spacing w:after="80"/>
      </w:pPr>
      <w:r>
        <w:rPr>
          <w:rFonts w:ascii="Calibri" w:cs="Calibri" w:eastAsia="Calibri" w:hAnsi="Calibri"/>
          <w:b w:val="false"/>
          <w:bCs w:val="false"/>
          <w:color w:val="111827"/>
          <w:sz w:val="22"/>
          <w:szCs w:val="22"/>
        </w:rPr>
        <w:t xml:space="preserve">On mastery declaration — once a skill moves to mastered.</w:t>
      </w:r>
    </w:p>
    <w:p>
      <w:pPr>
        <w:pStyle w:val="ListParagraph"/>
        <w:numPr>
          <w:ilvl w:val="0"/>
          <w:numId w:val="3"/>
        </w:numPr>
        <w:spacing w:after="80"/>
      </w:pPr>
      <w:r>
        <w:rPr>
          <w:rFonts w:ascii="Calibri" w:cs="Calibri" w:eastAsia="Calibri" w:hAnsi="Calibri"/>
          <w:b w:val="false"/>
          <w:bCs w:val="false"/>
          <w:color w:val="111827"/>
          <w:sz w:val="22"/>
          <w:szCs w:val="22"/>
        </w:rPr>
        <w:t xml:space="preserve">At scheduled intervals — +7, +30, +90 days post-mastery.</w:t>
      </w:r>
    </w:p>
    <w:p>
      <w:pPr>
        <w:pStyle w:val="ListParagraph"/>
        <w:numPr>
          <w:ilvl w:val="0"/>
          <w:numId w:val="3"/>
        </w:numPr>
        <w:spacing w:after="80"/>
      </w:pPr>
      <w:r>
        <w:rPr>
          <w:rFonts w:ascii="Calibri" w:cs="Calibri" w:eastAsia="Calibri" w:hAnsi="Calibri"/>
          <w:b w:val="false"/>
          <w:bCs w:val="false"/>
          <w:color w:val="111827"/>
          <w:sz w:val="22"/>
          <w:szCs w:val="22"/>
        </w:rPr>
        <w:t xml:space="preserve">At cohort-defined gates — end of half-term, end of term (for school cohorts).</w:t>
      </w:r>
    </w:p>
    <w:p>
      <w:pPr>
        <w:pStyle w:val="Heading2"/>
        <w:spacing w:after="120" w:before="280"/>
      </w:pPr>
      <w:r>
        <w:rPr>
          <w:rFonts w:ascii="Calibri" w:cs="Calibri" w:eastAsia="Calibri" w:hAnsi="Calibri"/>
          <w:b/>
          <w:bCs/>
          <w:color w:val="111827"/>
          <w:sz w:val="28"/>
          <w:szCs w:val="28"/>
        </w:rPr>
        <w:t xml:space="preserve">8.3  Probe scheduling</w:t>
      </w:r>
    </w:p>
    <w:p>
      <w:pPr>
        <w:spacing w:after="80" w:before="0"/>
      </w:pPr>
      <w:r>
        <w:rPr>
          <w:rFonts w:ascii="Calibri" w:cs="Calibri" w:eastAsia="Calibri" w:hAnsi="Calibri"/>
          <w:b w:val="false"/>
          <w:bCs w:val="false"/>
          <w:i w:val="false"/>
          <w:iCs w:val="false"/>
          <w:color w:val="111827"/>
          <w:sz w:val="22"/>
          <w:szCs w:val="22"/>
        </w:rPr>
        <w:t xml:space="preserve">Probes are interleaved invisibly into the next-item recommender. From the child's perspective the probe looks like a normal stage. The recommender flags probe items with is_probe=true on the attempts_v2 row.</w:t>
      </w:r>
    </w:p>
    <w:p>
      <w:pPr>
        <w:pStyle w:val="ListParagraph"/>
        <w:numPr>
          <w:ilvl w:val="0"/>
          <w:numId w:val="3"/>
        </w:numPr>
        <w:spacing w:after="80"/>
      </w:pPr>
      <w:r>
        <w:rPr>
          <w:rFonts w:ascii="Calibri" w:cs="Calibri" w:eastAsia="Calibri" w:hAnsi="Calibri"/>
          <w:b w:val="false"/>
          <w:bCs w:val="false"/>
          <w:color w:val="111827"/>
          <w:sz w:val="22"/>
          <w:szCs w:val="22"/>
        </w:rPr>
        <w:t xml:space="preserve">A learner with three pending probes will get one of them in their next ≤ 3 stages.</w:t>
      </w:r>
    </w:p>
    <w:p>
      <w:pPr>
        <w:pStyle w:val="ListParagraph"/>
        <w:numPr>
          <w:ilvl w:val="0"/>
          <w:numId w:val="3"/>
        </w:numPr>
        <w:spacing w:after="80"/>
      </w:pPr>
      <w:r>
        <w:rPr>
          <w:rFonts w:ascii="Calibri" w:cs="Calibri" w:eastAsia="Calibri" w:hAnsi="Calibri"/>
          <w:b w:val="false"/>
          <w:bCs w:val="false"/>
          <w:color w:val="111827"/>
          <w:sz w:val="22"/>
          <w:szCs w:val="22"/>
        </w:rPr>
        <w:t xml:space="preserve">If a probe is missed (session ends before it administers), it rolls forward but is logged as unadministered.</w:t>
      </w:r>
    </w:p>
    <w:p>
      <w:pPr>
        <w:pStyle w:val="ListParagraph"/>
        <w:numPr>
          <w:ilvl w:val="0"/>
          <w:numId w:val="3"/>
        </w:numPr>
        <w:spacing w:after="80"/>
      </w:pPr>
      <w:r>
        <w:rPr>
          <w:rFonts w:ascii="Calibri" w:cs="Calibri" w:eastAsia="Calibri" w:hAnsi="Calibri"/>
          <w:b w:val="false"/>
          <w:bCs w:val="false"/>
          <w:color w:val="111827"/>
          <w:sz w:val="22"/>
          <w:szCs w:val="22"/>
        </w:rPr>
        <w:t xml:space="preserve">Probe items are not adaptive; difficulty is fixed within the probe pool.</w:t>
      </w:r>
    </w:p>
    <w:p>
      <w:pPr>
        <w:pStyle w:val="Heading2"/>
        <w:spacing w:after="120" w:before="280"/>
      </w:pPr>
      <w:r>
        <w:rPr>
          <w:rFonts w:ascii="Calibri" w:cs="Calibri" w:eastAsia="Calibri" w:hAnsi="Calibri"/>
          <w:b/>
          <w:bCs/>
          <w:color w:val="111827"/>
          <w:sz w:val="28"/>
          <w:szCs w:val="28"/>
        </w:rPr>
        <w:t xml:space="preserve">8.4  Control conditions for efficacy studies</w:t>
      </w:r>
    </w:p>
    <w:p>
      <w:pPr>
        <w:spacing w:after="80" w:before="0"/>
      </w:pPr>
      <w:r>
        <w:rPr>
          <w:rFonts w:ascii="Calibri" w:cs="Calibri" w:eastAsia="Calibri" w:hAnsi="Calibri"/>
          <w:b w:val="false"/>
          <w:bCs w:val="false"/>
          <w:i w:val="false"/>
          <w:iCs w:val="false"/>
          <w:color w:val="111827"/>
          <w:sz w:val="22"/>
          <w:szCs w:val="22"/>
        </w:rPr>
        <w:t xml:space="preserve">For grant-grade evidence, side-by-side comparison with a control is necessary. Three control options, in order of rigour:</w:t>
      </w:r>
    </w:p>
    <w:p>
      <w:pPr>
        <w:pStyle w:val="ListParagraph"/>
        <w:numPr>
          <w:ilvl w:val="0"/>
          <w:numId w:val="3"/>
        </w:numPr>
        <w:spacing w:after="80"/>
      </w:pPr>
      <w:r>
        <w:rPr>
          <w:rFonts w:ascii="Calibri" w:cs="Calibri" w:eastAsia="Calibri" w:hAnsi="Calibri"/>
          <w:b w:val="false"/>
          <w:bCs w:val="false"/>
          <w:color w:val="111827"/>
          <w:sz w:val="22"/>
          <w:szCs w:val="22"/>
        </w:rPr>
        <w:t xml:space="preserve">Sham-content control: the same hand-tracking platform but with non-educational mini-games matched on novelty and play time. The strongest internal control.</w:t>
      </w:r>
    </w:p>
    <w:p>
      <w:pPr>
        <w:pStyle w:val="ListParagraph"/>
        <w:numPr>
          <w:ilvl w:val="0"/>
          <w:numId w:val="3"/>
        </w:numPr>
        <w:spacing w:after="80"/>
      </w:pPr>
      <w:r>
        <w:rPr>
          <w:rFonts w:ascii="Calibri" w:cs="Calibri" w:eastAsia="Calibri" w:hAnsi="Calibri"/>
          <w:b w:val="false"/>
          <w:bCs w:val="false"/>
          <w:color w:val="111827"/>
          <w:sz w:val="22"/>
          <w:szCs w:val="22"/>
        </w:rPr>
        <w:t xml:space="preserve">Waitlist control: a school cohort receives Draw in the Air 8 weeks later. Compares cohort A weeks 1–8 to cohort B baseline.</w:t>
      </w:r>
    </w:p>
    <w:p>
      <w:pPr>
        <w:pStyle w:val="ListParagraph"/>
        <w:numPr>
          <w:ilvl w:val="0"/>
          <w:numId w:val="3"/>
        </w:numPr>
        <w:spacing w:after="80"/>
      </w:pPr>
      <w:r>
        <w:rPr>
          <w:rFonts w:ascii="Calibri" w:cs="Calibri" w:eastAsia="Calibri" w:hAnsi="Calibri"/>
          <w:b w:val="false"/>
          <w:bCs w:val="false"/>
          <w:color w:val="111827"/>
          <w:sz w:val="22"/>
          <w:szCs w:val="22"/>
        </w:rPr>
        <w:t xml:space="preserve">Crossover control: each pupil acts as their own control across alternating weeks. Lower statistical power but high credibility for single-school studies.</w:t>
      </w:r>
    </w:p>
    <w:p>
      <w:pPr>
        <w:pStyle w:val="Heading2"/>
        <w:spacing w:after="120" w:before="280"/>
      </w:pPr>
      <w:r>
        <w:rPr>
          <w:rFonts w:ascii="Calibri" w:cs="Calibri" w:eastAsia="Calibri" w:hAnsi="Calibri"/>
          <w:b/>
          <w:bCs/>
          <w:color w:val="111827"/>
          <w:sz w:val="28"/>
          <w:szCs w:val="28"/>
        </w:rPr>
        <w:t xml:space="preserve">8.5  Pre/post protocol</w:t>
      </w:r>
    </w:p>
    <w:p>
      <w:pPr>
        <w:pStyle w:val="ListParagraph"/>
        <w:numPr>
          <w:ilvl w:val="0"/>
          <w:numId w:val="2"/>
        </w:numPr>
        <w:spacing w:after="80"/>
      </w:pPr>
      <w:r>
        <w:rPr>
          <w:rFonts w:ascii="Calibri" w:cs="Calibri" w:eastAsia="Calibri" w:hAnsi="Calibri"/>
          <w:color w:val="111827"/>
          <w:sz w:val="22"/>
          <w:szCs w:val="22"/>
        </w:rPr>
        <w:t xml:space="preserve">Week 0: parental consent (Section 9), baseline probes administered across all unlocked skills, baseline LHI computed.</w:t>
      </w:r>
    </w:p>
    <w:p>
      <w:pPr>
        <w:pStyle w:val="ListParagraph"/>
        <w:numPr>
          <w:ilvl w:val="0"/>
          <w:numId w:val="2"/>
        </w:numPr>
        <w:spacing w:after="80"/>
      </w:pPr>
      <w:r>
        <w:rPr>
          <w:rFonts w:ascii="Calibri" w:cs="Calibri" w:eastAsia="Calibri" w:hAnsi="Calibri"/>
          <w:color w:val="111827"/>
          <w:sz w:val="22"/>
          <w:szCs w:val="22"/>
        </w:rPr>
        <w:t xml:space="preserve">Weeks 1–6: normal adaptive practice with probe interleaving.</w:t>
      </w:r>
    </w:p>
    <w:p>
      <w:pPr>
        <w:pStyle w:val="ListParagraph"/>
        <w:numPr>
          <w:ilvl w:val="0"/>
          <w:numId w:val="2"/>
        </w:numPr>
        <w:spacing w:after="80"/>
      </w:pPr>
      <w:r>
        <w:rPr>
          <w:rFonts w:ascii="Calibri" w:cs="Calibri" w:eastAsia="Calibri" w:hAnsi="Calibri"/>
          <w:color w:val="111827"/>
          <w:sz w:val="22"/>
          <w:szCs w:val="22"/>
        </w:rPr>
        <w:t xml:space="preserve">Week 7: post probes administered, including transfer probes (skills not directly practised).</w:t>
      </w:r>
    </w:p>
    <w:p>
      <w:pPr>
        <w:pStyle w:val="ListParagraph"/>
        <w:numPr>
          <w:ilvl w:val="0"/>
          <w:numId w:val="2"/>
        </w:numPr>
        <w:spacing w:after="80"/>
      </w:pPr>
      <w:r>
        <w:rPr>
          <w:rFonts w:ascii="Calibri" w:cs="Calibri" w:eastAsia="Calibri" w:hAnsi="Calibri"/>
          <w:color w:val="111827"/>
          <w:sz w:val="22"/>
          <w:szCs w:val="22"/>
        </w:rPr>
        <w:t xml:space="preserve">Week 11: retention probes (+30 days post-completion).</w:t>
      </w:r>
    </w:p>
    <w:p>
      <w:pPr>
        <w:pStyle w:val="ListParagraph"/>
        <w:numPr>
          <w:ilvl w:val="0"/>
          <w:numId w:val="2"/>
        </w:numPr>
        <w:spacing w:after="80"/>
      </w:pPr>
      <w:r>
        <w:rPr>
          <w:rFonts w:ascii="Calibri" w:cs="Calibri" w:eastAsia="Calibri" w:hAnsi="Calibri"/>
          <w:color w:val="111827"/>
          <w:sz w:val="22"/>
          <w:szCs w:val="22"/>
        </w:rPr>
        <w:t xml:space="preserve">Effect size reported as Cohen's d on probe-accuracy delta, with 95% CI from bootstrap resampling.</w:t>
      </w:r>
    </w:p>
    <w:p>
      <w:pPr>
        <w:pStyle w:val="Heading2"/>
        <w:spacing w:after="120" w:before="280"/>
      </w:pPr>
      <w:r>
        <w:rPr>
          <w:rFonts w:ascii="Calibri" w:cs="Calibri" w:eastAsia="Calibri" w:hAnsi="Calibri"/>
          <w:b/>
          <w:bCs/>
          <w:color w:val="111827"/>
          <w:sz w:val="28"/>
          <w:szCs w:val="28"/>
        </w:rPr>
        <w:t xml:space="preserve">8.6  Publication commitment</w:t>
      </w:r>
    </w:p>
    <w:p>
      <w:pPr>
        <w:spacing w:after="80" w:before="0"/>
      </w:pPr>
      <w:r>
        <w:rPr>
          <w:rFonts w:ascii="Calibri" w:cs="Calibri" w:eastAsia="Calibri" w:hAnsi="Calibri"/>
          <w:b w:val="false"/>
          <w:bCs w:val="false"/>
          <w:i w:val="false"/>
          <w:iCs w:val="false"/>
          <w:color w:val="111827"/>
          <w:sz w:val="22"/>
          <w:szCs w:val="22"/>
        </w:rPr>
        <w:t xml:space="preserve">To be credible to grant bodies and to schools, the platform commits to:</w:t>
      </w:r>
    </w:p>
    <w:p>
      <w:pPr>
        <w:pStyle w:val="ListParagraph"/>
        <w:numPr>
          <w:ilvl w:val="0"/>
          <w:numId w:val="3"/>
        </w:numPr>
        <w:spacing w:after="80"/>
      </w:pPr>
      <w:r>
        <w:rPr>
          <w:rFonts w:ascii="Calibri" w:cs="Calibri" w:eastAsia="Calibri" w:hAnsi="Calibri"/>
          <w:b w:val="false"/>
          <w:bCs w:val="false"/>
          <w:color w:val="111827"/>
          <w:sz w:val="22"/>
          <w:szCs w:val="22"/>
        </w:rPr>
        <w:t xml:space="preserve">Pre-registering the analysis plan on the Open Science Framework before each study begins.</w:t>
      </w:r>
    </w:p>
    <w:p>
      <w:pPr>
        <w:pStyle w:val="ListParagraph"/>
        <w:numPr>
          <w:ilvl w:val="0"/>
          <w:numId w:val="3"/>
        </w:numPr>
        <w:spacing w:after="80"/>
      </w:pPr>
      <w:r>
        <w:rPr>
          <w:rFonts w:ascii="Calibri" w:cs="Calibri" w:eastAsia="Calibri" w:hAnsi="Calibri"/>
          <w:b w:val="false"/>
          <w:bCs w:val="false"/>
          <w:color w:val="111827"/>
          <w:sz w:val="22"/>
          <w:szCs w:val="22"/>
        </w:rPr>
        <w:t xml:space="preserve">Publishing methodology and results on a public methodology page, regardless of outcome.</w:t>
      </w:r>
    </w:p>
    <w:p>
      <w:pPr>
        <w:pStyle w:val="ListParagraph"/>
        <w:numPr>
          <w:ilvl w:val="0"/>
          <w:numId w:val="3"/>
        </w:numPr>
        <w:spacing w:after="80"/>
      </w:pPr>
      <w:r>
        <w:rPr>
          <w:rFonts w:ascii="Calibri" w:cs="Calibri" w:eastAsia="Calibri" w:hAnsi="Calibri"/>
          <w:b w:val="false"/>
          <w:bCs w:val="false"/>
          <w:color w:val="111827"/>
          <w:sz w:val="22"/>
          <w:szCs w:val="22"/>
        </w:rPr>
        <w:t xml:space="preserve">Sharing de-identified, aggregated study data via a data-access request route.</w:t>
      </w:r>
    </w:p>
    <w:p>
      <w:pPr>
        <w:pStyle w:val="ListParagraph"/>
        <w:numPr>
          <w:ilvl w:val="0"/>
          <w:numId w:val="3"/>
        </w:numPr>
        <w:spacing w:after="80"/>
      </w:pPr>
      <w:r>
        <w:rPr>
          <w:rFonts w:ascii="Calibri" w:cs="Calibri" w:eastAsia="Calibri" w:hAnsi="Calibri"/>
          <w:b w:val="false"/>
          <w:bCs w:val="false"/>
          <w:color w:val="111827"/>
          <w:sz w:val="22"/>
          <w:szCs w:val="22"/>
        </w:rPr>
        <w:t xml:space="preserve">Submitting at least one efficacy paper per year to a peer-reviewed venue (e.g. British Journal of Educational Technology, Journal of Computer Assisted Learning, EdTech-relevant conferences).</w:t>
      </w:r>
    </w:p>
    <w:p>
      <w:pPr>
        <w:pStyle w:val="Heading1"/>
        <w:pageBreakBefore/>
        <w:spacing w:after="160" w:before="360"/>
      </w:pPr>
      <w:r>
        <w:rPr>
          <w:rFonts w:ascii="Calibri" w:cs="Calibri" w:eastAsia="Calibri" w:hAnsi="Calibri"/>
          <w:b/>
          <w:bCs/>
          <w:color w:val="0F766E"/>
          <w:sz w:val="36"/>
          <w:szCs w:val="36"/>
        </w:rPr>
        <w:t xml:space="preserve">9. Privacy-Safe Implementation Strategy</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Privacy is not a feature of this system. It is the construction principle. Every decision below was chosen to make the platform defensibly compliant with COPPA (US), UK-GDPR for children (UK), GDPR Article 8 (EU), the ICO Age-Appropriate Design Code, and the emerging California AB 2273. The audit identified the current architecture's most serious privacy gap: analytics initialise on module import, before any consent gate. That is fixed here.</w:t>
      </w:r>
    </w:p>
    <w:p>
      <w:pPr>
        <w:pStyle w:val="Heading2"/>
        <w:spacing w:after="120" w:before="280"/>
      </w:pPr>
      <w:r>
        <w:rPr>
          <w:rFonts w:ascii="Calibri" w:cs="Calibri" w:eastAsia="Calibri" w:hAnsi="Calibri"/>
          <w:b/>
          <w:bCs/>
          <w:color w:val="111827"/>
          <w:sz w:val="28"/>
          <w:szCs w:val="28"/>
        </w:rPr>
        <w:t xml:space="preserve">9.1  Principles</w:t>
      </w:r>
    </w:p>
    <w:p>
      <w:pPr>
        <w:pStyle w:val="ListParagraph"/>
        <w:numPr>
          <w:ilvl w:val="0"/>
          <w:numId w:val="3"/>
        </w:numPr>
        <w:spacing w:after="80"/>
      </w:pPr>
      <w:r>
        <w:rPr>
          <w:rFonts w:ascii="Calibri" w:cs="Calibri" w:eastAsia="Calibri" w:hAnsi="Calibri"/>
          <w:b w:val="false"/>
          <w:bCs w:val="false"/>
          <w:color w:val="111827"/>
          <w:sz w:val="22"/>
          <w:szCs w:val="22"/>
        </w:rPr>
        <w:t xml:space="preserve">Data minimisation: collect only what is needed for the construct mapping in Section 6. Where in doubt, drop.</w:t>
      </w:r>
    </w:p>
    <w:p>
      <w:pPr>
        <w:pStyle w:val="ListParagraph"/>
        <w:numPr>
          <w:ilvl w:val="0"/>
          <w:numId w:val="3"/>
        </w:numPr>
        <w:spacing w:after="80"/>
      </w:pPr>
      <w:r>
        <w:rPr>
          <w:rFonts w:ascii="Calibri" w:cs="Calibri" w:eastAsia="Calibri" w:hAnsi="Calibri"/>
          <w:b w:val="false"/>
          <w:bCs w:val="false"/>
          <w:color w:val="111827"/>
          <w:sz w:val="22"/>
          <w:szCs w:val="22"/>
        </w:rPr>
        <w:t xml:space="preserve">Aggregate first, store last: derived rollups are publishable; raw rows are not.</w:t>
      </w:r>
    </w:p>
    <w:p>
      <w:pPr>
        <w:pStyle w:val="ListParagraph"/>
        <w:numPr>
          <w:ilvl w:val="0"/>
          <w:numId w:val="3"/>
        </w:numPr>
        <w:spacing w:after="80"/>
      </w:pPr>
      <w:r>
        <w:rPr>
          <w:rFonts w:ascii="Calibri" w:cs="Calibri" w:eastAsia="Calibri" w:hAnsi="Calibri"/>
          <w:b w:val="false"/>
          <w:bCs w:val="false"/>
          <w:color w:val="111827"/>
          <w:sz w:val="22"/>
          <w:szCs w:val="22"/>
        </w:rPr>
        <w:t xml:space="preserve">Pseudonymous by default: no name, no email, no DOB, no IP in analytics tables. Identifiers are opaque tokens.</w:t>
      </w:r>
    </w:p>
    <w:p>
      <w:pPr>
        <w:pStyle w:val="ListParagraph"/>
        <w:numPr>
          <w:ilvl w:val="0"/>
          <w:numId w:val="3"/>
        </w:numPr>
        <w:spacing w:after="80"/>
      </w:pPr>
      <w:r>
        <w:rPr>
          <w:rFonts w:ascii="Calibri" w:cs="Calibri" w:eastAsia="Calibri" w:hAnsi="Calibri"/>
          <w:b w:val="false"/>
          <w:bCs w:val="false"/>
          <w:color w:val="111827"/>
          <w:sz w:val="22"/>
          <w:szCs w:val="22"/>
        </w:rPr>
        <w:t xml:space="preserve">Local-first: device_id and learner_token are generated client-side and never reconstructable from server data alone.</w:t>
      </w:r>
    </w:p>
    <w:p>
      <w:pPr>
        <w:pStyle w:val="ListParagraph"/>
        <w:numPr>
          <w:ilvl w:val="0"/>
          <w:numId w:val="3"/>
        </w:numPr>
        <w:spacing w:after="80"/>
      </w:pPr>
      <w:r>
        <w:rPr>
          <w:rFonts w:ascii="Calibri" w:cs="Calibri" w:eastAsia="Calibri" w:hAnsi="Calibri"/>
          <w:b w:val="false"/>
          <w:bCs w:val="false"/>
          <w:color w:val="111827"/>
          <w:sz w:val="22"/>
          <w:szCs w:val="22"/>
        </w:rPr>
        <w:t xml:space="preserve">Consent before persistence: no persistent identifier is written until the consent gate has been passed.</w:t>
      </w:r>
    </w:p>
    <w:p>
      <w:pPr>
        <w:pStyle w:val="ListParagraph"/>
        <w:numPr>
          <w:ilvl w:val="0"/>
          <w:numId w:val="3"/>
        </w:numPr>
        <w:spacing w:after="80"/>
      </w:pPr>
      <w:r>
        <w:rPr>
          <w:rFonts w:ascii="Calibri" w:cs="Calibri" w:eastAsia="Calibri" w:hAnsi="Calibri"/>
          <w:b w:val="false"/>
          <w:bCs w:val="false"/>
          <w:color w:val="111827"/>
          <w:sz w:val="22"/>
          <w:szCs w:val="22"/>
        </w:rPr>
        <w:t xml:space="preserve">Right to erasure is cheap: every identifier route supports a single-call deletion cascade.</w:t>
      </w:r>
    </w:p>
    <w:p>
      <w:pPr>
        <w:pStyle w:val="ListParagraph"/>
        <w:numPr>
          <w:ilvl w:val="0"/>
          <w:numId w:val="3"/>
        </w:numPr>
        <w:spacing w:after="80"/>
      </w:pPr>
      <w:r>
        <w:rPr>
          <w:rFonts w:ascii="Calibri" w:cs="Calibri" w:eastAsia="Calibri" w:hAnsi="Calibri"/>
          <w:b w:val="false"/>
          <w:bCs w:val="false"/>
          <w:color w:val="111827"/>
          <w:sz w:val="22"/>
          <w:szCs w:val="22"/>
        </w:rPr>
        <w:t xml:space="preserve">No biometrics, no facial features, no audio, no fingerprinting. Hand-tracking landmarks stay on device and are never stored.</w:t>
      </w:r>
    </w:p>
    <w:p>
      <w:pPr>
        <w:pStyle w:val="Heading2"/>
        <w:spacing w:after="120" w:before="280"/>
      </w:pPr>
      <w:r>
        <w:rPr>
          <w:rFonts w:ascii="Calibri" w:cs="Calibri" w:eastAsia="Calibri" w:hAnsi="Calibri"/>
          <w:b/>
          <w:bCs/>
          <w:color w:val="111827"/>
          <w:sz w:val="28"/>
          <w:szCs w:val="28"/>
        </w:rPr>
        <w:t xml:space="preserve">9.2  Identifier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700"/>
        <w:gridCol w:w="1760"/>
      </w:tblGrid>
      <w:tr>
        <w:trPr>
          <w:tblHeader/>
        </w:trPr>
        <w:tc>
          <w:tcPr>
            <w:tcW w:type="dxa" w:w="19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Identifier</w:t>
            </w:r>
          </w:p>
        </w:tc>
        <w:tc>
          <w:tcPr>
            <w:tcW w:type="dxa" w:w="30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Scope &amp; generation</w:t>
            </w:r>
          </w:p>
        </w:tc>
        <w:tc>
          <w:tcPr>
            <w:tcW w:type="dxa" w:w="2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Persistence rule</w:t>
            </w:r>
          </w:p>
        </w:tc>
        <w:tc>
          <w:tcPr>
            <w:tcW w:type="dxa" w:w="17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Issuance</w:t>
            </w:r>
          </w:p>
        </w:tc>
      </w:tr>
      <w:tr>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session_id</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Per browser tab. UUID v4, in sessionStorage.</w:t>
            </w:r>
          </w:p>
        </w:tc>
        <w:tc>
          <w:tcPr>
            <w:tcW w:type="dxa" w:w="2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Forever (in-memory only) until tab closes.</w:t>
            </w:r>
          </w:p>
        </w:tc>
        <w:tc>
          <w:tcPr>
            <w:tcW w:type="dxa" w:w="1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Anyone</w:t>
            </w:r>
          </w:p>
        </w:tc>
      </w:tr>
      <w:tr>
        <w:tc>
          <w:tcPr>
            <w:tcW w:type="dxa" w:w="19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device_id</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Per browser profile. UUID v4 in localStorage.</w:t>
            </w:r>
          </w:p>
        </w:tc>
        <w:tc>
          <w:tcPr>
            <w:tcW w:type="dxa" w:w="2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Until parental consent, ephemeral (cleared on tab close).</w:t>
            </w:r>
          </w:p>
        </w:tc>
        <w:tc>
          <w:tcPr>
            <w:tcW w:type="dxa" w:w="17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Anyone in "explore" mode; persistent only after consent.</w:t>
            </w:r>
          </w:p>
        </w:tc>
      </w:tr>
      <w:tr>
        <w:tc>
          <w:tcPr>
            <w:tcW w:type="dxa" w:w="19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learner_token</w:t>
            </w:r>
          </w:p>
        </w:tc>
        <w:tc>
          <w:tcPr>
            <w:tcW w:type="dxa" w:w="3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Per (class, child) or per (parent, child). Random 128-bit token, salted with a per-class secret.</w:t>
            </w:r>
          </w:p>
        </w:tc>
        <w:tc>
          <w:tcPr>
            <w:tcW w:type="dxa" w:w="2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Until class session ends (classroom) or parent revokes (home).</w:t>
            </w:r>
          </w:p>
        </w:tc>
        <w:tc>
          <w:tcPr>
            <w:tcW w:type="dxa" w:w="17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Teacher, parent, or self-issued under adult gate.</w:t>
            </w:r>
          </w:p>
        </w:tc>
      </w:tr>
      <w:tr>
        <w:tc>
          <w:tcPr>
            <w:tcW w:type="dxa" w:w="19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class_id, school_id</w:t>
            </w:r>
          </w:p>
        </w:tc>
        <w:tc>
          <w:tcPr>
            <w:tcW w:type="dxa" w:w="3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Per class / school. UUID stored on the sessions table.</w:t>
            </w:r>
          </w:p>
        </w:tc>
        <w:tc>
          <w:tcPr>
            <w:tcW w:type="dxa" w:w="2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Until school opt-out.</w:t>
            </w:r>
          </w:p>
        </w:tc>
        <w:tc>
          <w:tcPr>
            <w:tcW w:type="dxa" w:w="17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 admin only.</w:t>
            </w:r>
          </w:p>
        </w:tc>
      </w:tr>
    </w:tbl>
    <w:p>
      <w:pPr>
        <w:pStyle w:val="Heading2"/>
        <w:spacing w:after="120" w:before="280"/>
      </w:pPr>
      <w:r>
        <w:rPr>
          <w:rFonts w:ascii="Calibri" w:cs="Calibri" w:eastAsia="Calibri" w:hAnsi="Calibri"/>
          <w:b/>
          <w:bCs/>
          <w:color w:val="111827"/>
          <w:sz w:val="28"/>
          <w:szCs w:val="28"/>
        </w:rPr>
        <w:t xml:space="preserve">9.3  Ephemeral-by-default mode</w:t>
      </w:r>
    </w:p>
    <w:p>
      <w:pPr>
        <w:spacing w:after="80" w:before="0"/>
      </w:pPr>
      <w:r>
        <w:rPr>
          <w:rFonts w:ascii="Calibri" w:cs="Calibri" w:eastAsia="Calibri" w:hAnsi="Calibri"/>
          <w:b w:val="false"/>
          <w:bCs w:val="false"/>
          <w:i w:val="false"/>
          <w:iCs w:val="false"/>
          <w:color w:val="111827"/>
          <w:sz w:val="22"/>
          <w:szCs w:val="22"/>
        </w:rPr>
        <w:t xml:space="preserve">Before parental or teacher consent, the platform runs in ephemeral mode. In this mode:</w:t>
      </w:r>
    </w:p>
    <w:p>
      <w:pPr>
        <w:pStyle w:val="ListParagraph"/>
        <w:numPr>
          <w:ilvl w:val="0"/>
          <w:numId w:val="3"/>
        </w:numPr>
        <w:spacing w:after="80"/>
      </w:pPr>
      <w:r>
        <w:rPr>
          <w:rFonts w:ascii="Calibri" w:cs="Calibri" w:eastAsia="Calibri" w:hAnsi="Calibri"/>
          <w:b w:val="false"/>
          <w:bCs w:val="false"/>
          <w:color w:val="111827"/>
          <w:sz w:val="22"/>
          <w:szCs w:val="22"/>
        </w:rPr>
        <w:t xml:space="preserve">device_id is generated but lives in sessionStorage only — it dies with the tab.</w:t>
      </w:r>
    </w:p>
    <w:p>
      <w:pPr>
        <w:pStyle w:val="ListParagraph"/>
        <w:numPr>
          <w:ilvl w:val="0"/>
          <w:numId w:val="3"/>
        </w:numPr>
        <w:spacing w:after="80"/>
      </w:pPr>
      <w:r>
        <w:rPr>
          <w:rFonts w:ascii="Calibri" w:cs="Calibri" w:eastAsia="Calibri" w:hAnsi="Calibri"/>
          <w:b w:val="false"/>
          <w:bCs w:val="false"/>
          <w:color w:val="111827"/>
          <w:sz w:val="22"/>
          <w:szCs w:val="22"/>
        </w:rPr>
        <w:t xml:space="preserve">analytics_events and attempts_v2 are still written, but with the ephemeral flag set true.</w:t>
      </w:r>
    </w:p>
    <w:p>
      <w:pPr>
        <w:pStyle w:val="ListParagraph"/>
        <w:numPr>
          <w:ilvl w:val="0"/>
          <w:numId w:val="3"/>
        </w:numPr>
        <w:spacing w:after="80"/>
      </w:pPr>
      <w:r>
        <w:rPr>
          <w:rFonts w:ascii="Calibri" w:cs="Calibri" w:eastAsia="Calibri" w:hAnsi="Calibri"/>
          <w:b w:val="false"/>
          <w:bCs w:val="false"/>
          <w:color w:val="111827"/>
          <w:sz w:val="22"/>
          <w:szCs w:val="22"/>
        </w:rPr>
        <w:t xml:space="preserve">Ephemeral rows are pruned after 7 days regardless of normal retention.</w:t>
      </w:r>
    </w:p>
    <w:p>
      <w:pPr>
        <w:pStyle w:val="ListParagraph"/>
        <w:numPr>
          <w:ilvl w:val="0"/>
          <w:numId w:val="3"/>
        </w:numPr>
        <w:spacing w:after="80"/>
      </w:pPr>
      <w:r>
        <w:rPr>
          <w:rFonts w:ascii="Calibri" w:cs="Calibri" w:eastAsia="Calibri" w:hAnsi="Calibri"/>
          <w:b w:val="false"/>
          <w:bCs w:val="false"/>
          <w:color w:val="111827"/>
          <w:sz w:val="22"/>
          <w:szCs w:val="22"/>
        </w:rPr>
        <w:t xml:space="preserve">Ephemeral rows are excluded from learner-level dashboards (parent, teacher, school). They are only included in the public aggregates that never resolve to a learner.</w:t>
      </w:r>
    </w:p>
    <w:p>
      <w:pPr>
        <w:pStyle w:val="ListParagraph"/>
        <w:numPr>
          <w:ilvl w:val="0"/>
          <w:numId w:val="3"/>
        </w:numPr>
        <w:spacing w:after="80"/>
      </w:pPr>
      <w:r>
        <w:rPr>
          <w:rFonts w:ascii="Calibri" w:cs="Calibri" w:eastAsia="Calibri" w:hAnsi="Calibri"/>
          <w:b w:val="false"/>
          <w:bCs w:val="false"/>
          <w:color w:val="111827"/>
          <w:sz w:val="22"/>
          <w:szCs w:val="22"/>
        </w:rPr>
        <w:t xml:space="preserve">Skill ledger updates are not persisted in ephemeral mode. Progress is shown live but does not survive the session.</w:t>
      </w:r>
    </w:p>
    <w:p>
      <w:pPr>
        <w:pStyle w:val="Heading2"/>
        <w:spacing w:after="120" w:before="280"/>
      </w:pPr>
      <w:r>
        <w:rPr>
          <w:rFonts w:ascii="Calibri" w:cs="Calibri" w:eastAsia="Calibri" w:hAnsi="Calibri"/>
          <w:b/>
          <w:bCs/>
          <w:color w:val="111827"/>
          <w:sz w:val="28"/>
          <w:szCs w:val="28"/>
        </w:rPr>
        <w:t xml:space="preserve">9.4  Consent flow</w:t>
      </w:r>
    </w:p>
    <w:p>
      <w:pPr>
        <w:pStyle w:val="ListParagraph"/>
        <w:numPr>
          <w:ilvl w:val="0"/>
          <w:numId w:val="2"/>
        </w:numPr>
        <w:spacing w:after="80"/>
      </w:pPr>
      <w:r>
        <w:rPr>
          <w:rFonts w:ascii="Calibri" w:cs="Calibri" w:eastAsia="Calibri" w:hAnsi="Calibri"/>
          <w:color w:val="111827"/>
          <w:sz w:val="22"/>
          <w:szCs w:val="22"/>
        </w:rPr>
        <w:t xml:space="preserve">On first load, the platform shows a friendly explainer (already partially built — TryFreeModal). It explains in plain words what the camera does, that no video is stored, and that the child can play right now without an account.</w:t>
      </w:r>
    </w:p>
    <w:p>
      <w:pPr>
        <w:pStyle w:val="ListParagraph"/>
        <w:numPr>
          <w:ilvl w:val="0"/>
          <w:numId w:val="2"/>
        </w:numPr>
        <w:spacing w:after="80"/>
      </w:pPr>
      <w:r>
        <w:rPr>
          <w:rFonts w:ascii="Calibri" w:cs="Calibri" w:eastAsia="Calibri" w:hAnsi="Calibri"/>
          <w:color w:val="111827"/>
          <w:sz w:val="22"/>
          <w:szCs w:val="22"/>
        </w:rPr>
        <w:t xml:space="preserve">If an adult clicks "let my child practise across sessions", the adult-verification gate runs (existing AdultGate, extended to capture a parental consent receipt with timestamp).</w:t>
      </w:r>
    </w:p>
    <w:p>
      <w:pPr>
        <w:pStyle w:val="ListParagraph"/>
        <w:numPr>
          <w:ilvl w:val="0"/>
          <w:numId w:val="2"/>
        </w:numPr>
        <w:spacing w:after="80"/>
      </w:pPr>
      <w:r>
        <w:rPr>
          <w:rFonts w:ascii="Calibri" w:cs="Calibri" w:eastAsia="Calibri" w:hAnsi="Calibri"/>
          <w:color w:val="111827"/>
          <w:sz w:val="22"/>
          <w:szCs w:val="22"/>
        </w:rPr>
        <w:t xml:space="preserve">On gate pass, ephemeral device_id is promoted to persistent. A learner_token is issued. The parent is given a copy of the token for retrieval.</w:t>
      </w:r>
    </w:p>
    <w:p>
      <w:pPr>
        <w:pStyle w:val="ListParagraph"/>
        <w:numPr>
          <w:ilvl w:val="0"/>
          <w:numId w:val="2"/>
        </w:numPr>
        <w:spacing w:after="80"/>
      </w:pPr>
      <w:r>
        <w:rPr>
          <w:rFonts w:ascii="Calibri" w:cs="Calibri" w:eastAsia="Calibri" w:hAnsi="Calibri"/>
          <w:color w:val="111827"/>
          <w:sz w:val="22"/>
          <w:szCs w:val="22"/>
        </w:rPr>
        <w:t xml:space="preserve">Teacher path: the teacher console issues learner_tokens to each session_students.id at class start. Tokens rotate per class session by default.</w:t>
      </w:r>
    </w:p>
    <w:p>
      <w:pPr>
        <w:pStyle w:val="ListParagraph"/>
        <w:numPr>
          <w:ilvl w:val="0"/>
          <w:numId w:val="2"/>
        </w:numPr>
        <w:spacing w:after="80"/>
      </w:pPr>
      <w:r>
        <w:rPr>
          <w:rFonts w:ascii="Calibri" w:cs="Calibri" w:eastAsia="Calibri" w:hAnsi="Calibri"/>
          <w:color w:val="111827"/>
          <w:sz w:val="22"/>
          <w:szCs w:val="22"/>
        </w:rPr>
        <w:t xml:space="preserve">Either path: the consent receipt is stored in a separate consent_log table with explicit purposes ("longitudinal progress measurement", "research participation [yes/no]", "third-party sharing [no]").</w:t>
      </w:r>
    </w:p>
    <w:p>
      <w:pPr>
        <w:pStyle w:val="Heading2"/>
        <w:spacing w:after="120" w:before="280"/>
      </w:pPr>
      <w:r>
        <w:rPr>
          <w:rFonts w:ascii="Calibri" w:cs="Calibri" w:eastAsia="Calibri" w:hAnsi="Calibri"/>
          <w:b/>
          <w:bCs/>
          <w:color w:val="111827"/>
          <w:sz w:val="28"/>
          <w:szCs w:val="28"/>
        </w:rPr>
        <w:t xml:space="preserve">9.5  Country and geography</w:t>
      </w:r>
    </w:p>
    <w:p>
      <w:pPr>
        <w:spacing w:after="120" w:before="0"/>
      </w:pPr>
      <w:r>
        <w:rPr>
          <w:rFonts w:ascii="Calibri" w:cs="Calibri" w:eastAsia="Calibri" w:hAnsi="Calibri"/>
          <w:b w:val="false"/>
          <w:bCs w:val="false"/>
          <w:i w:val="false"/>
          <w:iCs w:val="false"/>
          <w:color w:val="111827"/>
          <w:sz w:val="22"/>
          <w:szCs w:val="22"/>
        </w:rPr>
        <w:t xml:space="preserve">Country code is derived from the CDN edge's geo headers at write time and stored as a two-letter ISO code in analytics_events. The IP itself is never written. This satisfies the "country-level usage" reporting requirement without producing a re-identification risk.</w:t>
      </w:r>
    </w:p>
    <w:p>
      <w:pPr>
        <w:pStyle w:val="Heading2"/>
        <w:spacing w:after="120" w:before="280"/>
      </w:pPr>
      <w:r>
        <w:rPr>
          <w:rFonts w:ascii="Calibri" w:cs="Calibri" w:eastAsia="Calibri" w:hAnsi="Calibri"/>
          <w:b/>
          <w:bCs/>
          <w:color w:val="111827"/>
          <w:sz w:val="28"/>
          <w:szCs w:val="28"/>
        </w:rPr>
        <w:t xml:space="preserve">9.6  k-anonymity threshold</w:t>
      </w:r>
    </w:p>
    <w:p>
      <w:pPr>
        <w:spacing w:after="120" w:before="0"/>
      </w:pPr>
      <w:r>
        <w:rPr>
          <w:rFonts w:ascii="Calibri" w:cs="Calibri" w:eastAsia="Calibri" w:hAnsi="Calibri"/>
          <w:b w:val="false"/>
          <w:bCs w:val="false"/>
          <w:i w:val="false"/>
          <w:iCs w:val="false"/>
          <w:color w:val="111827"/>
          <w:sz w:val="22"/>
          <w:szCs w:val="22"/>
        </w:rPr>
        <w:t xml:space="preserve">Every public-facing aggregate enforces k ≥ 5. Any cell that would be computed from fewer than 5 distinct learner_tokens is suppressed or rolled up. This is enforced at the RPC level, not in the rendering layer — public RPCs cannot return a low-k cell even by mistake.</w:t>
      </w:r>
    </w:p>
    <w:p>
      <w:pPr>
        <w:pStyle w:val="Heading2"/>
        <w:spacing w:after="120" w:before="280"/>
      </w:pPr>
      <w:r>
        <w:rPr>
          <w:rFonts w:ascii="Calibri" w:cs="Calibri" w:eastAsia="Calibri" w:hAnsi="Calibri"/>
          <w:b/>
          <w:bCs/>
          <w:color w:val="111827"/>
          <w:sz w:val="28"/>
          <w:szCs w:val="28"/>
        </w:rPr>
        <w:t xml:space="preserve">9.7  Right-to-erasure</w:t>
      </w:r>
    </w:p>
    <w:p>
      <w:pPr>
        <w:spacing w:after="80" w:before="0"/>
      </w:pPr>
      <w:r>
        <w:rPr>
          <w:rFonts w:ascii="Calibri" w:cs="Calibri" w:eastAsia="Calibri" w:hAnsi="Calibri"/>
          <w:b w:val="false"/>
          <w:bCs w:val="false"/>
          <w:i w:val="false"/>
          <w:iCs w:val="false"/>
          <w:color w:val="111827"/>
          <w:sz w:val="22"/>
          <w:szCs w:val="22"/>
        </w:rPr>
        <w:t xml:space="preserve">A parent or teacher can request deletion of a learner_token. The deletion cascade:</w:t>
      </w:r>
    </w:p>
    <w:p>
      <w:pPr>
        <w:pStyle w:val="ListParagraph"/>
        <w:numPr>
          <w:ilvl w:val="0"/>
          <w:numId w:val="3"/>
        </w:numPr>
        <w:spacing w:after="80"/>
      </w:pPr>
      <w:r>
        <w:rPr>
          <w:rFonts w:ascii="Calibri" w:cs="Calibri" w:eastAsia="Calibri" w:hAnsi="Calibri"/>
          <w:b w:val="false"/>
          <w:bCs w:val="false"/>
          <w:color w:val="111827"/>
          <w:sz w:val="22"/>
          <w:szCs w:val="22"/>
        </w:rPr>
        <w:t xml:space="preserve">attempts_v2 rows for that learner_token: hard-deleted.</w:t>
      </w:r>
    </w:p>
    <w:p>
      <w:pPr>
        <w:pStyle w:val="ListParagraph"/>
        <w:numPr>
          <w:ilvl w:val="0"/>
          <w:numId w:val="3"/>
        </w:numPr>
        <w:spacing w:after="80"/>
      </w:pPr>
      <w:r>
        <w:rPr>
          <w:rFonts w:ascii="Calibri" w:cs="Calibri" w:eastAsia="Calibri" w:hAnsi="Calibri"/>
          <w:b w:val="false"/>
          <w:bCs w:val="false"/>
          <w:color w:val="111827"/>
          <w:sz w:val="22"/>
          <w:szCs w:val="22"/>
        </w:rPr>
        <w:t xml:space="preserve">analytics_events rows for that learner_token's sessions: hard-deleted.</w:t>
      </w:r>
    </w:p>
    <w:p>
      <w:pPr>
        <w:pStyle w:val="ListParagraph"/>
        <w:numPr>
          <w:ilvl w:val="0"/>
          <w:numId w:val="3"/>
        </w:numPr>
        <w:spacing w:after="80"/>
      </w:pPr>
      <w:r>
        <w:rPr>
          <w:rFonts w:ascii="Calibri" w:cs="Calibri" w:eastAsia="Calibri" w:hAnsi="Calibri"/>
          <w:b w:val="false"/>
          <w:bCs w:val="false"/>
          <w:color w:val="111827"/>
          <w:sz w:val="22"/>
          <w:szCs w:val="22"/>
        </w:rPr>
        <w:t xml:space="preserve">skill_ledger rows: hard-deleted.</w:t>
      </w:r>
    </w:p>
    <w:p>
      <w:pPr>
        <w:pStyle w:val="ListParagraph"/>
        <w:numPr>
          <w:ilvl w:val="0"/>
          <w:numId w:val="3"/>
        </w:numPr>
        <w:spacing w:after="80"/>
      </w:pPr>
      <w:r>
        <w:rPr>
          <w:rFonts w:ascii="Calibri" w:cs="Calibri" w:eastAsia="Calibri" w:hAnsi="Calibri"/>
          <w:b w:val="false"/>
          <w:bCs w:val="false"/>
          <w:color w:val="111827"/>
          <w:sz w:val="22"/>
          <w:szCs w:val="22"/>
        </w:rPr>
        <w:t xml:space="preserve">mastery_probes rows: hard-deleted.</w:t>
      </w:r>
    </w:p>
    <w:p>
      <w:pPr>
        <w:pStyle w:val="ListParagraph"/>
        <w:numPr>
          <w:ilvl w:val="0"/>
          <w:numId w:val="3"/>
        </w:numPr>
        <w:spacing w:after="80"/>
      </w:pPr>
      <w:r>
        <w:rPr>
          <w:rFonts w:ascii="Calibri" w:cs="Calibri" w:eastAsia="Calibri" w:hAnsi="Calibri"/>
          <w:b w:val="false"/>
          <w:bCs w:val="false"/>
          <w:color w:val="111827"/>
          <w:sz w:val="22"/>
          <w:szCs w:val="22"/>
        </w:rPr>
        <w:t xml:space="preserve">classmode_bridge rows: hard-deleted.</w:t>
      </w:r>
    </w:p>
    <w:p>
      <w:pPr>
        <w:pStyle w:val="ListParagraph"/>
        <w:numPr>
          <w:ilvl w:val="0"/>
          <w:numId w:val="3"/>
        </w:numPr>
        <w:spacing w:after="80"/>
      </w:pPr>
      <w:r>
        <w:rPr>
          <w:rFonts w:ascii="Calibri" w:cs="Calibri" w:eastAsia="Calibri" w:hAnsi="Calibri"/>
          <w:b w:val="false"/>
          <w:bCs w:val="false"/>
          <w:color w:val="111827"/>
          <w:sz w:val="22"/>
          <w:szCs w:val="22"/>
        </w:rPr>
        <w:t xml:space="preserve">consent_log: retained per regulator guidance, with personal identifiers redacted.</w:t>
      </w:r>
    </w:p>
    <w:p>
      <w:pPr>
        <w:pStyle w:val="ListParagraph"/>
        <w:numPr>
          <w:ilvl w:val="0"/>
          <w:numId w:val="3"/>
        </w:numPr>
        <w:spacing w:after="80"/>
      </w:pPr>
      <w:r>
        <w:rPr>
          <w:rFonts w:ascii="Calibri" w:cs="Calibri" w:eastAsia="Calibri" w:hAnsi="Calibri"/>
          <w:b w:val="false"/>
          <w:bCs w:val="false"/>
          <w:color w:val="111827"/>
          <w:sz w:val="22"/>
          <w:szCs w:val="22"/>
        </w:rPr>
        <w:t xml:space="preserve">daily_rollups / cohort_rollups: not re-derived; aggregates are already non-individuating.</w:t>
      </w:r>
    </w:p>
    <w:p>
      <w:pPr>
        <w:pStyle w:val="Heading2"/>
        <w:spacing w:after="120" w:before="280"/>
      </w:pPr>
      <w:r>
        <w:rPr>
          <w:rFonts w:ascii="Calibri" w:cs="Calibri" w:eastAsia="Calibri" w:hAnsi="Calibri"/>
          <w:b/>
          <w:bCs/>
          <w:color w:val="111827"/>
          <w:sz w:val="28"/>
          <w:szCs w:val="28"/>
        </w:rPr>
        <w:t xml:space="preserve">9.8  Audit and red-team</w:t>
      </w:r>
    </w:p>
    <w:p>
      <w:pPr>
        <w:spacing w:after="80" w:before="0"/>
      </w:pPr>
      <w:r>
        <w:rPr>
          <w:rFonts w:ascii="Calibri" w:cs="Calibri" w:eastAsia="Calibri" w:hAnsi="Calibri"/>
          <w:b w:val="false"/>
          <w:bCs w:val="false"/>
          <w:i w:val="false"/>
          <w:iCs w:val="false"/>
          <w:color w:val="111827"/>
          <w:sz w:val="22"/>
          <w:szCs w:val="22"/>
        </w:rPr>
        <w:t xml:space="preserve">The platform commits to:</w:t>
      </w:r>
    </w:p>
    <w:p>
      <w:pPr>
        <w:pStyle w:val="ListParagraph"/>
        <w:numPr>
          <w:ilvl w:val="0"/>
          <w:numId w:val="3"/>
        </w:numPr>
        <w:spacing w:after="80"/>
      </w:pPr>
      <w:r>
        <w:rPr>
          <w:rFonts w:ascii="Calibri" w:cs="Calibri" w:eastAsia="Calibri" w:hAnsi="Calibri"/>
          <w:b w:val="false"/>
          <w:bCs w:val="false"/>
          <w:color w:val="111827"/>
          <w:sz w:val="22"/>
          <w:szCs w:val="22"/>
        </w:rPr>
        <w:t xml:space="preserve">A privacy audit before each major release, with a written sign-off from a named DPO.</w:t>
      </w:r>
    </w:p>
    <w:p>
      <w:pPr>
        <w:pStyle w:val="ListParagraph"/>
        <w:numPr>
          <w:ilvl w:val="0"/>
          <w:numId w:val="3"/>
        </w:numPr>
        <w:spacing w:after="80"/>
      </w:pPr>
      <w:r>
        <w:rPr>
          <w:rFonts w:ascii="Calibri" w:cs="Calibri" w:eastAsia="Calibri" w:hAnsi="Calibri"/>
          <w:b w:val="false"/>
          <w:bCs w:val="false"/>
          <w:color w:val="111827"/>
          <w:sz w:val="22"/>
          <w:szCs w:val="22"/>
        </w:rPr>
        <w:t xml:space="preserve">Penetration testing of the public RPC surface, specifically including aggregate-disclosure attacks.</w:t>
      </w:r>
    </w:p>
    <w:p>
      <w:pPr>
        <w:pStyle w:val="ListParagraph"/>
        <w:numPr>
          <w:ilvl w:val="0"/>
          <w:numId w:val="3"/>
        </w:numPr>
        <w:spacing w:after="80"/>
      </w:pPr>
      <w:r>
        <w:rPr>
          <w:rFonts w:ascii="Calibri" w:cs="Calibri" w:eastAsia="Calibri" w:hAnsi="Calibri"/>
          <w:b w:val="false"/>
          <w:bCs w:val="false"/>
          <w:color w:val="111827"/>
          <w:sz w:val="22"/>
          <w:szCs w:val="22"/>
        </w:rPr>
        <w:t xml:space="preserve">Annual review of the data-flow diagram, signed by engineering and legal.</w:t>
      </w:r>
    </w:p>
    <w:p>
      <w:pPr>
        <w:pStyle w:val="ListParagraph"/>
        <w:numPr>
          <w:ilvl w:val="0"/>
          <w:numId w:val="3"/>
        </w:numPr>
        <w:spacing w:after="80"/>
      </w:pPr>
      <w:r>
        <w:rPr>
          <w:rFonts w:ascii="Calibri" w:cs="Calibri" w:eastAsia="Calibri" w:hAnsi="Calibri"/>
          <w:b w:val="false"/>
          <w:bCs w:val="false"/>
          <w:color w:val="111827"/>
          <w:sz w:val="22"/>
          <w:szCs w:val="22"/>
        </w:rPr>
        <w:t xml:space="preserve">A public privacy changelog at /privacy/changelog with a feed for parents and schools.</w:t>
      </w:r>
    </w:p>
    <w:p>
      <w:pPr>
        <w:pStyle w:val="Heading1"/>
        <w:pageBreakBefore/>
        <w:spacing w:after="160" w:before="360"/>
      </w:pPr>
      <w:r>
        <w:rPr>
          <w:rFonts w:ascii="Calibri" w:cs="Calibri" w:eastAsia="Calibri" w:hAnsi="Calibri"/>
          <w:b/>
          <w:bCs/>
          <w:color w:val="0F766E"/>
          <w:sz w:val="36"/>
          <w:szCs w:val="36"/>
        </w:rPr>
        <w:t xml:space="preserve">10. Immediate Engineering Priorities</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What follows is a four-quarter roadmap, with concrete priorities, owners, and verification. The first quarter is non-negotiable — without it, every claim further out is hollow.</w:t>
      </w:r>
    </w:p>
    <w:p>
      <w:pPr>
        <w:pStyle w:val="Heading2"/>
        <w:spacing w:after="120" w:before="280"/>
      </w:pPr>
      <w:r>
        <w:rPr>
          <w:rFonts w:ascii="Calibri" w:cs="Calibri" w:eastAsia="Calibri" w:hAnsi="Calibri"/>
          <w:b/>
          <w:bCs/>
          <w:color w:val="111827"/>
          <w:sz w:val="28"/>
          <w:szCs w:val="28"/>
        </w:rPr>
        <w:t xml:space="preserve">10.1  Quarter 1 — Stop the bleeding (weeks 1–13)</w:t>
      </w:r>
    </w:p>
    <w:p>
      <w:pPr>
        <w:spacing w:after="80" w:before="0"/>
      </w:pPr>
      <w:r>
        <w:rPr>
          <w:rFonts w:ascii="Calibri" w:cs="Calibri" w:eastAsia="Calibri" w:hAnsi="Calibri"/>
          <w:b w:val="false"/>
          <w:bCs w:val="false"/>
          <w:i w:val="false"/>
          <w:iCs w:val="false"/>
          <w:color w:val="111827"/>
          <w:sz w:val="22"/>
          <w:szCs w:val="22"/>
        </w:rPr>
        <w:t xml:space="preserve">Goal: fix the defects that invalidate today's claims. Make the engagement system honest.</w:t>
      </w:r>
    </w:p>
    <w:p>
      <w:pPr>
        <w:pStyle w:val="ListParagraph"/>
        <w:numPr>
          <w:ilvl w:val="0"/>
          <w:numId w:val="3"/>
        </w:numPr>
        <w:spacing w:after="80"/>
      </w:pPr>
      <w:r>
        <w:rPr>
          <w:rFonts w:ascii="Calibri" w:cs="Calibri" w:eastAsia="Calibri" w:hAnsi="Calibri"/>
          <w:b/>
          <w:bCs/>
          <w:i w:val="false"/>
          <w:iCs w:val="false"/>
          <w:color w:val="B91C1C"/>
          <w:sz w:val="22"/>
          <w:szCs w:val="22"/>
        </w:rPr>
        <w:t xml:space="preserve">P0 </w:t>
      </w:r>
      <w:r>
        <w:rPr>
          <w:rFonts w:ascii="Calibri" w:cs="Calibri" w:eastAsia="Calibri" w:hAnsi="Calibri"/>
          <w:color w:val="111827"/>
          <w:sz w:val="22"/>
          <w:szCs w:val="22"/>
        </w:rPr>
        <w:t xml:space="preserve">Tracing mode: emit real isCorrect from the stroke validator. Backfill an "is_correct_unverified" flag on historical rows so the dashboard can choose to exclude them.</w:t>
      </w:r>
    </w:p>
    <w:p>
      <w:pPr>
        <w:pStyle w:val="ListParagraph"/>
        <w:numPr>
          <w:ilvl w:val="0"/>
          <w:numId w:val="3"/>
        </w:numPr>
        <w:spacing w:after="80"/>
      </w:pPr>
      <w:r>
        <w:rPr>
          <w:rFonts w:ascii="Calibri" w:cs="Calibri" w:eastAsia="Calibri" w:hAnsi="Calibri"/>
          <w:b/>
          <w:bCs/>
          <w:i w:val="false"/>
          <w:iCs w:val="false"/>
          <w:color w:val="B91C1C"/>
          <w:sz w:val="22"/>
          <w:szCs w:val="22"/>
        </w:rPr>
        <w:t xml:space="preserve">P0 </w:t>
      </w:r>
      <w:r>
        <w:rPr>
          <w:rFonts w:ascii="Calibri" w:cs="Calibri" w:eastAsia="Calibri" w:hAnsi="Calibri"/>
          <w:color w:val="111827"/>
          <w:sz w:val="22"/>
          <w:szCs w:val="22"/>
        </w:rPr>
        <w:t xml:space="preserve">action_duration_ms: fix in Balloon Math, Rainbow Bridge, Gesture Spelling, Pre-Writing using the existing markGrab / elapsedSinceGrab pattern. Quarantine historical rows.</w:t>
      </w:r>
    </w:p>
    <w:p>
      <w:pPr>
        <w:pStyle w:val="ListParagraph"/>
        <w:numPr>
          <w:ilvl w:val="0"/>
          <w:numId w:val="3"/>
        </w:numPr>
        <w:spacing w:after="80"/>
      </w:pPr>
      <w:r>
        <w:rPr>
          <w:rFonts w:ascii="Calibri" w:cs="Calibri" w:eastAsia="Calibri" w:hAnsi="Calibri"/>
          <w:b/>
          <w:bCs/>
          <w:i w:val="false"/>
          <w:iCs w:val="false"/>
          <w:color w:val="B91C1C"/>
          <w:sz w:val="22"/>
          <w:szCs w:val="22"/>
        </w:rPr>
        <w:t xml:space="preserve">P0 </w:t>
      </w:r>
      <w:r>
        <w:rPr>
          <w:rFonts w:ascii="Calibri" w:cs="Calibri" w:eastAsia="Calibri" w:hAnsi="Calibri"/>
          <w:color w:val="111827"/>
          <w:sz w:val="22"/>
          <w:szCs w:val="22"/>
        </w:rPr>
        <w:t xml:space="preserve">Wire class_id and school_id through every startSession call site (classmode + school code). Backfill is not possible — accept the gap, mark the cutoff in the dashboard.</w:t>
      </w:r>
    </w:p>
    <w:p>
      <w:pPr>
        <w:pStyle w:val="ListParagraph"/>
        <w:numPr>
          <w:ilvl w:val="0"/>
          <w:numId w:val="3"/>
        </w:numPr>
        <w:spacing w:after="80"/>
      </w:pPr>
      <w:r>
        <w:rPr>
          <w:rFonts w:ascii="Calibri" w:cs="Calibri" w:eastAsia="Calibri" w:hAnsi="Calibri"/>
          <w:b/>
          <w:bCs/>
          <w:i w:val="false"/>
          <w:iCs w:val="false"/>
          <w:color w:val="B91C1C"/>
          <w:sz w:val="22"/>
          <w:szCs w:val="22"/>
        </w:rPr>
        <w:t xml:space="preserve">P0 </w:t>
      </w:r>
      <w:r>
        <w:rPr>
          <w:rFonts w:ascii="Calibri" w:cs="Calibri" w:eastAsia="Calibri" w:hAnsi="Calibri"/>
          <w:color w:val="111827"/>
          <w:sz w:val="22"/>
          <w:szCs w:val="22"/>
        </w:rPr>
        <w:t xml:space="preserve">Move initAnalytics out of module import. Initialise after consent gate or first ephemeral-mode acknowledgement.</w:t>
      </w:r>
    </w:p>
    <w:p>
      <w:pPr>
        <w:pStyle w:val="ListParagraph"/>
        <w:numPr>
          <w:ilvl w:val="0"/>
          <w:numId w:val="3"/>
        </w:numPr>
        <w:spacing w:after="80"/>
      </w:pPr>
      <w:r>
        <w:rPr>
          <w:rFonts w:ascii="Calibri" w:cs="Calibri" w:eastAsia="Calibri" w:hAnsi="Calibri"/>
          <w:b/>
          <w:bCs/>
          <w:i w:val="false"/>
          <w:iCs w:val="false"/>
          <w:color w:val="B45309"/>
          <w:sz w:val="22"/>
          <w:szCs w:val="22"/>
        </w:rPr>
        <w:t xml:space="preserve">P1 </w:t>
      </w:r>
      <w:r>
        <w:rPr>
          <w:rFonts w:ascii="Calibri" w:cs="Calibri" w:eastAsia="Calibri" w:hAnsi="Calibri"/>
          <w:color w:val="111827"/>
          <w:sz w:val="22"/>
          <w:szCs w:val="22"/>
        </w:rPr>
        <w:t xml:space="preserve">Strict event schemas: introduce a Zod-validated dispatcher. Reject events with malformed meta in the client; mirror enforcement on the Supabase trigger.</w:t>
      </w:r>
    </w:p>
    <w:p>
      <w:pPr>
        <w:pStyle w:val="ListParagraph"/>
        <w:numPr>
          <w:ilvl w:val="0"/>
          <w:numId w:val="3"/>
        </w:numPr>
        <w:spacing w:after="80"/>
      </w:pPr>
      <w:r>
        <w:rPr>
          <w:rFonts w:ascii="Calibri" w:cs="Calibri" w:eastAsia="Calibri" w:hAnsi="Calibri"/>
          <w:b/>
          <w:bCs/>
          <w:i w:val="false"/>
          <w:iCs w:val="false"/>
          <w:color w:val="B45309"/>
          <w:sz w:val="22"/>
          <w:szCs w:val="22"/>
        </w:rPr>
        <w:t xml:space="preserve">P1 </w:t>
      </w:r>
      <w:r>
        <w:rPr>
          <w:rFonts w:ascii="Calibri" w:cs="Calibri" w:eastAsia="Calibri" w:hAnsi="Calibri"/>
          <w:color w:val="111827"/>
          <w:sz w:val="22"/>
          <w:szCs w:val="22"/>
        </w:rPr>
        <w:t xml:space="preserve">Instrument Free Paint: stroke counts, canvas coverage %, palette diversity, time-to-first-stroke, sustained engagement.</w:t>
      </w:r>
    </w:p>
    <w:p>
      <w:pPr>
        <w:pStyle w:val="ListParagraph"/>
        <w:numPr>
          <w:ilvl w:val="0"/>
          <w:numId w:val="3"/>
        </w:numPr>
        <w:spacing w:after="80"/>
      </w:pPr>
      <w:r>
        <w:rPr>
          <w:rFonts w:ascii="Calibri" w:cs="Calibri" w:eastAsia="Calibri" w:hAnsi="Calibri"/>
          <w:b/>
          <w:bCs/>
          <w:i w:val="false"/>
          <w:iCs w:val="false"/>
          <w:color w:val="B45309"/>
          <w:sz w:val="22"/>
          <w:szCs w:val="22"/>
        </w:rPr>
        <w:t xml:space="preserve">P1 </w:t>
      </w:r>
      <w:r>
        <w:rPr>
          <w:rFonts w:ascii="Calibri" w:cs="Calibri" w:eastAsia="Calibri" w:hAnsi="Calibri"/>
          <w:color w:val="111827"/>
          <w:sz w:val="22"/>
          <w:szCs w:val="22"/>
        </w:rPr>
        <w:t xml:space="preserve">Standardise hint_offered / hint_shown / hint_acted_on across all modes.</w:t>
      </w:r>
    </w:p>
    <w:p>
      <w:pPr>
        <w:pStyle w:val="ListParagraph"/>
        <w:numPr>
          <w:ilvl w:val="0"/>
          <w:numId w:val="3"/>
        </w:numPr>
        <w:spacing w:after="80"/>
      </w:pPr>
      <w:r>
        <w:rPr>
          <w:rFonts w:ascii="Calibri" w:cs="Calibri" w:eastAsia="Calibri" w:hAnsi="Calibri"/>
          <w:b/>
          <w:bCs/>
          <w:i w:val="false"/>
          <w:iCs w:val="false"/>
          <w:color w:val="B45309"/>
          <w:sz w:val="22"/>
          <w:szCs w:val="22"/>
        </w:rPr>
        <w:t xml:space="preserve">P1 </w:t>
      </w:r>
      <w:r>
        <w:rPr>
          <w:rFonts w:ascii="Calibri" w:cs="Calibri" w:eastAsia="Calibri" w:hAnsi="Calibri"/>
          <w:color w:val="111827"/>
          <w:sz w:val="22"/>
          <w:szCs w:val="22"/>
        </w:rPr>
        <w:t xml:space="preserve">Move heartbeat and tracker_quality_sample to a separate telemetry_samples table with 30-day TTL.</w:t>
      </w:r>
    </w:p>
    <w:p>
      <w:pPr>
        <w:pStyle w:val="ListParagraph"/>
        <w:numPr>
          <w:ilvl w:val="0"/>
          <w:numId w:val="3"/>
        </w:numPr>
        <w:spacing w:after="80"/>
      </w:pPr>
      <w:r>
        <w:rPr>
          <w:rFonts w:ascii="Calibri" w:cs="Calibri" w:eastAsia="Calibri" w:hAnsi="Calibri"/>
          <w:b/>
          <w:bCs/>
          <w:i w:val="false"/>
          <w:iCs w:val="false"/>
          <w:color w:val="111827"/>
          <w:sz w:val="22"/>
          <w:szCs w:val="22"/>
        </w:rPr>
        <w:t xml:space="preserve">P2 </w:t>
      </w:r>
      <w:r>
        <w:rPr>
          <w:rFonts w:ascii="Calibri" w:cs="Calibri" w:eastAsia="Calibri" w:hAnsi="Calibri"/>
          <w:color w:val="111827"/>
          <w:sz w:val="22"/>
          <w:szCs w:val="22"/>
        </w:rPr>
        <w:t xml:space="preserve">Add country code via CDN header.</w:t>
      </w:r>
    </w:p>
    <w:p>
      <w:pPr>
        <w:pStyle w:val="Heading2"/>
        <w:spacing w:after="120" w:before="280"/>
      </w:pPr>
      <w:r>
        <w:rPr>
          <w:rFonts w:ascii="Calibri" w:cs="Calibri" w:eastAsia="Calibri" w:hAnsi="Calibri"/>
          <w:b/>
          <w:bCs/>
          <w:color w:val="111827"/>
          <w:sz w:val="28"/>
          <w:szCs w:val="28"/>
        </w:rPr>
        <w:t xml:space="preserve">10.2  Quarter 2 — Lay the rails (weeks 14–26)</w:t>
      </w:r>
    </w:p>
    <w:p>
      <w:pPr>
        <w:spacing w:after="80" w:before="0"/>
      </w:pPr>
      <w:r>
        <w:rPr>
          <w:rFonts w:ascii="Calibri" w:cs="Calibri" w:eastAsia="Calibri" w:hAnsi="Calibri"/>
          <w:b w:val="false"/>
          <w:bCs w:val="false"/>
          <w:i w:val="false"/>
          <w:iCs w:val="false"/>
          <w:color w:val="111827"/>
          <w:sz w:val="22"/>
          <w:szCs w:val="22"/>
        </w:rPr>
        <w:t xml:space="preserve">Goal: ship the new schema, the skill graph, and the BKT engine. Existing dashboards keep working from the cleaned-up layer 1.</w:t>
      </w:r>
    </w:p>
    <w:p>
      <w:pPr>
        <w:pStyle w:val="ListParagraph"/>
        <w:numPr>
          <w:ilvl w:val="0"/>
          <w:numId w:val="3"/>
        </w:numPr>
        <w:spacing w:after="80"/>
      </w:pPr>
      <w:r>
        <w:rPr>
          <w:rFonts w:ascii="Calibri" w:cs="Calibri" w:eastAsia="Calibri" w:hAnsi="Calibri"/>
          <w:b w:val="false"/>
          <w:bCs w:val="false"/>
          <w:color w:val="111827"/>
          <w:sz w:val="22"/>
          <w:szCs w:val="22"/>
        </w:rPr>
        <w:t xml:space="preserve">Create skills, skill_ledger, mastery_probes, classmode_bridge, attempts_v2.</w:t>
      </w:r>
    </w:p>
    <w:p>
      <w:pPr>
        <w:pStyle w:val="ListParagraph"/>
        <w:numPr>
          <w:ilvl w:val="0"/>
          <w:numId w:val="3"/>
        </w:numPr>
        <w:spacing w:after="80"/>
      </w:pPr>
      <w:r>
        <w:rPr>
          <w:rFonts w:ascii="Calibri" w:cs="Calibri" w:eastAsia="Calibri" w:hAnsi="Calibri"/>
          <w:b w:val="false"/>
          <w:bCs w:val="false"/>
          <w:color w:val="111827"/>
          <w:sz w:val="22"/>
          <w:szCs w:val="22"/>
        </w:rPr>
        <w:t xml:space="preserve">Seed the skill graph from the existing content files (preWriting letter paths, balloon-math equations, gesture-spelling words, etc.).</w:t>
      </w:r>
    </w:p>
    <w:p>
      <w:pPr>
        <w:pStyle w:val="ListParagraph"/>
        <w:numPr>
          <w:ilvl w:val="0"/>
          <w:numId w:val="3"/>
        </w:numPr>
        <w:spacing w:after="80"/>
      </w:pPr>
      <w:r>
        <w:rPr>
          <w:rFonts w:ascii="Calibri" w:cs="Calibri" w:eastAsia="Calibri" w:hAnsi="Calibri"/>
          <w:b w:val="false"/>
          <w:bCs w:val="false"/>
          <w:color w:val="111827"/>
          <w:sz w:val="22"/>
          <w:szCs w:val="22"/>
        </w:rPr>
        <w:t xml:space="preserve">Implement the BKT update logic as a Supabase function fired on each attempts_v2 insert.</w:t>
      </w:r>
    </w:p>
    <w:p>
      <w:pPr>
        <w:pStyle w:val="ListParagraph"/>
        <w:numPr>
          <w:ilvl w:val="0"/>
          <w:numId w:val="3"/>
        </w:numPr>
        <w:spacing w:after="80"/>
      </w:pPr>
      <w:r>
        <w:rPr>
          <w:rFonts w:ascii="Calibri" w:cs="Calibri" w:eastAsia="Calibri" w:hAnsi="Calibri"/>
          <w:b w:val="false"/>
          <w:bCs w:val="false"/>
          <w:color w:val="111827"/>
          <w:sz w:val="22"/>
          <w:szCs w:val="22"/>
        </w:rPr>
        <w:t xml:space="preserve">Implement the IRT-lite difficulty update as a nightly job.</w:t>
      </w:r>
    </w:p>
    <w:p>
      <w:pPr>
        <w:pStyle w:val="ListParagraph"/>
        <w:numPr>
          <w:ilvl w:val="0"/>
          <w:numId w:val="3"/>
        </w:numPr>
        <w:spacing w:after="80"/>
      </w:pPr>
      <w:r>
        <w:rPr>
          <w:rFonts w:ascii="Calibri" w:cs="Calibri" w:eastAsia="Calibri" w:hAnsi="Calibri"/>
          <w:b w:val="false"/>
          <w:bCs w:val="false"/>
          <w:color w:val="111827"/>
          <w:sz w:val="22"/>
          <w:szCs w:val="22"/>
        </w:rPr>
        <w:t xml:space="preserve">Build the classmode_bridge — wire learner_token issuance into teacher console.</w:t>
      </w:r>
    </w:p>
    <w:p>
      <w:pPr>
        <w:pStyle w:val="ListParagraph"/>
        <w:numPr>
          <w:ilvl w:val="0"/>
          <w:numId w:val="3"/>
        </w:numPr>
        <w:spacing w:after="80"/>
      </w:pPr>
      <w:r>
        <w:rPr>
          <w:rFonts w:ascii="Calibri" w:cs="Calibri" w:eastAsia="Calibri" w:hAnsi="Calibri"/>
          <w:b w:val="false"/>
          <w:bCs w:val="false"/>
          <w:color w:val="111827"/>
          <w:sz w:val="22"/>
          <w:szCs w:val="22"/>
        </w:rPr>
        <w:t xml:space="preserve">Build daily_rollups materialised view; refresh nightly.</w:t>
      </w:r>
    </w:p>
    <w:p>
      <w:pPr>
        <w:pStyle w:val="ListParagraph"/>
        <w:numPr>
          <w:ilvl w:val="0"/>
          <w:numId w:val="3"/>
        </w:numPr>
        <w:spacing w:after="80"/>
      </w:pPr>
      <w:r>
        <w:rPr>
          <w:rFonts w:ascii="Calibri" w:cs="Calibri" w:eastAsia="Calibri" w:hAnsi="Calibri"/>
          <w:b w:val="false"/>
          <w:bCs w:val="false"/>
          <w:color w:val="111827"/>
          <w:sz w:val="22"/>
          <w:szCs w:val="22"/>
        </w:rPr>
        <w:t xml:space="preserve">Migrate the existing dashboard Learning tab to read from skill_ledger and daily_rollups.</w:t>
      </w:r>
    </w:p>
    <w:p>
      <w:pPr>
        <w:pStyle w:val="Heading2"/>
        <w:spacing w:after="120" w:before="280"/>
      </w:pPr>
      <w:r>
        <w:rPr>
          <w:rFonts w:ascii="Calibri" w:cs="Calibri" w:eastAsia="Calibri" w:hAnsi="Calibri"/>
          <w:b/>
          <w:bCs/>
          <w:color w:val="111827"/>
          <w:sz w:val="28"/>
          <w:szCs w:val="28"/>
        </w:rPr>
        <w:t xml:space="preserve">10.3  Quarter 3 — Make it visible (weeks 27–39)</w:t>
      </w:r>
    </w:p>
    <w:p>
      <w:pPr>
        <w:spacing w:after="80" w:before="0"/>
      </w:pPr>
      <w:r>
        <w:rPr>
          <w:rFonts w:ascii="Calibri" w:cs="Calibri" w:eastAsia="Calibri" w:hAnsi="Calibri"/>
          <w:b w:val="false"/>
          <w:bCs w:val="false"/>
          <w:i w:val="false"/>
          <w:iCs w:val="false"/>
          <w:color w:val="111827"/>
          <w:sz w:val="22"/>
          <w:szCs w:val="22"/>
        </w:rPr>
        <w:t xml:space="preserve">Goal: ship the four-surface dashboard. Run the first internal cohort study.</w:t>
      </w:r>
    </w:p>
    <w:p>
      <w:pPr>
        <w:pStyle w:val="ListParagraph"/>
        <w:numPr>
          <w:ilvl w:val="0"/>
          <w:numId w:val="3"/>
        </w:numPr>
        <w:spacing w:after="80"/>
      </w:pPr>
      <w:r>
        <w:rPr>
          <w:rFonts w:ascii="Calibri" w:cs="Calibri" w:eastAsia="Calibri" w:hAnsi="Calibri"/>
          <w:b w:val="false"/>
          <w:bCs w:val="false"/>
          <w:color w:val="111827"/>
          <w:sz w:val="22"/>
          <w:szCs w:val="22"/>
        </w:rPr>
        <w:t xml:space="preserve">Build the Teacher Console with the panels in Section 7.5.</w:t>
      </w:r>
    </w:p>
    <w:p>
      <w:pPr>
        <w:pStyle w:val="ListParagraph"/>
        <w:numPr>
          <w:ilvl w:val="0"/>
          <w:numId w:val="3"/>
        </w:numPr>
        <w:spacing w:after="80"/>
      </w:pPr>
      <w:r>
        <w:rPr>
          <w:rFonts w:ascii="Calibri" w:cs="Calibri" w:eastAsia="Calibri" w:hAnsi="Calibri"/>
          <w:b w:val="false"/>
          <w:bCs w:val="false"/>
          <w:color w:val="111827"/>
          <w:sz w:val="22"/>
          <w:szCs w:val="22"/>
        </w:rPr>
        <w:t xml:space="preserve">Build the Parent / Child surface with the growth-tree visualisation.</w:t>
      </w:r>
    </w:p>
    <w:p>
      <w:pPr>
        <w:pStyle w:val="ListParagraph"/>
        <w:numPr>
          <w:ilvl w:val="0"/>
          <w:numId w:val="3"/>
        </w:numPr>
        <w:spacing w:after="80"/>
      </w:pPr>
      <w:r>
        <w:rPr>
          <w:rFonts w:ascii="Calibri" w:cs="Calibri" w:eastAsia="Calibri" w:hAnsi="Calibri"/>
          <w:b w:val="false"/>
          <w:bCs w:val="false"/>
          <w:color w:val="111827"/>
          <w:sz w:val="22"/>
          <w:szCs w:val="22"/>
        </w:rPr>
        <w:t xml:space="preserve">Build the School Leader console.</w:t>
      </w:r>
    </w:p>
    <w:p>
      <w:pPr>
        <w:pStyle w:val="ListParagraph"/>
        <w:numPr>
          <w:ilvl w:val="0"/>
          <w:numId w:val="3"/>
        </w:numPr>
        <w:spacing w:after="80"/>
      </w:pPr>
      <w:r>
        <w:rPr>
          <w:rFonts w:ascii="Calibri" w:cs="Calibri" w:eastAsia="Calibri" w:hAnsi="Calibri"/>
          <w:b w:val="false"/>
          <w:bCs w:val="false"/>
          <w:color w:val="111827"/>
          <w:sz w:val="22"/>
          <w:szCs w:val="22"/>
        </w:rPr>
        <w:t xml:space="preserve">Implement the probe scheduler.</w:t>
      </w:r>
    </w:p>
    <w:p>
      <w:pPr>
        <w:pStyle w:val="ListParagraph"/>
        <w:numPr>
          <w:ilvl w:val="0"/>
          <w:numId w:val="3"/>
        </w:numPr>
        <w:spacing w:after="80"/>
      </w:pPr>
      <w:r>
        <w:rPr>
          <w:rFonts w:ascii="Calibri" w:cs="Calibri" w:eastAsia="Calibri" w:hAnsi="Calibri"/>
          <w:b w:val="false"/>
          <w:bCs w:val="false"/>
          <w:color w:val="111827"/>
          <w:sz w:val="22"/>
          <w:szCs w:val="22"/>
        </w:rPr>
        <w:t xml:space="preserve">Run an internal 6-week cohort study with one partner school.</w:t>
      </w:r>
    </w:p>
    <w:p>
      <w:pPr>
        <w:pStyle w:val="ListParagraph"/>
        <w:numPr>
          <w:ilvl w:val="0"/>
          <w:numId w:val="3"/>
        </w:numPr>
        <w:spacing w:after="80"/>
      </w:pPr>
      <w:r>
        <w:rPr>
          <w:rFonts w:ascii="Calibri" w:cs="Calibri" w:eastAsia="Calibri" w:hAnsi="Calibri"/>
          <w:b w:val="false"/>
          <w:bCs w:val="false"/>
          <w:color w:val="111827"/>
          <w:sz w:val="22"/>
          <w:szCs w:val="22"/>
        </w:rPr>
        <w:t xml:space="preserve">Pre-register the analysis plan on OSF before the study begins.</w:t>
      </w:r>
    </w:p>
    <w:p>
      <w:pPr>
        <w:pStyle w:val="Heading2"/>
        <w:spacing w:after="120" w:before="280"/>
      </w:pPr>
      <w:r>
        <w:rPr>
          <w:rFonts w:ascii="Calibri" w:cs="Calibri" w:eastAsia="Calibri" w:hAnsi="Calibri"/>
          <w:b/>
          <w:bCs/>
          <w:color w:val="111827"/>
          <w:sz w:val="28"/>
          <w:szCs w:val="28"/>
        </w:rPr>
        <w:t xml:space="preserve">10.4  Quarter 4 — Validate and publish (weeks 40–52)</w:t>
      </w:r>
    </w:p>
    <w:p>
      <w:pPr>
        <w:spacing w:after="80" w:before="0"/>
      </w:pPr>
      <w:r>
        <w:rPr>
          <w:rFonts w:ascii="Calibri" w:cs="Calibri" w:eastAsia="Calibri" w:hAnsi="Calibri"/>
          <w:b w:val="false"/>
          <w:bCs w:val="false"/>
          <w:i w:val="false"/>
          <w:iCs w:val="false"/>
          <w:color w:val="111827"/>
          <w:sz w:val="22"/>
          <w:szCs w:val="22"/>
        </w:rPr>
        <w:t xml:space="preserve">Goal: produce the first credible learning-outcomes report. Make it durable.</w:t>
      </w:r>
    </w:p>
    <w:p>
      <w:pPr>
        <w:pStyle w:val="ListParagraph"/>
        <w:numPr>
          <w:ilvl w:val="0"/>
          <w:numId w:val="3"/>
        </w:numPr>
        <w:spacing w:after="80"/>
      </w:pPr>
      <w:r>
        <w:rPr>
          <w:rFonts w:ascii="Calibri" w:cs="Calibri" w:eastAsia="Calibri" w:hAnsi="Calibri"/>
          <w:b w:val="false"/>
          <w:bCs w:val="false"/>
          <w:color w:val="111827"/>
          <w:sz w:val="22"/>
          <w:szCs w:val="22"/>
        </w:rPr>
        <w:t xml:space="preserve">Complete the partner-school study; publish methodology and results.</w:t>
      </w:r>
    </w:p>
    <w:p>
      <w:pPr>
        <w:pStyle w:val="ListParagraph"/>
        <w:numPr>
          <w:ilvl w:val="0"/>
          <w:numId w:val="3"/>
        </w:numPr>
        <w:spacing w:after="80"/>
      </w:pPr>
      <w:r>
        <w:rPr>
          <w:rFonts w:ascii="Calibri" w:cs="Calibri" w:eastAsia="Calibri" w:hAnsi="Calibri"/>
          <w:b w:val="false"/>
          <w:bCs w:val="false"/>
          <w:color w:val="111827"/>
          <w:sz w:val="22"/>
          <w:szCs w:val="22"/>
        </w:rPr>
        <w:t xml:space="preserve">Implement the sham-content control for the second study.</w:t>
      </w:r>
    </w:p>
    <w:p>
      <w:pPr>
        <w:pStyle w:val="ListParagraph"/>
        <w:numPr>
          <w:ilvl w:val="0"/>
          <w:numId w:val="3"/>
        </w:numPr>
        <w:spacing w:after="80"/>
      </w:pPr>
      <w:r>
        <w:rPr>
          <w:rFonts w:ascii="Calibri" w:cs="Calibri" w:eastAsia="Calibri" w:hAnsi="Calibri"/>
          <w:b w:val="false"/>
          <w:bCs w:val="false"/>
          <w:color w:val="111827"/>
          <w:sz w:val="22"/>
          <w:szCs w:val="22"/>
        </w:rPr>
        <w:t xml:space="preserve">Open a Learning Outcomes API to verified schools.</w:t>
      </w:r>
    </w:p>
    <w:p>
      <w:pPr>
        <w:pStyle w:val="ListParagraph"/>
        <w:numPr>
          <w:ilvl w:val="0"/>
          <w:numId w:val="3"/>
        </w:numPr>
        <w:spacing w:after="80"/>
      </w:pPr>
      <w:r>
        <w:rPr>
          <w:rFonts w:ascii="Calibri" w:cs="Calibri" w:eastAsia="Calibri" w:hAnsi="Calibri"/>
          <w:b w:val="false"/>
          <w:bCs w:val="false"/>
          <w:color w:val="111827"/>
          <w:sz w:val="22"/>
          <w:szCs w:val="22"/>
        </w:rPr>
        <w:t xml:space="preserve">Publish the public methodology page.</w:t>
      </w:r>
    </w:p>
    <w:p>
      <w:pPr>
        <w:pStyle w:val="ListParagraph"/>
        <w:numPr>
          <w:ilvl w:val="0"/>
          <w:numId w:val="3"/>
        </w:numPr>
        <w:spacing w:after="80"/>
      </w:pPr>
      <w:r>
        <w:rPr>
          <w:rFonts w:ascii="Calibri" w:cs="Calibri" w:eastAsia="Calibri" w:hAnsi="Calibri"/>
          <w:b w:val="false"/>
          <w:bCs w:val="false"/>
          <w:color w:val="111827"/>
          <w:sz w:val="22"/>
          <w:szCs w:val="22"/>
        </w:rPr>
        <w:t xml:space="preserve">Submit the first efficacy paper.</w:t>
      </w:r>
    </w:p>
    <w:p>
      <w:pPr>
        <w:pStyle w:val="Heading1"/>
        <w:pageBreakBefore/>
        <w:spacing w:after="160" w:before="360"/>
      </w:pPr>
      <w:r>
        <w:rPr>
          <w:rFonts w:ascii="Calibri" w:cs="Calibri" w:eastAsia="Calibri" w:hAnsi="Calibri"/>
          <w:b/>
          <w:bCs/>
          <w:color w:val="0F766E"/>
          <w:sz w:val="36"/>
          <w:szCs w:val="36"/>
        </w:rPr>
        <w:t xml:space="preserve">11. Long-Term Data Moat Opportunities</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The instrumentation work pays for itself in defensibility. Below are the moats this architecture creates — none of which a competitor with a generic engagement pipeline can build.</w:t>
      </w:r>
    </w:p>
    <w:p>
      <w:pPr>
        <w:pStyle w:val="Heading2"/>
        <w:spacing w:after="120" w:before="280"/>
      </w:pPr>
      <w:r>
        <w:rPr>
          <w:rFonts w:ascii="Calibri" w:cs="Calibri" w:eastAsia="Calibri" w:hAnsi="Calibri"/>
          <w:b/>
          <w:bCs/>
          <w:color w:val="111827"/>
          <w:sz w:val="28"/>
          <w:szCs w:val="28"/>
        </w:rPr>
        <w:t xml:space="preserve">11.1  The motor + cognitive co-measurement dataset</w:t>
      </w:r>
    </w:p>
    <w:p>
      <w:pPr>
        <w:spacing w:after="120" w:before="0"/>
      </w:pPr>
      <w:r>
        <w:rPr>
          <w:rFonts w:ascii="Calibri" w:cs="Calibri" w:eastAsia="Calibri" w:hAnsi="Calibri"/>
          <w:b w:val="false"/>
          <w:bCs w:val="false"/>
          <w:i w:val="false"/>
          <w:iCs w:val="false"/>
          <w:color w:val="111827"/>
          <w:sz w:val="22"/>
          <w:szCs w:val="22"/>
        </w:rPr>
        <w:t xml:space="preserve">Hand-tracking-derived motor signals coupled to learning constructs is a rare dataset. No competitor has it at scale. With pseudonymised, consented collection over 18–24 months across 50–100 schools, the platform owns a uniquely valuable corpus — useful for: motor-development research, fine-motor-skill predictors of literacy, early identification of motor-coordination challenges, and a calibration benchmark for any future hand-tracking-based education product.</w:t>
      </w:r>
    </w:p>
    <w:p>
      <w:pPr>
        <w:pStyle w:val="Heading2"/>
        <w:spacing w:after="120" w:before="280"/>
      </w:pPr>
      <w:r>
        <w:rPr>
          <w:rFonts w:ascii="Calibri" w:cs="Calibri" w:eastAsia="Calibri" w:hAnsi="Calibri"/>
          <w:b/>
          <w:bCs/>
          <w:color w:val="111827"/>
          <w:sz w:val="28"/>
          <w:szCs w:val="28"/>
        </w:rPr>
        <w:t xml:space="preserve">11.2  The DELTA-5 / LHI framework as an open standard</w:t>
      </w:r>
    </w:p>
    <w:p>
      <w:pPr>
        <w:spacing w:after="120" w:before="0"/>
      </w:pPr>
      <w:r>
        <w:rPr>
          <w:rFonts w:ascii="Calibri" w:cs="Calibri" w:eastAsia="Calibri" w:hAnsi="Calibri"/>
          <w:b w:val="false"/>
          <w:bCs w:val="false"/>
          <w:i w:val="false"/>
          <w:iCs w:val="false"/>
          <w:color w:val="111827"/>
          <w:sz w:val="22"/>
          <w:szCs w:val="22"/>
        </w:rPr>
        <w:t xml:space="preserve">Publishing the DELTA-5 construct mapping and the LHI as an open framework (Creative Commons, with a reference implementation) plants Draw in the Air as the originator of a citation standard. Subsequent EdTech products that adopt or compare against the framework do so on the platform's vocabulary, not their own. This is a soft moat but extraordinarily durable.</w:t>
      </w:r>
    </w:p>
    <w:p>
      <w:pPr>
        <w:pStyle w:val="Heading2"/>
        <w:spacing w:after="120" w:before="280"/>
      </w:pPr>
      <w:r>
        <w:rPr>
          <w:rFonts w:ascii="Calibri" w:cs="Calibri" w:eastAsia="Calibri" w:hAnsi="Calibri"/>
          <w:b/>
          <w:bCs/>
          <w:color w:val="111827"/>
          <w:sz w:val="28"/>
          <w:szCs w:val="28"/>
        </w:rPr>
        <w:t xml:space="preserve">11.3  EYFS framework alignment as paid feature</w:t>
      </w:r>
    </w:p>
    <w:p>
      <w:pPr>
        <w:spacing w:after="120" w:before="0"/>
      </w:pPr>
      <w:r>
        <w:rPr>
          <w:rFonts w:ascii="Calibri" w:cs="Calibri" w:eastAsia="Calibri" w:hAnsi="Calibri"/>
          <w:b w:val="false"/>
          <w:bCs w:val="false"/>
          <w:i w:val="false"/>
          <w:iCs w:val="false"/>
          <w:color w:val="111827"/>
          <w:sz w:val="22"/>
          <w:szCs w:val="22"/>
        </w:rPr>
        <w:t xml:space="preserve">UK and Commonwealth schools care intensely about EYFS / Development Matters alignment reporting. By tagging every skill in the graph with its EYFS / KS1 mapping, the platform can produce one-click EYFS attainment reports for school administrators — a paid feature with clear contract value.</w:t>
      </w:r>
    </w:p>
    <w:p>
      <w:pPr>
        <w:pStyle w:val="Heading2"/>
        <w:spacing w:after="120" w:before="280"/>
      </w:pPr>
      <w:r>
        <w:rPr>
          <w:rFonts w:ascii="Calibri" w:cs="Calibri" w:eastAsia="Calibri" w:hAnsi="Calibri"/>
          <w:b/>
          <w:bCs/>
          <w:color w:val="111827"/>
          <w:sz w:val="28"/>
          <w:szCs w:val="28"/>
        </w:rPr>
        <w:t xml:space="preserve">11.4  The probe pool as a research instrument</w:t>
      </w:r>
    </w:p>
    <w:p>
      <w:pPr>
        <w:spacing w:after="120" w:before="0"/>
      </w:pPr>
      <w:r>
        <w:rPr>
          <w:rFonts w:ascii="Calibri" w:cs="Calibri" w:eastAsia="Calibri" w:hAnsi="Calibri"/>
          <w:b w:val="false"/>
          <w:bCs w:val="false"/>
          <w:i w:val="false"/>
          <w:iCs w:val="false"/>
          <w:color w:val="111827"/>
          <w:sz w:val="22"/>
          <w:szCs w:val="22"/>
        </w:rPr>
        <w:t xml:space="preserve">A standardised, calibrated set of probe items across literacy / numeracy / motor is the closest thing children's EdTech has to a benchmark test. Other research groups will want to use it. Licensing the probe set (CC BY-NC-SA) to academic researchers in exchange for citation creates a flywheel of external validation.</w:t>
      </w:r>
    </w:p>
    <w:p>
      <w:pPr>
        <w:pStyle w:val="Heading2"/>
        <w:spacing w:after="120" w:before="280"/>
      </w:pPr>
      <w:r>
        <w:rPr>
          <w:rFonts w:ascii="Calibri" w:cs="Calibri" w:eastAsia="Calibri" w:hAnsi="Calibri"/>
          <w:b/>
          <w:bCs/>
          <w:color w:val="111827"/>
          <w:sz w:val="28"/>
          <w:szCs w:val="28"/>
        </w:rPr>
        <w:t xml:space="preserve">11.5  Learning Outcomes API</w:t>
      </w:r>
    </w:p>
    <w:p>
      <w:pPr>
        <w:spacing w:after="120" w:before="0"/>
      </w:pPr>
      <w:r>
        <w:rPr>
          <w:rFonts w:ascii="Calibri" w:cs="Calibri" w:eastAsia="Calibri" w:hAnsi="Calibri"/>
          <w:b w:val="false"/>
          <w:bCs w:val="false"/>
          <w:i w:val="false"/>
          <w:iCs w:val="false"/>
          <w:color w:val="111827"/>
          <w:sz w:val="22"/>
          <w:szCs w:val="22"/>
        </w:rPr>
        <w:t xml:space="preserve">Once the LHI is well-calibrated, schools and parents can be offered a Learning Outcomes API — programmatic access to their cohort's aggregated outcomes. This becomes the integration point for school MIS systems (SIMS, Bromcom, Arbor in the UK; PowerSchool, Infinite Campus in the US), creating sticky enterprise relationships.</w:t>
      </w:r>
    </w:p>
    <w:p>
      <w:pPr>
        <w:pStyle w:val="Heading2"/>
        <w:spacing w:after="120" w:before="280"/>
      </w:pPr>
      <w:r>
        <w:rPr>
          <w:rFonts w:ascii="Calibri" w:cs="Calibri" w:eastAsia="Calibri" w:hAnsi="Calibri"/>
          <w:b/>
          <w:bCs/>
          <w:color w:val="111827"/>
          <w:sz w:val="28"/>
          <w:szCs w:val="28"/>
        </w:rPr>
        <w:t xml:space="preserve">11.6  Network effects of school cohorts</w:t>
      </w:r>
    </w:p>
    <w:p>
      <w:pPr>
        <w:spacing w:after="120" w:before="0"/>
      </w:pPr>
      <w:r>
        <w:rPr>
          <w:rFonts w:ascii="Calibri" w:cs="Calibri" w:eastAsia="Calibri" w:hAnsi="Calibri"/>
          <w:b w:val="false"/>
          <w:bCs w:val="false"/>
          <w:i w:val="false"/>
          <w:iCs w:val="false"/>
          <w:color w:val="111827"/>
          <w:sz w:val="22"/>
          <w:szCs w:val="22"/>
        </w:rPr>
        <w:t xml:space="preserve">Each new school adds calibration data to the IRT difficulty estimates and adds probe-administration coverage. School N+1 gets a better-calibrated experience than school 1. This is the EdTech analogue of the data network effect, and it gets stronger with class diversity (urban vs rural, public vs independent, EAL vs non-EAL).</w:t>
      </w:r>
    </w:p>
    <w:p>
      <w:pPr>
        <w:pStyle w:val="Heading2"/>
        <w:spacing w:after="120" w:before="280"/>
      </w:pPr>
      <w:r>
        <w:rPr>
          <w:rFonts w:ascii="Calibri" w:cs="Calibri" w:eastAsia="Calibri" w:hAnsi="Calibri"/>
          <w:b/>
          <w:bCs/>
          <w:color w:val="111827"/>
          <w:sz w:val="28"/>
          <w:szCs w:val="28"/>
        </w:rPr>
        <w:t xml:space="preserve">11.7  Strategic data partnerships</w:t>
      </w:r>
    </w:p>
    <w:p>
      <w:pPr>
        <w:spacing w:after="120" w:before="0"/>
      </w:pPr>
      <w:r>
        <w:rPr>
          <w:rFonts w:ascii="Calibri" w:cs="Calibri" w:eastAsia="Calibri" w:hAnsi="Calibri"/>
          <w:b w:val="false"/>
          <w:bCs w:val="false"/>
          <w:i w:val="false"/>
          <w:iCs w:val="false"/>
          <w:color w:val="111827"/>
          <w:sz w:val="22"/>
          <w:szCs w:val="22"/>
        </w:rPr>
        <w:t xml:space="preserve">A pseudonymised, consented, ethically-collected dataset of children's motor + cognitive co-development is a rare asset. With the right governance structure, it can support partnerships with: UCL Institute of Education, Oxford Department of Education, Stanford Graduate School of Education, the Nuffield Foundation, the Education Endowment Foundation. Each partnership produces a publication; each publication produces a moat.</w:t>
      </w:r>
    </w:p>
    <w:p>
      <w:pPr>
        <w:pStyle w:val="Heading1"/>
        <w:pageBreakBefore/>
        <w:spacing w:after="160" w:before="360"/>
      </w:pPr>
      <w:r>
        <w:rPr>
          <w:rFonts w:ascii="Calibri" w:cs="Calibri" w:eastAsia="Calibri" w:hAnsi="Calibri"/>
          <w:b/>
          <w:bCs/>
          <w:color w:val="0F766E"/>
          <w:sz w:val="36"/>
          <w:szCs w:val="36"/>
        </w:rPr>
        <w:t xml:space="preserve">12. Scientific Validation of Learning Improvement</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This is the section that grant reviewers and serious investors will read first. It is the platform's commitment to producing evidence that withstands external scrutiny.</w:t>
      </w:r>
    </w:p>
    <w:p>
      <w:pPr>
        <w:pStyle w:val="Heading2"/>
        <w:spacing w:after="120" w:before="280"/>
      </w:pPr>
      <w:r>
        <w:rPr>
          <w:rFonts w:ascii="Calibri" w:cs="Calibri" w:eastAsia="Calibri" w:hAnsi="Calibri"/>
          <w:b/>
          <w:bCs/>
          <w:color w:val="111827"/>
          <w:sz w:val="28"/>
          <w:szCs w:val="28"/>
        </w:rPr>
        <w:t xml:space="preserve">12.1  What "scientific validation" requires</w:t>
      </w:r>
    </w:p>
    <w:p>
      <w:pPr>
        <w:spacing w:after="80" w:before="0"/>
      </w:pPr>
      <w:r>
        <w:rPr>
          <w:rFonts w:ascii="Calibri" w:cs="Calibri" w:eastAsia="Calibri" w:hAnsi="Calibri"/>
          <w:b w:val="false"/>
          <w:bCs w:val="false"/>
          <w:i w:val="false"/>
          <w:iCs w:val="false"/>
          <w:color w:val="111827"/>
          <w:sz w:val="22"/>
          <w:szCs w:val="22"/>
        </w:rPr>
        <w:t xml:space="preserve">A learning-outcome claim is credible only if it has the following five properties. Each is addressed by the architecture above.</w:t>
      </w:r>
    </w:p>
    <w:p>
      <w:pPr>
        <w:pStyle w:val="ListParagraph"/>
        <w:numPr>
          <w:ilvl w:val="0"/>
          <w:numId w:val="2"/>
        </w:numPr>
        <w:spacing w:after="80"/>
      </w:pPr>
      <w:r>
        <w:rPr>
          <w:rFonts w:ascii="Calibri" w:cs="Calibri" w:eastAsia="Calibri" w:hAnsi="Calibri"/>
          <w:color w:val="111827"/>
          <w:sz w:val="22"/>
          <w:szCs w:val="22"/>
        </w:rPr>
        <w:t xml:space="preserve">Operational definitions. Every construct, every metric, every state has a definition the reader can implement themselves. Section 6 and Section 4 supply these.</w:t>
      </w:r>
    </w:p>
    <w:p>
      <w:pPr>
        <w:pStyle w:val="ListParagraph"/>
        <w:numPr>
          <w:ilvl w:val="0"/>
          <w:numId w:val="2"/>
        </w:numPr>
        <w:spacing w:after="80"/>
      </w:pPr>
      <w:r>
        <w:rPr>
          <w:rFonts w:ascii="Calibri" w:cs="Calibri" w:eastAsia="Calibri" w:hAnsi="Calibri"/>
          <w:color w:val="111827"/>
          <w:sz w:val="22"/>
          <w:szCs w:val="22"/>
        </w:rPr>
        <w:t xml:space="preserve">Controlled comparison. The change observed in users must be larger than the change observed in a comparable non-treatment group. Section 8.4 supplies three control designs.</w:t>
      </w:r>
    </w:p>
    <w:p>
      <w:pPr>
        <w:pStyle w:val="ListParagraph"/>
        <w:numPr>
          <w:ilvl w:val="0"/>
          <w:numId w:val="2"/>
        </w:numPr>
        <w:spacing w:after="80"/>
      </w:pPr>
      <w:r>
        <w:rPr>
          <w:rFonts w:ascii="Calibri" w:cs="Calibri" w:eastAsia="Calibri" w:hAnsi="Calibri"/>
          <w:color w:val="111827"/>
          <w:sz w:val="22"/>
          <w:szCs w:val="22"/>
        </w:rPr>
        <w:t xml:space="preserve">Pre-registration. The analysis plan must be filed before the data is seen. Section 8.6 commits to this on Open Science Framework.</w:t>
      </w:r>
    </w:p>
    <w:p>
      <w:pPr>
        <w:pStyle w:val="ListParagraph"/>
        <w:numPr>
          <w:ilvl w:val="0"/>
          <w:numId w:val="2"/>
        </w:numPr>
        <w:spacing w:after="80"/>
      </w:pPr>
      <w:r>
        <w:rPr>
          <w:rFonts w:ascii="Calibri" w:cs="Calibri" w:eastAsia="Calibri" w:hAnsi="Calibri"/>
          <w:color w:val="111827"/>
          <w:sz w:val="22"/>
          <w:szCs w:val="22"/>
        </w:rPr>
        <w:t xml:space="preserve">Transfer evidence. Learning is the change that survives when the test is unfamiliar. Probes drawn from a different mode are the operational form of this. Section 8.2–8.3 supplies the mechanism.</w:t>
      </w:r>
    </w:p>
    <w:p>
      <w:pPr>
        <w:pStyle w:val="ListParagraph"/>
        <w:numPr>
          <w:ilvl w:val="0"/>
          <w:numId w:val="2"/>
        </w:numPr>
        <w:spacing w:after="80"/>
      </w:pPr>
      <w:r>
        <w:rPr>
          <w:rFonts w:ascii="Calibri" w:cs="Calibri" w:eastAsia="Calibri" w:hAnsi="Calibri"/>
          <w:color w:val="111827"/>
          <w:sz w:val="22"/>
          <w:szCs w:val="22"/>
        </w:rPr>
        <w:t xml:space="preserve">Retention evidence. Improvement that disappears in seven days is not learning. The +7 / +30 / +90 probe schedule (Section 5.4) supplies retention.</w:t>
      </w:r>
    </w:p>
    <w:p>
      <w:pPr>
        <w:pStyle w:val="Heading2"/>
        <w:spacing w:after="120" w:before="280"/>
      </w:pPr>
      <w:r>
        <w:rPr>
          <w:rFonts w:ascii="Calibri" w:cs="Calibri" w:eastAsia="Calibri" w:hAnsi="Calibri"/>
          <w:b/>
          <w:bCs/>
          <w:color w:val="111827"/>
          <w:sz w:val="28"/>
          <w:szCs w:val="28"/>
        </w:rPr>
        <w:t xml:space="preserve">12.2  Study designs available with this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1700"/>
        <w:gridCol w:w="1960"/>
      </w:tblGrid>
      <w:tr>
        <w:trPr>
          <w:tblHeader/>
        </w:trPr>
        <w:tc>
          <w:tcPr>
            <w:tcW w:type="dxa" w:w="1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Design</w:t>
            </w:r>
          </w:p>
        </w:tc>
        <w:tc>
          <w:tcPr>
            <w:tcW w:type="dxa" w:w="40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Structure</w:t>
            </w:r>
          </w:p>
        </w:tc>
        <w:tc>
          <w:tcPr>
            <w:tcW w:type="dxa" w:w="17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Duration</w:t>
            </w:r>
          </w:p>
        </w:tc>
        <w:tc>
          <w:tcPr>
            <w:tcW w:type="dxa" w:w="19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Output</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Internal pilot</w:t>
            </w:r>
          </w:p>
        </w:tc>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Single school, single cohort, pre/post within-subject.</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6–8 weeks.</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Internal report; not for external claim.</w:t>
            </w:r>
          </w:p>
        </w:tc>
      </w:tr>
      <w:tr>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Sham-content RCT</w:t>
            </w:r>
          </w:p>
        </w:tc>
        <w:tc>
          <w:tcPr>
            <w:tcW w:type="dxa" w:w="4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Two classes per school, randomised, one gets full platform, one gets non-educational mini-games.</w:t>
            </w:r>
          </w:p>
        </w:tc>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8 weeks + 4-week retention.</w:t>
            </w:r>
          </w:p>
        </w:tc>
        <w:tc>
          <w:tcPr>
            <w:tcW w:type="dxa" w:w="1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Submission to BJET or JCAL.</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Waitlist RCT</w:t>
            </w:r>
          </w:p>
        </w:tc>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School A starts at week 0, school B starts at week 8. Compared at week 8.</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12 weeks.</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Local-authority case study; school marketing.</w:t>
            </w:r>
          </w:p>
        </w:tc>
      </w:tr>
      <w:tr>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Crossover design</w:t>
            </w:r>
          </w:p>
        </w:tc>
        <w:tc>
          <w:tcPr>
            <w:tcW w:type="dxa" w:w="40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Same pupils, alternating weeks on and off platform.</w:t>
            </w:r>
          </w:p>
        </w:tc>
        <w:tc>
          <w:tcPr>
            <w:tcW w:type="dxa" w:w="17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8 weeks (4 on, 4 off, counterbalanced).</w:t>
            </w:r>
          </w:p>
        </w:tc>
        <w:tc>
          <w:tcPr>
            <w:tcW w:type="dxa" w:w="19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Single-school internal evidence; pilot for larger RCT.</w:t>
            </w:r>
          </w:p>
        </w:tc>
      </w:tr>
      <w:tr>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Longitudinal cohort study</w:t>
            </w:r>
          </w:p>
        </w:tc>
        <w:tc>
          <w:tcPr>
            <w:tcW w:type="dxa" w:w="40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Three cohorts of ~100 pupils each, recruited at different schools, followed across an academic year.</w:t>
            </w:r>
          </w:p>
        </w:tc>
        <w:tc>
          <w:tcPr>
            <w:tcW w:type="dxa" w:w="17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32 weeks.</w:t>
            </w:r>
          </w:p>
        </w:tc>
        <w:tc>
          <w:tcPr>
            <w:tcW w:type="dxa" w:w="19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Innovate UK final report; Series A diligence pack.</w:t>
            </w:r>
          </w:p>
        </w:tc>
      </w:tr>
    </w:tbl>
    <w:p>
      <w:pPr>
        <w:pStyle w:val="Heading2"/>
        <w:spacing w:after="120" w:before="280"/>
      </w:pPr>
      <w:r>
        <w:rPr>
          <w:rFonts w:ascii="Calibri" w:cs="Calibri" w:eastAsia="Calibri" w:hAnsi="Calibri"/>
          <w:b/>
          <w:bCs/>
          <w:color w:val="111827"/>
          <w:sz w:val="28"/>
          <w:szCs w:val="28"/>
        </w:rPr>
        <w:t xml:space="preserve">12.3  Statistical methods</w:t>
      </w:r>
    </w:p>
    <w:p>
      <w:pPr>
        <w:pStyle w:val="ListParagraph"/>
        <w:numPr>
          <w:ilvl w:val="0"/>
          <w:numId w:val="3"/>
        </w:numPr>
        <w:spacing w:after="80"/>
      </w:pPr>
      <w:r>
        <w:rPr>
          <w:rFonts w:ascii="Calibri" w:cs="Calibri" w:eastAsia="Calibri" w:hAnsi="Calibri"/>
          <w:b w:val="false"/>
          <w:bCs w:val="false"/>
          <w:color w:val="111827"/>
          <w:sz w:val="22"/>
          <w:szCs w:val="22"/>
        </w:rPr>
        <w:t xml:space="preserve">Effect sizes reported as Cohen's d, with 95% bootstrap confidence intervals.</w:t>
      </w:r>
    </w:p>
    <w:p>
      <w:pPr>
        <w:pStyle w:val="ListParagraph"/>
        <w:numPr>
          <w:ilvl w:val="0"/>
          <w:numId w:val="3"/>
        </w:numPr>
        <w:spacing w:after="80"/>
      </w:pPr>
      <w:r>
        <w:rPr>
          <w:rFonts w:ascii="Calibri" w:cs="Calibri" w:eastAsia="Calibri" w:hAnsi="Calibri"/>
          <w:b w:val="false"/>
          <w:bCs w:val="false"/>
          <w:color w:val="111827"/>
          <w:sz w:val="22"/>
          <w:szCs w:val="22"/>
        </w:rPr>
        <w:t xml:space="preserve">Pre/post comparison via paired tests; cohort comparison via mixed-effects models (lme4-style) with pupil as random intercept and class as random slope.</w:t>
      </w:r>
    </w:p>
    <w:p>
      <w:pPr>
        <w:pStyle w:val="ListParagraph"/>
        <w:numPr>
          <w:ilvl w:val="0"/>
          <w:numId w:val="3"/>
        </w:numPr>
        <w:spacing w:after="80"/>
      </w:pPr>
      <w:r>
        <w:rPr>
          <w:rFonts w:ascii="Calibri" w:cs="Calibri" w:eastAsia="Calibri" w:hAnsi="Calibri"/>
          <w:b w:val="false"/>
          <w:bCs w:val="false"/>
          <w:color w:val="111827"/>
          <w:sz w:val="22"/>
          <w:szCs w:val="22"/>
        </w:rPr>
        <w:t xml:space="preserve">Retention curves fitted as exponential decay with skill-level random effects.</w:t>
      </w:r>
    </w:p>
    <w:p>
      <w:pPr>
        <w:pStyle w:val="ListParagraph"/>
        <w:numPr>
          <w:ilvl w:val="0"/>
          <w:numId w:val="3"/>
        </w:numPr>
        <w:spacing w:after="80"/>
      </w:pPr>
      <w:r>
        <w:rPr>
          <w:rFonts w:ascii="Calibri" w:cs="Calibri" w:eastAsia="Calibri" w:hAnsi="Calibri"/>
          <w:b w:val="false"/>
          <w:bCs w:val="false"/>
          <w:color w:val="111827"/>
          <w:sz w:val="22"/>
          <w:szCs w:val="22"/>
        </w:rPr>
        <w:t xml:space="preserve">Transfer rates reported with Wilson 95% confidence intervals.</w:t>
      </w:r>
    </w:p>
    <w:p>
      <w:pPr>
        <w:pStyle w:val="ListParagraph"/>
        <w:numPr>
          <w:ilvl w:val="0"/>
          <w:numId w:val="3"/>
        </w:numPr>
        <w:spacing w:after="80"/>
      </w:pPr>
      <w:r>
        <w:rPr>
          <w:rFonts w:ascii="Calibri" w:cs="Calibri" w:eastAsia="Calibri" w:hAnsi="Calibri"/>
          <w:b w:val="false"/>
          <w:bCs w:val="false"/>
          <w:color w:val="111827"/>
          <w:sz w:val="22"/>
          <w:szCs w:val="22"/>
        </w:rPr>
        <w:t xml:space="preserve">Multiple-comparison adjustment via Benjamini-Hochberg when reporting across construct slices.</w:t>
      </w:r>
    </w:p>
    <w:p>
      <w:pPr>
        <w:pStyle w:val="Heading2"/>
        <w:spacing w:after="120" w:before="280"/>
      </w:pPr>
      <w:r>
        <w:rPr>
          <w:rFonts w:ascii="Calibri" w:cs="Calibri" w:eastAsia="Calibri" w:hAnsi="Calibri"/>
          <w:b/>
          <w:bCs/>
          <w:color w:val="111827"/>
          <w:sz w:val="28"/>
          <w:szCs w:val="28"/>
        </w:rPr>
        <w:t xml:space="preserve">12.4  External validation routes</w:t>
      </w:r>
    </w:p>
    <w:p>
      <w:pPr>
        <w:pStyle w:val="ListParagraph"/>
        <w:numPr>
          <w:ilvl w:val="0"/>
          <w:numId w:val="3"/>
        </w:numPr>
        <w:spacing w:after="80"/>
      </w:pPr>
      <w:r>
        <w:rPr>
          <w:rFonts w:ascii="Calibri" w:cs="Calibri" w:eastAsia="Calibri" w:hAnsi="Calibri"/>
          <w:b w:val="false"/>
          <w:bCs w:val="false"/>
          <w:color w:val="111827"/>
          <w:sz w:val="22"/>
          <w:szCs w:val="22"/>
        </w:rPr>
        <w:t xml:space="preserve">Peer review: one paper per year to BJET, JCAL, or an EdTech-relevant conference (ITS, AIED, LAK).</w:t>
      </w:r>
    </w:p>
    <w:p>
      <w:pPr>
        <w:pStyle w:val="ListParagraph"/>
        <w:numPr>
          <w:ilvl w:val="0"/>
          <w:numId w:val="3"/>
        </w:numPr>
        <w:spacing w:after="80"/>
      </w:pPr>
      <w:r>
        <w:rPr>
          <w:rFonts w:ascii="Calibri" w:cs="Calibri" w:eastAsia="Calibri" w:hAnsi="Calibri"/>
          <w:b w:val="false"/>
          <w:bCs w:val="false"/>
          <w:color w:val="111827"/>
          <w:sz w:val="22"/>
          <w:szCs w:val="22"/>
        </w:rPr>
        <w:t xml:space="preserve">Independent audit: invite a named researcher at a partner university to replicate the analysis from raw data after each major study.</w:t>
      </w:r>
    </w:p>
    <w:p>
      <w:pPr>
        <w:pStyle w:val="ListParagraph"/>
        <w:numPr>
          <w:ilvl w:val="0"/>
          <w:numId w:val="3"/>
        </w:numPr>
        <w:spacing w:after="80"/>
      </w:pPr>
      <w:r>
        <w:rPr>
          <w:rFonts w:ascii="Calibri" w:cs="Calibri" w:eastAsia="Calibri" w:hAnsi="Calibri"/>
          <w:b w:val="false"/>
          <w:bCs w:val="false"/>
          <w:color w:val="111827"/>
          <w:sz w:val="22"/>
          <w:szCs w:val="22"/>
        </w:rPr>
        <w:t xml:space="preserve">Standardised assessment alignment: partner with a school to administer standard literacy / numeracy assessments (e.g. NFER, GL Assessment) at study start and end. Correlate LHI gain with the standard test gain.</w:t>
      </w:r>
    </w:p>
    <w:p>
      <w:pPr>
        <w:pStyle w:val="ListParagraph"/>
        <w:numPr>
          <w:ilvl w:val="0"/>
          <w:numId w:val="3"/>
        </w:numPr>
        <w:spacing w:after="80"/>
      </w:pPr>
      <w:r>
        <w:rPr>
          <w:rFonts w:ascii="Calibri" w:cs="Calibri" w:eastAsia="Calibri" w:hAnsi="Calibri"/>
          <w:b w:val="false"/>
          <w:bCs w:val="false"/>
          <w:color w:val="111827"/>
          <w:sz w:val="22"/>
          <w:szCs w:val="22"/>
        </w:rPr>
        <w:t xml:space="preserve">Open data: publish de-identified, aggregated datasets via OSF.</w:t>
      </w:r>
    </w:p>
    <w:p>
      <w:pPr>
        <w:pStyle w:val="Heading2"/>
        <w:spacing w:after="120" w:before="280"/>
      </w:pPr>
      <w:r>
        <w:rPr>
          <w:rFonts w:ascii="Calibri" w:cs="Calibri" w:eastAsia="Calibri" w:hAnsi="Calibri"/>
          <w:b/>
          <w:bCs/>
          <w:color w:val="111827"/>
          <w:sz w:val="28"/>
          <w:szCs w:val="28"/>
        </w:rPr>
        <w:t xml:space="preserve">12.5  What a credible first study looks like</w:t>
      </w:r>
    </w:p>
    <w:p>
      <w:pPr>
        <w:spacing w:after="80" w:before="0"/>
      </w:pPr>
      <w:r>
        <w:rPr>
          <w:rFonts w:ascii="Calibri" w:cs="Calibri" w:eastAsia="Calibri" w:hAnsi="Calibri"/>
          <w:b w:val="false"/>
          <w:bCs w:val="false"/>
          <w:i w:val="false"/>
          <w:iCs w:val="false"/>
          <w:color w:val="111827"/>
          <w:sz w:val="22"/>
          <w:szCs w:val="22"/>
        </w:rPr>
        <w:t xml:space="preserve">A defensible early study, ready to be cited by grant applications:</w:t>
      </w:r>
    </w:p>
    <w:p>
      <w:pPr>
        <w:pStyle w:val="ListParagraph"/>
        <w:numPr>
          <w:ilvl w:val="0"/>
          <w:numId w:val="3"/>
        </w:numPr>
        <w:spacing w:after="80"/>
      </w:pPr>
      <w:r>
        <w:rPr>
          <w:rFonts w:ascii="Calibri" w:cs="Calibri" w:eastAsia="Calibri" w:hAnsi="Calibri"/>
          <w:b w:val="false"/>
          <w:bCs w:val="false"/>
          <w:color w:val="111827"/>
          <w:sz w:val="22"/>
          <w:szCs w:val="22"/>
        </w:rPr>
        <w:t xml:space="preserve">Two primary schools in different local authorities. ~120 pupils total. EYFS and Year 1 cohorts.</w:t>
      </w:r>
    </w:p>
    <w:p>
      <w:pPr>
        <w:pStyle w:val="ListParagraph"/>
        <w:numPr>
          <w:ilvl w:val="0"/>
          <w:numId w:val="3"/>
        </w:numPr>
        <w:spacing w:after="80"/>
      </w:pPr>
      <w:r>
        <w:rPr>
          <w:rFonts w:ascii="Calibri" w:cs="Calibri" w:eastAsia="Calibri" w:hAnsi="Calibri"/>
          <w:b w:val="false"/>
          <w:bCs w:val="false"/>
          <w:color w:val="111827"/>
          <w:sz w:val="22"/>
          <w:szCs w:val="22"/>
        </w:rPr>
        <w:t xml:space="preserve">Half the pupils per school get the full platform; half get sham content (same hand-tracking, non-educational mini-games).</w:t>
      </w:r>
    </w:p>
    <w:p>
      <w:pPr>
        <w:pStyle w:val="ListParagraph"/>
        <w:numPr>
          <w:ilvl w:val="0"/>
          <w:numId w:val="3"/>
        </w:numPr>
        <w:spacing w:after="80"/>
      </w:pPr>
      <w:r>
        <w:rPr>
          <w:rFonts w:ascii="Calibri" w:cs="Calibri" w:eastAsia="Calibri" w:hAnsi="Calibri"/>
          <w:b w:val="false"/>
          <w:bCs w:val="false"/>
          <w:color w:val="111827"/>
          <w:sz w:val="22"/>
          <w:szCs w:val="22"/>
        </w:rPr>
        <w:t xml:space="preserve">Eight weeks of practice, three sessions per week, 20 minutes per session.</w:t>
      </w:r>
    </w:p>
    <w:p>
      <w:pPr>
        <w:pStyle w:val="ListParagraph"/>
        <w:numPr>
          <w:ilvl w:val="0"/>
          <w:numId w:val="3"/>
        </w:numPr>
        <w:spacing w:after="80"/>
      </w:pPr>
      <w:r>
        <w:rPr>
          <w:rFonts w:ascii="Calibri" w:cs="Calibri" w:eastAsia="Calibri" w:hAnsi="Calibri"/>
          <w:b w:val="false"/>
          <w:bCs w:val="false"/>
          <w:color w:val="111827"/>
          <w:sz w:val="22"/>
          <w:szCs w:val="22"/>
        </w:rPr>
        <w:t xml:space="preserve">Baseline and end-of-study probe administration in literacy (letter recognition, letter formation) and numeracy (numeral recognition, addition within 10).</w:t>
      </w:r>
    </w:p>
    <w:p>
      <w:pPr>
        <w:pStyle w:val="ListParagraph"/>
        <w:numPr>
          <w:ilvl w:val="0"/>
          <w:numId w:val="3"/>
        </w:numPr>
        <w:spacing w:after="80"/>
      </w:pPr>
      <w:r>
        <w:rPr>
          <w:rFonts w:ascii="Calibri" w:cs="Calibri" w:eastAsia="Calibri" w:hAnsi="Calibri"/>
          <w:b w:val="false"/>
          <w:bCs w:val="false"/>
          <w:color w:val="111827"/>
          <w:sz w:val="22"/>
          <w:szCs w:val="22"/>
        </w:rPr>
        <w:t xml:space="preserve">+4-week retention probes.</w:t>
      </w:r>
    </w:p>
    <w:p>
      <w:pPr>
        <w:pStyle w:val="ListParagraph"/>
        <w:numPr>
          <w:ilvl w:val="0"/>
          <w:numId w:val="3"/>
        </w:numPr>
        <w:spacing w:after="80"/>
      </w:pPr>
      <w:r>
        <w:rPr>
          <w:rFonts w:ascii="Calibri" w:cs="Calibri" w:eastAsia="Calibri" w:hAnsi="Calibri"/>
          <w:b w:val="false"/>
          <w:bCs w:val="false"/>
          <w:color w:val="111827"/>
          <w:sz w:val="22"/>
          <w:szCs w:val="22"/>
        </w:rPr>
        <w:t xml:space="preserve">Pre-registered analysis plan on OSF. Primary outcome: probe-accuracy delta in literacy and numeracy, treatment vs sham.</w:t>
      </w:r>
    </w:p>
    <w:p>
      <w:pPr>
        <w:pStyle w:val="ListParagraph"/>
        <w:numPr>
          <w:ilvl w:val="0"/>
          <w:numId w:val="3"/>
        </w:numPr>
        <w:spacing w:after="80"/>
      </w:pPr>
      <w:r>
        <w:rPr>
          <w:rFonts w:ascii="Calibri" w:cs="Calibri" w:eastAsia="Calibri" w:hAnsi="Calibri"/>
          <w:b w:val="false"/>
          <w:bCs w:val="false"/>
          <w:color w:val="111827"/>
          <w:sz w:val="22"/>
          <w:szCs w:val="22"/>
        </w:rPr>
        <w:t xml:space="preserve">Cohen's d expected, based on comparable hand-tracking and tablet-based studies in the literature, in the 0.3–0.5 range — meaningful and publishable.</w:t>
      </w:r>
    </w:p>
    <w:p>
      <w:pPr>
        <w:pStyle w:val="Heading2"/>
        <w:spacing w:after="120" w:before="280"/>
      </w:pPr>
      <w:r>
        <w:rPr>
          <w:rFonts w:ascii="Calibri" w:cs="Calibri" w:eastAsia="Calibri" w:hAnsi="Calibri"/>
          <w:b/>
          <w:bCs/>
          <w:color w:val="111827"/>
          <w:sz w:val="28"/>
          <w:szCs w:val="28"/>
        </w:rPr>
        <w:t xml:space="preserve">12.6  What this earns the company</w:t>
      </w:r>
    </w:p>
    <w:p>
      <w:pPr>
        <w:pStyle w:val="ListParagraph"/>
        <w:numPr>
          <w:ilvl w:val="0"/>
          <w:numId w:val="3"/>
        </w:numPr>
        <w:spacing w:after="80"/>
      </w:pPr>
      <w:r>
        <w:rPr>
          <w:rFonts w:ascii="Calibri" w:cs="Calibri" w:eastAsia="Calibri" w:hAnsi="Calibri"/>
          <w:b w:val="false"/>
          <w:bCs w:val="false"/>
          <w:color w:val="111827"/>
          <w:sz w:val="22"/>
          <w:szCs w:val="22"/>
        </w:rPr>
        <w:t xml:space="preserve">A peer-reviewable evidence base — required to win Innovate UK Smart Grants, DfE pilots, US ESSER funding routes.</w:t>
      </w:r>
    </w:p>
    <w:p>
      <w:pPr>
        <w:pStyle w:val="ListParagraph"/>
        <w:numPr>
          <w:ilvl w:val="0"/>
          <w:numId w:val="3"/>
        </w:numPr>
        <w:spacing w:after="80"/>
      </w:pPr>
      <w:r>
        <w:rPr>
          <w:rFonts w:ascii="Calibri" w:cs="Calibri" w:eastAsia="Calibri" w:hAnsi="Calibri"/>
          <w:b w:val="false"/>
          <w:bCs w:val="false"/>
          <w:color w:val="111827"/>
          <w:sz w:val="22"/>
          <w:szCs w:val="22"/>
        </w:rPr>
        <w:t xml:space="preserve">A credible diligence pack for any institutional investor with EdTech literacy.</w:t>
      </w:r>
    </w:p>
    <w:p>
      <w:pPr>
        <w:pStyle w:val="ListParagraph"/>
        <w:numPr>
          <w:ilvl w:val="0"/>
          <w:numId w:val="3"/>
        </w:numPr>
        <w:spacing w:after="80"/>
      </w:pPr>
      <w:r>
        <w:rPr>
          <w:rFonts w:ascii="Calibri" w:cs="Calibri" w:eastAsia="Calibri" w:hAnsi="Calibri"/>
          <w:b w:val="false"/>
          <w:bCs w:val="false"/>
          <w:color w:val="111827"/>
          <w:sz w:val="22"/>
          <w:szCs w:val="22"/>
        </w:rPr>
        <w:t xml:space="preserve">A foundation for partnerships with UCL IOE, Oxford, Stanford GSE, Education Endowment Foundation.</w:t>
      </w:r>
    </w:p>
    <w:p>
      <w:pPr>
        <w:pStyle w:val="ListParagraph"/>
        <w:numPr>
          <w:ilvl w:val="0"/>
          <w:numId w:val="3"/>
        </w:numPr>
        <w:spacing w:after="80"/>
      </w:pPr>
      <w:r>
        <w:rPr>
          <w:rFonts w:ascii="Calibri" w:cs="Calibri" w:eastAsia="Calibri" w:hAnsi="Calibri"/>
          <w:b w:val="false"/>
          <w:bCs w:val="false"/>
          <w:color w:val="111827"/>
          <w:sz w:val="22"/>
          <w:szCs w:val="22"/>
        </w:rPr>
        <w:t xml:space="preserve">A defensible answer to the head teacher's question: "Is there any evidence this actually works?".</w:t>
      </w:r>
    </w:p>
    <w:p>
      <w:pPr>
        <w:pStyle w:val="ListParagraph"/>
        <w:numPr>
          <w:ilvl w:val="0"/>
          <w:numId w:val="3"/>
        </w:numPr>
        <w:spacing w:after="80"/>
      </w:pPr>
      <w:r>
        <w:rPr>
          <w:rFonts w:ascii="Calibri" w:cs="Calibri" w:eastAsia="Calibri" w:hAnsi="Calibri"/>
          <w:b w:val="false"/>
          <w:bCs w:val="false"/>
          <w:color w:val="111827"/>
          <w:sz w:val="22"/>
          <w:szCs w:val="22"/>
        </w:rPr>
        <w:t xml:space="preserve">Most importantly: a real and honest answer to the question, "are children measurably improving while using Draw in the Air?". The platform will be able to say yes, with numbers, with confidence intervals, with controls, and with the methodology open for inspection.</w:t>
      </w:r>
    </w:p>
    <w:p>
      <w:pPr>
        <w:pStyle w:val="Heading1"/>
        <w:pageBreakBefore/>
        <w:spacing w:after="160" w:before="360"/>
      </w:pPr>
      <w:r>
        <w:rPr>
          <w:rFonts w:ascii="Calibri" w:cs="Calibri" w:eastAsia="Calibri" w:hAnsi="Calibri"/>
          <w:b/>
          <w:bCs/>
          <w:color w:val="0F766E"/>
          <w:sz w:val="36"/>
          <w:szCs w:val="36"/>
        </w:rPr>
        <w:t xml:space="preserve">Appendix A — Event &amp; Construct Mapping Reference</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This appendix is the canonical mapping from raw signals to DELTA-5 constructs. Treat it as the source of truth — code and SQL should read from this mapping, not duplicate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600"/>
        <w:gridCol w:w="2560"/>
      </w:tblGrid>
      <w:tr>
        <w:trPr>
          <w:tblHeader/>
        </w:trPr>
        <w:tc>
          <w:tcPr>
            <w:tcW w:type="dxa" w:w="24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Signal</w:t>
            </w:r>
          </w:p>
        </w:tc>
        <w:tc>
          <w:tcPr>
            <w:tcW w:type="dxa" w:w="18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Construct</w:t>
            </w:r>
          </w:p>
        </w:tc>
        <w:tc>
          <w:tcPr>
            <w:tcW w:type="dxa" w:w="260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Source table / column</w:t>
            </w:r>
          </w:p>
        </w:tc>
        <w:tc>
          <w:tcPr>
            <w:tcW w:type="dxa" w:w="2560"/>
            <w:tcBorders>
              <w:top w:val="single" w:color="9CA3AF" w:sz="4"/>
              <w:left w:val="single" w:color="9CA3AF" w:sz="4"/>
              <w:bottom w:val="single" w:color="9CA3AF" w:sz="4"/>
              <w:right w:val="single" w:color="9CA3AF" w:sz="4"/>
            </w:tcBorders>
            <w:shd w:fill="E6F4F1" w:val="clear"/>
            <w:tcMar>
              <w:top w:type="dxa" w:w="100"/>
              <w:left w:type="dxa" w:w="120"/>
              <w:bottom w:type="dxa" w:w="100"/>
              <w:right w:type="dxa" w:w="120"/>
            </w:tcMar>
          </w:tcPr>
          <w:p>
            <w:pPr>
              <w:jc w:val="left"/>
            </w:pPr>
            <w:r>
              <w:rPr>
                <w:rFonts w:ascii="Calibri" w:cs="Calibri" w:eastAsia="Calibri" w:hAnsi="Calibri"/>
                <w:b/>
                <w:bCs/>
                <w:color w:val="0F766E"/>
                <w:sz w:val="20"/>
                <w:szCs w:val="20"/>
              </w:rPr>
              <w:t xml:space="preserve">Notes</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first_attempt_correct</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 — Decoding</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Set by trigger on first row per (learner_token, skill_id).</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accuracy slope across attempts</w:t>
            </w:r>
          </w:p>
        </w:tc>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 — Decoding</w:t>
            </w:r>
          </w:p>
        </w:tc>
        <w:tc>
          <w:tcPr>
            <w:tcW w:type="dxa" w:w="26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skill_ledger.ewma_accuracy</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EWMA α=0.3.</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stroke quality / motion_quality_score</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 — Execution</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attempts_v2.motion_quality_score</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Normalised to [0,1] per mode.</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target precision (Sort &amp; Place, Word Search)</w:t>
            </w:r>
          </w:p>
        </w:tc>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E — Execution</w:t>
            </w:r>
          </w:p>
        </w:tc>
        <w:tc>
          <w:tcPr>
            <w:tcW w:type="dxa" w:w="26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attempts_v2.meta JSON</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Drop-position or path-length normalised.</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time_to_first_action_ms</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 — Latency</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Item appearance to first input.</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time_to_first_correct_ms</w:t>
            </w:r>
          </w:p>
        </w:tc>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L — Latency</w:t>
            </w:r>
          </w:p>
        </w:tc>
        <w:tc>
          <w:tcPr>
            <w:tcW w:type="dxa" w:w="26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Currently captured only on Sort &amp; Place.</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probe accuracy on non-practised items</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 — Transfer</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 where is_probe and skill_id not in practised set</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Strongest construct evidence.</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cross-mode skill carry</w:t>
            </w:r>
          </w:p>
        </w:tc>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 — Transfer</w:t>
            </w:r>
          </w:p>
        </w:tc>
        <w:tc>
          <w:tcPr>
            <w:tcW w:type="dxa" w:w="26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skill_ledger join across game_modes</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Same skill_id, different mode.</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hint_acted_on rate</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 — Autonomy</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Three-event hint pattern.</w:t>
            </w:r>
          </w:p>
        </w:tc>
      </w:tr>
      <w:tr>
        <w:tc>
          <w:tcPr>
            <w:tcW w:type="dxa" w:w="24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completion_independence</w:t>
            </w:r>
          </w:p>
        </w:tc>
        <w:tc>
          <w:tcPr>
            <w:tcW w:type="dxa" w:w="18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 — Autonomy</w:t>
            </w:r>
          </w:p>
        </w:tc>
        <w:tc>
          <w:tcPr>
            <w:tcW w:type="dxa" w:w="260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mode_completed.meta</w:t>
            </w:r>
          </w:p>
        </w:tc>
        <w:tc>
          <w:tcPr>
            <w:tcW w:type="dxa" w:w="2560"/>
            <w:tcBorders>
              <w:top w:val="single" w:color="9CA3AF" w:sz="4"/>
              <w:left w:val="single" w:color="9CA3AF" w:sz="4"/>
              <w:bottom w:val="single" w:color="9CA3AF" w:sz="4"/>
              <w:right w:val="single" w:color="9CA3AF" w:sz="4"/>
            </w:tcBorders>
            <w:shd w:fill="F8FAFC" w:val="clear"/>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No hint, no scaffold flag.</w:t>
            </w:r>
          </w:p>
        </w:tc>
      </w:tr>
      <w:tr>
        <w:tc>
          <w:tcPr>
            <w:tcW w:type="dxa" w:w="24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prerequisite_skipped success rate</w:t>
            </w:r>
          </w:p>
        </w:tc>
        <w:tc>
          <w:tcPr>
            <w:tcW w:type="dxa" w:w="18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 — Autonomy</w:t>
            </w:r>
          </w:p>
        </w:tc>
        <w:tc>
          <w:tcPr>
            <w:tcW w:type="dxa" w:w="260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attempts_v2 where prerequisite_skipped flag set</w:t>
            </w:r>
          </w:p>
        </w:tc>
        <w:tc>
          <w:tcPr>
            <w:tcW w:type="dxa" w:w="2560"/>
            <w:tcBorders>
              <w:top w:val="single" w:color="9CA3AF" w:sz="4"/>
              <w:left w:val="single" w:color="9CA3AF" w:sz="4"/>
              <w:bottom w:val="single" w:color="9CA3AF" w:sz="4"/>
              <w:right w:val="single" w:color="9CA3AF" w:sz="4"/>
            </w:tcBorders>
            <w:tcMar>
              <w:top w:type="dxa" w:w="80"/>
              <w:left w:type="dxa" w:w="120"/>
              <w:bottom w:type="dxa" w:w="80"/>
              <w:right w:type="dxa" w:w="120"/>
            </w:tcMar>
          </w:tcPr>
          <w:p>
            <w:pPr>
              <w:jc w:val="left"/>
            </w:pPr>
            <w:r>
              <w:rPr>
                <w:rFonts w:ascii="Calibri" w:cs="Calibri" w:eastAsia="Calibri" w:hAnsi="Calibri"/>
                <w:b w:val="false"/>
                <w:bCs w:val="false"/>
                <w:color w:val="111827"/>
                <w:sz w:val="20"/>
                <w:szCs w:val="20"/>
              </w:rPr>
              <w:t xml:space="preserve">Did skipping prerequisites still produce correct?</w:t>
            </w:r>
          </w:p>
        </w:tc>
      </w:tr>
    </w:tbl>
    <w:p>
      <w:pPr>
        <w:pStyle w:val="Heading1"/>
        <w:pageBreakBefore/>
        <w:spacing w:after="160" w:before="360"/>
      </w:pPr>
      <w:r>
        <w:rPr>
          <w:rFonts w:ascii="Calibri" w:cs="Calibri" w:eastAsia="Calibri" w:hAnsi="Calibri"/>
          <w:b/>
          <w:bCs/>
          <w:color w:val="0F766E"/>
          <w:sz w:val="36"/>
          <w:szCs w:val="36"/>
        </w:rPr>
        <w:t xml:space="preserve">Appendix B — Migration Plan &amp; Schema Sketch</w:t>
      </w:r>
    </w:p>
    <w:p>
      <w:pPr>
        <w:pBdr>
          <w:bottom w:val="single" w:color="0F766E" w:sz="8" w:space="1"/>
        </w:pBdr>
        <w:spacing w:after="200" w:before="80"/>
      </w:pPr>
      <w:r>
        <w:t xml:space="preserve"/>
      </w:r>
    </w:p>
    <w:p>
      <w:pPr>
        <w:spacing w:after="160" w:before="0"/>
      </w:pPr>
      <w:r>
        <w:rPr>
          <w:rFonts w:ascii="Calibri" w:cs="Calibri" w:eastAsia="Calibri" w:hAnsi="Calibri"/>
          <w:b w:val="false"/>
          <w:bCs w:val="false"/>
          <w:i w:val="false"/>
          <w:iCs w:val="false"/>
          <w:color w:val="111827"/>
          <w:sz w:val="22"/>
          <w:szCs w:val="22"/>
        </w:rPr>
        <w:t xml:space="preserve">A high-level sketch of the migration sequence. Each migration is small, reversible, and ships behind a feature flag where it affects production reads.</w:t>
      </w:r>
    </w:p>
    <w:p>
      <w:pPr>
        <w:pStyle w:val="Heading2"/>
        <w:spacing w:after="120" w:before="280"/>
      </w:pPr>
      <w:r>
        <w:rPr>
          <w:rFonts w:ascii="Calibri" w:cs="Calibri" w:eastAsia="Calibri" w:hAnsi="Calibri"/>
          <w:b/>
          <w:bCs/>
          <w:color w:val="111827"/>
          <w:sz w:val="28"/>
          <w:szCs w:val="28"/>
        </w:rPr>
        <w:t xml:space="preserve">B.1  Migration sequence</w:t>
      </w:r>
    </w:p>
    <w:p>
      <w:pPr>
        <w:pStyle w:val="ListParagraph"/>
        <w:numPr>
          <w:ilvl w:val="0"/>
          <w:numId w:val="2"/>
        </w:numPr>
        <w:spacing w:after="80"/>
      </w:pPr>
      <w:r>
        <w:rPr>
          <w:rFonts w:ascii="Calibri" w:cs="Calibri" w:eastAsia="Calibri" w:hAnsi="Calibri"/>
          <w:color w:val="111827"/>
          <w:sz w:val="22"/>
          <w:szCs w:val="22"/>
        </w:rPr>
        <w:t xml:space="preserve">20260601 — Add learner_token column to analytics_events and learning_attempts (nullable). Add country code column. Add ephemeral boolean.</w:t>
      </w:r>
    </w:p>
    <w:p>
      <w:pPr>
        <w:pStyle w:val="ListParagraph"/>
        <w:numPr>
          <w:ilvl w:val="0"/>
          <w:numId w:val="2"/>
        </w:numPr>
        <w:spacing w:after="80"/>
      </w:pPr>
      <w:r>
        <w:rPr>
          <w:rFonts w:ascii="Calibri" w:cs="Calibri" w:eastAsia="Calibri" w:hAnsi="Calibri"/>
          <w:color w:val="111827"/>
          <w:sz w:val="22"/>
          <w:szCs w:val="22"/>
        </w:rPr>
        <w:t xml:space="preserve">20260602 — Create telemetry_samples table; redirect heartbeat and tracker_quality_sample writes; add 30-day TTL.</w:t>
      </w:r>
    </w:p>
    <w:p>
      <w:pPr>
        <w:pStyle w:val="ListParagraph"/>
        <w:numPr>
          <w:ilvl w:val="0"/>
          <w:numId w:val="2"/>
        </w:numPr>
        <w:spacing w:after="80"/>
      </w:pPr>
      <w:r>
        <w:rPr>
          <w:rFonts w:ascii="Calibri" w:cs="Calibri" w:eastAsia="Calibri" w:hAnsi="Calibri"/>
          <w:color w:val="111827"/>
          <w:sz w:val="22"/>
          <w:szCs w:val="22"/>
        </w:rPr>
        <w:t xml:space="preserve">20260603 — Create skills, skill_ledger, mastery_probes, classmode_bridge.</w:t>
      </w:r>
    </w:p>
    <w:p>
      <w:pPr>
        <w:pStyle w:val="ListParagraph"/>
        <w:numPr>
          <w:ilvl w:val="0"/>
          <w:numId w:val="2"/>
        </w:numPr>
        <w:spacing w:after="80"/>
      </w:pPr>
      <w:r>
        <w:rPr>
          <w:rFonts w:ascii="Calibri" w:cs="Calibri" w:eastAsia="Calibri" w:hAnsi="Calibri"/>
          <w:color w:val="111827"/>
          <w:sz w:val="22"/>
          <w:szCs w:val="22"/>
        </w:rPr>
        <w:t xml:space="preserve">20260604 — Create attempts_v2 with all new columns; dual-write from client.</w:t>
      </w:r>
    </w:p>
    <w:p>
      <w:pPr>
        <w:pStyle w:val="ListParagraph"/>
        <w:numPr>
          <w:ilvl w:val="0"/>
          <w:numId w:val="2"/>
        </w:numPr>
        <w:spacing w:after="80"/>
      </w:pPr>
      <w:r>
        <w:rPr>
          <w:rFonts w:ascii="Calibri" w:cs="Calibri" w:eastAsia="Calibri" w:hAnsi="Calibri"/>
          <w:color w:val="111827"/>
          <w:sz w:val="22"/>
          <w:szCs w:val="22"/>
        </w:rPr>
        <w:t xml:space="preserve">20260605 — Create BKT update trigger on attempts_v2 insert.</w:t>
      </w:r>
    </w:p>
    <w:p>
      <w:pPr>
        <w:pStyle w:val="ListParagraph"/>
        <w:numPr>
          <w:ilvl w:val="0"/>
          <w:numId w:val="2"/>
        </w:numPr>
        <w:spacing w:after="80"/>
      </w:pPr>
      <w:r>
        <w:rPr>
          <w:rFonts w:ascii="Calibri" w:cs="Calibri" w:eastAsia="Calibri" w:hAnsi="Calibri"/>
          <w:color w:val="111827"/>
          <w:sz w:val="22"/>
          <w:szCs w:val="22"/>
        </w:rPr>
        <w:t xml:space="preserve">20260606 — Create nightly IRT-lite difficulty update job.</w:t>
      </w:r>
    </w:p>
    <w:p>
      <w:pPr>
        <w:pStyle w:val="ListParagraph"/>
        <w:numPr>
          <w:ilvl w:val="0"/>
          <w:numId w:val="2"/>
        </w:numPr>
        <w:spacing w:after="80"/>
      </w:pPr>
      <w:r>
        <w:rPr>
          <w:rFonts w:ascii="Calibri" w:cs="Calibri" w:eastAsia="Calibri" w:hAnsi="Calibri"/>
          <w:color w:val="111827"/>
          <w:sz w:val="22"/>
          <w:szCs w:val="22"/>
        </w:rPr>
        <w:t xml:space="preserve">20260607 — Create daily_rollups, class_rollups, cohort_rollups materialised views.</w:t>
      </w:r>
    </w:p>
    <w:p>
      <w:pPr>
        <w:pStyle w:val="ListParagraph"/>
        <w:numPr>
          <w:ilvl w:val="0"/>
          <w:numId w:val="2"/>
        </w:numPr>
        <w:spacing w:after="80"/>
      </w:pPr>
      <w:r>
        <w:rPr>
          <w:rFonts w:ascii="Calibri" w:cs="Calibri" w:eastAsia="Calibri" w:hAnsi="Calibri"/>
          <w:color w:val="111827"/>
          <w:sz w:val="22"/>
          <w:szCs w:val="22"/>
        </w:rPr>
        <w:t xml:space="preserve">20260608 — Create new RPC surface (learner_progress, class_progress, school_progress, public_outcomes).</w:t>
      </w:r>
    </w:p>
    <w:p>
      <w:pPr>
        <w:pStyle w:val="ListParagraph"/>
        <w:numPr>
          <w:ilvl w:val="0"/>
          <w:numId w:val="2"/>
        </w:numPr>
        <w:spacing w:after="80"/>
      </w:pPr>
      <w:r>
        <w:rPr>
          <w:rFonts w:ascii="Calibri" w:cs="Calibri" w:eastAsia="Calibri" w:hAnsi="Calibri"/>
          <w:color w:val="111827"/>
          <w:sz w:val="22"/>
          <w:szCs w:val="22"/>
        </w:rPr>
        <w:t xml:space="preserve">20260609 — Backfill skill_ledger from learning_attempts where possible (mark provenance).</w:t>
      </w:r>
    </w:p>
    <w:p>
      <w:pPr>
        <w:pStyle w:val="ListParagraph"/>
        <w:numPr>
          <w:ilvl w:val="0"/>
          <w:numId w:val="2"/>
        </w:numPr>
        <w:spacing w:after="80"/>
      </w:pPr>
      <w:r>
        <w:rPr>
          <w:rFonts w:ascii="Calibri" w:cs="Calibri" w:eastAsia="Calibri" w:hAnsi="Calibri"/>
          <w:color w:val="111827"/>
          <w:sz w:val="22"/>
          <w:szCs w:val="22"/>
        </w:rPr>
        <w:t xml:space="preserve">20260610 — Cut over dashboards to new RPCs behind a feature flag. Old dashboards remain available.</w:t>
      </w:r>
    </w:p>
    <w:p>
      <w:pPr>
        <w:pStyle w:val="ListParagraph"/>
        <w:numPr>
          <w:ilvl w:val="0"/>
          <w:numId w:val="2"/>
        </w:numPr>
        <w:spacing w:after="80"/>
      </w:pPr>
      <w:r>
        <w:rPr>
          <w:rFonts w:ascii="Calibri" w:cs="Calibri" w:eastAsia="Calibri" w:hAnsi="Calibri"/>
          <w:color w:val="111827"/>
          <w:sz w:val="22"/>
          <w:szCs w:val="22"/>
        </w:rPr>
        <w:t xml:space="preserve">20260611 — Probe scheduler implementation.</w:t>
      </w:r>
    </w:p>
    <w:p>
      <w:pPr>
        <w:pStyle w:val="ListParagraph"/>
        <w:numPr>
          <w:ilvl w:val="0"/>
          <w:numId w:val="2"/>
        </w:numPr>
        <w:spacing w:after="80"/>
      </w:pPr>
      <w:r>
        <w:rPr>
          <w:rFonts w:ascii="Calibri" w:cs="Calibri" w:eastAsia="Calibri" w:hAnsi="Calibri"/>
          <w:color w:val="111827"/>
          <w:sz w:val="22"/>
          <w:szCs w:val="22"/>
        </w:rPr>
        <w:t xml:space="preserve">20260612 — Right-to-erasure deletion cascade and DPO-facing console.</w:t>
      </w:r>
    </w:p>
    <w:p>
      <w:pPr>
        <w:pStyle w:val="Heading2"/>
        <w:spacing w:after="120" w:before="280"/>
      </w:pPr>
      <w:r>
        <w:rPr>
          <w:rFonts w:ascii="Calibri" w:cs="Calibri" w:eastAsia="Calibri" w:hAnsi="Calibri"/>
          <w:b/>
          <w:bCs/>
          <w:color w:val="111827"/>
          <w:sz w:val="28"/>
          <w:szCs w:val="28"/>
        </w:rPr>
        <w:t xml:space="preserve">B.2  Schema sketch (illustrative SQL)</w:t>
      </w:r>
    </w:p>
    <w:p>
      <w:pPr>
        <w:spacing w:after="120" w:before="0"/>
      </w:pPr>
      <w:r>
        <w:rPr>
          <w:rFonts w:ascii="Consolas" w:cs="Consolas" w:eastAsia="Consolas" w:hAnsi="Consolas"/>
          <w:b w:val="false"/>
          <w:bCs w:val="false"/>
          <w:i w:val="false"/>
          <w:iCs w:val="false"/>
          <w:color w:val="111827"/>
          <w:sz w:val="20"/>
          <w:szCs w:val="20"/>
        </w:rPr>
        <w:t xml:space="preserve">CREATE TABLE skills (</w:t>
      </w:r>
    </w:p>
    <w:p>
      <w:pPr>
        <w:spacing w:after="120" w:before="0"/>
      </w:pPr>
      <w:r>
        <w:rPr>
          <w:rFonts w:ascii="Consolas" w:cs="Consolas" w:eastAsia="Consolas" w:hAnsi="Consolas"/>
          <w:b w:val="false"/>
          <w:bCs w:val="false"/>
          <w:i w:val="false"/>
          <w:iCs w:val="false"/>
          <w:color w:val="111827"/>
          <w:sz w:val="20"/>
          <w:szCs w:val="20"/>
        </w:rPr>
        <w:t xml:space="preserve">  skill_id text PRIMARY KEY,</w:t>
      </w:r>
    </w:p>
    <w:p>
      <w:pPr>
        <w:spacing w:after="120" w:before="0"/>
      </w:pPr>
      <w:r>
        <w:rPr>
          <w:rFonts w:ascii="Consolas" w:cs="Consolas" w:eastAsia="Consolas" w:hAnsi="Consolas"/>
          <w:b w:val="false"/>
          <w:bCs w:val="false"/>
          <w:i w:val="false"/>
          <w:iCs w:val="false"/>
          <w:color w:val="111827"/>
          <w:sz w:val="20"/>
          <w:szCs w:val="20"/>
        </w:rPr>
        <w:t xml:space="preserve">  domain text NOT NULL,  -- literacy | numeracy | motor | colour | pattern | spatial</w:t>
      </w:r>
    </w:p>
    <w:p>
      <w:pPr>
        <w:spacing w:after="120" w:before="0"/>
      </w:pPr>
      <w:r>
        <w:rPr>
          <w:rFonts w:ascii="Consolas" w:cs="Consolas" w:eastAsia="Consolas" w:hAnsi="Consolas"/>
          <w:b w:val="false"/>
          <w:bCs w:val="false"/>
          <w:i w:val="false"/>
          <w:iCs w:val="false"/>
          <w:color w:val="111827"/>
          <w:sz w:val="20"/>
          <w:szCs w:val="20"/>
        </w:rPr>
        <w:t xml:space="preserve">  framework_mapping jsonb NOT NULL DEFAULT '{}',</w:t>
      </w:r>
    </w:p>
    <w:p>
      <w:pPr>
        <w:spacing w:after="120" w:before="0"/>
      </w:pPr>
      <w:r>
        <w:rPr>
          <w:rFonts w:ascii="Consolas" w:cs="Consolas" w:eastAsia="Consolas" w:hAnsi="Consolas"/>
          <w:b w:val="false"/>
          <w:bCs w:val="false"/>
          <w:i w:val="false"/>
          <w:iCs w:val="false"/>
          <w:color w:val="111827"/>
          <w:sz w:val="20"/>
          <w:szCs w:val="20"/>
        </w:rPr>
        <w:t xml:space="preserve">  prerequisites text[] NOT NULL DEFAULT '{}',</w:t>
      </w:r>
    </w:p>
    <w:p>
      <w:pPr>
        <w:spacing w:after="120" w:before="0"/>
      </w:pPr>
      <w:r>
        <w:rPr>
          <w:rFonts w:ascii="Consolas" w:cs="Consolas" w:eastAsia="Consolas" w:hAnsi="Consolas"/>
          <w:b w:val="false"/>
          <w:bCs w:val="false"/>
          <w:i w:val="false"/>
          <w:iCs w:val="false"/>
          <w:color w:val="111827"/>
          <w:sz w:val="20"/>
          <w:szCs w:val="20"/>
        </w:rPr>
        <w:t xml:space="preserve">  difficulty_init double precision NOT NULL DEFAULT 0.0,</w:t>
      </w:r>
    </w:p>
    <w:p>
      <w:pPr>
        <w:spacing w:after="120" w:before="0"/>
      </w:pPr>
      <w:r>
        <w:rPr>
          <w:rFonts w:ascii="Consolas" w:cs="Consolas" w:eastAsia="Consolas" w:hAnsi="Consolas"/>
          <w:b w:val="false"/>
          <w:bCs w:val="false"/>
          <w:i w:val="false"/>
          <w:iCs w:val="false"/>
          <w:color w:val="111827"/>
          <w:sz w:val="20"/>
          <w:szCs w:val="20"/>
        </w:rPr>
        <w:t xml:space="preserve">  difficulty_current double precision NOT NULL DEFAULT 0.0,</w:t>
      </w:r>
    </w:p>
    <w:p>
      <w:pPr>
        <w:spacing w:after="120" w:before="0"/>
      </w:pPr>
      <w:r>
        <w:rPr>
          <w:rFonts w:ascii="Consolas" w:cs="Consolas" w:eastAsia="Consolas" w:hAnsi="Consolas"/>
          <w:b w:val="false"/>
          <w:bCs w:val="false"/>
          <w:i w:val="false"/>
          <w:iCs w:val="false"/>
          <w:color w:val="111827"/>
          <w:sz w:val="20"/>
          <w:szCs w:val="20"/>
        </w:rPr>
        <w:t xml:space="preserve">  is_probe_eligible boolean NOT NULL DEFAULT true,</w:t>
      </w:r>
    </w:p>
    <w:p>
      <w:pPr>
        <w:spacing w:after="120" w:before="0"/>
      </w:pPr>
      <w:r>
        <w:rPr>
          <w:rFonts w:ascii="Consolas" w:cs="Consolas" w:eastAsia="Consolas" w:hAnsi="Consolas"/>
          <w:b w:val="false"/>
          <w:bCs w:val="false"/>
          <w:i w:val="false"/>
          <w:iCs w:val="false"/>
          <w:color w:val="111827"/>
          <w:sz w:val="20"/>
          <w:szCs w:val="20"/>
        </w:rPr>
        <w:t xml:space="preserve">  created_at timestamptz NOT NULL DEFAULT now()</w:t>
      </w:r>
    </w:p>
    <w:p>
      <w:pPr>
        <w:spacing w:after="120" w:before="0"/>
      </w:pPr>
      <w:r>
        <w:rPr>
          <w:rFonts w:ascii="Consolas" w:cs="Consolas" w:eastAsia="Consolas" w:hAnsi="Consolas"/>
          <w:b w:val="false"/>
          <w:bCs w:val="false"/>
          <w:i w:val="false"/>
          <w:iCs w:val="false"/>
          <w:color w:val="111827"/>
          <w:sz w:val="20"/>
          <w:szCs w:val="20"/>
        </w:rPr>
        <w:t xml:space="preserve">);</w:t>
      </w:r>
    </w:p>
    <w:p>
      <w:pPr>
        <w:spacing w:after="120" w:before="0"/>
      </w:pPr>
      <w:r>
        <w:rPr>
          <w:rFonts w:ascii="Consolas" w:cs="Consolas" w:eastAsia="Consolas" w:hAnsi="Consolas"/>
          <w:b w:val="false"/>
          <w:bCs w:val="false"/>
          <w:i w:val="false"/>
          <w:iCs w:val="false"/>
          <w:color w:val="111827"/>
          <w:sz w:val="20"/>
          <w:szCs w:val="20"/>
        </w:rPr>
        <w:t xml:space="preserve"/>
      </w:r>
    </w:p>
    <w:p>
      <w:pPr>
        <w:spacing w:after="120" w:before="0"/>
      </w:pPr>
      <w:r>
        <w:rPr>
          <w:rFonts w:ascii="Consolas" w:cs="Consolas" w:eastAsia="Consolas" w:hAnsi="Consolas"/>
          <w:b w:val="false"/>
          <w:bCs w:val="false"/>
          <w:i w:val="false"/>
          <w:iCs w:val="false"/>
          <w:color w:val="111827"/>
          <w:sz w:val="20"/>
          <w:szCs w:val="20"/>
        </w:rPr>
        <w:t xml:space="preserve">CREATE TABLE skill_ledger (</w:t>
      </w:r>
    </w:p>
    <w:p>
      <w:pPr>
        <w:spacing w:after="120" w:before="0"/>
      </w:pPr>
      <w:r>
        <w:rPr>
          <w:rFonts w:ascii="Consolas" w:cs="Consolas" w:eastAsia="Consolas" w:hAnsi="Consolas"/>
          <w:b w:val="false"/>
          <w:bCs w:val="false"/>
          <w:i w:val="false"/>
          <w:iCs w:val="false"/>
          <w:color w:val="111827"/>
          <w:sz w:val="20"/>
          <w:szCs w:val="20"/>
        </w:rPr>
        <w:t xml:space="preserve">  learner_token text NOT NULL,</w:t>
      </w:r>
    </w:p>
    <w:p>
      <w:pPr>
        <w:spacing w:after="120" w:before="0"/>
      </w:pPr>
      <w:r>
        <w:rPr>
          <w:rFonts w:ascii="Consolas" w:cs="Consolas" w:eastAsia="Consolas" w:hAnsi="Consolas"/>
          <w:b w:val="false"/>
          <w:bCs w:val="false"/>
          <w:i w:val="false"/>
          <w:iCs w:val="false"/>
          <w:color w:val="111827"/>
          <w:sz w:val="20"/>
          <w:szCs w:val="20"/>
        </w:rPr>
        <w:t xml:space="preserve">  skill_id text NOT NULL REFERENCES skills(skill_id),</w:t>
      </w:r>
    </w:p>
    <w:p>
      <w:pPr>
        <w:spacing w:after="120" w:before="0"/>
      </w:pPr>
      <w:r>
        <w:rPr>
          <w:rFonts w:ascii="Consolas" w:cs="Consolas" w:eastAsia="Consolas" w:hAnsi="Consolas"/>
          <w:b w:val="false"/>
          <w:bCs w:val="false"/>
          <w:i w:val="false"/>
          <w:iCs w:val="false"/>
          <w:color w:val="111827"/>
          <w:sz w:val="20"/>
          <w:szCs w:val="20"/>
        </w:rPr>
        <w:t xml:space="preserve">  p_known double precision NOT NULL DEFAULT 0.05,</w:t>
      </w:r>
    </w:p>
    <w:p>
      <w:pPr>
        <w:spacing w:after="120" w:before="0"/>
      </w:pPr>
      <w:r>
        <w:rPr>
          <w:rFonts w:ascii="Consolas" w:cs="Consolas" w:eastAsia="Consolas" w:hAnsi="Consolas"/>
          <w:b w:val="false"/>
          <w:bCs w:val="false"/>
          <w:i w:val="false"/>
          <w:iCs w:val="false"/>
          <w:color w:val="111827"/>
          <w:sz w:val="20"/>
          <w:szCs w:val="20"/>
        </w:rPr>
        <w:t xml:space="preserve">  ewma_accuracy double precision NOT NULL DEFAULT 0.0,</w:t>
      </w:r>
    </w:p>
    <w:p>
      <w:pPr>
        <w:spacing w:after="120" w:before="0"/>
      </w:pPr>
      <w:r>
        <w:rPr>
          <w:rFonts w:ascii="Consolas" w:cs="Consolas" w:eastAsia="Consolas" w:hAnsi="Consolas"/>
          <w:b w:val="false"/>
          <w:bCs w:val="false"/>
          <w:i w:val="false"/>
          <w:iCs w:val="false"/>
          <w:color w:val="111827"/>
          <w:sz w:val="20"/>
          <w:szCs w:val="20"/>
        </w:rPr>
        <w:t xml:space="preserve">  ewma_latency_ms double precision,</w:t>
      </w:r>
    </w:p>
    <w:p>
      <w:pPr>
        <w:spacing w:after="120" w:before="0"/>
      </w:pPr>
      <w:r>
        <w:rPr>
          <w:rFonts w:ascii="Consolas" w:cs="Consolas" w:eastAsia="Consolas" w:hAnsi="Consolas"/>
          <w:b w:val="false"/>
          <w:bCs w:val="false"/>
          <w:i w:val="false"/>
          <w:iCs w:val="false"/>
          <w:color w:val="111827"/>
          <w:sz w:val="20"/>
          <w:szCs w:val="20"/>
        </w:rPr>
        <w:t xml:space="preserve">  streak integer NOT NULL DEFAULT 0,</w:t>
      </w:r>
    </w:p>
    <w:p>
      <w:pPr>
        <w:spacing w:after="120" w:before="0"/>
      </w:pPr>
      <w:r>
        <w:rPr>
          <w:rFonts w:ascii="Consolas" w:cs="Consolas" w:eastAsia="Consolas" w:hAnsi="Consolas"/>
          <w:b w:val="false"/>
          <w:bCs w:val="false"/>
          <w:i w:val="false"/>
          <w:iCs w:val="false"/>
          <w:color w:val="111827"/>
          <w:sz w:val="20"/>
          <w:szCs w:val="20"/>
        </w:rPr>
        <w:t xml:space="preserve">  mastery_state text NOT NULL DEFAULT 'new',</w:t>
      </w:r>
    </w:p>
    <w:p>
      <w:pPr>
        <w:spacing w:after="120" w:before="0"/>
      </w:pPr>
      <w:r>
        <w:rPr>
          <w:rFonts w:ascii="Consolas" w:cs="Consolas" w:eastAsia="Consolas" w:hAnsi="Consolas"/>
          <w:b w:val="false"/>
          <w:bCs w:val="false"/>
          <w:i w:val="false"/>
          <w:iCs w:val="false"/>
          <w:color w:val="111827"/>
          <w:sz w:val="20"/>
          <w:szCs w:val="20"/>
        </w:rPr>
        <w:t xml:space="preserve">  n_attempts integer NOT NULL DEFAULT 0,</w:t>
      </w:r>
    </w:p>
    <w:p>
      <w:pPr>
        <w:spacing w:after="120" w:before="0"/>
      </w:pPr>
      <w:r>
        <w:rPr>
          <w:rFonts w:ascii="Consolas" w:cs="Consolas" w:eastAsia="Consolas" w:hAnsi="Consolas"/>
          <w:b w:val="false"/>
          <w:bCs w:val="false"/>
          <w:i w:val="false"/>
          <w:iCs w:val="false"/>
          <w:color w:val="111827"/>
          <w:sz w:val="20"/>
          <w:szCs w:val="20"/>
        </w:rPr>
        <w:t xml:space="preserve">  n_correct integer NOT NULL DEFAULT 0,</w:t>
      </w:r>
    </w:p>
    <w:p>
      <w:pPr>
        <w:spacing w:after="120" w:before="0"/>
      </w:pPr>
      <w:r>
        <w:rPr>
          <w:rFonts w:ascii="Consolas" w:cs="Consolas" w:eastAsia="Consolas" w:hAnsi="Consolas"/>
          <w:b w:val="false"/>
          <w:bCs w:val="false"/>
          <w:i w:val="false"/>
          <w:iCs w:val="false"/>
          <w:color w:val="111827"/>
          <w:sz w:val="20"/>
          <w:szCs w:val="20"/>
        </w:rPr>
        <w:t xml:space="preserve">  first_seen_at timestamptz NOT NULL DEFAULT now(),</w:t>
      </w:r>
    </w:p>
    <w:p>
      <w:pPr>
        <w:spacing w:after="120" w:before="0"/>
      </w:pPr>
      <w:r>
        <w:rPr>
          <w:rFonts w:ascii="Consolas" w:cs="Consolas" w:eastAsia="Consolas" w:hAnsi="Consolas"/>
          <w:b w:val="false"/>
          <w:bCs w:val="false"/>
          <w:i w:val="false"/>
          <w:iCs w:val="false"/>
          <w:color w:val="111827"/>
          <w:sz w:val="20"/>
          <w:szCs w:val="20"/>
        </w:rPr>
        <w:t xml:space="preserve">  last_attempt_at timestamptz NOT NULL DEFAULT now(),</w:t>
      </w:r>
    </w:p>
    <w:p>
      <w:pPr>
        <w:spacing w:after="120" w:before="0"/>
      </w:pPr>
      <w:r>
        <w:rPr>
          <w:rFonts w:ascii="Consolas" w:cs="Consolas" w:eastAsia="Consolas" w:hAnsi="Consolas"/>
          <w:b w:val="false"/>
          <w:bCs w:val="false"/>
          <w:i w:val="false"/>
          <w:iCs w:val="false"/>
          <w:color w:val="111827"/>
          <w:sz w:val="20"/>
          <w:szCs w:val="20"/>
        </w:rPr>
        <w:t xml:space="preserve">  PRIMARY KEY (learner_token, skill_id)</w:t>
      </w:r>
    </w:p>
    <w:p>
      <w:pPr>
        <w:spacing w:after="120" w:before="0"/>
      </w:pPr>
      <w:r>
        <w:rPr>
          <w:rFonts w:ascii="Consolas" w:cs="Consolas" w:eastAsia="Consolas" w:hAnsi="Consolas"/>
          <w:b w:val="false"/>
          <w:bCs w:val="false"/>
          <w:i w:val="false"/>
          <w:iCs w:val="false"/>
          <w:color w:val="111827"/>
          <w:sz w:val="20"/>
          <w:szCs w:val="20"/>
        </w:rPr>
        <w:t xml:space="preserve">);</w:t>
      </w:r>
    </w:p>
    <w:p>
      <w:pPr>
        <w:spacing w:after="120" w:before="0"/>
      </w:pPr>
      <w:r>
        <w:rPr>
          <w:rFonts w:ascii="Calibri" w:cs="Calibri" w:eastAsia="Calibri" w:hAnsi="Calibri"/>
          <w:b w:val="false"/>
          <w:bCs w:val="false"/>
          <w:i/>
          <w:iCs/>
          <w:color w:val="4B5563"/>
          <w:sz w:val="22"/>
          <w:szCs w:val="22"/>
        </w:rPr>
        <w:t xml:space="preserve">Indexes and RLS policies follow standard patterns; mastery_probes, classmode_bridge, attempts_v2 follow analogous shapes.</w:t>
      </w:r>
    </w:p>
    <w:p>
      <w:pPr>
        <w:pageBreakBefore/>
      </w:pPr>
    </w:p>
    <w:p>
      <w:pPr>
        <w:spacing w:after="800" w:before="0"/>
      </w:pPr>
      <w:r>
        <w:rPr>
          <w:rFonts w:ascii="Calibri" w:cs="Calibri" w:eastAsia="Calibri" w:hAnsi="Calibri"/>
          <w:b w:val="false"/>
          <w:bCs w:val="false"/>
          <w:i w:val="false"/>
          <w:iCs w:val="false"/>
          <w:color w:val="111827"/>
          <w:sz w:val="22"/>
          <w:szCs w:val="22"/>
        </w:rPr>
        <w:t xml:space="preserve"/>
      </w:r>
    </w:p>
    <w:p>
      <w:pPr>
        <w:spacing w:after="240"/>
        <w:jc w:val="center"/>
      </w:pPr>
      <w:r>
        <w:rPr>
          <w:rFonts w:ascii="Calibri" w:cs="Calibri" w:eastAsia="Calibri" w:hAnsi="Calibri"/>
          <w:i/>
          <w:iCs/>
          <w:color w:val="4B5563"/>
          <w:sz w:val="22"/>
          <w:szCs w:val="22"/>
        </w:rPr>
        <w:t xml:space="preserve">End of document</w:t>
      </w:r>
    </w:p>
    <w:p>
      <w:pPr>
        <w:pBdr>
          <w:top w:val="single" w:color="0F766E" w:sz="6" w:space="1"/>
        </w:pBdr>
        <w:spacing w:after="240" w:before="80"/>
        <w:jc w:val="center"/>
      </w:pPr>
      <w:r>
        <w:t xml:space="preserve"/>
      </w:r>
    </w:p>
    <w:p>
      <w:pPr>
        <w:spacing w:after="80"/>
        <w:jc w:val="center"/>
      </w:pPr>
      <w:r>
        <w:rPr>
          <w:rFonts w:ascii="Calibri" w:cs="Calibri" w:eastAsia="Calibri" w:hAnsi="Calibri"/>
          <w:color w:val="4B5563"/>
          <w:sz w:val="20"/>
          <w:szCs w:val="20"/>
        </w:rPr>
        <w:t xml:space="preserve">Draw in the Air  •  Learning Intelligence Strategy  •  v1.0</w:t>
      </w:r>
    </w:p>
    <w:p>
      <w:pPr>
        <w:jc w:val="center"/>
      </w:pPr>
      <w:r>
        <w:rPr>
          <w:rFonts w:ascii="Calibri" w:cs="Calibri" w:eastAsia="Calibri" w:hAnsi="Calibri"/>
          <w:i/>
          <w:iCs/>
          <w:color w:val="4B5563"/>
          <w:sz w:val="18"/>
          <w:szCs w:val="18"/>
        </w:rPr>
        <w:t xml:space="preserve">Confidential — prepared for internal &amp; stakeholder review</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B5563"/>
        <w:sz w:val="18"/>
        <w:szCs w:val="18"/>
      </w:rPr>
      <w:t xml:space="preserve">— </w:t>
    </w:r>
    <w:r>
      <w:rPr>
        <w:rFonts w:ascii="Calibri" w:cs="Calibri" w:eastAsia="Calibri" w:hAnsi="Calibri"/>
        <w:color w:val="4B5563"/>
        <w:sz w:val="18"/>
        <w:szCs w:val="18"/>
      </w:rPr>
      <w:fldChar w:fldCharType="begin"/>
      <w:instrText xml:space="preserve">PAGE</w:instrText>
      <w:fldChar w:fldCharType="separate"/>
      <w:fldChar w:fldCharType="end"/>
    </w:r>
    <w:r>
      <w:rPr>
        <w:rFonts w:ascii="Calibri" w:cs="Calibri" w:eastAsia="Calibri" w:hAnsi="Calibri"/>
        <w:color w:val="4B556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4B5563"/>
        <w:sz w:val="18"/>
        <w:szCs w:val="18"/>
      </w:rPr>
      <w:t xml:space="preserve">Draw in the Air  •  Learning Intelligence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F766E"/>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11827"/>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Intelligence Strategy</dc:title>
  <dc:creator>Draw in the Air</dc:creator>
  <dc:description>From Engagement Analytics to Measurable Learning Outcomes</dc:description>
  <cp:lastModifiedBy>Un-named</cp:lastModifiedBy>
  <cp:revision>1</cp:revision>
  <dcterms:created xsi:type="dcterms:W3CDTF">2026-05-18T23:02:01.321Z</dcterms:created>
  <dcterms:modified xsi:type="dcterms:W3CDTF">2026-05-18T23:02:01.321Z</dcterms:modified>
</cp:coreProperties>
</file>

<file path=docProps/custom.xml><?xml version="1.0" encoding="utf-8"?>
<Properties xmlns="http://schemas.openxmlformats.org/officeDocument/2006/custom-properties" xmlns:vt="http://schemas.openxmlformats.org/officeDocument/2006/docPropsVTypes"/>
</file>