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1" w:color="auto" w:val="clear"/>
            <w:tcMar>
              <w:top w:type="dxa" w:w="560"/>
              <w:left w:type="dxa" w:w="480"/>
              <w:bottom w:type="dxa" w:w="560"/>
              <w:right w:type="dxa" w:w="120"/>
            </w:tcMar>
            <w:vAlign w:val="center"/>
          </w:tcPr>
          <w:p>
            <w:pPr>
              <w:spacing w:after="200"/>
            </w:pPr>
            <w:r>
              <w:rPr>
                <w:b/>
                <w:bCs/>
                <w:color w:val="5FC4D1"/>
                <w:spacing w:val="40"/>
                <w:sz w:val="19"/>
                <w:szCs w:val="19"/>
              </w:rPr>
              <w:t xml:space="preserve">IT 490 CAPSTONE  |  WEEK 3  |  MICROSOFT 365</w:t>
            </w:r>
          </w:p>
          <w:p>
            <w:pPr>
              <w:spacing w:after="120"/>
            </w:pPr>
            <w:r>
              <w:rPr>
                <w:b/>
                <w:bCs/>
                <w:color w:val="FFFFFF"/>
                <w:sz w:val="50"/>
                <w:szCs w:val="50"/>
              </w:rPr>
              <w:t xml:space="preserve">Host-to-Host Email Encryption with Microsoft Purview</w:t>
            </w:r>
          </w:p>
          <w:p>
            <w:pPr>
              <w:spacing w:after="0"/>
            </w:pPr>
            <w:r>
              <w:rPr>
                <w:color w:val="C9D6E3"/>
                <w:sz w:val="23"/>
                <w:szCs w:val="23"/>
              </w:rPr>
              <w:t xml:space="preserve">Scenario based implementation plan for protecting HIPAA and payroll information sent from HR to the CIO and an external health insurance provider</w:t>
            </w:r>
          </w:p>
        </w:tc>
      </w:tr>
    </w:tbl>
    <w:p>
      <w:pPr>
        <w:spacing w:after="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jc w:val="center"/>
            </w:pPr>
            <w:r>
              <w:rPr>
                <w:b/>
                <w:bCs/>
                <w:color w:val="0F7C8C"/>
                <w:sz w:val="44"/>
                <w:szCs w:val="44"/>
              </w:rPr>
              <w:t xml:space="preserve">10</w:t>
            </w:r>
          </w:p>
          <w:p>
            <w:pPr>
              <w:spacing w:after="0"/>
              <w:jc w:val="center"/>
            </w:pPr>
            <w:r>
              <w:rPr>
                <w:b/>
                <w:bCs/>
                <w:color w:val="64748B"/>
                <w:spacing w:val="20"/>
                <w:sz w:val="15"/>
                <w:szCs w:val="15"/>
              </w:rPr>
              <w:t xml:space="preserve">IMPLEMENTATION STEPS</w:t>
            </w:r>
          </w:p>
        </w:tc>
        <w:tc>
          <w:tcPr>
            <w:tcW w:type="dxa" w:w="2340"/>
            <w:tcBorders>
              <w:top w:val="none" w:color="FFFFFF" w:sz="0"/>
              <w:left w:val="single" w:color="CBD5E1" w:sz="6"/>
              <w:bottom w:val="none" w:color="FFFFFF" w:sz="0"/>
              <w:right w:val="none" w:color="FFFFFF" w:sz="0"/>
            </w:tcBorders>
            <w:tcMar>
              <w:top w:type="dxa" w:w="80"/>
              <w:left w:type="dxa" w:w="120"/>
              <w:bottom w:type="dxa" w:w="80"/>
              <w:right w:type="dxa" w:w="120"/>
            </w:tcMar>
            <w:vAlign w:val="center"/>
          </w:tcPr>
          <w:p>
            <w:pPr>
              <w:spacing w:after="0"/>
              <w:jc w:val="center"/>
            </w:pPr>
            <w:r>
              <w:rPr>
                <w:b/>
                <w:bCs/>
                <w:color w:val="0F7C8C"/>
                <w:sz w:val="44"/>
                <w:szCs w:val="44"/>
              </w:rPr>
              <w:t xml:space="preserve">2</w:t>
            </w:r>
          </w:p>
          <w:p>
            <w:pPr>
              <w:spacing w:after="0"/>
              <w:jc w:val="center"/>
            </w:pPr>
            <w:r>
              <w:rPr>
                <w:b/>
                <w:bCs/>
                <w:color w:val="64748B"/>
                <w:spacing w:val="20"/>
                <w:sz w:val="15"/>
                <w:szCs w:val="15"/>
              </w:rPr>
              <w:t xml:space="preserve">MAIL FLOW RULES</w:t>
            </w:r>
          </w:p>
        </w:tc>
        <w:tc>
          <w:tcPr>
            <w:tcW w:type="dxa" w:w="2340"/>
            <w:tcBorders>
              <w:top w:val="none" w:color="FFFFFF" w:sz="0"/>
              <w:left w:val="single" w:color="CBD5E1" w:sz="6"/>
              <w:bottom w:val="none" w:color="FFFFFF" w:sz="0"/>
              <w:right w:val="none" w:color="FFFFFF" w:sz="0"/>
            </w:tcBorders>
            <w:tcMar>
              <w:top w:type="dxa" w:w="80"/>
              <w:left w:type="dxa" w:w="120"/>
              <w:bottom w:type="dxa" w:w="80"/>
              <w:right w:type="dxa" w:w="120"/>
            </w:tcMar>
            <w:vAlign w:val="center"/>
          </w:tcPr>
          <w:p>
            <w:pPr>
              <w:spacing w:after="0"/>
              <w:jc w:val="center"/>
            </w:pPr>
            <w:r>
              <w:rPr>
                <w:b/>
                <w:bCs/>
                <w:color w:val="0F7C8C"/>
                <w:sz w:val="44"/>
                <w:szCs w:val="44"/>
              </w:rPr>
              <w:t xml:space="preserve">8</w:t>
            </w:r>
          </w:p>
          <w:p>
            <w:pPr>
              <w:spacing w:after="0"/>
              <w:jc w:val="center"/>
            </w:pPr>
            <w:r>
              <w:rPr>
                <w:b/>
                <w:bCs/>
                <w:color w:val="64748B"/>
                <w:spacing w:val="20"/>
                <w:sz w:val="15"/>
                <w:szCs w:val="15"/>
              </w:rPr>
              <w:t xml:space="preserve">ACCEPTANCE TESTS</w:t>
            </w:r>
          </w:p>
        </w:tc>
        <w:tc>
          <w:tcPr>
            <w:tcW w:type="dxa" w:w="2340"/>
            <w:tcBorders>
              <w:top w:val="none" w:color="FFFFFF" w:sz="0"/>
              <w:left w:val="single" w:color="CBD5E1" w:sz="6"/>
              <w:bottom w:val="none" w:color="FFFFFF" w:sz="0"/>
              <w:right w:val="none" w:color="FFFFFF" w:sz="0"/>
            </w:tcBorders>
            <w:tcMar>
              <w:top w:type="dxa" w:w="80"/>
              <w:left w:type="dxa" w:w="120"/>
              <w:bottom w:type="dxa" w:w="80"/>
              <w:right w:type="dxa" w:w="120"/>
            </w:tcMar>
            <w:vAlign w:val="center"/>
          </w:tcPr>
          <w:p>
            <w:pPr>
              <w:spacing w:after="0"/>
              <w:jc w:val="center"/>
            </w:pPr>
            <w:r>
              <w:rPr>
                <w:b/>
                <w:bCs/>
                <w:color w:val="0F7C8C"/>
                <w:sz w:val="44"/>
                <w:szCs w:val="44"/>
              </w:rPr>
              <w:t xml:space="preserve">DNF</w:t>
            </w:r>
          </w:p>
          <w:p>
            <w:pPr>
              <w:spacing w:after="0"/>
              <w:jc w:val="center"/>
            </w:pPr>
            <w:r>
              <w:rPr>
                <w:b/>
                <w:bCs/>
                <w:color w:val="64748B"/>
                <w:spacing w:val="20"/>
                <w:sz w:val="15"/>
                <w:szCs w:val="15"/>
              </w:rPr>
              <w:t xml:space="preserve">PROTECTION TEMPLATE</w:t>
            </w:r>
          </w:p>
        </w:tc>
      </w:tr>
    </w:tbl>
    <w:p>
      <w:pPr>
        <w:spacing w:after="300"/>
      </w:pPr>
    </w:p>
    <w:p>
      <w:pPr>
        <w:pStyle w:val="Heading2"/>
        <w:keepNext/>
        <w:spacing w:after="100" w:before="260"/>
      </w:pPr>
      <w:r>
        <w:rPr>
          <w:b/>
          <w:bCs/>
          <w:color w:val="0F7C8C"/>
          <w:spacing w:val="30"/>
          <w:sz w:val="20"/>
          <w:szCs w:val="20"/>
        </w:rPr>
        <w:t xml:space="preserve">SUMMARY</w:t>
      </w:r>
    </w:p>
    <w:p>
      <w:pPr>
        <w:spacing w:after="140" w:line="300"/>
      </w:pPr>
      <w:r>
        <w:rPr>
          <w:color w:val="334155"/>
          <w:sz w:val="21"/>
          <w:szCs w:val="21"/>
        </w:rPr>
        <w:t xml:space="preserve">As ABC's systems administrator, I would configure Microsoft Purview Message Encryption so Human Resources can send sensitive information to the internal CIO and an external health insurance provider. I would combine automatic mail flow rules with a clear Outlook workflow so encryption does not depend only on someone remembering to select it.</w:t>
      </w:r>
    </w:p>
    <w:p>
      <w:pPr>
        <w:spacing w:after="140" w:line="300"/>
      </w:pPr>
      <w:r>
        <w:rPr>
          <w:i/>
          <w:iCs/>
          <w:color w:val="64748B"/>
          <w:sz w:val="21"/>
          <w:szCs w:val="21"/>
        </w:rPr>
        <w:t xml:space="preserve">This report explains a proposed configuration. It does not claim that an ABC tenant was configured or that the validation tests were performed.</w:t>
      </w:r>
    </w:p>
    <w:p>
      <w:pPr>
        <w:pStyle w:val="Heading2"/>
        <w:keepNext/>
        <w:spacing w:after="100" w:before="260"/>
      </w:pPr>
      <w:r>
        <w:rPr>
          <w:b/>
          <w:bCs/>
          <w:color w:val="0F7C8C"/>
          <w:spacing w:val="30"/>
          <w:sz w:val="20"/>
          <w:szCs w:val="20"/>
        </w:rPr>
        <w:t xml:space="preserve">PROJECT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single" w:color="CBD5E1" w:sz="4"/>
              <w:right w:val="none" w:color="FFFFFF" w:sz="0"/>
            </w:tcBorders>
            <w:tcMar>
              <w:top w:type="dxa" w:w="80"/>
              <w:left w:type="dxa" w:w="120"/>
              <w:bottom w:type="dxa" w:w="80"/>
              <w:right w:type="dxa" w:w="120"/>
            </w:tcMar>
            <w:vAlign w:val="top"/>
          </w:tcPr>
          <w:p>
            <w:pPr>
              <w:keepLines/>
              <w:spacing w:after="0" w:line="260"/>
            </w:pPr>
            <w:r>
              <w:rPr>
                <w:b/>
                <w:bCs/>
                <w:color w:val="1B2A41"/>
                <w:sz w:val="19"/>
                <w:szCs w:val="19"/>
              </w:rPr>
              <w:t xml:space="preserve">Author</w:t>
            </w:r>
          </w:p>
        </w:tc>
        <w:tc>
          <w:tcPr>
            <w:tcW w:type="dxa" w:w="6960"/>
            <w:tcBorders>
              <w:top w:val="none" w:color="FFFFFF" w:sz="0"/>
              <w:left w:val="none" w:color="FFFFFF" w:sz="0"/>
              <w:bottom w:val="single" w:color="CBD5E1" w:sz="4"/>
              <w:right w:val="none" w:color="FFFFFF" w:sz="0"/>
            </w:tcBorders>
            <w:tcMar>
              <w:top w:type="dxa" w:w="80"/>
              <w:left w:type="dxa" w:w="120"/>
              <w:bottom w:type="dxa" w:w="80"/>
              <w:right w:type="dxa" w:w="120"/>
            </w:tcMar>
            <w:vAlign w:val="top"/>
          </w:tcPr>
          <w:p>
            <w:pPr>
              <w:keepLines/>
              <w:spacing w:after="0" w:line="260"/>
            </w:pPr>
            <w:r>
              <w:rPr>
                <w:color w:val="334155"/>
                <w:sz w:val="19"/>
                <w:szCs w:val="19"/>
              </w:rPr>
              <w:t xml:space="preserve">Justin Martin</w:t>
            </w:r>
          </w:p>
        </w:tc>
      </w:tr>
      <w:tr>
        <w:tc>
          <w:tcPr>
            <w:tcW w:type="dxa" w:w="2400"/>
            <w:tcBorders>
              <w:top w:val="none" w:color="FFFFFF" w:sz="0"/>
              <w:left w:val="none" w:color="FFFFFF" w:sz="0"/>
              <w:bottom w:val="single" w:color="CBD5E1" w:sz="4"/>
              <w:right w:val="none" w:color="FFFFFF" w:sz="0"/>
            </w:tcBorders>
            <w:tcMar>
              <w:top w:type="dxa" w:w="80"/>
              <w:left w:type="dxa" w:w="120"/>
              <w:bottom w:type="dxa" w:w="80"/>
              <w:right w:type="dxa" w:w="120"/>
            </w:tcMar>
            <w:vAlign w:val="top"/>
          </w:tcPr>
          <w:p>
            <w:pPr>
              <w:keepLines/>
              <w:spacing w:after="0" w:line="260"/>
            </w:pPr>
            <w:r>
              <w:rPr>
                <w:b/>
                <w:bCs/>
                <w:color w:val="1B2A41"/>
                <w:sz w:val="19"/>
                <w:szCs w:val="19"/>
              </w:rPr>
              <w:t xml:space="preserve">Course</w:t>
            </w:r>
          </w:p>
        </w:tc>
        <w:tc>
          <w:tcPr>
            <w:tcW w:type="dxa" w:w="6960"/>
            <w:tcBorders>
              <w:top w:val="none" w:color="FFFFFF" w:sz="0"/>
              <w:left w:val="none" w:color="FFFFFF" w:sz="0"/>
              <w:bottom w:val="single" w:color="CBD5E1" w:sz="4"/>
              <w:right w:val="none" w:color="FFFFFF" w:sz="0"/>
            </w:tcBorders>
            <w:tcMar>
              <w:top w:type="dxa" w:w="80"/>
              <w:left w:type="dxa" w:w="120"/>
              <w:bottom w:type="dxa" w:w="80"/>
              <w:right w:type="dxa" w:w="120"/>
            </w:tcMar>
            <w:vAlign w:val="top"/>
          </w:tcPr>
          <w:p>
            <w:pPr>
              <w:keepLines/>
              <w:spacing w:after="0" w:line="260"/>
            </w:pPr>
            <w:r>
              <w:rPr>
                <w:color w:val="334155"/>
                <w:sz w:val="19"/>
                <w:szCs w:val="19"/>
              </w:rPr>
              <w:t xml:space="preserve">IT490 Capstone, Green River College</w:t>
            </w:r>
          </w:p>
        </w:tc>
      </w:tr>
      <w:tr>
        <w:tc>
          <w:tcPr>
            <w:tcW w:type="dxa" w:w="2400"/>
            <w:tcBorders>
              <w:top w:val="none" w:color="FFFFFF" w:sz="0"/>
              <w:left w:val="none" w:color="FFFFFF" w:sz="0"/>
              <w:bottom w:val="single" w:color="CBD5E1" w:sz="4"/>
              <w:right w:val="none" w:color="FFFFFF" w:sz="0"/>
            </w:tcBorders>
            <w:tcMar>
              <w:top w:type="dxa" w:w="80"/>
              <w:left w:type="dxa" w:w="120"/>
              <w:bottom w:type="dxa" w:w="80"/>
              <w:right w:type="dxa" w:w="120"/>
            </w:tcMar>
            <w:vAlign w:val="top"/>
          </w:tcPr>
          <w:p>
            <w:pPr>
              <w:keepLines/>
              <w:spacing w:after="0" w:line="260"/>
            </w:pPr>
            <w:r>
              <w:rPr>
                <w:b/>
                <w:bCs/>
                <w:color w:val="1B2A41"/>
                <w:sz w:val="19"/>
                <w:szCs w:val="19"/>
              </w:rPr>
              <w:t xml:space="preserve">Date</w:t>
            </w:r>
          </w:p>
        </w:tc>
        <w:tc>
          <w:tcPr>
            <w:tcW w:type="dxa" w:w="6960"/>
            <w:tcBorders>
              <w:top w:val="none" w:color="FFFFFF" w:sz="0"/>
              <w:left w:val="none" w:color="FFFFFF" w:sz="0"/>
              <w:bottom w:val="single" w:color="CBD5E1" w:sz="4"/>
              <w:right w:val="none" w:color="FFFFFF" w:sz="0"/>
            </w:tcBorders>
            <w:tcMar>
              <w:top w:type="dxa" w:w="80"/>
              <w:left w:type="dxa" w:w="120"/>
              <w:bottom w:type="dxa" w:w="80"/>
              <w:right w:type="dxa" w:w="120"/>
            </w:tcMar>
            <w:vAlign w:val="top"/>
          </w:tcPr>
          <w:p>
            <w:pPr>
              <w:keepLines/>
              <w:spacing w:after="0" w:line="260"/>
            </w:pPr>
            <w:r>
              <w:rPr>
                <w:color w:val="334155"/>
                <w:sz w:val="19"/>
                <w:szCs w:val="19"/>
              </w:rPr>
              <w:t xml:space="preserve">October 7, 2026</w:t>
            </w:r>
          </w:p>
        </w:tc>
      </w:tr>
      <w:tr>
        <w:tc>
          <w:tcPr>
            <w:tcW w:type="dxa" w:w="2400"/>
            <w:tcBorders>
              <w:top w:val="none" w:color="FFFFFF" w:sz="0"/>
              <w:left w:val="none" w:color="FFFFFF" w:sz="0"/>
              <w:bottom w:val="single" w:color="CBD5E1" w:sz="4"/>
              <w:right w:val="none" w:color="FFFFFF" w:sz="0"/>
            </w:tcBorders>
            <w:tcMar>
              <w:top w:type="dxa" w:w="80"/>
              <w:left w:type="dxa" w:w="120"/>
              <w:bottom w:type="dxa" w:w="80"/>
              <w:right w:type="dxa" w:w="120"/>
            </w:tcMar>
            <w:vAlign w:val="top"/>
          </w:tcPr>
          <w:p>
            <w:pPr>
              <w:keepLines/>
              <w:spacing w:after="0" w:line="260"/>
            </w:pPr>
            <w:r>
              <w:rPr>
                <w:b/>
                <w:bCs/>
                <w:color w:val="1B2A41"/>
                <w:sz w:val="19"/>
                <w:szCs w:val="19"/>
              </w:rPr>
              <w:t xml:space="preserve">Platform</w:t>
            </w:r>
          </w:p>
        </w:tc>
        <w:tc>
          <w:tcPr>
            <w:tcW w:type="dxa" w:w="6960"/>
            <w:tcBorders>
              <w:top w:val="none" w:color="FFFFFF" w:sz="0"/>
              <w:left w:val="none" w:color="FFFFFF" w:sz="0"/>
              <w:bottom w:val="single" w:color="CBD5E1" w:sz="4"/>
              <w:right w:val="none" w:color="FFFFFF" w:sz="0"/>
            </w:tcBorders>
            <w:tcMar>
              <w:top w:type="dxa" w:w="80"/>
              <w:left w:type="dxa" w:w="120"/>
              <w:bottom w:type="dxa" w:w="80"/>
              <w:right w:type="dxa" w:w="120"/>
            </w:tcMar>
            <w:vAlign w:val="top"/>
          </w:tcPr>
          <w:p>
            <w:pPr>
              <w:keepLines/>
              <w:spacing w:after="0" w:line="260"/>
            </w:pPr>
            <w:r>
              <w:rPr>
                <w:color w:val="334155"/>
                <w:sz w:val="19"/>
                <w:szCs w:val="19"/>
              </w:rPr>
              <w:t xml:space="preserve">Microsoft 365 (Exchange Online, Microsoft Purview Message Encryption, Azure Rights Management)</w:t>
            </w:r>
          </w:p>
        </w:tc>
      </w:tr>
      <w:tr>
        <w:tc>
          <w:tcPr>
            <w:tcW w:type="dxa" w:w="2400"/>
            <w:tcBorders>
              <w:top w:val="none" w:color="FFFFFF" w:sz="0"/>
              <w:left w:val="none" w:color="FFFFFF" w:sz="0"/>
              <w:bottom w:val="single" w:color="CBD5E1" w:sz="4"/>
              <w:right w:val="none" w:color="FFFFFF" w:sz="0"/>
            </w:tcBorders>
            <w:tcMar>
              <w:top w:type="dxa" w:w="80"/>
              <w:left w:type="dxa" w:w="120"/>
              <w:bottom w:type="dxa" w:w="80"/>
              <w:right w:type="dxa" w:w="120"/>
            </w:tcMar>
            <w:vAlign w:val="top"/>
          </w:tcPr>
          <w:p>
            <w:pPr>
              <w:keepLines/>
              <w:spacing w:after="0" w:line="260"/>
            </w:pPr>
            <w:r>
              <w:rPr>
                <w:b/>
                <w:bCs/>
                <w:color w:val="1B2A41"/>
                <w:sz w:val="19"/>
                <w:szCs w:val="19"/>
              </w:rPr>
              <w:t xml:space="preserve">Skills demonstrated</w:t>
            </w:r>
          </w:p>
        </w:tc>
        <w:tc>
          <w:tcPr>
            <w:tcW w:type="dxa" w:w="6960"/>
            <w:tcBorders>
              <w:top w:val="none" w:color="FFFFFF" w:sz="0"/>
              <w:left w:val="none" w:color="FFFFFF" w:sz="0"/>
              <w:bottom w:val="single" w:color="CBD5E1" w:sz="4"/>
              <w:right w:val="none" w:color="FFFFFF" w:sz="0"/>
            </w:tcBorders>
            <w:tcMar>
              <w:top w:type="dxa" w:w="80"/>
              <w:left w:type="dxa" w:w="120"/>
              <w:bottom w:type="dxa" w:w="80"/>
              <w:right w:type="dxa" w:w="120"/>
            </w:tcMar>
            <w:vAlign w:val="top"/>
          </w:tcPr>
          <w:p>
            <w:pPr>
              <w:keepLines/>
              <w:spacing w:after="0" w:line="260"/>
            </w:pPr>
            <w:r>
              <w:rPr>
                <w:color w:val="334155"/>
                <w:sz w:val="19"/>
                <w:szCs w:val="19"/>
              </w:rPr>
              <w:t xml:space="preserve">Rights Management activation, Exchange Online PowerShell, mail flow rule design, forced-TLS partner connectors, HIPAA-aware data handling, acceptance test planning</w:t>
            </w:r>
          </w:p>
        </w:tc>
      </w:tr>
    </w:tbl>
    <w:p>
      <w:pPr>
        <w:sectPr>
          <w:pgSz w:w="12240" w:h="15840" w:orient="portrait"/>
          <w:pgMar w:top="1440" w:right="1440" w:bottom="1440" w:left="1440" w:header="708" w:footer="708" w:gutter="0"/>
          <w:pgNumType/>
          <w:docGrid w:linePitch="360"/>
        </w:sectPr>
      </w:pPr>
    </w:p>
    <w:p>
      <w:pPr>
        <w:pStyle w:val="Heading1"/>
        <w:keepNext/>
        <w:pageBreakBefore/>
        <w:pBdr>
          <w:bottom w:val="single" w:color="0F7C8C" w:sz="8" w:space="6"/>
        </w:pBdr>
        <w:spacing w:after="120" w:before="0"/>
      </w:pPr>
      <w:r>
        <w:rPr>
          <w:b/>
          <w:bCs/>
          <w:color w:val="0F7C8C"/>
          <w:sz w:val="30"/>
          <w:szCs w:val="30"/>
        </w:rPr>
        <w:t xml:space="preserve">01  </w:t>
      </w:r>
      <w:r>
        <w:rPr>
          <w:b/>
          <w:bCs/>
          <w:color w:val="1B2A41"/>
          <w:sz w:val="30"/>
          <w:szCs w:val="30"/>
        </w:rPr>
        <w:t xml:space="preserve">Scenario and Recommended Approach</w:t>
      </w:r>
    </w:p>
    <w:p>
      <w:pPr>
        <w:spacing w:after="140" w:line="300"/>
      </w:pPr>
      <w:r>
        <w:rPr>
          <w:color w:val="334155"/>
          <w:sz w:val="21"/>
          <w:szCs w:val="21"/>
        </w:rPr>
        <w:t xml:space="preserve">Purview uses Azure Rights Management to combine encryption with identity and access controls. It supports messages sent inside and outside the organization. In this scenario, host to host means protected email between the HR user and the intended recipient through Microsoft 365. It does not require a direct tunnel between their computers (Microsoft, n.d.g).</w:t>
      </w:r>
    </w:p>
    <w:p>
      <w:pPr>
        <w:keepNext/>
        <w:spacing w:after="60" w:before="120"/>
        <w:jc w:val="center"/>
      </w:pPr>
      <w:r>
        <w:drawing>
          <wp:inline distT="0" distB="0" distL="0" distR="0">
            <wp:extent cx="5943600" cy="2514600"/>
            <wp:effectExtent t="0" r="0" b="0" l="0"/>
            <wp:docPr id="1" name="flow" descr="HR sends from the ABC LAN to Exchange Online, where mail flow rules apply Do Not Forward encryption. The message is delivered protected to the CIO inside the LAN and, over a forced-TLS connector, to the external insurance provider." title="Protected messag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514600"/>
                    </a:xfrm>
                    <a:prstGeom prst="rect">
                      <a:avLst/>
                    </a:prstGeom>
                  </pic:spPr>
                </pic:pic>
              </a:graphicData>
            </a:graphic>
          </wp:inline>
        </w:drawing>
      </w:r>
    </w:p>
    <w:p>
      <w:pPr>
        <w:spacing w:after="200"/>
        <w:jc w:val="center"/>
      </w:pPr>
      <w:r>
        <w:rPr>
          <w:b/>
          <w:bCs/>
          <w:color w:val="1B2A41"/>
          <w:sz w:val="18"/>
          <w:szCs w:val="18"/>
        </w:rPr>
        <w:t xml:space="preserve">Figure 1. </w:t>
      </w:r>
      <w:r>
        <w:rPr>
          <w:i/>
          <w:iCs/>
          <w:color w:val="64748B"/>
          <w:sz w:val="18"/>
          <w:szCs w:val="18"/>
        </w:rPr>
        <w:t xml:space="preserve">Planned protected message flow for HR, the CIO, and the insurance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Role</w:t>
            </w:r>
          </w:p>
        </w:tc>
        <w:tc>
          <w:tcPr>
            <w:tcW w:type="dxa" w:w="416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Illustrative address</w:t>
            </w:r>
          </w:p>
        </w:tc>
        <w:tc>
          <w:tcPr>
            <w:tcW w:type="dxa" w:w="260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Access location</w:t>
            </w:r>
          </w:p>
        </w:tc>
      </w:tr>
      <w:tr>
        <w:trPr>
          <w:cantSplit/>
        </w:trPr>
        <w:tc>
          <w:tcPr>
            <w:tcW w:type="dxa" w:w="26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HR sender</w:t>
            </w:r>
          </w:p>
        </w:tc>
        <w:tc>
          <w:tcPr>
            <w:tcW w:type="dxa" w:w="41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rFonts w:ascii="Consolas" w:cs="Consolas" w:eastAsia="Consolas" w:hAnsi="Consolas"/>
                <w:color w:val="1B2A41"/>
                <w:sz w:val="17"/>
                <w:szCs w:val="17"/>
              </w:rPr>
              <w:t xml:space="preserve">hr@abc.example</w:t>
            </w:r>
          </w:p>
        </w:tc>
        <w:tc>
          <w:tcPr>
            <w:tcW w:type="dxa" w:w="26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ABC LAN</w:t>
            </w:r>
          </w:p>
        </w:tc>
      </w:tr>
      <w:tr>
        <w:trPr>
          <w:cantSplit/>
        </w:trPr>
        <w:tc>
          <w:tcPr>
            <w:tcW w:type="dxa" w:w="26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CIO</w:t>
            </w:r>
          </w:p>
        </w:tc>
        <w:tc>
          <w:tcPr>
            <w:tcW w:type="dxa" w:w="416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rFonts w:ascii="Consolas" w:cs="Consolas" w:eastAsia="Consolas" w:hAnsi="Consolas"/>
                <w:color w:val="1B2A41"/>
                <w:sz w:val="17"/>
                <w:szCs w:val="17"/>
              </w:rPr>
              <w:t xml:space="preserve">cio@abc.example</w:t>
            </w:r>
          </w:p>
        </w:tc>
        <w:tc>
          <w:tcPr>
            <w:tcW w:type="dxa" w:w="26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ABC LAN</w:t>
            </w:r>
          </w:p>
        </w:tc>
      </w:tr>
      <w:tr>
        <w:trPr>
          <w:cantSplit/>
        </w:trPr>
        <w:tc>
          <w:tcPr>
            <w:tcW w:type="dxa" w:w="26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val="false"/>
              <w:keepLines/>
              <w:spacing w:after="0" w:line="260"/>
            </w:pPr>
            <w:r>
              <w:rPr>
                <w:b/>
                <w:bCs/>
                <w:color w:val="1B2A41"/>
                <w:sz w:val="19"/>
                <w:szCs w:val="19"/>
              </w:rPr>
              <w:t xml:space="preserve">Insurance provider</w:t>
            </w:r>
          </w:p>
        </w:tc>
        <w:tc>
          <w:tcPr>
            <w:tcW w:type="dxa" w:w="41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val="false"/>
              <w:keepLines/>
              <w:spacing w:after="0" w:line="260"/>
            </w:pPr>
            <w:r>
              <w:rPr>
                <w:rFonts w:ascii="Consolas" w:cs="Consolas" w:eastAsia="Consolas" w:hAnsi="Consolas"/>
                <w:color w:val="1B2A41"/>
                <w:sz w:val="17"/>
                <w:szCs w:val="17"/>
              </w:rPr>
              <w:t xml:space="preserve">benefits@healthprovider.example</w:t>
            </w:r>
          </w:p>
        </w:tc>
        <w:tc>
          <w:tcPr>
            <w:tcW w:type="dxa" w:w="26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val="false"/>
              <w:keepLines/>
              <w:spacing w:after="0" w:line="260"/>
            </w:pPr>
            <w:r>
              <w:rPr>
                <w:b w:val="false"/>
                <w:bCs w:val="false"/>
                <w:color w:val="334155"/>
                <w:sz w:val="19"/>
                <w:szCs w:val="19"/>
              </w:rPr>
              <w:t xml:space="preserve">Outside ABC LAN</w:t>
            </w:r>
          </w:p>
        </w:tc>
      </w:tr>
    </w:tbl>
    <w:p>
      <w:pPr>
        <w:spacing w:after="100"/>
      </w:pPr>
    </w:p>
    <w:p>
      <w:pPr>
        <w:spacing w:after="140" w:line="300"/>
      </w:pPr>
      <w:r>
        <w:rPr>
          <w:color w:val="334155"/>
          <w:sz w:val="21"/>
          <w:szCs w:val="21"/>
        </w:rPr>
        <w:t xml:space="preserve">All addresses are fictional placeholders. The implementation would substitute ABC's verified accounts and the provider's approved recipient. LAN location alone would not grant permission to read a protected message.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rPr>
          <w:cantSplit/>
        </w:trPr>
        <w:tc>
          <w:tcPr>
            <w:tcW w:type="dxa" w:w="620"/>
            <w:tcBorders>
              <w:top w:val="none" w:color="FFFFFF" w:sz="0"/>
              <w:left w:val="none" w:color="FFFFFF" w:sz="0"/>
              <w:bottom w:val="none" w:color="FFFFFF" w:sz="0"/>
              <w:right w:val="none" w:color="FFFFFF" w:sz="0"/>
            </w:tcBorders>
            <w:shd w:fill="0F7C8C" w:color="auto" w:val="clear"/>
            <w:tcMar>
              <w:top w:type="dxa" w:w="60"/>
              <w:left w:type="dxa" w:w="0"/>
              <w:bottom w:type="dxa" w:w="60"/>
              <w:right w:type="dxa" w:w="0"/>
            </w:tcMar>
            <w:vAlign w:val="center"/>
          </w:tcPr>
          <w:p>
            <w:pPr>
              <w:keepNext/>
              <w:spacing w:after="0"/>
              <w:jc w:val="center"/>
            </w:pPr>
            <w:r>
              <w:rPr>
                <w:b/>
                <w:bCs/>
                <w:color w:val="FFFFFF"/>
                <w:sz w:val="26"/>
                <w:szCs w:val="26"/>
              </w:rPr>
              <w:t xml:space="preserve">1</w:t>
            </w:r>
          </w:p>
        </w:tc>
        <w:tc>
          <w:tcPr>
            <w:tcW w:type="dxa" w:w="8740"/>
            <w:tcBorders>
              <w:top w:val="none" w:color="FFFFFF" w:sz="0"/>
              <w:left w:val="none" w:color="FFFFFF" w:sz="0"/>
              <w:bottom w:val="single" w:color="0F7C8C" w:sz="6"/>
              <w:right w:val="none" w:color="FFFFFF" w:sz="0"/>
            </w:tcBorders>
            <w:tcMar>
              <w:top w:type="dxa" w:w="60"/>
              <w:left w:type="dxa" w:w="200"/>
              <w:bottom w:type="dxa" w:w="60"/>
              <w:right w:type="dxa" w:w="0"/>
            </w:tcMar>
            <w:vAlign w:val="center"/>
          </w:tcPr>
          <w:p>
            <w:pPr>
              <w:pStyle w:val="Heading2"/>
              <w:keepNext/>
              <w:spacing w:after="0"/>
            </w:pPr>
            <w:r>
              <w:rPr>
                <w:b/>
                <w:bCs/>
                <w:color w:val="1B2A41"/>
                <w:sz w:val="24"/>
                <w:szCs w:val="24"/>
              </w:rPr>
              <w:t xml:space="preserve">Confirm prerequisites</w:t>
            </w:r>
          </w:p>
        </w:tc>
      </w:tr>
    </w:tbl>
    <w:p>
      <w:pPr>
        <w:spacing w:after="80"/>
      </w:pPr>
    </w:p>
    <w:p>
      <w:pPr>
        <w:spacing w:after="140" w:line="300"/>
      </w:pPr>
      <w:r>
        <w:rPr>
          <w:color w:val="334155"/>
          <w:sz w:val="21"/>
          <w:szCs w:val="21"/>
        </w:rPr>
        <w:t xml:space="preserve">I would confirm that HR and the CIO have eligible licenses, such as Office 365 E3 or Microsoft 365 Business Premium, and that their mailboxes use Exchange Online. Users benefiting from the encryption service must be appropriately licensed (Microsoft, n.d.f).</w:t>
      </w:r>
    </w:p>
    <w:p>
      <w:pPr>
        <w:spacing w:after="140" w:line="300"/>
      </w:pPr>
      <w:r>
        <w:rPr>
          <w:color w:val="334155"/>
          <w:sz w:val="21"/>
          <w:szCs w:val="21"/>
        </w:rPr>
        <w:t xml:space="preserve">I would obtain only the administrative roles needed for the configuration, verify the provider's identity through an established business contact, and use fictitious records for the pilot. If ABC already uses Active Directory Rights Management Services, I would plan its migration before activating Azure Rights Management (Microsoft, n.d.k).</w:t>
      </w:r>
    </w:p>
    <w:p>
      <w:pPr>
        <w:pStyle w:val="Heading2"/>
        <w:keepNext/>
        <w:spacing w:after="100" w:before="260"/>
      </w:pPr>
      <w:r>
        <w:rPr>
          <w:b/>
          <w:bCs/>
          <w:color w:val="0F7C8C"/>
          <w:spacing w:val="30"/>
          <w:sz w:val="20"/>
          <w:szCs w:val="20"/>
        </w:rPr>
        <w:t xml:space="preserve">PROTECTION CHOICE</w:t>
      </w:r>
    </w:p>
    <w:p>
      <w:pPr>
        <w:spacing w:after="140" w:line="300"/>
      </w:pPr>
      <w:r>
        <w:rPr>
          <w:color w:val="334155"/>
          <w:sz w:val="21"/>
          <w:szCs w:val="21"/>
        </w:rPr>
        <w:t xml:space="preserve">I would use Do Not Forward for this workflow. It adds restrictions to encrypted content, including forwarding, copying, and printing in supported experiences. These restrictions do not prevent a recipient from photographing a screen. ABC still needs trustworthy recipients and secure devices (Microsoft, n.d.g).</w:t>
      </w:r>
    </w:p>
    <w:p>
      <w:pPr>
        <w:pStyle w:val="Heading1"/>
        <w:keepNext/>
        <w:pBdr>
          <w:bottom w:val="single" w:color="0F7C8C" w:sz="8" w:space="6"/>
        </w:pBdr>
        <w:spacing w:after="120" w:before="360"/>
      </w:pPr>
      <w:r>
        <w:rPr>
          <w:b/>
          <w:bCs/>
          <w:color w:val="0F7C8C"/>
          <w:sz w:val="30"/>
          <w:szCs w:val="30"/>
        </w:rPr>
        <w:t xml:space="preserve">02  </w:t>
      </w:r>
      <w:r>
        <w:rPr>
          <w:b/>
          <w:bCs/>
          <w:color w:val="1B2A41"/>
          <w:sz w:val="30"/>
          <w:szCs w:val="30"/>
        </w:rPr>
        <w:t xml:space="preserve">Enable and Verify the Encryption Service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rPr>
          <w:cantSplit/>
        </w:trPr>
        <w:tc>
          <w:tcPr>
            <w:tcW w:type="dxa" w:w="620"/>
            <w:tcBorders>
              <w:top w:val="none" w:color="FFFFFF" w:sz="0"/>
              <w:left w:val="none" w:color="FFFFFF" w:sz="0"/>
              <w:bottom w:val="none" w:color="FFFFFF" w:sz="0"/>
              <w:right w:val="none" w:color="FFFFFF" w:sz="0"/>
            </w:tcBorders>
            <w:shd w:fill="0F7C8C" w:color="auto" w:val="clear"/>
            <w:tcMar>
              <w:top w:type="dxa" w:w="60"/>
              <w:left w:type="dxa" w:w="0"/>
              <w:bottom w:type="dxa" w:w="60"/>
              <w:right w:type="dxa" w:w="0"/>
            </w:tcMar>
            <w:vAlign w:val="center"/>
          </w:tcPr>
          <w:p>
            <w:pPr>
              <w:keepNext/>
              <w:spacing w:after="0"/>
              <w:jc w:val="center"/>
            </w:pPr>
            <w:r>
              <w:rPr>
                <w:b/>
                <w:bCs/>
                <w:color w:val="FFFFFF"/>
                <w:sz w:val="26"/>
                <w:szCs w:val="26"/>
              </w:rPr>
              <w:t xml:space="preserve">2</w:t>
            </w:r>
          </w:p>
        </w:tc>
        <w:tc>
          <w:tcPr>
            <w:tcW w:type="dxa" w:w="8740"/>
            <w:tcBorders>
              <w:top w:val="none" w:color="FFFFFF" w:sz="0"/>
              <w:left w:val="none" w:color="FFFFFF" w:sz="0"/>
              <w:bottom w:val="single" w:color="0F7C8C" w:sz="6"/>
              <w:right w:val="none" w:color="FFFFFF" w:sz="0"/>
            </w:tcBorders>
            <w:tcMar>
              <w:top w:type="dxa" w:w="60"/>
              <w:left w:type="dxa" w:w="200"/>
              <w:bottom w:type="dxa" w:w="60"/>
              <w:right w:type="dxa" w:w="0"/>
            </w:tcMar>
            <w:vAlign w:val="center"/>
          </w:tcPr>
          <w:p>
            <w:pPr>
              <w:pStyle w:val="Heading2"/>
              <w:keepNext/>
              <w:spacing w:after="0"/>
            </w:pPr>
            <w:r>
              <w:rPr>
                <w:b/>
                <w:bCs/>
                <w:color w:val="1B2A41"/>
                <w:sz w:val="24"/>
                <w:szCs w:val="24"/>
              </w:rPr>
              <w:t xml:space="preserve">Confirm Azure Rights Management</w:t>
            </w:r>
          </w:p>
        </w:tc>
      </w:tr>
    </w:tbl>
    <w:p>
      <w:pPr>
        <w:spacing w:after="80"/>
      </w:pPr>
    </w:p>
    <w:p>
      <w:pPr>
        <w:spacing w:after="140" w:line="300"/>
      </w:pPr>
      <w:r>
        <w:rPr>
          <w:color w:val="334155"/>
          <w:sz w:val="21"/>
          <w:szCs w:val="21"/>
        </w:rPr>
        <w:t xml:space="preserve">From a supported Windows PowerShell administrative workstation, I would install the AIPService module and sign in with an authorized account. Most eligible tenants already have the service enabled. Activation must now be performed through PowerShell rather than an admin portal (Microsoft, 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E2E8F0" w:color="auto" w:val="clear"/>
            <w:tcMar>
              <w:top w:type="dxa" w:w="40"/>
              <w:left w:type="dxa" w:w="220"/>
              <w:bottom w:type="dxa" w:w="40"/>
              <w:right w:type="dxa" w:w="160"/>
            </w:tcMar>
          </w:tcPr>
          <w:p>
            <w:pPr>
              <w:keepNext/>
              <w:spacing w:after="0"/>
            </w:pPr>
            <w:r>
              <w:rPr>
                <w:b/>
                <w:bCs/>
                <w:color w:val="64748B"/>
                <w:spacing w:val="30"/>
                <w:sz w:val="15"/>
                <w:szCs w:val="15"/>
              </w:rPr>
              <w:t xml:space="preserve">WINDOWS POWERSHELL</w:t>
            </w:r>
          </w:p>
        </w:tc>
      </w:tr>
      <w:tr>
        <w:trPr>
          <w:cantSplit/>
        </w:trPr>
        <w:tc>
          <w:tcPr>
            <w:tcW w:type="dxa" w:w="9360"/>
            <w:tcBorders>
              <w:top w:val="none" w:color="FFFFFF" w:sz="0"/>
              <w:left w:val="single" w:color="1B2A41" w:sz="12"/>
              <w:bottom w:val="none" w:color="FFFFFF" w:sz="0"/>
              <w:right w:val="none" w:color="FFFFFF" w:sz="0"/>
            </w:tcBorders>
            <w:shd w:fill="F5F7FA" w:color="auto" w:val="clear"/>
            <w:tcMar>
              <w:top w:type="dxa" w:w="120"/>
              <w:left w:type="dxa" w:w="220"/>
              <w:bottom w:type="dxa" w:w="120"/>
              <w:right w:type="dxa" w:w="160"/>
            </w:tcMar>
          </w:tcPr>
          <w:p>
            <w:pPr>
              <w:spacing w:after="0" w:line="250"/>
            </w:pPr>
            <w:r>
              <w:rPr>
                <w:rFonts w:ascii="Consolas" w:cs="Consolas" w:eastAsia="Consolas" w:hAnsi="Consolas"/>
                <w:color w:val="1B2A41"/>
                <w:sz w:val="18"/>
                <w:szCs w:val="18"/>
              </w:rPr>
              <w:t xml:space="preserve">Install-Module AIPService -Scope CurrentUser</w:t>
            </w:r>
          </w:p>
          <w:p>
            <w:pPr>
              <w:spacing w:after="0" w:line="250"/>
            </w:pPr>
            <w:r>
              <w:rPr>
                <w:rFonts w:ascii="Consolas" w:cs="Consolas" w:eastAsia="Consolas" w:hAnsi="Consolas"/>
                <w:color w:val="1B2A41"/>
                <w:sz w:val="18"/>
                <w:szCs w:val="18"/>
              </w:rPr>
              <w:t xml:space="preserve">Import-Module AIPService</w:t>
            </w:r>
          </w:p>
          <w:p>
            <w:pPr>
              <w:spacing w:after="0" w:line="250"/>
            </w:pPr>
            <w:r>
              <w:rPr>
                <w:rFonts w:ascii="Consolas" w:cs="Consolas" w:eastAsia="Consolas" w:hAnsi="Consolas"/>
                <w:color w:val="1B2A41"/>
                <w:sz w:val="18"/>
                <w:szCs w:val="18"/>
              </w:rPr>
              <w:t xml:space="preserve">Connect-AipService</w:t>
            </w:r>
          </w:p>
          <w:p>
            <w:pPr>
              <w:spacing w:after="0" w:line="250"/>
            </w:pPr>
            <w:r>
              <w:rPr>
                <w:rFonts w:ascii="Consolas" w:cs="Consolas" w:eastAsia="Consolas" w:hAnsi="Consolas"/>
                <w:color w:val="1B2A41"/>
                <w:sz w:val="18"/>
                <w:szCs w:val="18"/>
              </w:rPr>
              <w:t xml:space="preserve">Get-AipService</w:t>
            </w:r>
          </w:p>
        </w:tc>
      </w:tr>
    </w:tbl>
    <w:p>
      <w:pPr>
        <w:spacing w:after="100"/>
      </w:pPr>
    </w:p>
    <w:p>
      <w:pPr>
        <w:spacing w:after="140" w:line="300"/>
      </w:pPr>
      <w:r>
        <w:rPr>
          <w:color w:val="334155"/>
          <w:sz w:val="21"/>
          <w:szCs w:val="21"/>
        </w:rPr>
        <w:t xml:space="preserve">If the returned status is Enabled, I would continue. If it is Disabled, after verifying the prerequisites and absence of an unresolved AD RMS deployment, I would run the following and check the status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E2E8F0" w:color="auto" w:val="clear"/>
            <w:tcMar>
              <w:top w:type="dxa" w:w="40"/>
              <w:left w:type="dxa" w:w="220"/>
              <w:bottom w:type="dxa" w:w="40"/>
              <w:right w:type="dxa" w:w="160"/>
            </w:tcMar>
          </w:tcPr>
          <w:p>
            <w:pPr>
              <w:keepNext/>
              <w:spacing w:after="0"/>
            </w:pPr>
            <w:r>
              <w:rPr>
                <w:b/>
                <w:bCs/>
                <w:color w:val="64748B"/>
                <w:spacing w:val="30"/>
                <w:sz w:val="15"/>
                <w:szCs w:val="15"/>
              </w:rPr>
              <w:t xml:space="preserve">WINDOWS POWERSHELL</w:t>
            </w:r>
          </w:p>
        </w:tc>
      </w:tr>
      <w:tr>
        <w:trPr>
          <w:cantSplit/>
        </w:trPr>
        <w:tc>
          <w:tcPr>
            <w:tcW w:type="dxa" w:w="9360"/>
            <w:tcBorders>
              <w:top w:val="none" w:color="FFFFFF" w:sz="0"/>
              <w:left w:val="single" w:color="1B2A41" w:sz="12"/>
              <w:bottom w:val="none" w:color="FFFFFF" w:sz="0"/>
              <w:right w:val="none" w:color="FFFFFF" w:sz="0"/>
            </w:tcBorders>
            <w:shd w:fill="F5F7FA" w:color="auto" w:val="clear"/>
            <w:tcMar>
              <w:top w:type="dxa" w:w="120"/>
              <w:left w:type="dxa" w:w="220"/>
              <w:bottom w:type="dxa" w:w="120"/>
              <w:right w:type="dxa" w:w="160"/>
            </w:tcMar>
          </w:tcPr>
          <w:p>
            <w:pPr>
              <w:spacing w:after="0" w:line="250"/>
            </w:pPr>
            <w:r>
              <w:rPr>
                <w:rFonts w:ascii="Consolas" w:cs="Consolas" w:eastAsia="Consolas" w:hAnsi="Consolas"/>
                <w:color w:val="1B2A41"/>
                <w:sz w:val="18"/>
                <w:szCs w:val="18"/>
              </w:rPr>
              <w:t xml:space="preserve">Enable-AipService</w:t>
            </w:r>
          </w:p>
          <w:p>
            <w:pPr>
              <w:spacing w:after="0" w:line="250"/>
            </w:pPr>
            <w:r>
              <w:rPr>
                <w:rFonts w:ascii="Consolas" w:cs="Consolas" w:eastAsia="Consolas" w:hAnsi="Consolas"/>
                <w:color w:val="1B2A41"/>
                <w:sz w:val="18"/>
                <w:szCs w:val="18"/>
              </w:rPr>
              <w:t xml:space="preserve">Get-AipService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rPr>
          <w:cantSplit/>
        </w:trPr>
        <w:tc>
          <w:tcPr>
            <w:tcW w:type="dxa" w:w="620"/>
            <w:tcBorders>
              <w:top w:val="none" w:color="FFFFFF" w:sz="0"/>
              <w:left w:val="none" w:color="FFFFFF" w:sz="0"/>
              <w:bottom w:val="none" w:color="FFFFFF" w:sz="0"/>
              <w:right w:val="none" w:color="FFFFFF" w:sz="0"/>
            </w:tcBorders>
            <w:shd w:fill="0F7C8C" w:color="auto" w:val="clear"/>
            <w:tcMar>
              <w:top w:type="dxa" w:w="60"/>
              <w:left w:type="dxa" w:w="0"/>
              <w:bottom w:type="dxa" w:w="60"/>
              <w:right w:type="dxa" w:w="0"/>
            </w:tcMar>
            <w:vAlign w:val="center"/>
          </w:tcPr>
          <w:p>
            <w:pPr>
              <w:keepNext/>
              <w:spacing w:after="0"/>
              <w:jc w:val="center"/>
            </w:pPr>
            <w:r>
              <w:rPr>
                <w:b/>
                <w:bCs/>
                <w:color w:val="FFFFFF"/>
                <w:sz w:val="26"/>
                <w:szCs w:val="26"/>
              </w:rPr>
              <w:t xml:space="preserve">3</w:t>
            </w:r>
          </w:p>
        </w:tc>
        <w:tc>
          <w:tcPr>
            <w:tcW w:type="dxa" w:w="8740"/>
            <w:tcBorders>
              <w:top w:val="none" w:color="FFFFFF" w:sz="0"/>
              <w:left w:val="none" w:color="FFFFFF" w:sz="0"/>
              <w:bottom w:val="single" w:color="0F7C8C" w:sz="6"/>
              <w:right w:val="none" w:color="FFFFFF" w:sz="0"/>
            </w:tcBorders>
            <w:tcMar>
              <w:top w:type="dxa" w:w="60"/>
              <w:left w:type="dxa" w:w="200"/>
              <w:bottom w:type="dxa" w:w="60"/>
              <w:right w:type="dxa" w:w="0"/>
            </w:tcMar>
            <w:vAlign w:val="center"/>
          </w:tcPr>
          <w:p>
            <w:pPr>
              <w:pStyle w:val="Heading2"/>
              <w:keepNext/>
              <w:spacing w:after="0"/>
            </w:pPr>
            <w:r>
              <w:rPr>
                <w:b/>
                <w:bCs/>
                <w:color w:val="1B2A41"/>
                <w:sz w:val="24"/>
                <w:szCs w:val="24"/>
              </w:rPr>
              <w:t xml:space="preserve">Check Exchange Online configuration</w:t>
            </w:r>
          </w:p>
        </w:tc>
      </w:tr>
    </w:tbl>
    <w:p>
      <w:pPr>
        <w:spacing w:after="80"/>
      </w:pPr>
    </w:p>
    <w:p>
      <w:pPr>
        <w:spacing w:after="140" w:line="300"/>
      </w:pPr>
      <w:r>
        <w:rPr>
          <w:color w:val="334155"/>
          <w:sz w:val="21"/>
          <w:szCs w:val="21"/>
        </w:rPr>
        <w:t xml:space="preserve">In an Exchange Online PowerShell session, I would connect with the account authorized to manage the relevant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E2E8F0" w:color="auto" w:val="clear"/>
            <w:tcMar>
              <w:top w:type="dxa" w:w="40"/>
              <w:left w:type="dxa" w:w="220"/>
              <w:bottom w:type="dxa" w:w="40"/>
              <w:right w:type="dxa" w:w="160"/>
            </w:tcMar>
          </w:tcPr>
          <w:p>
            <w:pPr>
              <w:keepNext/>
              <w:spacing w:after="0"/>
            </w:pPr>
            <w:r>
              <w:rPr>
                <w:b/>
                <w:bCs/>
                <w:color w:val="64748B"/>
                <w:spacing w:val="30"/>
                <w:sz w:val="15"/>
                <w:szCs w:val="15"/>
              </w:rPr>
              <w:t xml:space="preserve">EXCHANGE ONLINE POWERSHELL</w:t>
            </w:r>
          </w:p>
        </w:tc>
      </w:tr>
      <w:tr>
        <w:trPr>
          <w:cantSplit/>
        </w:trPr>
        <w:tc>
          <w:tcPr>
            <w:tcW w:type="dxa" w:w="9360"/>
            <w:tcBorders>
              <w:top w:val="none" w:color="FFFFFF" w:sz="0"/>
              <w:left w:val="single" w:color="1B2A41" w:sz="12"/>
              <w:bottom w:val="none" w:color="FFFFFF" w:sz="0"/>
              <w:right w:val="none" w:color="FFFFFF" w:sz="0"/>
            </w:tcBorders>
            <w:shd w:fill="F5F7FA" w:color="auto" w:val="clear"/>
            <w:tcMar>
              <w:top w:type="dxa" w:w="120"/>
              <w:left w:type="dxa" w:w="220"/>
              <w:bottom w:type="dxa" w:w="120"/>
              <w:right w:type="dxa" w:w="160"/>
            </w:tcMar>
          </w:tcPr>
          <w:p>
            <w:pPr>
              <w:spacing w:after="0" w:line="250"/>
            </w:pPr>
            <w:r>
              <w:rPr>
                <w:rFonts w:ascii="Consolas" w:cs="Consolas" w:eastAsia="Consolas" w:hAnsi="Consolas"/>
                <w:color w:val="1B2A41"/>
                <w:sz w:val="18"/>
                <w:szCs w:val="18"/>
              </w:rPr>
              <w:t xml:space="preserve">Install-Module ExchangeOnlineManagement -Scope CurrentUser</w:t>
            </w:r>
          </w:p>
          <w:p>
            <w:pPr>
              <w:spacing w:after="0" w:line="250"/>
            </w:pPr>
            <w:r>
              <w:rPr>
                <w:rFonts w:ascii="Consolas" w:cs="Consolas" w:eastAsia="Consolas" w:hAnsi="Consolas"/>
                <w:color w:val="1B2A41"/>
                <w:sz w:val="18"/>
                <w:szCs w:val="18"/>
              </w:rPr>
              <w:t xml:space="preserve">Import-Module ExchangeOnlineManagement</w:t>
            </w:r>
          </w:p>
          <w:p>
            <w:pPr>
              <w:spacing w:after="0" w:line="250"/>
            </w:pPr>
            <w:r>
              <w:rPr>
                <w:rFonts w:ascii="Consolas" w:cs="Consolas" w:eastAsia="Consolas" w:hAnsi="Consolas"/>
                <w:color w:val="1B2A41"/>
                <w:sz w:val="18"/>
                <w:szCs w:val="18"/>
              </w:rPr>
              <w:t xml:space="preserve">Connect-ExchangeOnline -UserPrincipalName admin@abc.example</w:t>
            </w:r>
          </w:p>
          <w:p>
            <w:pPr>
              <w:spacing w:after="0" w:line="250"/>
            </w:pPr>
            <w:r>
              <w:rPr>
                <w:rFonts w:ascii="Consolas" w:cs="Consolas" w:eastAsia="Consolas" w:hAnsi="Consolas"/>
                <w:color w:val="1B2A41"/>
                <w:sz w:val="18"/>
                <w:szCs w:val="18"/>
              </w:rPr>
              <w:t xml:space="preserve">Get-IRMConfiguration</w:t>
            </w:r>
          </w:p>
        </w:tc>
      </w:tr>
    </w:tbl>
    <w:p>
      <w:pPr>
        <w:spacing w:after="100"/>
      </w:pPr>
    </w:p>
    <w:p>
      <w:pPr>
        <w:spacing w:after="140" w:line="300"/>
      </w:pPr>
      <w:r>
        <w:rPr>
          <w:color w:val="334155"/>
          <w:sz w:val="21"/>
          <w:szCs w:val="21"/>
        </w:rPr>
        <w:t xml:space="preserve">AzureRMSLicensingEnabled should be True. If it is False, I would enable it and recheck the configuration (Microsoft, n.d.k):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E2E8F0" w:color="auto" w:val="clear"/>
            <w:tcMar>
              <w:top w:type="dxa" w:w="40"/>
              <w:left w:type="dxa" w:w="220"/>
              <w:bottom w:type="dxa" w:w="40"/>
              <w:right w:type="dxa" w:w="160"/>
            </w:tcMar>
          </w:tcPr>
          <w:p>
            <w:pPr>
              <w:keepNext/>
              <w:spacing w:after="0"/>
            </w:pPr>
            <w:r>
              <w:rPr>
                <w:b/>
                <w:bCs/>
                <w:color w:val="64748B"/>
                <w:spacing w:val="30"/>
                <w:sz w:val="15"/>
                <w:szCs w:val="15"/>
              </w:rPr>
              <w:t xml:space="preserve">EXCHANGE ONLINE POWERSHELL</w:t>
            </w:r>
          </w:p>
        </w:tc>
      </w:tr>
      <w:tr>
        <w:trPr>
          <w:cantSplit/>
        </w:trPr>
        <w:tc>
          <w:tcPr>
            <w:tcW w:type="dxa" w:w="9360"/>
            <w:tcBorders>
              <w:top w:val="none" w:color="FFFFFF" w:sz="0"/>
              <w:left w:val="single" w:color="1B2A41" w:sz="12"/>
              <w:bottom w:val="none" w:color="FFFFFF" w:sz="0"/>
              <w:right w:val="none" w:color="FFFFFF" w:sz="0"/>
            </w:tcBorders>
            <w:shd w:fill="F5F7FA" w:color="auto" w:val="clear"/>
            <w:tcMar>
              <w:top w:type="dxa" w:w="120"/>
              <w:left w:type="dxa" w:w="220"/>
              <w:bottom w:type="dxa" w:w="120"/>
              <w:right w:type="dxa" w:w="160"/>
            </w:tcMar>
          </w:tcPr>
          <w:p>
            <w:pPr>
              <w:spacing w:after="0" w:line="250"/>
            </w:pPr>
            <w:r>
              <w:rPr>
                <w:rFonts w:ascii="Consolas" w:cs="Consolas" w:eastAsia="Consolas" w:hAnsi="Consolas"/>
                <w:color w:val="1B2A41"/>
                <w:sz w:val="18"/>
                <w:szCs w:val="18"/>
              </w:rPr>
              <w:t xml:space="preserve">Set-IRMConfiguration -AzureRMSLicensingEnabled $true</w:t>
            </w:r>
          </w:p>
          <w:p>
            <w:pPr>
              <w:spacing w:after="0" w:line="250"/>
            </w:pPr>
            <w:r>
              <w:rPr>
                <w:rFonts w:ascii="Consolas" w:cs="Consolas" w:eastAsia="Consolas" w:hAnsi="Consolas"/>
                <w:color w:val="1B2A41"/>
                <w:sz w:val="18"/>
                <w:szCs w:val="18"/>
              </w:rPr>
              <w:t xml:space="preserve">Get-IRMConfiguration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rPr>
          <w:cantSplit/>
        </w:trPr>
        <w:tc>
          <w:tcPr>
            <w:tcW w:type="dxa" w:w="620"/>
            <w:tcBorders>
              <w:top w:val="none" w:color="FFFFFF" w:sz="0"/>
              <w:left w:val="none" w:color="FFFFFF" w:sz="0"/>
              <w:bottom w:val="none" w:color="FFFFFF" w:sz="0"/>
              <w:right w:val="none" w:color="FFFFFF" w:sz="0"/>
            </w:tcBorders>
            <w:shd w:fill="0F7C8C" w:color="auto" w:val="clear"/>
            <w:tcMar>
              <w:top w:type="dxa" w:w="60"/>
              <w:left w:type="dxa" w:w="0"/>
              <w:bottom w:type="dxa" w:w="60"/>
              <w:right w:type="dxa" w:w="0"/>
            </w:tcMar>
            <w:vAlign w:val="center"/>
          </w:tcPr>
          <w:p>
            <w:pPr>
              <w:keepNext/>
              <w:spacing w:after="0"/>
              <w:jc w:val="center"/>
            </w:pPr>
            <w:r>
              <w:rPr>
                <w:b/>
                <w:bCs/>
                <w:color w:val="FFFFFF"/>
                <w:sz w:val="26"/>
                <w:szCs w:val="26"/>
              </w:rPr>
              <w:t xml:space="preserve">4</w:t>
            </w:r>
          </w:p>
        </w:tc>
        <w:tc>
          <w:tcPr>
            <w:tcW w:type="dxa" w:w="8740"/>
            <w:tcBorders>
              <w:top w:val="none" w:color="FFFFFF" w:sz="0"/>
              <w:left w:val="none" w:color="FFFFFF" w:sz="0"/>
              <w:bottom w:val="single" w:color="0F7C8C" w:sz="6"/>
              <w:right w:val="none" w:color="FFFFFF" w:sz="0"/>
            </w:tcBorders>
            <w:tcMar>
              <w:top w:type="dxa" w:w="60"/>
              <w:left w:type="dxa" w:w="200"/>
              <w:bottom w:type="dxa" w:w="60"/>
              <w:right w:type="dxa" w:w="0"/>
            </w:tcMar>
            <w:vAlign w:val="center"/>
          </w:tcPr>
          <w:p>
            <w:pPr>
              <w:pStyle w:val="Heading2"/>
              <w:keepNext/>
              <w:spacing w:after="0"/>
            </w:pPr>
            <w:r>
              <w:rPr>
                <w:b/>
                <w:bCs/>
                <w:color w:val="1B2A41"/>
                <w:sz w:val="24"/>
                <w:szCs w:val="24"/>
              </w:rPr>
              <w:t xml:space="preserve">Run an internal configuration test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E2E8F0" w:color="auto" w:val="clear"/>
            <w:tcMar>
              <w:top w:type="dxa" w:w="40"/>
              <w:left w:type="dxa" w:w="220"/>
              <w:bottom w:type="dxa" w:w="40"/>
              <w:right w:type="dxa" w:w="160"/>
            </w:tcMar>
          </w:tcPr>
          <w:p>
            <w:pPr>
              <w:keepNext/>
              <w:spacing w:after="0"/>
            </w:pPr>
            <w:r>
              <w:rPr>
                <w:b/>
                <w:bCs/>
                <w:color w:val="64748B"/>
                <w:spacing w:val="30"/>
                <w:sz w:val="15"/>
                <w:szCs w:val="15"/>
              </w:rPr>
              <w:t xml:space="preserve">EXCHANGE ONLINE POWERSHELL</w:t>
            </w:r>
          </w:p>
        </w:tc>
      </w:tr>
      <w:tr>
        <w:trPr>
          <w:cantSplit/>
        </w:trPr>
        <w:tc>
          <w:tcPr>
            <w:tcW w:type="dxa" w:w="9360"/>
            <w:tcBorders>
              <w:top w:val="none" w:color="FFFFFF" w:sz="0"/>
              <w:left w:val="single" w:color="1B2A41" w:sz="12"/>
              <w:bottom w:val="none" w:color="FFFFFF" w:sz="0"/>
              <w:right w:val="none" w:color="FFFFFF" w:sz="0"/>
            </w:tcBorders>
            <w:shd w:fill="F5F7FA" w:color="auto" w:val="clear"/>
            <w:tcMar>
              <w:top w:type="dxa" w:w="120"/>
              <w:left w:type="dxa" w:w="220"/>
              <w:bottom w:type="dxa" w:w="120"/>
              <w:right w:type="dxa" w:w="160"/>
            </w:tcMar>
          </w:tcPr>
          <w:p>
            <w:pPr>
              <w:spacing w:after="0" w:line="250"/>
            </w:pPr>
            <w:r>
              <w:rPr>
                <w:rFonts w:ascii="Consolas" w:cs="Consolas" w:eastAsia="Consolas" w:hAnsi="Consolas"/>
                <w:color w:val="1B2A41"/>
                <w:sz w:val="18"/>
                <w:szCs w:val="18"/>
              </w:rPr>
              <w:t xml:space="preserve">Test-IRMConfiguration -Sender hr@abc.example `</w:t>
            </w:r>
          </w:p>
          <w:p>
            <w:pPr>
              <w:spacing w:after="0" w:line="250"/>
            </w:pPr>
            <w:r>
              <w:rPr>
                <w:rFonts w:ascii="Consolas" w:cs="Consolas" w:eastAsia="Consolas" w:hAnsi="Consolas"/>
                <w:color w:val="1B2A41"/>
                <w:sz w:val="18"/>
                <w:szCs w:val="18"/>
              </w:rPr>
              <w:t xml:space="preserve">    -Recipient cio@abc.example</w:t>
            </w:r>
          </w:p>
        </w:tc>
      </w:tr>
    </w:tbl>
    <w:p>
      <w:pPr>
        <w:spacing w:after="100"/>
      </w:pPr>
    </w:p>
    <w:p>
      <w:pPr>
        <w:spacing w:after="140" w:line="300"/>
      </w:pPr>
      <w:r>
        <w:rPr>
          <w:color w:val="334155"/>
          <w:sz w:val="21"/>
          <w:szCs w:val="21"/>
        </w:rPr>
        <w:t xml:space="preserve">The two addresses must be real users in ABC's tenant. I would review the output for successful template acquisition, encryption, and decryption. A failure would be investigated before deployment. This cmdlet checks service configuration; it does not replace a real delivery test to the insurance provider (Microsoft, n.d.k).</w:t>
      </w:r>
    </w:p>
    <w:p>
      <w:pPr>
        <w:spacing w:after="140" w:line="300"/>
      </w:pPr>
      <w:r>
        <w:rPr>
          <w:color w:val="334155"/>
          <w:sz w:val="21"/>
          <w:szCs w:val="21"/>
        </w:rPr>
        <w:t xml:space="preserve">For this plan, I would retain Microsoft's default management of the tenant root key. ABC would evaluate a different key management arrangement only if its requirements called for it (Microsoft, n.d.k).</w:t>
      </w:r>
    </w:p>
    <w:p>
      <w:pPr>
        <w:pStyle w:val="Heading1"/>
        <w:keepNext/>
        <w:pBdr>
          <w:bottom w:val="single" w:color="0F7C8C" w:sz="8" w:space="6"/>
        </w:pBdr>
        <w:spacing w:after="120" w:before="360"/>
      </w:pPr>
      <w:r>
        <w:rPr>
          <w:b/>
          <w:bCs/>
          <w:color w:val="0F7C8C"/>
          <w:sz w:val="30"/>
          <w:szCs w:val="30"/>
        </w:rPr>
        <w:t xml:space="preserve">03  </w:t>
      </w:r>
      <w:r>
        <w:rPr>
          <w:b/>
          <w:bCs/>
          <w:color w:val="1B2A41"/>
          <w:sz w:val="30"/>
          <w:szCs w:val="30"/>
        </w:rPr>
        <w:t xml:space="preserve">Configure Automatic Protection</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rPr>
          <w:cantSplit/>
        </w:trPr>
        <w:tc>
          <w:tcPr>
            <w:tcW w:type="dxa" w:w="620"/>
            <w:tcBorders>
              <w:top w:val="none" w:color="FFFFFF" w:sz="0"/>
              <w:left w:val="none" w:color="FFFFFF" w:sz="0"/>
              <w:bottom w:val="none" w:color="FFFFFF" w:sz="0"/>
              <w:right w:val="none" w:color="FFFFFF" w:sz="0"/>
            </w:tcBorders>
            <w:shd w:fill="0F7C8C" w:color="auto" w:val="clear"/>
            <w:tcMar>
              <w:top w:type="dxa" w:w="60"/>
              <w:left w:type="dxa" w:w="0"/>
              <w:bottom w:type="dxa" w:w="60"/>
              <w:right w:type="dxa" w:w="0"/>
            </w:tcMar>
            <w:vAlign w:val="center"/>
          </w:tcPr>
          <w:p>
            <w:pPr>
              <w:keepNext/>
              <w:spacing w:after="0"/>
              <w:jc w:val="center"/>
            </w:pPr>
            <w:r>
              <w:rPr>
                <w:b/>
                <w:bCs/>
                <w:color w:val="FFFFFF"/>
                <w:sz w:val="26"/>
                <w:szCs w:val="26"/>
              </w:rPr>
              <w:t xml:space="preserve">5</w:t>
            </w:r>
          </w:p>
        </w:tc>
        <w:tc>
          <w:tcPr>
            <w:tcW w:type="dxa" w:w="8740"/>
            <w:tcBorders>
              <w:top w:val="none" w:color="FFFFFF" w:sz="0"/>
              <w:left w:val="none" w:color="FFFFFF" w:sz="0"/>
              <w:bottom w:val="single" w:color="0F7C8C" w:sz="6"/>
              <w:right w:val="none" w:color="FFFFFF" w:sz="0"/>
            </w:tcBorders>
            <w:tcMar>
              <w:top w:type="dxa" w:w="60"/>
              <w:left w:type="dxa" w:w="200"/>
              <w:bottom w:type="dxa" w:w="60"/>
              <w:right w:type="dxa" w:w="0"/>
            </w:tcMar>
            <w:vAlign w:val="center"/>
          </w:tcPr>
          <w:p>
            <w:pPr>
              <w:pStyle w:val="Heading2"/>
              <w:keepNext/>
              <w:spacing w:after="0"/>
            </w:pPr>
            <w:r>
              <w:rPr>
                <w:b/>
                <w:bCs/>
                <w:color w:val="1B2A41"/>
                <w:sz w:val="24"/>
                <w:szCs w:val="24"/>
              </w:rPr>
              <w:t xml:space="preserve">Create the HR mail flow rules</w:t>
            </w:r>
          </w:p>
        </w:tc>
      </w:tr>
    </w:tbl>
    <w:p>
      <w:pPr>
        <w:spacing w:after="80"/>
      </w:pPr>
    </w:p>
    <w:p>
      <w:pPr>
        <w:spacing w:after="140" w:line="300"/>
      </w:pPr>
      <w:r>
        <w:rPr>
          <w:color w:val="334155"/>
          <w:sz w:val="21"/>
          <w:szCs w:val="21"/>
        </w:rPr>
        <w:t xml:space="preserve">Before building the external rule, I would create a mail contact for the provider's approved address under Recipients &gt; Contacts in the Exchange admin center. The "recipient is" condition only matches mailboxes, mail users, and mail contacts that exist in ABC's directory, so without the contact the insurer could not be selected in the rule (Microsoft, n.d.e).</w:t>
      </w:r>
    </w:p>
    <w:p>
      <w:pPr>
        <w:spacing w:after="140" w:line="300"/>
      </w:pPr>
      <w:r>
        <w:rPr>
          <w:color w:val="334155"/>
          <w:sz w:val="21"/>
          <w:szCs w:val="21"/>
        </w:rPr>
        <w:t xml:space="preserve">In the Microsoft 365 admin center, I would open Admin centers &gt; Exchange, then Mail flow &gt; Rules &gt; Create a new rule. I would create the two rules below. Within each rule, all listed conditions must match (Microsoft, n.d.b).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400"/>
        <w:gridCol w:w="3800"/>
      </w:tblGrid>
      <w:tr>
        <w:trPr>
          <w:tblHeader/>
        </w:trPr>
        <w:tc>
          <w:tcPr>
            <w:tcW w:type="dxa" w:w="216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Setting</w:t>
            </w:r>
          </w:p>
        </w:tc>
        <w:tc>
          <w:tcPr>
            <w:tcW w:type="dxa" w:w="340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Internal rule</w:t>
            </w:r>
          </w:p>
        </w:tc>
        <w:tc>
          <w:tcPr>
            <w:tcW w:type="dxa" w:w="380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External rule</w:t>
            </w:r>
          </w:p>
        </w:tc>
      </w:tr>
      <w:tr>
        <w:trPr>
          <w:cantSplit/>
        </w:trPr>
        <w:tc>
          <w:tcPr>
            <w:tcW w:type="dxa" w:w="21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Name</w:t>
            </w:r>
          </w:p>
        </w:tc>
        <w:tc>
          <w:tcPr>
            <w:tcW w:type="dxa" w:w="34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ABC HR to CIO protection</w:t>
            </w:r>
          </w:p>
        </w:tc>
        <w:tc>
          <w:tcPr>
            <w:tcW w:type="dxa" w:w="38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ABC HR to insurer protection</w:t>
            </w:r>
          </w:p>
        </w:tc>
      </w:tr>
      <w:tr>
        <w:trPr>
          <w:cantSplit/>
        </w:trPr>
        <w:tc>
          <w:tcPr>
            <w:tcW w:type="dxa" w:w="216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Sender location</w:t>
            </w:r>
          </w:p>
        </w:tc>
        <w:tc>
          <w:tcPr>
            <w:tcW w:type="dxa" w:w="34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Inside the organization</w:t>
            </w:r>
          </w:p>
        </w:tc>
        <w:tc>
          <w:tcPr>
            <w:tcW w:type="dxa" w:w="38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Inside the organization</w:t>
            </w:r>
          </w:p>
        </w:tc>
      </w:tr>
      <w:tr>
        <w:trPr>
          <w:cantSplit/>
        </w:trPr>
        <w:tc>
          <w:tcPr>
            <w:tcW w:type="dxa" w:w="21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Sender</w:t>
            </w:r>
          </w:p>
        </w:tc>
        <w:tc>
          <w:tcPr>
            <w:tcW w:type="dxa" w:w="34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rFonts w:ascii="Consolas" w:cs="Consolas" w:eastAsia="Consolas" w:hAnsi="Consolas"/>
                <w:color w:val="1B2A41"/>
                <w:sz w:val="17"/>
                <w:szCs w:val="17"/>
              </w:rPr>
              <w:t xml:space="preserve">hr@abc.example</w:t>
            </w:r>
          </w:p>
        </w:tc>
        <w:tc>
          <w:tcPr>
            <w:tcW w:type="dxa" w:w="38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rFonts w:ascii="Consolas" w:cs="Consolas" w:eastAsia="Consolas" w:hAnsi="Consolas"/>
                <w:color w:val="1B2A41"/>
                <w:sz w:val="17"/>
                <w:szCs w:val="17"/>
              </w:rPr>
              <w:t xml:space="preserve">hr@abc.example</w:t>
            </w:r>
          </w:p>
        </w:tc>
      </w:tr>
      <w:tr>
        <w:trPr>
          <w:cantSplit/>
        </w:trPr>
        <w:tc>
          <w:tcPr>
            <w:tcW w:type="dxa" w:w="216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Recipient</w:t>
            </w:r>
          </w:p>
        </w:tc>
        <w:tc>
          <w:tcPr>
            <w:tcW w:type="dxa" w:w="34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rFonts w:ascii="Consolas" w:cs="Consolas" w:eastAsia="Consolas" w:hAnsi="Consolas"/>
                <w:color w:val="1B2A41"/>
                <w:sz w:val="17"/>
                <w:szCs w:val="17"/>
              </w:rPr>
              <w:t xml:space="preserve">cio@abc.example</w:t>
            </w:r>
          </w:p>
        </w:tc>
        <w:tc>
          <w:tcPr>
            <w:tcW w:type="dxa" w:w="38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rFonts w:ascii="Consolas" w:cs="Consolas" w:eastAsia="Consolas" w:hAnsi="Consolas"/>
                <w:color w:val="1B2A41"/>
                <w:sz w:val="17"/>
                <w:szCs w:val="17"/>
              </w:rPr>
              <w:t xml:space="preserve">benefits@healthprovider.example</w:t>
            </w:r>
            <w:r>
              <w:rPr>
                <w:b w:val="false"/>
                <w:bCs w:val="false"/>
                <w:color w:val="334155"/>
                <w:sz w:val="19"/>
                <w:szCs w:val="19"/>
              </w:rPr>
              <w:t xml:space="preserve"> (mail contact)</w:t>
            </w:r>
          </w:p>
        </w:tc>
      </w:tr>
      <w:tr>
        <w:trPr>
          <w:cantSplit/>
        </w:trPr>
        <w:tc>
          <w:tcPr>
            <w:tcW w:type="dxa" w:w="21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Action</w:t>
            </w:r>
          </w:p>
        </w:tc>
        <w:tc>
          <w:tcPr>
            <w:tcW w:type="dxa" w:w="34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Apply encryption and rights protection</w:t>
            </w:r>
          </w:p>
        </w:tc>
        <w:tc>
          <w:tcPr>
            <w:tcW w:type="dxa" w:w="38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Apply encryption and rights protection</w:t>
            </w:r>
          </w:p>
        </w:tc>
      </w:tr>
      <w:tr>
        <w:trPr>
          <w:cantSplit/>
        </w:trPr>
        <w:tc>
          <w:tcPr>
            <w:tcW w:type="dxa" w:w="216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val="false"/>
              <w:keepLines/>
              <w:spacing w:after="0" w:line="260"/>
            </w:pPr>
            <w:r>
              <w:rPr>
                <w:b/>
                <w:bCs/>
                <w:color w:val="1B2A41"/>
                <w:sz w:val="19"/>
                <w:szCs w:val="19"/>
              </w:rPr>
              <w:t xml:space="preserve">Template</w:t>
            </w:r>
          </w:p>
        </w:tc>
        <w:tc>
          <w:tcPr>
            <w:tcW w:type="dxa" w:w="34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val="false"/>
              <w:keepLines/>
              <w:spacing w:after="0" w:line="260"/>
            </w:pPr>
            <w:r>
              <w:rPr>
                <w:b w:val="false"/>
                <w:bCs w:val="false"/>
                <w:color w:val="334155"/>
                <w:sz w:val="19"/>
                <w:szCs w:val="19"/>
              </w:rPr>
              <w:t xml:space="preserve">Do Not Forward</w:t>
            </w:r>
          </w:p>
        </w:tc>
        <w:tc>
          <w:tcPr>
            <w:tcW w:type="dxa" w:w="38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val="false"/>
              <w:keepLines/>
              <w:spacing w:after="0" w:line="260"/>
            </w:pPr>
            <w:r>
              <w:rPr>
                <w:b w:val="false"/>
                <w:bCs w:val="false"/>
                <w:color w:val="334155"/>
                <w:sz w:val="19"/>
                <w:szCs w:val="19"/>
              </w:rPr>
              <w:t xml:space="preserve">Do Not Forward</w:t>
            </w:r>
          </w:p>
        </w:tc>
      </w:tr>
    </w:tbl>
    <w:p>
      <w:pPr>
        <w:spacing w:after="100"/>
      </w:pPr>
    </w:p>
    <w:p>
      <w:pPr>
        <w:spacing w:after="140" w:line="300"/>
      </w:pPr>
      <w:r>
        <w:rPr>
          <w:color w:val="334155"/>
          <w:sz w:val="21"/>
          <w:szCs w:val="21"/>
        </w:rPr>
        <w:t xml:space="preserve">For the action, I would select Modify the message security &gt; Apply Office 365 Message Encryption and rights protection, then choose Do Not Forward. If the template list is empty, I would return to the service checks rather than saving an incomplete rule (Microsoft, n.d.b).</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rPr>
          <w:cantSplit/>
        </w:trPr>
        <w:tc>
          <w:tcPr>
            <w:tcW w:type="dxa" w:w="620"/>
            <w:tcBorders>
              <w:top w:val="none" w:color="FFFFFF" w:sz="0"/>
              <w:left w:val="none" w:color="FFFFFF" w:sz="0"/>
              <w:bottom w:val="none" w:color="FFFFFF" w:sz="0"/>
              <w:right w:val="none" w:color="FFFFFF" w:sz="0"/>
            </w:tcBorders>
            <w:shd w:fill="0F7C8C" w:color="auto" w:val="clear"/>
            <w:tcMar>
              <w:top w:type="dxa" w:w="60"/>
              <w:left w:type="dxa" w:w="0"/>
              <w:bottom w:type="dxa" w:w="60"/>
              <w:right w:type="dxa" w:w="0"/>
            </w:tcMar>
            <w:vAlign w:val="center"/>
          </w:tcPr>
          <w:p>
            <w:pPr>
              <w:keepNext/>
              <w:spacing w:after="0"/>
              <w:jc w:val="center"/>
            </w:pPr>
            <w:r>
              <w:rPr>
                <w:b/>
                <w:bCs/>
                <w:color w:val="FFFFFF"/>
                <w:sz w:val="26"/>
                <w:szCs w:val="26"/>
              </w:rPr>
              <w:t xml:space="preserve">6</w:t>
            </w:r>
          </w:p>
        </w:tc>
        <w:tc>
          <w:tcPr>
            <w:tcW w:type="dxa" w:w="8740"/>
            <w:tcBorders>
              <w:top w:val="none" w:color="FFFFFF" w:sz="0"/>
              <w:left w:val="none" w:color="FFFFFF" w:sz="0"/>
              <w:bottom w:val="single" w:color="0F7C8C" w:sz="6"/>
              <w:right w:val="none" w:color="FFFFFF" w:sz="0"/>
            </w:tcBorders>
            <w:tcMar>
              <w:top w:type="dxa" w:w="60"/>
              <w:left w:type="dxa" w:w="200"/>
              <w:bottom w:type="dxa" w:w="60"/>
              <w:right w:type="dxa" w:w="0"/>
            </w:tcMar>
            <w:vAlign w:val="center"/>
          </w:tcPr>
          <w:p>
            <w:pPr>
              <w:pStyle w:val="Heading2"/>
              <w:keepNext/>
              <w:spacing w:after="0"/>
            </w:pPr>
            <w:r>
              <w:rPr>
                <w:b/>
                <w:bCs/>
                <w:color w:val="1B2A41"/>
                <w:sz w:val="24"/>
                <w:szCs w:val="24"/>
              </w:rPr>
              <w:t xml:space="preserve">Review and enable the rules</w:t>
            </w:r>
          </w:p>
        </w:tc>
      </w:tr>
    </w:tbl>
    <w:p>
      <w:pPr>
        <w:spacing w:after="80"/>
      </w:pPr>
    </w:p>
    <w:p>
      <w:pPr>
        <w:spacing w:after="140" w:line="300"/>
      </w:pPr>
      <w:r>
        <w:rPr>
          <w:color w:val="334155"/>
          <w:sz w:val="21"/>
          <w:szCs w:val="21"/>
        </w:rPr>
        <w:t xml:space="preserve">I would review the conditions, place the rules where existing rules cannot bypass them, select Enforce, save, and enable them. The initial rollout would use the approved pilot mailbox and test recipients. After validation, I would expand the sender scope to all authorized HR accounts and document the approved recipient list.</w:t>
      </w:r>
    </w:p>
    <w:p>
      <w:pPr>
        <w:spacing w:after="140" w:line="300"/>
      </w:pPr>
      <w:r>
        <w:rPr>
          <w:color w:val="334155"/>
          <w:sz w:val="21"/>
          <w:szCs w:val="21"/>
        </w:rPr>
        <w:t xml:space="preserve">The CIO rule intentionally includes an internal recipient. A condition requiring every recipient to be outside ABC would leave that part of the assignment uncovered. I would also configure a corresponding CIO to HR rule if new messages from the CIO need automatic protection.</w:t>
      </w:r>
    </w:p>
    <w:p>
      <w:pPr>
        <w:pStyle w:val="Heading2"/>
        <w:keepNext/>
        <w:spacing w:after="100" w:before="260"/>
      </w:pPr>
      <w:r>
        <w:rPr>
          <w:b/>
          <w:bCs/>
          <w:color w:val="0F7C8C"/>
          <w:spacing w:val="30"/>
          <w:sz w:val="20"/>
          <w:szCs w:val="20"/>
        </w:rPr>
        <w:t xml:space="preserve">TRANSPORT SECURITY TO THE PROVIDER</w:t>
      </w:r>
    </w:p>
    <w:p>
      <w:pPr>
        <w:spacing w:after="140" w:line="300"/>
      </w:pPr>
      <w:r>
        <w:rPr>
          <w:color w:val="334155"/>
          <w:sz w:val="21"/>
          <w:szCs w:val="21"/>
        </w:rPr>
        <w:t xml:space="preserve">Purview protects the message content, but I would also lock down the server-to-server hop to the insurer. Exchange Online uses opportunistic TLS by default, which can fall back to an unencrypted connection if the other side does not offer TLS (Microsoft, n.d.d). Under Mail flow &gt; Connectors, I would create a connector from Office 365 to a partner organization, scope it to the provider's domain, and select Always use Transport Layer Security (TLS) to secure the connection. Mail that cannot meet that requirement would be rejected instead of sent in the clear (Microsoft, n.d.j). I would confirm the provider supports TLS before enabling the connector so benefits mail does not start bouncing.</w:t>
      </w:r>
    </w:p>
    <w:p>
      <w:pPr>
        <w:pStyle w:val="Heading2"/>
        <w:keepNext/>
        <w:spacing w:after="100" w:before="260"/>
      </w:pPr>
      <w:r>
        <w:rPr>
          <w:b/>
          <w:bCs/>
          <w:color w:val="0F7C8C"/>
          <w:spacing w:val="30"/>
          <w:sz w:val="20"/>
          <w:szCs w:val="20"/>
        </w:rPr>
        <w:t xml:space="preserve">SCOPE AND HANDLING EXCEPTIONS</w:t>
      </w:r>
    </w:p>
    <w:p>
      <w:pPr>
        <w:spacing w:after="140" w:line="300"/>
      </w:pPr>
      <w:r>
        <w:rPr>
          <w:color w:val="334155"/>
          <w:sz w:val="21"/>
          <w:szCs w:val="21"/>
        </w:rPr>
        <w:t xml:space="preserve">These rules protect the specified communication paths. They do not authorize other recipients or protect every possible HR destination. HR must use manual protection for other approved sensitive messages, and ABC should evaluate broader destination controls and data loss prevention policies for its actual environment.</w:t>
      </w:r>
    </w:p>
    <w:p>
      <w:pPr>
        <w:spacing w:after="140" w:line="300"/>
      </w:pPr>
      <w:r>
        <w:rPr>
          <w:color w:val="334155"/>
          <w:sz w:val="21"/>
          <w:szCs w:val="21"/>
        </w:rPr>
        <w:t xml:space="preserve">ABC cannot use an outbound encryption rule to protect a new message arriving from an outside sender. The provider should reply within the protected conversation or use its own approved secure sending process (Microsoft, n.d.b).</w:t>
      </w:r>
    </w:p>
    <w:p>
      <w:pPr>
        <w:pStyle w:val="Heading1"/>
        <w:keepNext/>
        <w:pBdr>
          <w:bottom w:val="single" w:color="0F7C8C" w:sz="8" w:space="6"/>
        </w:pBdr>
        <w:spacing w:after="120" w:before="360"/>
      </w:pPr>
      <w:r>
        <w:rPr>
          <w:b/>
          <w:bCs/>
          <w:color w:val="0F7C8C"/>
          <w:sz w:val="30"/>
          <w:szCs w:val="30"/>
        </w:rPr>
        <w:t xml:space="preserve">04  </w:t>
      </w:r>
      <w:r>
        <w:rPr>
          <w:b/>
          <w:bCs/>
          <w:color w:val="1B2A41"/>
          <w:sz w:val="30"/>
          <w:szCs w:val="30"/>
        </w:rPr>
        <w:t xml:space="preserve">Send and Receive an Example Message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rPr>
          <w:cantSplit/>
        </w:trPr>
        <w:tc>
          <w:tcPr>
            <w:tcW w:type="dxa" w:w="620"/>
            <w:tcBorders>
              <w:top w:val="none" w:color="FFFFFF" w:sz="0"/>
              <w:left w:val="none" w:color="FFFFFF" w:sz="0"/>
              <w:bottom w:val="none" w:color="FFFFFF" w:sz="0"/>
              <w:right w:val="none" w:color="FFFFFF" w:sz="0"/>
            </w:tcBorders>
            <w:shd w:fill="0F7C8C" w:color="auto" w:val="clear"/>
            <w:tcMar>
              <w:top w:type="dxa" w:w="60"/>
              <w:left w:type="dxa" w:w="0"/>
              <w:bottom w:type="dxa" w:w="60"/>
              <w:right w:type="dxa" w:w="0"/>
            </w:tcMar>
            <w:vAlign w:val="center"/>
          </w:tcPr>
          <w:p>
            <w:pPr>
              <w:keepNext/>
              <w:spacing w:after="0"/>
              <w:jc w:val="center"/>
            </w:pPr>
            <w:r>
              <w:rPr>
                <w:b/>
                <w:bCs/>
                <w:color w:val="FFFFFF"/>
                <w:sz w:val="26"/>
                <w:szCs w:val="26"/>
              </w:rPr>
              <w:t xml:space="preserve">7</w:t>
            </w:r>
          </w:p>
        </w:tc>
        <w:tc>
          <w:tcPr>
            <w:tcW w:type="dxa" w:w="8740"/>
            <w:tcBorders>
              <w:top w:val="none" w:color="FFFFFF" w:sz="0"/>
              <w:left w:val="none" w:color="FFFFFF" w:sz="0"/>
              <w:bottom w:val="single" w:color="0F7C8C" w:sz="6"/>
              <w:right w:val="none" w:color="FFFFFF" w:sz="0"/>
            </w:tcBorders>
            <w:tcMar>
              <w:top w:type="dxa" w:w="60"/>
              <w:left w:type="dxa" w:w="200"/>
              <w:bottom w:type="dxa" w:w="60"/>
              <w:right w:type="dxa" w:w="0"/>
            </w:tcMar>
            <w:vAlign w:val="center"/>
          </w:tcPr>
          <w:p>
            <w:pPr>
              <w:pStyle w:val="Heading2"/>
              <w:keepNext/>
              <w:spacing w:after="0"/>
            </w:pPr>
            <w:r>
              <w:rPr>
                <w:b/>
                <w:bCs/>
                <w:color w:val="1B2A41"/>
                <w:sz w:val="24"/>
                <w:szCs w:val="24"/>
              </w:rPr>
              <w:t xml:space="preserve">Compose the message in Outlook</w:t>
            </w:r>
          </w:p>
        </w:tc>
      </w:tr>
    </w:tbl>
    <w:p>
      <w:pPr>
        <w:spacing w:after="80"/>
      </w:pPr>
    </w:p>
    <w:p>
      <w:pPr>
        <w:spacing w:after="140" w:line="300"/>
      </w:pPr>
      <w:r>
        <w:rPr>
          <w:color w:val="334155"/>
          <w:sz w:val="21"/>
          <w:szCs w:val="21"/>
        </w:rPr>
        <w:t xml:space="preserve">In Outlook on the web, HR would create a new message, verify the intended address, and use a neutral subject. Under Options &gt; Encrypt, HR would select Do Not Forward, confirm the protection notice, attach the approved file, and send. The automatic rule also protects matching messages if HR forgets the manual selection (Microsoft, n.d.i).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Field</w:t>
            </w:r>
          </w:p>
        </w:tc>
        <w:tc>
          <w:tcPr>
            <w:tcW w:type="dxa" w:w="716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Fictional external example</w:t>
            </w:r>
          </w:p>
        </w:tc>
      </w:tr>
      <w:tr>
        <w:trPr>
          <w:cantSplit/>
        </w:trPr>
        <w:tc>
          <w:tcPr>
            <w:tcW w:type="dxa" w:w="22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From</w:t>
            </w:r>
          </w:p>
        </w:tc>
        <w:tc>
          <w:tcPr>
            <w:tcW w:type="dxa" w:w="71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rFonts w:ascii="Consolas" w:cs="Consolas" w:eastAsia="Consolas" w:hAnsi="Consolas"/>
                <w:color w:val="1B2A41"/>
                <w:sz w:val="17"/>
                <w:szCs w:val="17"/>
              </w:rPr>
              <w:t xml:space="preserve">hr@abc.example</w:t>
            </w:r>
          </w:p>
        </w:tc>
      </w:tr>
      <w:tr>
        <w:trPr>
          <w:cantSplit/>
        </w:trPr>
        <w:tc>
          <w:tcPr>
            <w:tcW w:type="dxa" w:w="22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To</w:t>
            </w:r>
          </w:p>
        </w:tc>
        <w:tc>
          <w:tcPr>
            <w:tcW w:type="dxa" w:w="716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rFonts w:ascii="Consolas" w:cs="Consolas" w:eastAsia="Consolas" w:hAnsi="Consolas"/>
                <w:color w:val="1B2A41"/>
                <w:sz w:val="17"/>
                <w:szCs w:val="17"/>
              </w:rPr>
              <w:t xml:space="preserve">benefits@healthprovider.example</w:t>
            </w:r>
          </w:p>
        </w:tc>
      </w:tr>
      <w:tr>
        <w:trPr>
          <w:cantSplit/>
        </w:trPr>
        <w:tc>
          <w:tcPr>
            <w:tcW w:type="dxa" w:w="22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Subject</w:t>
            </w:r>
          </w:p>
        </w:tc>
        <w:tc>
          <w:tcPr>
            <w:tcW w:type="dxa" w:w="71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ABC benefits review request</w:t>
            </w:r>
          </w:p>
        </w:tc>
      </w:tr>
      <w:tr>
        <w:trPr>
          <w:cantSplit/>
        </w:trPr>
        <w:tc>
          <w:tcPr>
            <w:tcW w:type="dxa" w:w="22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Protection</w:t>
            </w:r>
          </w:p>
        </w:tc>
        <w:tc>
          <w:tcPr>
            <w:tcW w:type="dxa" w:w="716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Do Not Forward</w:t>
            </w:r>
          </w:p>
        </w:tc>
      </w:tr>
      <w:tr>
        <w:trPr>
          <w:cantSplit/>
        </w:trPr>
        <w:tc>
          <w:tcPr>
            <w:tcW w:type="dxa" w:w="22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Attachment</w:t>
            </w:r>
          </w:p>
        </w:tc>
        <w:tc>
          <w:tcPr>
            <w:tcW w:type="dxa" w:w="71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Benefits_Test_Record.docx</w:t>
            </w:r>
          </w:p>
        </w:tc>
      </w:tr>
      <w:tr>
        <w:trPr>
          <w:cantSplit/>
        </w:trPr>
        <w:tc>
          <w:tcPr>
            <w:tcW w:type="dxa" w:w="22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val="false"/>
              <w:keepLines/>
              <w:spacing w:after="0" w:line="260"/>
            </w:pPr>
            <w:r>
              <w:rPr>
                <w:b/>
                <w:bCs/>
                <w:color w:val="1B2A41"/>
                <w:sz w:val="19"/>
                <w:szCs w:val="19"/>
              </w:rPr>
              <w:t xml:space="preserve">Body</w:t>
            </w:r>
          </w:p>
        </w:tc>
        <w:tc>
          <w:tcPr>
            <w:tcW w:type="dxa" w:w="716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val="false"/>
              <w:keepLines/>
              <w:spacing w:after="0" w:line="260"/>
            </w:pPr>
            <w:r>
              <w:rPr>
                <w:b w:val="false"/>
                <w:bCs w:val="false"/>
                <w:color w:val="334155"/>
                <w:sz w:val="19"/>
                <w:szCs w:val="19"/>
              </w:rPr>
              <w:t xml:space="preserve">Hello, please review the attached fictional benefits record for employee TEST001 and confirm receipt by replying within this protected message. Thank you, ABC Human Resources.</w:t>
            </w:r>
          </w:p>
        </w:tc>
      </w:tr>
    </w:tbl>
    <w:p>
      <w:pPr>
        <w:spacing w:after="100"/>
      </w:pPr>
    </w:p>
    <w:p>
      <w:pPr>
        <w:spacing w:after="140" w:line="300"/>
      </w:pPr>
      <w:r>
        <w:rPr>
          <w:color w:val="334155"/>
          <w:sz w:val="21"/>
          <w:szCs w:val="21"/>
        </w:rPr>
        <w:t xml:space="preserve">For the CIO, I would send a separate protected message to </w:t>
      </w:r>
      <w:r>
        <w:rPr>
          <w:rFonts w:ascii="Consolas" w:cs="Consolas" w:eastAsia="Consolas" w:hAnsi="Consolas"/>
          <w:color w:val="1B2A41"/>
          <w:sz w:val="19"/>
          <w:szCs w:val="19"/>
        </w:rPr>
        <w:t xml:space="preserve">cio@abc.example</w:t>
      </w:r>
      <w:r>
        <w:rPr>
          <w:color w:val="334155"/>
          <w:sz w:val="21"/>
          <w:szCs w:val="21"/>
        </w:rPr>
        <w:t xml:space="preserve"> with a fictional payroll review file, Payroll_Test_Summary.xlsx. Separate messages let HR tailor the information to each recipient's business need instead of sharing the same records with everyone.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rPr>
          <w:cantSplit/>
        </w:trPr>
        <w:tc>
          <w:tcPr>
            <w:tcW w:type="dxa" w:w="620"/>
            <w:tcBorders>
              <w:top w:val="none" w:color="FFFFFF" w:sz="0"/>
              <w:left w:val="none" w:color="FFFFFF" w:sz="0"/>
              <w:bottom w:val="none" w:color="FFFFFF" w:sz="0"/>
              <w:right w:val="none" w:color="FFFFFF" w:sz="0"/>
            </w:tcBorders>
            <w:shd w:fill="0F7C8C" w:color="auto" w:val="clear"/>
            <w:tcMar>
              <w:top w:type="dxa" w:w="60"/>
              <w:left w:type="dxa" w:w="0"/>
              <w:bottom w:type="dxa" w:w="60"/>
              <w:right w:type="dxa" w:w="0"/>
            </w:tcMar>
            <w:vAlign w:val="center"/>
          </w:tcPr>
          <w:p>
            <w:pPr>
              <w:keepNext/>
              <w:spacing w:after="0"/>
              <w:jc w:val="center"/>
            </w:pPr>
            <w:r>
              <w:rPr>
                <w:b/>
                <w:bCs/>
                <w:color w:val="FFFFFF"/>
                <w:sz w:val="26"/>
                <w:szCs w:val="26"/>
              </w:rPr>
              <w:t xml:space="preserve">8</w:t>
            </w:r>
          </w:p>
        </w:tc>
        <w:tc>
          <w:tcPr>
            <w:tcW w:type="dxa" w:w="8740"/>
            <w:tcBorders>
              <w:top w:val="none" w:color="FFFFFF" w:sz="0"/>
              <w:left w:val="none" w:color="FFFFFF" w:sz="0"/>
              <w:bottom w:val="single" w:color="0F7C8C" w:sz="6"/>
              <w:right w:val="none" w:color="FFFFFF" w:sz="0"/>
            </w:tcBorders>
            <w:tcMar>
              <w:top w:type="dxa" w:w="60"/>
              <w:left w:type="dxa" w:w="200"/>
              <w:bottom w:type="dxa" w:w="60"/>
              <w:right w:type="dxa" w:w="0"/>
            </w:tcMar>
            <w:vAlign w:val="center"/>
          </w:tcPr>
          <w:p>
            <w:pPr>
              <w:pStyle w:val="Heading2"/>
              <w:keepNext/>
              <w:spacing w:after="0"/>
            </w:pPr>
            <w:r>
              <w:rPr>
                <w:b/>
                <w:bCs/>
                <w:color w:val="1B2A41"/>
                <w:sz w:val="24"/>
                <w:szCs w:val="24"/>
              </w:rPr>
              <w:t xml:space="preserve">Open and reply securely</w:t>
            </w:r>
          </w:p>
        </w:tc>
      </w:tr>
    </w:tbl>
    <w:p>
      <w:pPr>
        <w:spacing w:after="80"/>
      </w:pPr>
    </w:p>
    <w:p>
      <w:pPr>
        <w:spacing w:after="140" w:line="300"/>
      </w:pPr>
      <w:r>
        <w:rPr>
          <w:color w:val="334155"/>
          <w:sz w:val="21"/>
          <w:szCs w:val="21"/>
        </w:rPr>
        <w:t xml:space="preserve">The CIO would sign in to the intended ABC account and open the protected message in supported Outlook. The provider's experience depends on its email service and client. It may open the message directly in supported Outlook or follow the secure message link and authenticate in the browser. Where available, a passcode may be delivered to the recipient mailbox (Microsoft, n.d.h).</w:t>
      </w:r>
    </w:p>
    <w:p>
      <w:pPr>
        <w:spacing w:after="140" w:line="300"/>
      </w:pPr>
      <w:r>
        <w:rPr>
          <w:color w:val="334155"/>
          <w:sz w:val="21"/>
          <w:szCs w:val="21"/>
        </w:rPr>
        <w:t xml:space="preserve">Both recipients should reply within the protected experience so the response retains protection. If the provider cannot open the message, HR should contact IT instead of resending sensitive content without encryption (Microsoft, n.d.h).</w:t>
      </w:r>
    </w:p>
    <w:p>
      <w:pPr>
        <w:pStyle w:val="Heading2"/>
        <w:keepNext/>
        <w:spacing w:after="100" w:before="260"/>
      </w:pPr>
      <w:r>
        <w:rPr>
          <w:b/>
          <w:bCs/>
          <w:color w:val="0F7C8C"/>
          <w:spacing w:val="30"/>
          <w:sz w:val="20"/>
          <w:szCs w:val="20"/>
        </w:rPr>
        <w:t xml:space="preserve">ATTACHMENT PRECAUTIONS</w:t>
      </w:r>
    </w:p>
    <w:p>
      <w:pPr>
        <w:spacing w:after="140" w:line="300"/>
      </w:pPr>
      <w:r>
        <w:rPr>
          <w:color w:val="334155"/>
          <w:sz w:val="21"/>
          <w:szCs w:val="21"/>
        </w:rPr>
        <w:t xml:space="preserve">Supported Word and Excel attachments can inherit rights protection. I would validate the chosen format before exchanging real records. I would not assume that every file format has persistent protection after download. A SharePoint or OneDrive link requires its own access permissions; encrypting the email does not automatically protect the linked file (Microsoft, n.d.f).</w:t>
      </w:r>
    </w:p>
    <w:p>
      <w:pPr>
        <w:pStyle w:val="Heading1"/>
        <w:keepNext/>
        <w:pBdr>
          <w:bottom w:val="single" w:color="0F7C8C" w:sz="8" w:space="6"/>
        </w:pBdr>
        <w:spacing w:after="120" w:before="360"/>
      </w:pPr>
      <w:r>
        <w:rPr>
          <w:b/>
          <w:bCs/>
          <w:color w:val="0F7C8C"/>
          <w:sz w:val="30"/>
          <w:szCs w:val="30"/>
        </w:rPr>
        <w:t xml:space="preserve">05  </w:t>
      </w:r>
      <w:r>
        <w:rPr>
          <w:b/>
          <w:bCs/>
          <w:color w:val="1B2A41"/>
          <w:sz w:val="30"/>
          <w:szCs w:val="30"/>
        </w:rPr>
        <w:t xml:space="preserve">Validation and Operational Safeguards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rPr>
          <w:cantSplit/>
        </w:trPr>
        <w:tc>
          <w:tcPr>
            <w:tcW w:type="dxa" w:w="620"/>
            <w:tcBorders>
              <w:top w:val="none" w:color="FFFFFF" w:sz="0"/>
              <w:left w:val="none" w:color="FFFFFF" w:sz="0"/>
              <w:bottom w:val="none" w:color="FFFFFF" w:sz="0"/>
              <w:right w:val="none" w:color="FFFFFF" w:sz="0"/>
            </w:tcBorders>
            <w:shd w:fill="0F7C8C" w:color="auto" w:val="clear"/>
            <w:tcMar>
              <w:top w:type="dxa" w:w="60"/>
              <w:left w:type="dxa" w:w="0"/>
              <w:bottom w:type="dxa" w:w="60"/>
              <w:right w:type="dxa" w:w="0"/>
            </w:tcMar>
            <w:vAlign w:val="center"/>
          </w:tcPr>
          <w:p>
            <w:pPr>
              <w:keepNext/>
              <w:spacing w:after="0"/>
              <w:jc w:val="center"/>
            </w:pPr>
            <w:r>
              <w:rPr>
                <w:b/>
                <w:bCs/>
                <w:color w:val="FFFFFF"/>
                <w:sz w:val="26"/>
                <w:szCs w:val="26"/>
              </w:rPr>
              <w:t xml:space="preserve">9</w:t>
            </w:r>
          </w:p>
        </w:tc>
        <w:tc>
          <w:tcPr>
            <w:tcW w:type="dxa" w:w="8740"/>
            <w:tcBorders>
              <w:top w:val="none" w:color="FFFFFF" w:sz="0"/>
              <w:left w:val="none" w:color="FFFFFF" w:sz="0"/>
              <w:bottom w:val="single" w:color="0F7C8C" w:sz="6"/>
              <w:right w:val="none" w:color="FFFFFF" w:sz="0"/>
            </w:tcBorders>
            <w:tcMar>
              <w:top w:type="dxa" w:w="60"/>
              <w:left w:type="dxa" w:w="200"/>
              <w:bottom w:type="dxa" w:w="60"/>
              <w:right w:type="dxa" w:w="0"/>
            </w:tcMar>
            <w:vAlign w:val="center"/>
          </w:tcPr>
          <w:p>
            <w:pPr>
              <w:pStyle w:val="Heading2"/>
              <w:keepNext/>
              <w:spacing w:after="0"/>
            </w:pPr>
            <w:r>
              <w:rPr>
                <w:b/>
                <w:bCs/>
                <w:color w:val="1B2A41"/>
                <w:sz w:val="24"/>
                <w:szCs w:val="24"/>
              </w:rPr>
              <w:t xml:space="preserve">Test before releasing real information</w:t>
            </w:r>
          </w:p>
        </w:tc>
      </w:tr>
    </w:tbl>
    <w:p>
      <w:pPr>
        <w:spacing w:after="80"/>
      </w:pPr>
    </w:p>
    <w:p>
      <w:pPr>
        <w:spacing w:after="140" w:line="300"/>
      </w:pPr>
      <w:r>
        <w:rPr>
          <w:color w:val="334155"/>
          <w:sz w:val="21"/>
          <w:szCs w:val="21"/>
        </w:rPr>
        <w:t xml:space="preserve">The following checks are expected acceptance criteria, not observed results. I would retain the actual test evidence with the change record, using fictitious content and limiting access to administrative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Test</w:t>
            </w:r>
          </w:p>
        </w:tc>
        <w:tc>
          <w:tcPr>
            <w:tcW w:type="dxa" w:w="676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Expected result</w:t>
            </w:r>
          </w:p>
        </w:tc>
      </w:tr>
      <w:tr>
        <w:trPr>
          <w:cantSplit/>
        </w:trPr>
        <w:tc>
          <w:tcPr>
            <w:tcW w:type="dxa" w:w="26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HR to CIO</w:t>
            </w:r>
          </w:p>
        </w:tc>
        <w:tc>
          <w:tcPr>
            <w:tcW w:type="dxa" w:w="67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The CIO can open the message using the intended ABC account.</w:t>
            </w:r>
          </w:p>
        </w:tc>
      </w:tr>
      <w:tr>
        <w:trPr>
          <w:cantSplit/>
        </w:trPr>
        <w:tc>
          <w:tcPr>
            <w:tcW w:type="dxa" w:w="26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HR to external provider</w:t>
            </w:r>
          </w:p>
        </w:tc>
        <w:tc>
          <w:tcPr>
            <w:tcW w:type="dxa" w:w="676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The approved provider can authenticate and read the message.</w:t>
            </w:r>
          </w:p>
        </w:tc>
      </w:tr>
      <w:tr>
        <w:trPr>
          <w:cantSplit/>
        </w:trPr>
        <w:tc>
          <w:tcPr>
            <w:tcW w:type="dxa" w:w="26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Automatic enforcement</w:t>
            </w:r>
          </w:p>
        </w:tc>
        <w:tc>
          <w:tcPr>
            <w:tcW w:type="dxa" w:w="67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A matching test message sent without manual encryption is protected by the rule.</w:t>
            </w:r>
          </w:p>
        </w:tc>
      </w:tr>
      <w:tr>
        <w:trPr>
          <w:cantSplit/>
        </w:trPr>
        <w:tc>
          <w:tcPr>
            <w:tcW w:type="dxa" w:w="26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Unauthorized account</w:t>
            </w:r>
          </w:p>
        </w:tc>
        <w:tc>
          <w:tcPr>
            <w:tcW w:type="dxa" w:w="676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A different test account cannot open the protected content.</w:t>
            </w:r>
          </w:p>
        </w:tc>
      </w:tr>
      <w:tr>
        <w:trPr>
          <w:cantSplit/>
        </w:trPr>
        <w:tc>
          <w:tcPr>
            <w:tcW w:type="dxa" w:w="26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Recipient restrictions</w:t>
            </w:r>
          </w:p>
        </w:tc>
        <w:tc>
          <w:tcPr>
            <w:tcW w:type="dxa" w:w="67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Forwarding, copying, and printing restrictions work in the tested client.</w:t>
            </w:r>
          </w:p>
        </w:tc>
      </w:tr>
      <w:tr>
        <w:trPr>
          <w:cantSplit/>
        </w:trPr>
        <w:tc>
          <w:tcPr>
            <w:tcW w:type="dxa" w:w="26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Protected reply</w:t>
            </w:r>
          </w:p>
        </w:tc>
        <w:tc>
          <w:tcPr>
            <w:tcW w:type="dxa" w:w="676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HR can read the recipient's reply through the protected conversation.</w:t>
            </w:r>
          </w:p>
        </w:tc>
      </w:tr>
      <w:tr>
        <w:trPr>
          <w:cantSplit/>
        </w:trPr>
        <w:tc>
          <w:tcPr>
            <w:tcW w:type="dxa" w:w="26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Attachment access</w:t>
            </w:r>
          </w:p>
        </w:tc>
        <w:tc>
          <w:tcPr>
            <w:tcW w:type="dxa" w:w="67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The approved recipient can open the test attachment; an unauthorized test account cannot.</w:t>
            </w:r>
          </w:p>
        </w:tc>
      </w:tr>
      <w:tr>
        <w:trPr>
          <w:cantSplit/>
        </w:trPr>
        <w:tc>
          <w:tcPr>
            <w:tcW w:type="dxa" w:w="26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val="false"/>
              <w:keepLines/>
              <w:spacing w:after="0" w:line="260"/>
            </w:pPr>
            <w:r>
              <w:rPr>
                <w:b/>
                <w:bCs/>
                <w:color w:val="1B2A41"/>
                <w:sz w:val="19"/>
                <w:szCs w:val="19"/>
              </w:rPr>
              <w:t xml:space="preserve">Rule boundaries</w:t>
            </w:r>
          </w:p>
        </w:tc>
        <w:tc>
          <w:tcPr>
            <w:tcW w:type="dxa" w:w="676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val="false"/>
              <w:keepLines/>
              <w:spacing w:after="0" w:line="260"/>
            </w:pPr>
            <w:r>
              <w:rPr>
                <w:b w:val="false"/>
                <w:bCs w:val="false"/>
                <w:color w:val="334155"/>
                <w:sz w:val="19"/>
                <w:szCs w:val="19"/>
              </w:rPr>
              <w:t xml:space="preserve">A harmless message outside the defined sender or recipient scope does not unexpectedly match.</w:t>
            </w:r>
          </w:p>
        </w:tc>
      </w:tr>
    </w:tbl>
    <w:p>
      <w:pPr>
        <w:spacing w:after="100"/>
      </w:pPr>
    </w:p>
    <w:p>
      <w:pPr>
        <w:spacing w:after="140" w:line="300"/>
      </w:pPr>
      <w:r>
        <w:rPr>
          <w:color w:val="334155"/>
          <w:sz w:val="21"/>
          <w:szCs w:val="21"/>
        </w:rPr>
        <w:t xml:space="preserve">I would inspect message trace for delivery, review the effective rule settings, and confirm recipient access directly. Successful delivery alone would not prove that protection was applied. Any failure would keep real PHI and payroll data out of the workflow until resolved.</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rPr>
          <w:cantSplit/>
        </w:trPr>
        <w:tc>
          <w:tcPr>
            <w:tcW w:type="dxa" w:w="620"/>
            <w:tcBorders>
              <w:top w:val="none" w:color="FFFFFF" w:sz="0"/>
              <w:left w:val="none" w:color="FFFFFF" w:sz="0"/>
              <w:bottom w:val="none" w:color="FFFFFF" w:sz="0"/>
              <w:right w:val="none" w:color="FFFFFF" w:sz="0"/>
            </w:tcBorders>
            <w:shd w:fill="0F7C8C" w:color="auto" w:val="clear"/>
            <w:tcMar>
              <w:top w:type="dxa" w:w="60"/>
              <w:left w:type="dxa" w:w="0"/>
              <w:bottom w:type="dxa" w:w="60"/>
              <w:right w:type="dxa" w:w="0"/>
            </w:tcMar>
            <w:vAlign w:val="center"/>
          </w:tcPr>
          <w:p>
            <w:pPr>
              <w:keepNext/>
              <w:spacing w:after="0"/>
              <w:jc w:val="center"/>
            </w:pPr>
            <w:r>
              <w:rPr>
                <w:b/>
                <w:bCs/>
                <w:color w:val="FFFFFF"/>
                <w:sz w:val="26"/>
                <w:szCs w:val="26"/>
              </w:rPr>
              <w:t xml:space="preserve">10</w:t>
            </w:r>
          </w:p>
        </w:tc>
        <w:tc>
          <w:tcPr>
            <w:tcW w:type="dxa" w:w="8740"/>
            <w:tcBorders>
              <w:top w:val="none" w:color="FFFFFF" w:sz="0"/>
              <w:left w:val="none" w:color="FFFFFF" w:sz="0"/>
              <w:bottom w:val="single" w:color="0F7C8C" w:sz="6"/>
              <w:right w:val="none" w:color="FFFFFF" w:sz="0"/>
            </w:tcBorders>
            <w:tcMar>
              <w:top w:type="dxa" w:w="60"/>
              <w:left w:type="dxa" w:w="200"/>
              <w:bottom w:type="dxa" w:w="60"/>
              <w:right w:type="dxa" w:w="0"/>
            </w:tcMar>
            <w:vAlign w:val="center"/>
          </w:tcPr>
          <w:p>
            <w:pPr>
              <w:pStyle w:val="Heading2"/>
              <w:keepNext/>
              <w:spacing w:after="0"/>
            </w:pPr>
            <w:r>
              <w:rPr>
                <w:b/>
                <w:bCs/>
                <w:color w:val="1B2A41"/>
                <w:sz w:val="24"/>
                <w:szCs w:val="24"/>
              </w:rPr>
              <w:t xml:space="preserve">Maintain secure daily use</w:t>
            </w:r>
          </w:p>
        </w:tc>
      </w:tr>
    </w:tbl>
    <w:p>
      <w:pPr>
        <w:spacing w:after="80"/>
      </w:pPr>
    </w:p>
    <w:p>
      <w:pPr>
        <w:spacing w:after="140" w:line="300"/>
      </w:pPr>
      <w:r>
        <w:rPr>
          <w:color w:val="334155"/>
          <w:sz w:val="21"/>
          <w:szCs w:val="21"/>
        </w:rPr>
        <w:t xml:space="preserve">I would train HR to verify recipients, avoid sensitive subject lines, send only necessary records, and report access problems. I would pair encryption with MFA, device security, mailbox access reviews, and the organization's retention and audit procedures.</w:t>
      </w:r>
    </w:p>
    <w:p>
      <w:pPr>
        <w:spacing w:after="140" w:line="300"/>
      </w:pPr>
      <w:r>
        <w:rPr>
          <w:color w:val="334155"/>
          <w:sz w:val="21"/>
          <w:szCs w:val="21"/>
        </w:rPr>
        <w:t xml:space="preserve">Health information may be PHI depending on ABC's role and the context; payroll information is sensitive but is not automatically PHI. Where HIPAA applies, ABC must evaluate its obligations and applicable business associate agreements. Microsoft's services and agreements can support compliance, but encryption alone does not establish it (Microsoft, n.d.c).</w:t>
      </w:r>
    </w:p>
    <w:p>
      <w:pPr>
        <w:pStyle w:val="Heading2"/>
        <w:keepNext/>
        <w:spacing w:after="100" w:before="260"/>
      </w:pPr>
      <w:r>
        <w:rPr>
          <w:b/>
          <w:bCs/>
          <w:color w:val="0F7C8C"/>
          <w:spacing w:val="30"/>
          <w:sz w:val="20"/>
          <w:szCs w:val="20"/>
        </w:rPr>
        <w:t xml:space="preserve">WHAT I LEARNED</w:t>
      </w:r>
    </w:p>
    <w:p>
      <w:pPr>
        <w:spacing w:after="140" w:line="300"/>
      </w:pPr>
      <w:r>
        <w:rPr>
          <w:color w:val="334155"/>
          <w:sz w:val="21"/>
          <w:szCs w:val="21"/>
        </w:rPr>
        <w:t xml:space="preserve">The main lesson is that an internal recipient still needs protection. I would apply the policy based on the sender, recipient, and sensitivity of the information, then verify that the intended person can actually use the protected message.</w:t>
      </w:r>
    </w:p>
    <w:p>
      <w:pPr>
        <w:pStyle w:val="Heading1"/>
        <w:keepNext/>
        <w:pageBreakBefore/>
        <w:pBdr>
          <w:bottom w:val="single" w:color="0F7C8C" w:sz="8" w:space="6"/>
        </w:pBdr>
        <w:spacing w:after="120" w:before="0"/>
      </w:pPr>
      <w:r>
        <w:rPr>
          <w:b/>
          <w:bCs/>
          <w:color w:val="1B2A41"/>
          <w:sz w:val="30"/>
          <w:szCs w:val="30"/>
        </w:rPr>
        <w:t xml:space="preserve">References</w:t>
      </w:r>
    </w:p>
    <w:p>
      <w:pPr>
        <w:spacing w:after="180" w:line="290"/>
        <w:ind w:left="720" w:hanging="720"/>
      </w:pPr>
      <w:r>
        <w:rPr>
          <w:color w:val="334155"/>
          <w:sz w:val="21"/>
          <w:szCs w:val="21"/>
        </w:rPr>
        <w:t xml:space="preserve">Microsoft. (n.d.a). </w:t>
      </w:r>
      <w:r>
        <w:rPr>
          <w:i/>
          <w:iCs/>
          <w:color w:val="334155"/>
          <w:sz w:val="21"/>
          <w:szCs w:val="21"/>
        </w:rPr>
        <w:t xml:space="preserve">Activate the Azure Rights Management service</w:t>
      </w:r>
      <w:r>
        <w:rPr>
          <w:color w:val="334155"/>
          <w:sz w:val="21"/>
          <w:szCs w:val="21"/>
        </w:rPr>
        <w:t xml:space="preserve">. Microsoft Learn. </w:t>
      </w:r>
      <w:hyperlink w:history="1" r:id="rId10voecnpictwppp7-fomd">
        <w:r>
          <w:rPr>
            <w:color w:val="0F7C8C"/>
            <w:sz w:val="21"/>
            <w:szCs w:val="21"/>
            <w:u w:val="single"/>
          </w:rPr>
          <w:t xml:space="preserve">https://learn.microsoft.com/en-us/purview/activate-rights-management-service</w:t>
        </w:r>
      </w:hyperlink>
    </w:p>
    <w:p>
      <w:pPr>
        <w:spacing w:after="180" w:line="290"/>
        <w:ind w:left="720" w:hanging="720"/>
      </w:pPr>
      <w:r>
        <w:rPr>
          <w:color w:val="334155"/>
          <w:sz w:val="21"/>
          <w:szCs w:val="21"/>
        </w:rPr>
        <w:t xml:space="preserve">Microsoft. (n.d.b). </w:t>
      </w:r>
      <w:r>
        <w:rPr>
          <w:i/>
          <w:iCs/>
          <w:color w:val="334155"/>
          <w:sz w:val="21"/>
          <w:szCs w:val="21"/>
        </w:rPr>
        <w:t xml:space="preserve">Define mail flow rules to encrypt email messages</w:t>
      </w:r>
      <w:r>
        <w:rPr>
          <w:color w:val="334155"/>
          <w:sz w:val="21"/>
          <w:szCs w:val="21"/>
        </w:rPr>
        <w:t xml:space="preserve">. Microsoft Learn. </w:t>
      </w:r>
      <w:hyperlink w:history="1" r:id="rIdf9hd3eemrqwdlca47-h2_">
        <w:r>
          <w:rPr>
            <w:color w:val="0F7C8C"/>
            <w:sz w:val="21"/>
            <w:szCs w:val="21"/>
            <w:u w:val="single"/>
          </w:rPr>
          <w:t xml:space="preserve">https://learn.microsoft.com/en-us/purview/define-mail-flow-rules-to-encrypt-email</w:t>
        </w:r>
      </w:hyperlink>
    </w:p>
    <w:p>
      <w:pPr>
        <w:spacing w:after="180" w:line="290"/>
        <w:ind w:left="720" w:hanging="720"/>
      </w:pPr>
      <w:r>
        <w:rPr>
          <w:color w:val="334155"/>
          <w:sz w:val="21"/>
          <w:szCs w:val="21"/>
        </w:rPr>
        <w:t xml:space="preserve">Microsoft. (n.d.c). </w:t>
      </w:r>
      <w:r>
        <w:rPr>
          <w:i/>
          <w:iCs/>
          <w:color w:val="334155"/>
          <w:sz w:val="21"/>
          <w:szCs w:val="21"/>
        </w:rPr>
        <w:t xml:space="preserve">Health Insurance Portability and Accountability Act (HIPAA) &amp; Health Information Technology for Economic and Clinical Health (HITECH) Act</w:t>
      </w:r>
      <w:r>
        <w:rPr>
          <w:color w:val="334155"/>
          <w:sz w:val="21"/>
          <w:szCs w:val="21"/>
        </w:rPr>
        <w:t xml:space="preserve">. Microsoft Learn. </w:t>
      </w:r>
      <w:hyperlink w:history="1" r:id="rIdoqcdy6mh-2envp0llto52">
        <w:r>
          <w:rPr>
            <w:color w:val="0F7C8C"/>
            <w:sz w:val="21"/>
            <w:szCs w:val="21"/>
            <w:u w:val="single"/>
          </w:rPr>
          <w:t xml:space="preserve">https://learn.microsoft.com/en-us/compliance/regulatory/offering-hipaa-hitech</w:t>
        </w:r>
      </w:hyperlink>
    </w:p>
    <w:p>
      <w:pPr>
        <w:spacing w:after="180" w:line="290"/>
        <w:ind w:left="720" w:hanging="720"/>
      </w:pPr>
      <w:r>
        <w:rPr>
          <w:color w:val="334155"/>
          <w:sz w:val="21"/>
          <w:szCs w:val="21"/>
        </w:rPr>
        <w:t xml:space="preserve">Microsoft. (n.d.d). </w:t>
      </w:r>
      <w:r>
        <w:rPr>
          <w:i/>
          <w:iCs/>
          <w:color w:val="334155"/>
          <w:sz w:val="21"/>
          <w:szCs w:val="21"/>
        </w:rPr>
        <w:t xml:space="preserve">How Exchange Online uses TLS to secure email connections</w:t>
      </w:r>
      <w:r>
        <w:rPr>
          <w:color w:val="334155"/>
          <w:sz w:val="21"/>
          <w:szCs w:val="21"/>
        </w:rPr>
        <w:t xml:space="preserve">. Microsoft Learn. </w:t>
      </w:r>
      <w:hyperlink w:history="1" r:id="rIdlhmd7enmg3mdxq1q8m1ca">
        <w:r>
          <w:rPr>
            <w:color w:val="0F7C8C"/>
            <w:sz w:val="21"/>
            <w:szCs w:val="21"/>
            <w:u w:val="single"/>
          </w:rPr>
          <w:t xml:space="preserve">https://learn.microsoft.com/en-us/purview/exchange-online-uses-tls-to-secure-email-connections</w:t>
        </w:r>
      </w:hyperlink>
    </w:p>
    <w:p>
      <w:pPr>
        <w:spacing w:after="180" w:line="290"/>
        <w:ind w:left="720" w:hanging="720"/>
      </w:pPr>
      <w:r>
        <w:rPr>
          <w:color w:val="334155"/>
          <w:sz w:val="21"/>
          <w:szCs w:val="21"/>
        </w:rPr>
        <w:t xml:space="preserve">Microsoft. (n.d.e). </w:t>
      </w:r>
      <w:r>
        <w:rPr>
          <w:i/>
          <w:iCs/>
          <w:color w:val="334155"/>
          <w:sz w:val="21"/>
          <w:szCs w:val="21"/>
        </w:rPr>
        <w:t xml:space="preserve">Mail flow rule conditions and exceptions (predicates) in Exchange Online</w:t>
      </w:r>
      <w:r>
        <w:rPr>
          <w:color w:val="334155"/>
          <w:sz w:val="21"/>
          <w:szCs w:val="21"/>
        </w:rPr>
        <w:t xml:space="preserve">. Microsoft Learn. </w:t>
      </w:r>
      <w:hyperlink w:history="1" r:id="rId60wzgg_1hsoo3s007qkn_">
        <w:r>
          <w:rPr>
            <w:color w:val="0F7C8C"/>
            <w:sz w:val="21"/>
            <w:szCs w:val="21"/>
            <w:u w:val="single"/>
          </w:rPr>
          <w:t xml:space="preserve">https://learn.microsoft.com/en-us/exchange/security-and-compliance/mail-flow-rules/conditions-and-exceptions</w:t>
        </w:r>
      </w:hyperlink>
    </w:p>
    <w:p>
      <w:pPr>
        <w:spacing w:after="180" w:line="290"/>
        <w:ind w:left="720" w:hanging="720"/>
      </w:pPr>
      <w:r>
        <w:rPr>
          <w:color w:val="334155"/>
          <w:sz w:val="21"/>
          <w:szCs w:val="21"/>
        </w:rPr>
        <w:t xml:space="preserve">Microsoft. (n.d.f). </w:t>
      </w:r>
      <w:r>
        <w:rPr>
          <w:i/>
          <w:iCs/>
          <w:color w:val="334155"/>
          <w:sz w:val="21"/>
          <w:szCs w:val="21"/>
        </w:rPr>
        <w:t xml:space="preserve">Message Encryption FAQ</w:t>
      </w:r>
      <w:r>
        <w:rPr>
          <w:color w:val="334155"/>
          <w:sz w:val="21"/>
          <w:szCs w:val="21"/>
        </w:rPr>
        <w:t xml:space="preserve">. Microsoft Learn. </w:t>
      </w:r>
      <w:hyperlink w:history="1" r:id="rIdxgfo3vawtjxukzndvwdx7">
        <w:r>
          <w:rPr>
            <w:color w:val="0F7C8C"/>
            <w:sz w:val="21"/>
            <w:szCs w:val="21"/>
            <w:u w:val="single"/>
          </w:rPr>
          <w:t xml:space="preserve">https://learn.microsoft.com/en-us/purview/ome-faq</w:t>
        </w:r>
      </w:hyperlink>
    </w:p>
    <w:p>
      <w:pPr>
        <w:spacing w:after="180" w:line="290"/>
        <w:ind w:left="720" w:hanging="720"/>
      </w:pPr>
      <w:r>
        <w:rPr>
          <w:color w:val="334155"/>
          <w:sz w:val="21"/>
          <w:szCs w:val="21"/>
        </w:rPr>
        <w:t xml:space="preserve">Microsoft. (n.d.g). </w:t>
      </w:r>
      <w:r>
        <w:rPr>
          <w:i/>
          <w:iCs/>
          <w:color w:val="334155"/>
          <w:sz w:val="21"/>
          <w:szCs w:val="21"/>
        </w:rPr>
        <w:t xml:space="preserve">Microsoft Purview Message Encryption</w:t>
      </w:r>
      <w:r>
        <w:rPr>
          <w:color w:val="334155"/>
          <w:sz w:val="21"/>
          <w:szCs w:val="21"/>
        </w:rPr>
        <w:t xml:space="preserve">. Microsoft Learn. </w:t>
      </w:r>
      <w:hyperlink w:history="1" r:id="rIdypt3poen_4lpfnzgorkab">
        <w:r>
          <w:rPr>
            <w:color w:val="0F7C8C"/>
            <w:sz w:val="21"/>
            <w:szCs w:val="21"/>
            <w:u w:val="single"/>
          </w:rPr>
          <w:t xml:space="preserve">https://learn.microsoft.com/en-us/purview/ome</w:t>
        </w:r>
      </w:hyperlink>
    </w:p>
    <w:p>
      <w:pPr>
        <w:spacing w:after="180" w:line="290"/>
        <w:ind w:left="720" w:hanging="720"/>
      </w:pPr>
      <w:r>
        <w:rPr>
          <w:color w:val="334155"/>
          <w:sz w:val="21"/>
          <w:szCs w:val="21"/>
        </w:rPr>
        <w:t xml:space="preserve">Microsoft. (n.d.h). </w:t>
      </w:r>
      <w:r>
        <w:rPr>
          <w:i/>
          <w:iCs/>
          <w:color w:val="334155"/>
          <w:sz w:val="21"/>
          <w:szCs w:val="21"/>
        </w:rPr>
        <w:t xml:space="preserve">Open encrypted and protected messages</w:t>
      </w:r>
      <w:r>
        <w:rPr>
          <w:color w:val="334155"/>
          <w:sz w:val="21"/>
          <w:szCs w:val="21"/>
        </w:rPr>
        <w:t xml:space="preserve">. Microsoft Support. </w:t>
      </w:r>
      <w:hyperlink w:history="1" r:id="rIdjfv_hsj3pnx2quxmcsnqo">
        <w:r>
          <w:rPr>
            <w:color w:val="0F7C8C"/>
            <w:sz w:val="21"/>
            <w:szCs w:val="21"/>
            <w:u w:val="single"/>
          </w:rPr>
          <w:t xml:space="preserve">https://support.microsoft.com/en-us/outlook/mail/open-encrypted-and-protected-messages</w:t>
        </w:r>
      </w:hyperlink>
    </w:p>
    <w:p>
      <w:pPr>
        <w:spacing w:after="180" w:line="290"/>
        <w:ind w:left="720" w:hanging="720"/>
      </w:pPr>
      <w:r>
        <w:rPr>
          <w:color w:val="334155"/>
          <w:sz w:val="21"/>
          <w:szCs w:val="21"/>
        </w:rPr>
        <w:t xml:space="preserve">Microsoft. (n.d.i). </w:t>
      </w:r>
      <w:r>
        <w:rPr>
          <w:i/>
          <w:iCs/>
          <w:color w:val="334155"/>
          <w:sz w:val="21"/>
          <w:szCs w:val="21"/>
        </w:rPr>
        <w:t xml:space="preserve">Send S/MIME or Microsoft Purview encrypted emails in Outlook</w:t>
      </w:r>
      <w:r>
        <w:rPr>
          <w:color w:val="334155"/>
          <w:sz w:val="21"/>
          <w:szCs w:val="21"/>
        </w:rPr>
        <w:t xml:space="preserve">. Microsoft Support. </w:t>
      </w:r>
      <w:hyperlink w:history="1" r:id="rIdy0eyoasqs9u80xk2pb6nf">
        <w:r>
          <w:rPr>
            <w:color w:val="0F7C8C"/>
            <w:sz w:val="21"/>
            <w:szCs w:val="21"/>
            <w:u w:val="single"/>
          </w:rPr>
          <w:t xml:space="preserve">https://support.microsoft.com/en-us/outlook/mail/send-s-mime-or-microsoft-purview-encrypted-emails-in-outlook</w:t>
        </w:r>
      </w:hyperlink>
    </w:p>
    <w:p>
      <w:pPr>
        <w:spacing w:after="180" w:line="290"/>
        <w:ind w:left="720" w:hanging="720"/>
      </w:pPr>
      <w:r>
        <w:rPr>
          <w:color w:val="334155"/>
          <w:sz w:val="21"/>
          <w:szCs w:val="21"/>
        </w:rPr>
        <w:t xml:space="preserve">Microsoft. (n.d.j). </w:t>
      </w:r>
      <w:r>
        <w:rPr>
          <w:i/>
          <w:iCs/>
          <w:color w:val="334155"/>
          <w:sz w:val="21"/>
          <w:szCs w:val="21"/>
        </w:rPr>
        <w:t xml:space="preserve">Set up connectors for secure mail flow with a partner organization</w:t>
      </w:r>
      <w:r>
        <w:rPr>
          <w:color w:val="334155"/>
          <w:sz w:val="21"/>
          <w:szCs w:val="21"/>
        </w:rPr>
        <w:t xml:space="preserve">. Microsoft Learn. </w:t>
      </w:r>
      <w:hyperlink w:history="1" r:id="rIdsjs1qczbo61diwkdrntyz">
        <w:r>
          <w:rPr>
            <w:color w:val="0F7C8C"/>
            <w:sz w:val="21"/>
            <w:szCs w:val="21"/>
            <w:u w:val="single"/>
          </w:rPr>
          <w:t xml:space="preserve">https://learn.microsoft.com/en-us/exchange/mail-flow-best-practices/use-connectors-to-configure-mail-flow/set-up-connectors-for-secure-mail-flow-with-a-partner</w:t>
        </w:r>
      </w:hyperlink>
    </w:p>
    <w:p>
      <w:pPr>
        <w:spacing w:after="180" w:line="290"/>
        <w:ind w:left="720" w:hanging="720"/>
      </w:pPr>
      <w:r>
        <w:rPr>
          <w:color w:val="334155"/>
          <w:sz w:val="21"/>
          <w:szCs w:val="21"/>
        </w:rPr>
        <w:t xml:space="preserve">Microsoft. (n.d.k). </w:t>
      </w:r>
      <w:r>
        <w:rPr>
          <w:i/>
          <w:iCs/>
          <w:color w:val="334155"/>
          <w:sz w:val="21"/>
          <w:szCs w:val="21"/>
        </w:rPr>
        <w:t xml:space="preserve">Set up Microsoft Purview Message Encryption</w:t>
      </w:r>
      <w:r>
        <w:rPr>
          <w:color w:val="334155"/>
          <w:sz w:val="21"/>
          <w:szCs w:val="21"/>
        </w:rPr>
        <w:t xml:space="preserve">. Microsoft Learn. </w:t>
      </w:r>
      <w:hyperlink w:history="1" r:id="rIdd3t7l8gilwrs8qlobrnnd">
        <w:r>
          <w:rPr>
            <w:color w:val="0F7C8C"/>
            <w:sz w:val="21"/>
            <w:szCs w:val="21"/>
            <w:u w:val="single"/>
          </w:rPr>
          <w:t xml:space="preserve">https://learn.microsoft.com/en-us/purview/set-up-new-message-encryption-capabilities</w:t>
        </w:r>
      </w:hyperlink>
    </w:p>
    <w:p>
      <w:pPr>
        <w:spacing w:after="140" w:line="300"/>
      </w:pPr>
      <w:r>
        <w:rPr>
          <w:i/>
          <w:iCs/>
          <w:color w:val="64748B"/>
          <w:sz w:val="21"/>
          <w:szCs w:val="21"/>
        </w:rPr>
        <w:t xml:space="preserve">Documentation reviewed October 7, 2026. Microsoft may change portal wording or licensing requirements, so I would confirm both during implementation.</w:t>
      </w:r>
    </w:p>
    <w:sectPr>
      <w:headerReference w:type="default" r:id="rId7"/>
      <w:footerReference w:type="default" r:id="rId8"/>
      <w:pgSz w:w="12240" w:h="15840" w:orient="portrait"/>
      <w:pgMar w:top="1296" w:right="1440" w:bottom="1296" w:left="1440"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60"/>
      </w:tabs>
    </w:pPr>
    <w:r>
      <w:rPr>
        <w:b/>
        <w:bCs/>
        <w:color w:val="1B2A41"/>
        <w:spacing w:val="20"/>
        <w:sz w:val="16"/>
        <w:szCs w:val="16"/>
      </w:rPr>
      <w:t xml:space="preserve">HOST-TO-HOST EMAIL ENCRYPTION</w:t>
    </w:r>
    <w:r>
      <w:rPr>
        <w:color w:val="64748B"/>
        <w:sz w:val="16"/>
        <w:szCs w:val="16"/>
      </w:rPr>
      <w:t xml:space="preserve">	Justin Martin  |  IT490 Week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color w:val="1B2A41"/>
      <w:sz w:val="30"/>
      <w:szCs w:val="30"/>
    </w:rPr>
  </w:style>
  <w:style w:type="paragraph" w:styleId="Heading2">
    <w:name w:val="Heading 2"/>
    <w:basedOn w:val="Normal"/>
    <w:next w:val="Normal"/>
    <w:pPr>
      <w:outlineLvl w:val="1"/>
    </w:pPr>
    <w:rPr>
      <w:rFonts w:ascii="Calibri" w:cs="Calibri" w:eastAsia="Calibri" w:hAnsi="Calibri"/>
      <w:b/>
      <w:bCs/>
      <w:color w:val="0F7C8C"/>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voecnpictwppp7-fomd" Type="http://schemas.openxmlformats.org/officeDocument/2006/relationships/hyperlink" Target="https://learn.microsoft.com/en-us/purview/activate-rights-management-service" TargetMode="External"/><Relationship Id="rIdf9hd3eemrqwdlca47-h2_" Type="http://schemas.openxmlformats.org/officeDocument/2006/relationships/hyperlink" Target="https://learn.microsoft.com/en-us/purview/define-mail-flow-rules-to-encrypt-email" TargetMode="External"/><Relationship Id="rIdoqcdy6mh-2envp0llto52" Type="http://schemas.openxmlformats.org/officeDocument/2006/relationships/hyperlink" Target="https://learn.microsoft.com/en-us/compliance/regulatory/offering-hipaa-hitech" TargetMode="External"/><Relationship Id="rIdlhmd7enmg3mdxq1q8m1ca" Type="http://schemas.openxmlformats.org/officeDocument/2006/relationships/hyperlink" Target="https://learn.microsoft.com/en-us/purview/exchange-online-uses-tls-to-secure-email-connections" TargetMode="External"/><Relationship Id="rId60wzgg_1hsoo3s007qkn_" Type="http://schemas.openxmlformats.org/officeDocument/2006/relationships/hyperlink" Target="https://learn.microsoft.com/en-us/exchange/security-and-compliance/mail-flow-rules/conditions-and-exceptions" TargetMode="External"/><Relationship Id="rIdxgfo3vawtjxukzndvwdx7" Type="http://schemas.openxmlformats.org/officeDocument/2006/relationships/hyperlink" Target="https://learn.microsoft.com/en-us/purview/ome-faq" TargetMode="External"/><Relationship Id="rIdypt3poen_4lpfnzgorkab" Type="http://schemas.openxmlformats.org/officeDocument/2006/relationships/hyperlink" Target="https://learn.microsoft.com/en-us/purview/ome" TargetMode="External"/><Relationship Id="rIdjfv_hsj3pnx2quxmcsnqo" Type="http://schemas.openxmlformats.org/officeDocument/2006/relationships/hyperlink" Target="https://support.microsoft.com/en-us/outlook/mail/open-encrypted-and-protected-messages" TargetMode="External"/><Relationship Id="rIdy0eyoasqs9u80xk2pb6nf" Type="http://schemas.openxmlformats.org/officeDocument/2006/relationships/hyperlink" Target="https://support.microsoft.com/en-us/outlook/mail/send-s-mime-or-microsoft-purview-encrypted-emails-in-outlook" TargetMode="External"/><Relationship Id="rIdsjs1qczbo61diwkdrntyz" Type="http://schemas.openxmlformats.org/officeDocument/2006/relationships/hyperlink" Target="https://learn.microsoft.com/en-us/exchange/mail-flow-best-practices/use-connectors-to-configure-mail-flow/set-up-connectors-for-secure-mail-flow-with-a-partner" TargetMode="External"/><Relationship Id="rIdd3t7l8gilwrs8qlobrnnd" Type="http://schemas.openxmlformats.org/officeDocument/2006/relationships/hyperlink" Target="https://learn.microsoft.com/en-us/purview/set-up-new-message-encryption-capabilities" TargetMode="External"/><Relationship Id="rId9" Type="http://schemas.openxmlformats.org/officeDocument/2006/relationships/image" Target="media/28dc1cdcf87785150b0f69538f6b51645f4997b3.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Host-to-Host Email Encryption with Microsoft Purview</dc:title>
  <dc:creator>Justin Martin</dc:creator>
  <cp:lastModifiedBy>Un-named</cp:lastModifiedBy>
  <cp:revision>1</cp:revision>
  <dcterms:created xsi:type="dcterms:W3CDTF">2026-10-07T00:32:35.169Z</dcterms:created>
  <dcterms:modified xsi:type="dcterms:W3CDTF">2026-10-07T00:32:35.169Z</dcterms:modified>
</cp:coreProperties>
</file>

<file path=docProps/custom.xml><?xml version="1.0" encoding="utf-8"?>
<Properties xmlns="http://schemas.openxmlformats.org/officeDocument/2006/custom-properties" xmlns:vt="http://schemas.openxmlformats.org/officeDocument/2006/docPropsVTypes"/>
</file>