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auto" w:sz="0"/>
              <w:left w:val="nil" w:color="auto" w:sz="0"/>
              <w:bottom w:val="nil" w:color="auto" w:sz="0"/>
              <w:right w:val="nil" w:color="auto" w:sz="0"/>
            </w:tcBorders>
            <w:shd w:fill="1B2A41" w:color="auto" w:val="clear"/>
            <w:tcMar>
              <w:top w:type="dxa" w:w="520"/>
              <w:left w:type="dxa" w:w="480"/>
              <w:bottom w:type="dxa" w:w="520"/>
              <w:right w:type="dxa" w:w="120"/>
            </w:tcMar>
            <w:vAlign w:val="center"/>
          </w:tcPr>
          <w:p>
            <w:pPr>
              <w:spacing w:after="200"/>
            </w:pPr>
            <w:r>
              <w:rPr>
                <w:b/>
                <w:bCs/>
                <w:color w:val="5FC4D1"/>
                <w:spacing w:val="40"/>
                <w:sz w:val="19"/>
                <w:szCs w:val="19"/>
              </w:rPr>
              <w:t xml:space="preserve">IT490 CAPSTONE  |  WEEK 5</w:t>
            </w:r>
          </w:p>
          <w:p>
            <w:pPr>
              <w:spacing w:after="120"/>
            </w:pPr>
            <w:r>
              <w:rPr>
                <w:b/>
                <w:bCs/>
                <w:color w:val="FFFFFF"/>
                <w:sz w:val="54"/>
                <w:szCs w:val="54"/>
              </w:rPr>
              <w:t xml:space="preserve">Ports and Services Traffic Analysis</w:t>
            </w:r>
          </w:p>
          <w:p>
            <w:pPr>
              <w:spacing w:after="80"/>
            </w:pPr>
            <w:r>
              <w:rPr>
                <w:color w:val="C9D6E3"/>
                <w:sz w:val="25"/>
                <w:szCs w:val="25"/>
              </w:rPr>
              <w:t xml:space="preserve">Company ABC network communications and five tuple examples</w:t>
            </w:r>
          </w:p>
          <w:p>
            <w:pPr>
              <w:spacing w:after="0"/>
            </w:pPr>
            <w:r>
              <w:rPr>
                <w:color w:val="8FB3C9"/>
                <w:sz w:val="21"/>
                <w:szCs w:val="21"/>
              </w:rPr>
              <w:t xml:space="preserve">Service identification, request and response traffic, and remote access through a VPN.</w:t>
            </w:r>
          </w:p>
        </w:tc>
      </w:tr>
    </w:tbl>
    <w:p>
      <w:pPr>
        <w:keepNext w:val="false"/>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il" w:color="auto" w:sz="0"/>
              <w:left w:val="nil" w:color="auto" w:sz="0"/>
              <w:bottom w:val="nil" w:color="auto" w:sz="0"/>
              <w:right w:val="nil" w:color="auto" w:sz="0"/>
            </w:tcBorders>
            <w:tcMar>
              <w:top w:type="dxa" w:w="80"/>
              <w:left w:type="dxa" w:w="120"/>
              <w:bottom w:type="dxa" w:w="80"/>
              <w:right w:type="dxa" w:w="120"/>
            </w:tcMar>
            <w:vAlign w:val="center"/>
          </w:tcPr>
          <w:p>
            <w:pPr>
              <w:spacing w:after="0"/>
              <w:jc w:val="center"/>
            </w:pPr>
            <w:r>
              <w:rPr>
                <w:b/>
                <w:bCs/>
                <w:color w:val="0F7C8C"/>
                <w:sz w:val="44"/>
                <w:szCs w:val="44"/>
              </w:rPr>
              <w:t xml:space="preserve">11</w:t>
            </w:r>
          </w:p>
          <w:p>
            <w:pPr>
              <w:spacing w:after="0"/>
              <w:jc w:val="center"/>
            </w:pPr>
            <w:r>
              <w:rPr>
                <w:b/>
                <w:bCs/>
                <w:color w:val="64748B"/>
                <w:spacing w:val="20"/>
                <w:sz w:val="15"/>
                <w:szCs w:val="15"/>
              </w:rPr>
              <w:t xml:space="preserve">SERVICE PORTS MAPPED</w:t>
            </w:r>
          </w:p>
        </w:tc>
        <w:tc>
          <w:tcPr>
            <w:tcW w:type="dxa" w:w="2340"/>
            <w:tcBorders>
              <w:top w:val="nil" w:color="auto" w:sz="0"/>
              <w:left w:val="single" w:color="CBD5E1" w:sz="6"/>
              <w:bottom w:val="nil" w:color="auto" w:sz="0"/>
              <w:right w:val="nil" w:color="auto" w:sz="0"/>
            </w:tcBorders>
            <w:tcMar>
              <w:top w:type="dxa" w:w="80"/>
              <w:left w:type="dxa" w:w="120"/>
              <w:bottom w:type="dxa" w:w="80"/>
              <w:right w:type="dxa" w:w="120"/>
            </w:tcMar>
            <w:vAlign w:val="center"/>
          </w:tcPr>
          <w:p>
            <w:pPr>
              <w:spacing w:after="0"/>
              <w:jc w:val="center"/>
            </w:pPr>
            <w:r>
              <w:rPr>
                <w:b/>
                <w:bCs/>
                <w:color w:val="0F7C8C"/>
                <w:sz w:val="44"/>
                <w:szCs w:val="44"/>
              </w:rPr>
              <w:t xml:space="preserve">5</w:t>
            </w:r>
          </w:p>
          <w:p>
            <w:pPr>
              <w:spacing w:after="0"/>
              <w:jc w:val="center"/>
            </w:pPr>
            <w:r>
              <w:rPr>
                <w:b/>
                <w:bCs/>
                <w:color w:val="64748B"/>
                <w:spacing w:val="20"/>
                <w:sz w:val="15"/>
                <w:szCs w:val="15"/>
              </w:rPr>
              <w:t xml:space="preserve">TRAFFIC PATHS</w:t>
            </w:r>
          </w:p>
        </w:tc>
        <w:tc>
          <w:tcPr>
            <w:tcW w:type="dxa" w:w="2340"/>
            <w:tcBorders>
              <w:top w:val="nil" w:color="auto" w:sz="0"/>
              <w:left w:val="single" w:color="CBD5E1" w:sz="6"/>
              <w:bottom w:val="nil" w:color="auto" w:sz="0"/>
              <w:right w:val="nil" w:color="auto" w:sz="0"/>
            </w:tcBorders>
            <w:tcMar>
              <w:top w:type="dxa" w:w="80"/>
              <w:left w:type="dxa" w:w="120"/>
              <w:bottom w:type="dxa" w:w="80"/>
              <w:right w:type="dxa" w:w="120"/>
            </w:tcMar>
            <w:vAlign w:val="center"/>
          </w:tcPr>
          <w:p>
            <w:pPr>
              <w:spacing w:after="0"/>
              <w:jc w:val="center"/>
            </w:pPr>
            <w:r>
              <w:rPr>
                <w:b/>
                <w:bCs/>
                <w:color w:val="0F7C8C"/>
                <w:sz w:val="44"/>
                <w:szCs w:val="44"/>
              </w:rPr>
              <w:t xml:space="preserve">22</w:t>
            </w:r>
          </w:p>
          <w:p>
            <w:pPr>
              <w:spacing w:after="0"/>
              <w:jc w:val="center"/>
            </w:pPr>
            <w:r>
              <w:rPr>
                <w:b/>
                <w:bCs/>
                <w:color w:val="64748B"/>
                <w:spacing w:val="20"/>
                <w:sz w:val="15"/>
                <w:szCs w:val="15"/>
              </w:rPr>
              <w:t xml:space="preserve">FIVE TUPLES</w:t>
            </w:r>
          </w:p>
        </w:tc>
        <w:tc>
          <w:tcPr>
            <w:tcW w:type="dxa" w:w="2340"/>
            <w:tcBorders>
              <w:top w:val="nil" w:color="auto" w:sz="0"/>
              <w:left w:val="single" w:color="CBD5E1" w:sz="6"/>
              <w:bottom w:val="nil" w:color="auto" w:sz="0"/>
              <w:right w:val="nil" w:color="auto" w:sz="0"/>
            </w:tcBorders>
            <w:tcMar>
              <w:top w:type="dxa" w:w="80"/>
              <w:left w:type="dxa" w:w="120"/>
              <w:bottom w:type="dxa" w:w="80"/>
              <w:right w:type="dxa" w:w="120"/>
            </w:tcMar>
            <w:vAlign w:val="center"/>
          </w:tcPr>
          <w:p>
            <w:pPr>
              <w:spacing w:after="0"/>
              <w:jc w:val="center"/>
            </w:pPr>
            <w:r>
              <w:rPr>
                <w:b/>
                <w:bCs/>
                <w:color w:val="0F7C8C"/>
                <w:sz w:val="44"/>
                <w:szCs w:val="44"/>
              </w:rPr>
              <w:t xml:space="preserve">2</w:t>
            </w:r>
          </w:p>
          <w:p>
            <w:pPr>
              <w:spacing w:after="0"/>
              <w:jc w:val="center"/>
            </w:pPr>
            <w:r>
              <w:rPr>
                <w:b/>
                <w:bCs/>
                <w:color w:val="64748B"/>
                <w:spacing w:val="20"/>
                <w:sz w:val="15"/>
                <w:szCs w:val="15"/>
              </w:rPr>
              <w:t xml:space="preserve">VPN LAYERS SHOWN</w:t>
            </w:r>
          </w:p>
        </w:tc>
      </w:tr>
    </w:tbl>
    <w:p>
      <w:pPr>
        <w:keepNext w:val="false"/>
        <w:spacing w:after="220"/>
      </w:pPr>
    </w:p>
    <w:p>
      <w:pPr>
        <w:pStyle w:val="Heading2"/>
        <w:keepNext/>
        <w:spacing w:after="100" w:before="260"/>
      </w:pPr>
      <w:r>
        <w:rPr>
          <w:b/>
          <w:bCs/>
          <w:color w:val="0F7C8C"/>
          <w:spacing w:val="30"/>
          <w:sz w:val="20"/>
          <w:szCs w:val="20"/>
        </w:rPr>
        <w:t xml:space="preserve">EXECUTIVE OVERVIEW</w:t>
      </w:r>
    </w:p>
    <w:p>
      <w:pPr>
        <w:spacing w:after="140" w:line="300"/>
      </w:pPr>
      <w:r>
        <w:rPr>
          <w:color w:val="334155"/>
          <w:sz w:val="21"/>
          <w:szCs w:val="21"/>
        </w:rPr>
        <w:t xml:space="preserve">Company ABC needs service specific access between its LAN, DMZ and remote users. Client connections normally use a temporary source port and the server’s listening port. Replies reverse those endpoints. For remote work, the VPN carries the connection to the office computer, while the public router receives the encrypted tunnel traffic.</w:t>
      </w:r>
    </w:p>
    <w:p>
      <w:pPr>
        <w:pStyle w:val="Heading2"/>
        <w:keepNext/>
        <w:spacing w:after="100" w:before="260"/>
      </w:pPr>
      <w:r>
        <w:rPr>
          <w:b/>
          <w:bCs/>
          <w:color w:val="0F7C8C"/>
          <w:spacing w:val="30"/>
          <w:sz w:val="20"/>
          <w:szCs w:val="20"/>
        </w:rPr>
        <w:t xml:space="preserve">REPORT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il" w:color="auto" w:sz="0"/>
              <w:left w:val="nil" w:color="auto" w:sz="0"/>
              <w:bottom w:val="single" w:color="CBD5E1" w:sz="4"/>
              <w:right w:val="nil" w:color="auto" w:sz="0"/>
            </w:tcBorders>
            <w:tcMar>
              <w:top w:type="dxa" w:w="80"/>
              <w:left w:type="dxa" w:w="120"/>
              <w:bottom w:type="dxa" w:w="80"/>
              <w:right w:type="dxa" w:w="120"/>
            </w:tcMar>
            <w:vAlign w:val="top"/>
          </w:tcPr>
          <w:p>
            <w:pPr>
              <w:keepLines/>
              <w:spacing w:after="0" w:line="260"/>
            </w:pPr>
            <w:r>
              <w:rPr>
                <w:b/>
                <w:bCs/>
                <w:color w:val="1B2A41"/>
                <w:sz w:val="19"/>
                <w:szCs w:val="19"/>
              </w:rPr>
              <w:t xml:space="preserve">Prepared by</w:t>
            </w:r>
          </w:p>
        </w:tc>
        <w:tc>
          <w:tcPr>
            <w:tcW w:type="dxa" w:w="6760"/>
            <w:tcBorders>
              <w:top w:val="nil" w:color="auto" w:sz="0"/>
              <w:left w:val="nil" w:color="auto" w:sz="0"/>
              <w:bottom w:val="single" w:color="CBD5E1" w:sz="4"/>
              <w:right w:val="nil" w:color="auto" w:sz="0"/>
            </w:tcBorders>
            <w:tcMar>
              <w:top w:type="dxa" w:w="80"/>
              <w:left w:type="dxa" w:w="120"/>
              <w:bottom w:type="dxa" w:w="80"/>
              <w:right w:type="dxa" w:w="120"/>
            </w:tcMar>
            <w:vAlign w:val="top"/>
          </w:tcPr>
          <w:p>
            <w:pPr>
              <w:keepLines/>
              <w:spacing w:after="0" w:line="260"/>
            </w:pPr>
            <w:r>
              <w:rPr>
                <w:color w:val="334155"/>
                <w:sz w:val="19"/>
                <w:szCs w:val="19"/>
              </w:rPr>
              <w:t xml:space="preserve">Justin Martin</w:t>
            </w:r>
          </w:p>
        </w:tc>
      </w:tr>
      <w:tr>
        <w:tc>
          <w:tcPr>
            <w:tcW w:type="dxa" w:w="2600"/>
            <w:tcBorders>
              <w:top w:val="nil" w:color="auto" w:sz="0"/>
              <w:left w:val="nil" w:color="auto" w:sz="0"/>
              <w:bottom w:val="single" w:color="CBD5E1" w:sz="4"/>
              <w:right w:val="nil" w:color="auto" w:sz="0"/>
            </w:tcBorders>
            <w:tcMar>
              <w:top w:type="dxa" w:w="80"/>
              <w:left w:type="dxa" w:w="120"/>
              <w:bottom w:type="dxa" w:w="80"/>
              <w:right w:type="dxa" w:w="120"/>
            </w:tcMar>
            <w:vAlign w:val="top"/>
          </w:tcPr>
          <w:p>
            <w:pPr>
              <w:keepLines/>
              <w:spacing w:after="0" w:line="260"/>
            </w:pPr>
            <w:r>
              <w:rPr>
                <w:b/>
                <w:bCs/>
                <w:color w:val="1B2A41"/>
                <w:sz w:val="19"/>
                <w:szCs w:val="19"/>
              </w:rPr>
              <w:t xml:space="preserve">Course</w:t>
            </w:r>
          </w:p>
        </w:tc>
        <w:tc>
          <w:tcPr>
            <w:tcW w:type="dxa" w:w="6760"/>
            <w:tcBorders>
              <w:top w:val="nil" w:color="auto" w:sz="0"/>
              <w:left w:val="nil" w:color="auto" w:sz="0"/>
              <w:bottom w:val="single" w:color="CBD5E1" w:sz="4"/>
              <w:right w:val="nil" w:color="auto" w:sz="0"/>
            </w:tcBorders>
            <w:tcMar>
              <w:top w:type="dxa" w:w="80"/>
              <w:left w:type="dxa" w:w="120"/>
              <w:bottom w:type="dxa" w:w="80"/>
              <w:right w:type="dxa" w:w="120"/>
            </w:tcMar>
            <w:vAlign w:val="top"/>
          </w:tcPr>
          <w:p>
            <w:pPr>
              <w:keepLines/>
              <w:spacing w:after="0" w:line="260"/>
            </w:pPr>
            <w:r>
              <w:rPr>
                <w:color w:val="334155"/>
                <w:sz w:val="19"/>
                <w:szCs w:val="19"/>
              </w:rPr>
              <w:t xml:space="preserve">IT 490 Week 5</w:t>
            </w:r>
          </w:p>
        </w:tc>
      </w:tr>
      <w:tr>
        <w:tc>
          <w:tcPr>
            <w:tcW w:type="dxa" w:w="2600"/>
            <w:tcBorders>
              <w:top w:val="nil" w:color="auto" w:sz="0"/>
              <w:left w:val="nil" w:color="auto" w:sz="0"/>
              <w:bottom w:val="single" w:color="CBD5E1" w:sz="4"/>
              <w:right w:val="nil" w:color="auto" w:sz="0"/>
            </w:tcBorders>
            <w:tcMar>
              <w:top w:type="dxa" w:w="80"/>
              <w:left w:type="dxa" w:w="120"/>
              <w:bottom w:type="dxa" w:w="80"/>
              <w:right w:type="dxa" w:w="120"/>
            </w:tcMar>
            <w:vAlign w:val="top"/>
          </w:tcPr>
          <w:p>
            <w:pPr>
              <w:keepLines/>
              <w:spacing w:after="0" w:line="260"/>
            </w:pPr>
            <w:r>
              <w:rPr>
                <w:b/>
                <w:bCs/>
                <w:color w:val="1B2A41"/>
                <w:sz w:val="19"/>
                <w:szCs w:val="19"/>
              </w:rPr>
              <w:t xml:space="preserve">Date</w:t>
            </w:r>
          </w:p>
        </w:tc>
        <w:tc>
          <w:tcPr>
            <w:tcW w:type="dxa" w:w="6760"/>
            <w:tcBorders>
              <w:top w:val="nil" w:color="auto" w:sz="0"/>
              <w:left w:val="nil" w:color="auto" w:sz="0"/>
              <w:bottom w:val="single" w:color="CBD5E1" w:sz="4"/>
              <w:right w:val="nil" w:color="auto" w:sz="0"/>
            </w:tcBorders>
            <w:tcMar>
              <w:top w:type="dxa" w:w="80"/>
              <w:left w:type="dxa" w:w="120"/>
              <w:bottom w:type="dxa" w:w="80"/>
              <w:right w:type="dxa" w:w="120"/>
            </w:tcMar>
            <w:vAlign w:val="top"/>
          </w:tcPr>
          <w:p>
            <w:pPr>
              <w:keepLines/>
              <w:spacing w:after="0" w:line="260"/>
            </w:pPr>
            <w:r>
              <w:rPr>
                <w:color w:val="334155"/>
                <w:sz w:val="19"/>
                <w:szCs w:val="19"/>
              </w:rPr>
              <w:t xml:space="preserve">October 18, 2026</w:t>
            </w:r>
          </w:p>
        </w:tc>
      </w:tr>
      <w:tr>
        <w:tc>
          <w:tcPr>
            <w:tcW w:type="dxa" w:w="2600"/>
            <w:tcBorders>
              <w:top w:val="nil" w:color="auto" w:sz="0"/>
              <w:left w:val="nil" w:color="auto" w:sz="0"/>
              <w:bottom w:val="single" w:color="CBD5E1" w:sz="4"/>
              <w:right w:val="nil" w:color="auto" w:sz="0"/>
            </w:tcBorders>
            <w:tcMar>
              <w:top w:type="dxa" w:w="80"/>
              <w:left w:type="dxa" w:w="120"/>
              <w:bottom w:type="dxa" w:w="80"/>
              <w:right w:type="dxa" w:w="120"/>
            </w:tcMar>
            <w:vAlign w:val="top"/>
          </w:tcPr>
          <w:p>
            <w:pPr>
              <w:keepLines/>
              <w:spacing w:after="0" w:line="260"/>
            </w:pPr>
            <w:r>
              <w:rPr>
                <w:b/>
                <w:bCs/>
                <w:color w:val="1B2A41"/>
                <w:sz w:val="19"/>
                <w:szCs w:val="19"/>
              </w:rPr>
              <w:t xml:space="preserve">Report type</w:t>
            </w:r>
          </w:p>
        </w:tc>
        <w:tc>
          <w:tcPr>
            <w:tcW w:type="dxa" w:w="6760"/>
            <w:tcBorders>
              <w:top w:val="nil" w:color="auto" w:sz="0"/>
              <w:left w:val="nil" w:color="auto" w:sz="0"/>
              <w:bottom w:val="single" w:color="CBD5E1" w:sz="4"/>
              <w:right w:val="nil" w:color="auto" w:sz="0"/>
            </w:tcBorders>
            <w:tcMar>
              <w:top w:type="dxa" w:w="80"/>
              <w:left w:type="dxa" w:w="120"/>
              <w:bottom w:type="dxa" w:w="80"/>
              <w:right w:type="dxa" w:w="120"/>
            </w:tcMar>
            <w:vAlign w:val="top"/>
          </w:tcPr>
          <w:p>
            <w:pPr>
              <w:keepLines/>
              <w:spacing w:after="0" w:line="260"/>
            </w:pPr>
            <w:r>
              <w:rPr>
                <w:color w:val="334155"/>
                <w:sz w:val="19"/>
                <w:szCs w:val="19"/>
              </w:rPr>
              <w:t xml:space="preserve">Scenario analysis based on the assigned network. Traffic examples illustrate expected communications and are not packet capture results.</w:t>
            </w:r>
          </w:p>
        </w:tc>
      </w:tr>
    </w:tbl>
    <w:p>
      <w:pPr>
        <w:sectPr>
          <w:pgSz w:w="12240" w:h="15840" w:orient="portrait"/>
          <w:pgMar w:top="1440" w:right="1440" w:bottom="1440" w:left="1440" w:header="708" w:footer="708" w:gutter="0"/>
          <w:pgNumType/>
          <w:docGrid w:linePitch="360"/>
        </w:sectPr>
      </w:pPr>
    </w:p>
    <w:p>
      <w:pPr>
        <w:pStyle w:val="Heading1"/>
        <w:keepNext/>
        <w:pageBreakBefore/>
        <w:pBdr>
          <w:bottom w:val="single" w:color="0F7C8C" w:sz="8" w:space="6"/>
        </w:pBdr>
        <w:spacing w:after="120" w:before="0"/>
      </w:pPr>
      <w:r>
        <w:rPr>
          <w:b/>
          <w:bCs/>
          <w:color w:val="0F7C8C"/>
          <w:sz w:val="30"/>
          <w:szCs w:val="30"/>
        </w:rPr>
        <w:t xml:space="preserve">00  </w:t>
      </w:r>
      <w:r>
        <w:rPr>
          <w:b/>
          <w:bCs/>
          <w:color w:val="1B2A41"/>
          <w:sz w:val="30"/>
          <w:szCs w:val="30"/>
        </w:rPr>
        <w:t xml:space="preserve">Scenario and analysis approach</w:t>
      </w:r>
    </w:p>
    <w:p>
      <w:pPr>
        <w:keepNext/>
        <w:spacing w:after="60" w:before="60"/>
        <w:jc w:val="center"/>
      </w:pPr>
      <w:r>
        <w:drawing>
          <wp:inline distT="0" distB="0" distL="0" distR="0">
            <wp:extent cx="5943600" cy="3162300"/>
            <wp:effectExtent t="0" r="0" b="0" l="0"/>
            <wp:docPr id="1" name="fig1" descr="Company ABC topology: office LAN with workstation 10.10.0.25, FS1 and DC1; router with DMZ and WAN interfaces; DMZ web and email servers; home computer reaching the router over a UDP 4500 VPN tunnel, with inner RDP traffic to the workstation. Badges mark the traffic for Questions 2 through 6."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162300"/>
                    </a:xfrm>
                    <a:prstGeom prst="rect">
                      <a:avLst/>
                    </a:prstGeom>
                  </pic:spPr>
                </pic:pic>
              </a:graphicData>
            </a:graphic>
          </wp:inline>
        </w:drawing>
      </w:r>
    </w:p>
    <w:p>
      <w:pPr>
        <w:spacing w:after="200"/>
        <w:jc w:val="center"/>
      </w:pPr>
      <w:r>
        <w:rPr>
          <w:b/>
          <w:bCs/>
          <w:color w:val="1B2A41"/>
          <w:sz w:val="18"/>
          <w:szCs w:val="18"/>
        </w:rPr>
        <w:t xml:space="preserve">Figure 1 — </w:t>
      </w:r>
      <w:r>
        <w:rPr>
          <w:i/>
          <w:iCs/>
          <w:color w:val="64748B"/>
          <w:sz w:val="18"/>
          <w:szCs w:val="18"/>
        </w:rPr>
        <w:t xml:space="preserve">Company ABC topology with the traffic path for each question. Original diagram based on the assigned addresses. The VPN pool and home address are examples.</w:t>
      </w:r>
    </w:p>
    <w:p>
      <w:pPr>
        <w:pStyle w:val="Heading2"/>
        <w:keepNext/>
        <w:spacing w:after="100" w:before="260"/>
      </w:pPr>
      <w:r>
        <w:rPr>
          <w:b/>
          <w:bCs/>
          <w:color w:val="0F7C8C"/>
          <w:spacing w:val="30"/>
          <w:sz w:val="20"/>
          <w:szCs w:val="20"/>
        </w:rPr>
        <w:t xml:space="preserve">ASSIGNED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Network or asset</w:t>
            </w:r>
          </w:p>
        </w:tc>
        <w:tc>
          <w:tcPr>
            <w:tcW w:type="dxa" w:w="260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Address</w:t>
            </w:r>
          </w:p>
        </w:tc>
        <w:tc>
          <w:tcPr>
            <w:tcW w:type="dxa" w:w="396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Role</w:t>
            </w:r>
          </w:p>
        </w:tc>
      </w:tr>
      <w:tr>
        <w:trPr>
          <w:cantSplit/>
        </w:trPr>
        <w:tc>
          <w:tcPr>
            <w:tcW w:type="dxa" w:w="28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Office LAN</w:t>
            </w:r>
          </w:p>
        </w:tc>
        <w:tc>
          <w:tcPr>
            <w:tcW w:type="dxa" w:w="26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10.10.0.0/24</w:t>
            </w:r>
          </w:p>
        </w:tc>
        <w:tc>
          <w:tcPr>
            <w:tcW w:type="dxa" w:w="39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Single company location</w:t>
            </w:r>
          </w:p>
        </w:tc>
      </w:tr>
      <w:tr>
        <w:trPr>
          <w:cantSplit/>
        </w:trPr>
        <w:tc>
          <w:tcPr>
            <w:tcW w:type="dxa" w:w="28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Employee workstation</w:t>
            </w:r>
          </w:p>
        </w:tc>
        <w:tc>
          <w:tcPr>
            <w:tcW w:type="dxa" w:w="26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10.10.0.25</w:t>
            </w:r>
          </w:p>
        </w:tc>
        <w:tc>
          <w:tcPr>
            <w:tcW w:type="dxa" w:w="39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Client used in Questions 2 through 6</w:t>
            </w:r>
          </w:p>
        </w:tc>
      </w:tr>
      <w:tr>
        <w:trPr>
          <w:cantSplit/>
        </w:trPr>
        <w:tc>
          <w:tcPr>
            <w:tcW w:type="dxa" w:w="28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FS1</w:t>
            </w:r>
          </w:p>
        </w:tc>
        <w:tc>
          <w:tcPr>
            <w:tcW w:type="dxa" w:w="26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10.10.0.250</w:t>
            </w:r>
          </w:p>
        </w:tc>
        <w:tc>
          <w:tcPr>
            <w:tcW w:type="dxa" w:w="39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File server</w:t>
            </w:r>
          </w:p>
        </w:tc>
      </w:tr>
      <w:tr>
        <w:trPr>
          <w:cantSplit/>
        </w:trPr>
        <w:tc>
          <w:tcPr>
            <w:tcW w:type="dxa" w:w="28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DC1</w:t>
            </w:r>
          </w:p>
        </w:tc>
        <w:tc>
          <w:tcPr>
            <w:tcW w:type="dxa" w:w="26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10.10.0.10</w:t>
            </w:r>
          </w:p>
        </w:tc>
        <w:tc>
          <w:tcPr>
            <w:tcW w:type="dxa" w:w="39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Domain controller and DNS server</w:t>
            </w:r>
          </w:p>
        </w:tc>
      </w:tr>
      <w:tr>
        <w:trPr>
          <w:cantSplit/>
        </w:trPr>
        <w:tc>
          <w:tcPr>
            <w:tcW w:type="dxa" w:w="28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DMZ router interface</w:t>
            </w:r>
          </w:p>
        </w:tc>
        <w:tc>
          <w:tcPr>
            <w:tcW w:type="dxa" w:w="26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192.168.10.1</w:t>
            </w:r>
          </w:p>
        </w:tc>
        <w:tc>
          <w:tcPr>
            <w:tcW w:type="dxa" w:w="39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Gateway for the DMZ</w:t>
            </w:r>
          </w:p>
        </w:tc>
      </w:tr>
      <w:tr>
        <w:trPr>
          <w:cantSplit/>
        </w:trPr>
        <w:tc>
          <w:tcPr>
            <w:tcW w:type="dxa" w:w="28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Web server</w:t>
            </w:r>
          </w:p>
        </w:tc>
        <w:tc>
          <w:tcPr>
            <w:tcW w:type="dxa" w:w="26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192.168.10.2</w:t>
            </w:r>
          </w:p>
        </w:tc>
        <w:tc>
          <w:tcPr>
            <w:tcW w:type="dxa" w:w="39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HTTP and HTTPS services</w:t>
            </w:r>
          </w:p>
        </w:tc>
      </w:tr>
      <w:tr>
        <w:trPr>
          <w:cantSplit/>
        </w:trPr>
        <w:tc>
          <w:tcPr>
            <w:tcW w:type="dxa" w:w="28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Email server</w:t>
            </w:r>
          </w:p>
        </w:tc>
        <w:tc>
          <w:tcPr>
            <w:tcW w:type="dxa" w:w="26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192.168.10.3</w:t>
            </w:r>
          </w:p>
        </w:tc>
        <w:tc>
          <w:tcPr>
            <w:tcW w:type="dxa" w:w="39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Mail services in the DMZ</w:t>
            </w:r>
          </w:p>
        </w:tc>
      </w:tr>
      <w:tr>
        <w:trPr>
          <w:cantSplit/>
        </w:trPr>
        <w:tc>
          <w:tcPr>
            <w:tcW w:type="dxa" w:w="28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val="false"/>
              <w:keepLines/>
              <w:spacing w:after="0" w:line="260"/>
            </w:pPr>
            <w:r>
              <w:rPr>
                <w:b/>
                <w:bCs/>
                <w:color w:val="1B2A41"/>
                <w:sz w:val="19"/>
                <w:szCs w:val="19"/>
              </w:rPr>
              <w:t xml:space="preserve">Router WAN interface</w:t>
            </w:r>
          </w:p>
        </w:tc>
        <w:tc>
          <w:tcPr>
            <w:tcW w:type="dxa" w:w="26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val="false"/>
              <w:keepLines/>
              <w:spacing w:after="0" w:line="260"/>
            </w:pPr>
            <w:r>
              <w:rPr>
                <w:rFonts w:ascii="Consolas" w:cs="Consolas" w:eastAsia="Consolas" w:hAnsi="Consolas"/>
                <w:color w:val="1B2A41"/>
                <w:sz w:val="17"/>
                <w:szCs w:val="17"/>
              </w:rPr>
              <w:t xml:space="preserve">68.42.45.2</w:t>
            </w:r>
          </w:p>
        </w:tc>
        <w:tc>
          <w:tcPr>
            <w:tcW w:type="dxa" w:w="39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Public endpoint</w:t>
            </w:r>
          </w:p>
        </w:tc>
      </w:tr>
    </w:tbl>
    <w:p>
      <w:pPr>
        <w:pStyle w:val="Heading2"/>
        <w:keepNext/>
        <w:spacing w:after="100" w:before="260"/>
      </w:pPr>
      <w:r>
        <w:rPr>
          <w:b/>
          <w:bCs/>
          <w:color w:val="0F7C8C"/>
          <w:spacing w:val="30"/>
          <w:sz w:val="20"/>
          <w:szCs w:val="20"/>
        </w:rPr>
        <w:t xml:space="preserve">HOW TO READ THE FIVE TUPLES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Pr>
        <w:tc>
          <w:tcPr>
            <w:tcW w:type="dxa" w:w="1872"/>
            <w:tcBorders>
              <w:top w:val="nil" w:color="auto" w:sz="0"/>
              <w:left w:val="nil" w:color="auto" w:sz="0"/>
              <w:bottom w:val="nil" w:color="auto" w:sz="0"/>
              <w:right w:val="nil" w:color="auto" w:sz="0"/>
            </w:tcBorders>
            <w:shd w:fill="E3F1F3" w:color="auto" w:val="clear"/>
            <w:tcMar>
              <w:top w:type="dxa" w:w="80"/>
              <w:left w:type="dxa" w:w="120"/>
              <w:bottom w:type="dxa" w:w="80"/>
              <w:right w:type="dxa" w:w="120"/>
            </w:tcMar>
            <w:vAlign w:val="center"/>
          </w:tcPr>
          <w:p>
            <w:pPr>
              <w:spacing w:after="0"/>
              <w:jc w:val="center"/>
            </w:pPr>
            <w:r>
              <w:rPr>
                <w:b/>
                <w:bCs/>
                <w:color w:val="0F7C8C"/>
                <w:sz w:val="26"/>
                <w:szCs w:val="26"/>
              </w:rPr>
              <w:t xml:space="preserve">1</w:t>
            </w:r>
          </w:p>
          <w:p>
            <w:pPr>
              <w:spacing w:after="0"/>
              <w:jc w:val="center"/>
            </w:pPr>
            <w:r>
              <w:rPr>
                <w:b/>
                <w:bCs/>
                <w:color w:val="1B2A41"/>
                <w:sz w:val="18"/>
                <w:szCs w:val="18"/>
              </w:rPr>
              <w:t xml:space="preserve">Source IP</w:t>
            </w:r>
          </w:p>
        </w:tc>
        <w:tc>
          <w:tcPr>
            <w:tcW w:type="dxa" w:w="1872"/>
            <w:tcBorders>
              <w:top w:val="nil" w:color="auto" w:sz="0"/>
              <w:left w:val="single" w:color="FFFFFF" w:sz="12"/>
              <w:bottom w:val="nil" w:color="auto" w:sz="0"/>
              <w:right w:val="nil" w:color="auto" w:sz="0"/>
            </w:tcBorders>
            <w:shd w:fill="E3F1F3" w:color="auto" w:val="clear"/>
            <w:tcMar>
              <w:top w:type="dxa" w:w="80"/>
              <w:left w:type="dxa" w:w="120"/>
              <w:bottom w:type="dxa" w:w="80"/>
              <w:right w:type="dxa" w:w="120"/>
            </w:tcMar>
            <w:vAlign w:val="center"/>
          </w:tcPr>
          <w:p>
            <w:pPr>
              <w:spacing w:after="0"/>
              <w:jc w:val="center"/>
            </w:pPr>
            <w:r>
              <w:rPr>
                <w:b/>
                <w:bCs/>
                <w:color w:val="0F7C8C"/>
                <w:sz w:val="26"/>
                <w:szCs w:val="26"/>
              </w:rPr>
              <w:t xml:space="preserve">2</w:t>
            </w:r>
          </w:p>
          <w:p>
            <w:pPr>
              <w:spacing w:after="0"/>
              <w:jc w:val="center"/>
            </w:pPr>
            <w:r>
              <w:rPr>
                <w:b/>
                <w:bCs/>
                <w:color w:val="1B2A41"/>
                <w:sz w:val="18"/>
                <w:szCs w:val="18"/>
              </w:rPr>
              <w:t xml:space="preserve">Source port</w:t>
            </w:r>
          </w:p>
        </w:tc>
        <w:tc>
          <w:tcPr>
            <w:tcW w:type="dxa" w:w="1872"/>
            <w:tcBorders>
              <w:top w:val="nil" w:color="auto" w:sz="0"/>
              <w:left w:val="single" w:color="FFFFFF" w:sz="12"/>
              <w:bottom w:val="nil" w:color="auto" w:sz="0"/>
              <w:right w:val="nil" w:color="auto" w:sz="0"/>
            </w:tcBorders>
            <w:shd w:fill="E3F1F3" w:color="auto" w:val="clear"/>
            <w:tcMar>
              <w:top w:type="dxa" w:w="80"/>
              <w:left w:type="dxa" w:w="120"/>
              <w:bottom w:type="dxa" w:w="80"/>
              <w:right w:type="dxa" w:w="120"/>
            </w:tcMar>
            <w:vAlign w:val="center"/>
          </w:tcPr>
          <w:p>
            <w:pPr>
              <w:spacing w:after="0"/>
              <w:jc w:val="center"/>
            </w:pPr>
            <w:r>
              <w:rPr>
                <w:b/>
                <w:bCs/>
                <w:color w:val="0F7C8C"/>
                <w:sz w:val="26"/>
                <w:szCs w:val="26"/>
              </w:rPr>
              <w:t xml:space="preserve">3</w:t>
            </w:r>
          </w:p>
          <w:p>
            <w:pPr>
              <w:spacing w:after="0"/>
              <w:jc w:val="center"/>
            </w:pPr>
            <w:r>
              <w:rPr>
                <w:b/>
                <w:bCs/>
                <w:color w:val="1B2A41"/>
                <w:sz w:val="18"/>
                <w:szCs w:val="18"/>
              </w:rPr>
              <w:t xml:space="preserve">Destination IP</w:t>
            </w:r>
          </w:p>
        </w:tc>
        <w:tc>
          <w:tcPr>
            <w:tcW w:type="dxa" w:w="1872"/>
            <w:tcBorders>
              <w:top w:val="nil" w:color="auto" w:sz="0"/>
              <w:left w:val="single" w:color="FFFFFF" w:sz="12"/>
              <w:bottom w:val="nil" w:color="auto" w:sz="0"/>
              <w:right w:val="nil" w:color="auto" w:sz="0"/>
            </w:tcBorders>
            <w:shd w:fill="E3F1F3" w:color="auto" w:val="clear"/>
            <w:tcMar>
              <w:top w:type="dxa" w:w="80"/>
              <w:left w:type="dxa" w:w="120"/>
              <w:bottom w:type="dxa" w:w="80"/>
              <w:right w:type="dxa" w:w="120"/>
            </w:tcMar>
            <w:vAlign w:val="center"/>
          </w:tcPr>
          <w:p>
            <w:pPr>
              <w:spacing w:after="0"/>
              <w:jc w:val="center"/>
            </w:pPr>
            <w:r>
              <w:rPr>
                <w:b/>
                <w:bCs/>
                <w:color w:val="0F7C8C"/>
                <w:sz w:val="26"/>
                <w:szCs w:val="26"/>
              </w:rPr>
              <w:t xml:space="preserve">4</w:t>
            </w:r>
          </w:p>
          <w:p>
            <w:pPr>
              <w:spacing w:after="0"/>
              <w:jc w:val="center"/>
            </w:pPr>
            <w:r>
              <w:rPr>
                <w:b/>
                <w:bCs/>
                <w:color w:val="1B2A41"/>
                <w:sz w:val="18"/>
                <w:szCs w:val="18"/>
              </w:rPr>
              <w:t xml:space="preserve">Destination port</w:t>
            </w:r>
          </w:p>
        </w:tc>
        <w:tc>
          <w:tcPr>
            <w:tcW w:type="dxa" w:w="1872"/>
            <w:tcBorders>
              <w:top w:val="nil" w:color="auto" w:sz="0"/>
              <w:left w:val="single" w:color="FFFFFF" w:sz="12"/>
              <w:bottom w:val="nil" w:color="auto" w:sz="0"/>
              <w:right w:val="nil" w:color="auto" w:sz="0"/>
            </w:tcBorders>
            <w:shd w:fill="E3F1F3" w:color="auto" w:val="clear"/>
            <w:tcMar>
              <w:top w:type="dxa" w:w="80"/>
              <w:left w:type="dxa" w:w="120"/>
              <w:bottom w:type="dxa" w:w="80"/>
              <w:right w:type="dxa" w:w="120"/>
            </w:tcMar>
            <w:vAlign w:val="center"/>
          </w:tcPr>
          <w:p>
            <w:pPr>
              <w:spacing w:after="0"/>
              <w:jc w:val="center"/>
            </w:pPr>
            <w:r>
              <w:rPr>
                <w:b/>
                <w:bCs/>
                <w:color w:val="0F7C8C"/>
                <w:sz w:val="26"/>
                <w:szCs w:val="26"/>
              </w:rPr>
              <w:t xml:space="preserve">5</w:t>
            </w:r>
          </w:p>
          <w:p>
            <w:pPr>
              <w:spacing w:after="0"/>
              <w:jc w:val="center"/>
            </w:pPr>
            <w:r>
              <w:rPr>
                <w:b/>
                <w:bCs/>
                <w:color w:val="1B2A41"/>
                <w:sz w:val="18"/>
                <w:szCs w:val="18"/>
              </w:rPr>
              <w:t xml:space="preserve">Protocol</w:t>
            </w:r>
          </w:p>
        </w:tc>
      </w:tr>
    </w:tbl>
    <w:p>
      <w:pPr>
        <w:keepNext w:val="false"/>
        <w:spacing w:after="100"/>
      </w:pPr>
    </w:p>
    <w:p>
      <w:pPr>
        <w:spacing w:after="140" w:line="300"/>
      </w:pPr>
      <w:r>
        <w:rPr>
          <w:color w:val="334155"/>
          <w:sz w:val="21"/>
          <w:szCs w:val="21"/>
        </w:rPr>
        <w:t xml:space="preserve">Tuple order throughout this report: source IP, source port, destination IP, destination port, protocol. The protocol is TCP or UDP, not the application name. For example, HTTPS is the service, while TCP identifies the transport used in the HTTPS examples.</w:t>
      </w:r>
    </w:p>
    <w:p>
      <w:pPr>
        <w:spacing w:after="140" w:line="300"/>
      </w:pPr>
      <w:r>
        <w:rPr>
          <w:i/>
          <w:iCs/>
          <w:color w:val="64748B"/>
          <w:sz w:val="19"/>
          <w:szCs w:val="19"/>
        </w:rPr>
        <w:t xml:space="preserve">In the tuple tables, → marks a client request and ← marks the server’s response. Protocol is shown in blue for TCP and teal for UDP.</w:t>
      </w:r>
    </w:p>
    <w:p>
      <w:pPr>
        <w:pStyle w:val="Heading2"/>
        <w:keepNext/>
        <w:spacing w:after="100" w:before="260"/>
      </w:pPr>
      <w:r>
        <w:rPr>
          <w:b/>
          <w:bCs/>
          <w:color w:val="0F7C8C"/>
          <w:spacing w:val="30"/>
          <w:sz w:val="20"/>
          <w:szCs w:val="20"/>
        </w:rPr>
        <w:t xml:space="preserve">ASSUMPTIONS AND OBSERVATION POINTS</w:t>
      </w:r>
    </w:p>
    <w:p>
      <w:pPr>
        <w:spacing w:after="140" w:line="300"/>
      </w:pPr>
      <w:r>
        <w:rPr>
          <w:color w:val="334155"/>
          <w:sz w:val="21"/>
          <w:szCs w:val="21"/>
        </w:rPr>
        <w:t xml:space="preserve">FS1 uses SMB. The chosen client ports are illustrative dynamic ports, not fixed requirements. LAN to DMZ routing preserves the client address. The web and mail examples show traffic at the internal interfaces, before any public address translation. The remote access example explicitly assumes an IKEv2/IPsec VPN terminating on the router and a routed VPN client pool.</w:t>
      </w:r>
    </w:p>
    <w:p>
      <w:pPr>
        <w:spacing w:after="140" w:line="300"/>
      </w:pPr>
      <w:r>
        <w:rPr>
          <w:color w:val="334155"/>
          <w:sz w:val="21"/>
          <w:szCs w:val="21"/>
        </w:rPr>
        <w:t xml:space="preserve">The scenario does not specify the VPN product, LAN gateway address, DMZ mask or enabled mail protocols. No values for those details are treated as observed configuration.</w:t>
      </w:r>
    </w:p>
    <w:p>
      <w:pPr>
        <w:pStyle w:val="Heading1"/>
        <w:keepNext/>
        <w:pageBreakBefore/>
        <w:pBdr>
          <w:bottom w:val="single" w:color="0F7C8C" w:sz="8" w:space="6"/>
        </w:pBdr>
        <w:spacing w:after="120" w:before="0"/>
      </w:pPr>
      <w:r>
        <w:rPr>
          <w:b/>
          <w:bCs/>
          <w:color w:val="0F7C8C"/>
          <w:sz w:val="30"/>
          <w:szCs w:val="30"/>
        </w:rPr>
        <w:t xml:space="preserve">1  </w:t>
      </w:r>
      <w:r>
        <w:rPr>
          <w:b/>
          <w:bCs/>
          <w:color w:val="1B2A41"/>
          <w:sz w:val="30"/>
          <w:szCs w:val="30"/>
        </w:rPr>
        <w:t xml:space="preserve">Commonly used service ports</w:t>
      </w:r>
    </w:p>
    <w:p>
      <w:pPr>
        <w:spacing w:after="140" w:line="300"/>
      </w:pPr>
      <w:r>
        <w:rPr>
          <w:color w:val="334155"/>
          <w:sz w:val="21"/>
          <w:szCs w:val="21"/>
        </w:rPr>
        <w:t xml:space="preserve">The following ports identify common service endpoints. ABC should permit the protocols it actually deploys and limit access by source, destination and business need. [1, 2,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660"/>
      </w:tblGrid>
      <w:tr>
        <w:trPr>
          <w:tblHeader/>
        </w:trPr>
        <w:tc>
          <w:tcPr>
            <w:tcW w:type="dxa" w:w="240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Service</w:t>
            </w:r>
          </w:p>
        </w:tc>
        <w:tc>
          <w:tcPr>
            <w:tcW w:type="dxa" w:w="230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Protocol and port</w:t>
            </w:r>
          </w:p>
        </w:tc>
        <w:tc>
          <w:tcPr>
            <w:tcW w:type="dxa" w:w="466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Use at company ABC</w:t>
            </w:r>
          </w:p>
        </w:tc>
      </w:tr>
      <w:tr>
        <w:trPr>
          <w:cantSplit/>
        </w:trPr>
        <w:tc>
          <w:tcPr>
            <w:tcW w:type="dxa" w:w="24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File sharing</w:t>
            </w:r>
          </w:p>
        </w:tc>
        <w:tc>
          <w:tcPr>
            <w:tcW w:type="dxa" w:w="23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TCP 445</w:t>
            </w:r>
          </w:p>
        </w:tc>
        <w:tc>
          <w:tcPr>
            <w:tcW w:type="dxa" w:w="46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SMB access to FS1</w:t>
            </w:r>
          </w:p>
        </w:tc>
      </w:tr>
      <w:tr>
        <w:trPr>
          <w:cantSplit/>
        </w:trPr>
        <w:tc>
          <w:tcPr>
            <w:tcW w:type="dxa" w:w="24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DNS</w:t>
            </w:r>
          </w:p>
        </w:tc>
        <w:tc>
          <w:tcPr>
            <w:tcW w:type="dxa" w:w="23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UDP 53 and TCP 53</w:t>
            </w:r>
          </w:p>
        </w:tc>
        <w:tc>
          <w:tcPr>
            <w:tcW w:type="dxa" w:w="46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Queries to DC1. TCP also supports responses requiring TCP and other DNS operations.</w:t>
            </w:r>
          </w:p>
        </w:tc>
      </w:tr>
      <w:tr>
        <w:trPr>
          <w:cantSplit/>
        </w:trPr>
        <w:tc>
          <w:tcPr>
            <w:tcW w:type="dxa" w:w="24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Web</w:t>
            </w:r>
          </w:p>
        </w:tc>
        <w:tc>
          <w:tcPr>
            <w:tcW w:type="dxa" w:w="23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TCP 80</w:t>
            </w:r>
          </w:p>
        </w:tc>
        <w:tc>
          <w:tcPr>
            <w:tcW w:type="dxa" w:w="46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HTTP access to the DMZ web server</w:t>
            </w:r>
          </w:p>
        </w:tc>
      </w:tr>
      <w:tr>
        <w:trPr>
          <w:cantSplit/>
        </w:trPr>
        <w:tc>
          <w:tcPr>
            <w:tcW w:type="dxa" w:w="24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Secure web</w:t>
            </w:r>
          </w:p>
        </w:tc>
        <w:tc>
          <w:tcPr>
            <w:tcW w:type="dxa" w:w="23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TCP 443</w:t>
            </w:r>
          </w:p>
        </w:tc>
        <w:tc>
          <w:tcPr>
            <w:tcW w:type="dxa" w:w="46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HTTPS using TLS over TCP</w:t>
            </w:r>
          </w:p>
        </w:tc>
      </w:tr>
      <w:tr>
        <w:trPr>
          <w:cantSplit/>
        </w:trPr>
        <w:tc>
          <w:tcPr>
            <w:tcW w:type="dxa" w:w="24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Secure web with HTTP/3</w:t>
            </w:r>
          </w:p>
        </w:tc>
        <w:tc>
          <w:tcPr>
            <w:tcW w:type="dxa" w:w="23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UDP 443</w:t>
            </w:r>
          </w:p>
        </w:tc>
        <w:tc>
          <w:tcPr>
            <w:tcW w:type="dxa" w:w="46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QUIC based HTTPS if the server supports HTTP/3. [6]</w:t>
            </w:r>
          </w:p>
        </w:tc>
      </w:tr>
      <w:tr>
        <w:trPr>
          <w:cantSplit/>
        </w:trPr>
        <w:tc>
          <w:tcPr>
            <w:tcW w:type="dxa" w:w="24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Remote Desktop</w:t>
            </w:r>
          </w:p>
        </w:tc>
        <w:tc>
          <w:tcPr>
            <w:tcW w:type="dxa" w:w="23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TCP 3389 and UDP 3389</w:t>
            </w:r>
          </w:p>
        </w:tc>
        <w:tc>
          <w:tcPr>
            <w:tcW w:type="dxa" w:w="46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RDP to the employee’s office computer over the VPN</w:t>
            </w:r>
          </w:p>
        </w:tc>
      </w:tr>
      <w:tr>
        <w:trPr>
          <w:cantSplit/>
        </w:trPr>
        <w:tc>
          <w:tcPr>
            <w:tcW w:type="dxa" w:w="24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SMTP relay</w:t>
            </w:r>
          </w:p>
        </w:tc>
        <w:tc>
          <w:tcPr>
            <w:tcW w:type="dxa" w:w="23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TCP 25</w:t>
            </w:r>
          </w:p>
        </w:tc>
        <w:tc>
          <w:tcPr>
            <w:tcW w:type="dxa" w:w="46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Mail transfer between mail servers</w:t>
            </w:r>
          </w:p>
        </w:tc>
      </w:tr>
      <w:tr>
        <w:trPr>
          <w:cantSplit/>
        </w:trPr>
        <w:tc>
          <w:tcPr>
            <w:tcW w:type="dxa" w:w="24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Mail submission</w:t>
            </w:r>
          </w:p>
        </w:tc>
        <w:tc>
          <w:tcPr>
            <w:tcW w:type="dxa" w:w="23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TCP 587 or TCP 465</w:t>
            </w:r>
          </w:p>
        </w:tc>
        <w:tc>
          <w:tcPr>
            <w:tcW w:type="dxa" w:w="46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Authenticated submission. Require STARTTLS on 587 or implicit TLS on 465.</w:t>
            </w:r>
          </w:p>
        </w:tc>
      </w:tr>
      <w:tr>
        <w:trPr>
          <w:cantSplit/>
        </w:trPr>
        <w:tc>
          <w:tcPr>
            <w:tcW w:type="dxa" w:w="24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IMAP</w:t>
            </w:r>
          </w:p>
        </w:tc>
        <w:tc>
          <w:tcPr>
            <w:tcW w:type="dxa" w:w="23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TCP 143 or TCP 993</w:t>
            </w:r>
          </w:p>
        </w:tc>
        <w:tc>
          <w:tcPr>
            <w:tcW w:type="dxa" w:w="46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Mailbox access. 993 uses implicit TLS. 143 requires STARTTLS for protected access.</w:t>
            </w:r>
          </w:p>
        </w:tc>
      </w:tr>
      <w:tr>
        <w:trPr>
          <w:cantSplit/>
        </w:trPr>
        <w:tc>
          <w:tcPr>
            <w:tcW w:type="dxa" w:w="24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POP3</w:t>
            </w:r>
          </w:p>
        </w:tc>
        <w:tc>
          <w:tcPr>
            <w:tcW w:type="dxa" w:w="23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TCP 110 or TCP 995</w:t>
            </w:r>
          </w:p>
        </w:tc>
        <w:tc>
          <w:tcPr>
            <w:tcW w:type="dxa" w:w="46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Mailbox retrieval. 995 uses implicit TLS. 110 requires STLS for protected access.</w:t>
            </w:r>
          </w:p>
        </w:tc>
      </w:tr>
      <w:tr>
        <w:trPr>
          <w:cantSplit/>
        </w:trPr>
        <w:tc>
          <w:tcPr>
            <w:tcW w:type="dxa" w:w="24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val="false"/>
              <w:keepLines/>
              <w:spacing w:after="0" w:line="260"/>
            </w:pPr>
            <w:r>
              <w:rPr>
                <w:b/>
                <w:bCs/>
                <w:color w:val="1B2A41"/>
                <w:sz w:val="19"/>
                <w:szCs w:val="19"/>
              </w:rPr>
              <w:t xml:space="preserve">IKEv2/IPsec VPN</w:t>
            </w:r>
          </w:p>
        </w:tc>
        <w:tc>
          <w:tcPr>
            <w:tcW w:type="dxa" w:w="23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UDP 500 and UDP 4500</w:t>
            </w:r>
          </w:p>
        </w:tc>
        <w:tc>
          <w:tcPr>
            <w:tcW w:type="dxa" w:w="46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IKE negotiation and NAT traversal in the assumed VPN example. [4]</w:t>
            </w:r>
          </w:p>
        </w:tc>
      </w:tr>
    </w:tbl>
    <w:p>
      <w:pPr>
        <w:pStyle w:val="Heading2"/>
        <w:keepNext/>
        <w:spacing w:after="100" w:before="260"/>
      </w:pPr>
      <w:r>
        <w:rPr>
          <w:b/>
          <w:bCs/>
          <w:color w:val="0F7C8C"/>
          <w:spacing w:val="30"/>
          <w:sz w:val="20"/>
          <w:szCs w:val="20"/>
        </w:rPr>
        <w:t xml:space="preserve">PORT AND PROTOCOL DISTINCTIONS</w:t>
      </w:r>
    </w:p>
    <w:p>
      <w:pPr>
        <w:spacing w:after="140" w:line="300"/>
      </w:pPr>
      <w:r>
        <w:rPr>
          <w:color w:val="334155"/>
          <w:sz w:val="21"/>
          <w:szCs w:val="21"/>
        </w:rPr>
        <w:t xml:space="preserve">A registered port does not prove that the expected application is running or that the traffic is safe. Verification requires configuration review, logs or authorized traffic inspection. Legacy NetBIOS file sharing can also use UDP 137 and 138 plus TCP 139, but modern direct SMB uses TCP 445. [1, 2]</w:t>
      </w:r>
    </w:p>
    <w:p>
      <w:pPr>
        <w:spacing w:after="140" w:line="300"/>
      </w:pPr>
      <w:r>
        <w:rPr>
          <w:color w:val="334155"/>
          <w:sz w:val="21"/>
          <w:szCs w:val="21"/>
        </w:rPr>
        <w:t xml:space="preserve">The client’s temporary port distinguishes simultaneous sessions. The examples use ports in the IANA dynamic/private range of 49152 through 65535. Actual client choices vary by operating system and configuration. [1]</w:t>
      </w:r>
    </w:p>
    <w:p>
      <w:pPr>
        <w:spacing w:after="140" w:line="300"/>
      </w:pPr>
      <w:r>
        <w:rPr>
          <w:color w:val="334155"/>
          <w:sz w:val="21"/>
          <w:szCs w:val="21"/>
        </w:rPr>
        <w:t xml:space="preserve">For IPsec without UDP encapsulation, ESP uses IP protocol 50 and has no TCP or UDP ports. It cannot be described by a conventional TCP/UDP port pair. [4]</w:t>
      </w:r>
    </w:p>
    <w:p>
      <w:pPr>
        <w:pStyle w:val="Heading1"/>
        <w:keepNext/>
        <w:pageBreakBefore/>
        <w:pBdr>
          <w:bottom w:val="single" w:color="0F7C8C" w:sz="8" w:space="6"/>
        </w:pBdr>
        <w:spacing w:after="120" w:before="0"/>
      </w:pPr>
      <w:r>
        <w:rPr>
          <w:b/>
          <w:bCs/>
          <w:color w:val="0F7C8C"/>
          <w:sz w:val="30"/>
          <w:szCs w:val="30"/>
        </w:rPr>
        <w:t xml:space="preserve">2 and 3  </w:t>
      </w:r>
      <w:r>
        <w:rPr>
          <w:b/>
          <w:bCs/>
          <w:color w:val="1B2A41"/>
          <w:sz w:val="30"/>
          <w:szCs w:val="30"/>
        </w:rPr>
        <w:t xml:space="preserve">File sharing and DNS traffic</w:t>
      </w:r>
    </w:p>
    <w:p>
      <w:pPr>
        <w:pStyle w:val="Heading2"/>
        <w:keepNext/>
        <w:spacing w:after="100" w:before="260"/>
      </w:pPr>
      <w:r>
        <w:rPr>
          <w:b/>
          <w:bCs/>
          <w:color w:val="0F7C8C"/>
          <w:spacing w:val="30"/>
          <w:sz w:val="20"/>
          <w:szCs w:val="20"/>
        </w:rPr>
        <w:t xml:space="preserve">2  WORKSTATION TO FS1</w:t>
      </w:r>
    </w:p>
    <w:p>
      <w:pPr>
        <w:keepNext/>
        <w:spacing w:after="140" w:line="300"/>
      </w:pPr>
      <w:r>
        <w:rPr>
          <w:color w:val="334155"/>
          <w:sz w:val="21"/>
          <w:szCs w:val="21"/>
        </w:rPr>
        <w:t xml:space="preserve">For an SMB session, 10.10.0.25 connects from example port 51000 to FS1 at 10.10.0.250 on TCP 445. The response returns to the same client port.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720"/>
        <w:gridCol w:w="940"/>
        <w:gridCol w:w="1720"/>
        <w:gridCol w:w="940"/>
        <w:gridCol w:w="2060"/>
      </w:tblGrid>
      <w:tr>
        <w:trPr>
          <w:tblHeader/>
        </w:trPr>
        <w:tc>
          <w:tcPr>
            <w:tcW w:type="dxa" w:w="198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Traffic</w:t>
            </w:r>
          </w:p>
        </w:tc>
        <w:tc>
          <w:tcPr>
            <w:tcW w:type="dxa" w:w="172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Source IP</w:t>
            </w:r>
          </w:p>
        </w:tc>
        <w:tc>
          <w:tcPr>
            <w:tcW w:type="dxa" w:w="94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Src port</w:t>
            </w:r>
          </w:p>
        </w:tc>
        <w:tc>
          <w:tcPr>
            <w:tcW w:type="dxa" w:w="172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Destination IP</w:t>
            </w:r>
          </w:p>
        </w:tc>
        <w:tc>
          <w:tcPr>
            <w:tcW w:type="dxa" w:w="94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Dst port</w:t>
            </w:r>
          </w:p>
        </w:tc>
        <w:tc>
          <w:tcPr>
            <w:tcW w:type="dxa" w:w="206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Protocol</w:t>
            </w:r>
          </w:p>
        </w:tc>
      </w:tr>
      <w:tr>
        <w:trPr>
          <w:cantSplit/>
        </w:trPr>
        <w:tc>
          <w:tcPr>
            <w:tcW w:type="dxa" w:w="19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alibri" w:cs="Calibri" w:eastAsia="Calibri" w:hAnsi="Calibri"/>
                <w:b/>
                <w:bCs/>
                <w:color w:val="1B2A41"/>
                <w:sz w:val="19"/>
                <w:szCs w:val="19"/>
              </w:rPr>
              <w:t xml:space="preserve">→ SMB request</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51000</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10.10.0.250</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bCs/>
                <w:color w:val="334155"/>
                <w:sz w:val="19"/>
                <w:szCs w:val="19"/>
              </w:rPr>
              <w:t xml:space="preserve">445</w:t>
            </w:r>
          </w:p>
        </w:tc>
        <w:tc>
          <w:tcPr>
            <w:tcW w:type="dxa" w:w="20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b/>
                <w:bCs/>
                <w:color w:val="315C99"/>
                <w:sz w:val="19"/>
                <w:szCs w:val="19"/>
              </w:rPr>
              <w:t xml:space="preserve">TCP</w:t>
            </w:r>
          </w:p>
        </w:tc>
      </w:tr>
      <w:tr>
        <w:trPr>
          <w:cantSplit/>
        </w:trPr>
        <w:tc>
          <w:tcPr>
            <w:tcW w:type="dxa" w:w="198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alibri" w:cs="Calibri" w:eastAsia="Calibri" w:hAnsi="Calibri"/>
                <w:b/>
                <w:bCs/>
                <w:color w:val="1B2A41"/>
                <w:sz w:val="19"/>
                <w:szCs w:val="19"/>
              </w:rPr>
              <w:t xml:space="preserve">← SMB response</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val="false"/>
                <w:bCs w:val="false"/>
                <w:color w:val="334155"/>
                <w:sz w:val="19"/>
                <w:szCs w:val="19"/>
              </w:rPr>
              <w:t xml:space="preserve">10.10.0.250</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bCs/>
                <w:color w:val="334155"/>
                <w:sz w:val="19"/>
                <w:szCs w:val="19"/>
              </w:rPr>
              <w:t xml:space="preserve">445</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val="false"/>
                <w:bCs w:val="false"/>
                <w:color w:val="334155"/>
                <w:sz w:val="19"/>
                <w:szCs w:val="19"/>
              </w:rPr>
              <w:t xml:space="preserve">51000</w:t>
            </w:r>
          </w:p>
        </w:tc>
        <w:tc>
          <w:tcPr>
            <w:tcW w:type="dxa" w:w="20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b/>
                <w:bCs/>
                <w:color w:val="315C99"/>
                <w:sz w:val="19"/>
                <w:szCs w:val="19"/>
              </w:rPr>
              <w:t xml:space="preserve">TCP</w:t>
            </w:r>
          </w:p>
        </w:tc>
      </w:tr>
    </w:tbl>
    <w:p>
      <w:pPr>
        <w:keepNext w:val="false"/>
        <w:spacing w:after="100"/>
      </w:pPr>
    </w:p>
    <w:p>
      <w:pPr>
        <w:spacing w:after="140" w:line="300"/>
      </w:pPr>
      <w:r>
        <w:rPr>
          <w:color w:val="334155"/>
          <w:sz w:val="21"/>
          <w:szCs w:val="21"/>
        </w:rPr>
        <w:t xml:space="preserve">Both hosts are on 10.10.0.0/24. With ordinary local switching, this traffic stays on the LAN and does not pass through the router’s WAN or DMZ firewall. Host firewall rules or internal segmentation controls would govern access at those points.</w:t>
      </w:r>
    </w:p>
    <w:p>
      <w:pPr>
        <w:pStyle w:val="Heading2"/>
        <w:keepNext/>
        <w:spacing w:after="100" w:before="260"/>
      </w:pPr>
      <w:r>
        <w:rPr>
          <w:b/>
          <w:bCs/>
          <w:color w:val="0F7C8C"/>
          <w:spacing w:val="30"/>
          <w:sz w:val="20"/>
          <w:szCs w:val="20"/>
        </w:rPr>
        <w:t xml:space="preserve">3  WORKSTATION TO DC1 DNS</w:t>
      </w:r>
    </w:p>
    <w:p>
      <w:pPr>
        <w:keepNext/>
        <w:spacing w:after="140" w:line="300"/>
      </w:pPr>
      <w:r>
        <w:rPr>
          <w:color w:val="334155"/>
          <w:sz w:val="21"/>
          <w:szCs w:val="21"/>
        </w:rPr>
        <w:t xml:space="preserve">A typical DNS query uses UDP destination port 53. The TCP example is a separate connection, such as a retry after a truncated UDP response. DNS supports both transports, and clients can also use TCP directly.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720"/>
        <w:gridCol w:w="940"/>
        <w:gridCol w:w="1720"/>
        <w:gridCol w:w="940"/>
        <w:gridCol w:w="2060"/>
      </w:tblGrid>
      <w:tr>
        <w:trPr>
          <w:tblHeader/>
        </w:trPr>
        <w:tc>
          <w:tcPr>
            <w:tcW w:type="dxa" w:w="198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Traffic</w:t>
            </w:r>
          </w:p>
        </w:tc>
        <w:tc>
          <w:tcPr>
            <w:tcW w:type="dxa" w:w="172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Source IP</w:t>
            </w:r>
          </w:p>
        </w:tc>
        <w:tc>
          <w:tcPr>
            <w:tcW w:type="dxa" w:w="94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Src port</w:t>
            </w:r>
          </w:p>
        </w:tc>
        <w:tc>
          <w:tcPr>
            <w:tcW w:type="dxa" w:w="172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Destination IP</w:t>
            </w:r>
          </w:p>
        </w:tc>
        <w:tc>
          <w:tcPr>
            <w:tcW w:type="dxa" w:w="94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Dst port</w:t>
            </w:r>
          </w:p>
        </w:tc>
        <w:tc>
          <w:tcPr>
            <w:tcW w:type="dxa" w:w="206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Protocol</w:t>
            </w:r>
          </w:p>
        </w:tc>
      </w:tr>
      <w:tr>
        <w:trPr>
          <w:cantSplit/>
        </w:trPr>
        <w:tc>
          <w:tcPr>
            <w:tcW w:type="dxa" w:w="19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alibri" w:cs="Calibri" w:eastAsia="Calibri" w:hAnsi="Calibri"/>
                <w:b/>
                <w:bCs/>
                <w:color w:val="1B2A41"/>
                <w:sz w:val="19"/>
                <w:szCs w:val="19"/>
              </w:rPr>
              <w:t xml:space="preserve">→ DNS query</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52000</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10.10.0.10</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bCs/>
                <w:color w:val="334155"/>
                <w:sz w:val="19"/>
                <w:szCs w:val="19"/>
              </w:rPr>
              <w:t xml:space="preserve">53</w:t>
            </w:r>
          </w:p>
        </w:tc>
        <w:tc>
          <w:tcPr>
            <w:tcW w:type="dxa" w:w="20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b/>
                <w:bCs/>
                <w:color w:val="0F7C8C"/>
                <w:sz w:val="19"/>
                <w:szCs w:val="19"/>
              </w:rPr>
              <w:t xml:space="preserve">UDP</w:t>
            </w:r>
          </w:p>
        </w:tc>
      </w:tr>
      <w:tr>
        <w:trPr>
          <w:cantSplit/>
        </w:trPr>
        <w:tc>
          <w:tcPr>
            <w:tcW w:type="dxa" w:w="198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alibri" w:cs="Calibri" w:eastAsia="Calibri" w:hAnsi="Calibri"/>
                <w:b/>
                <w:bCs/>
                <w:color w:val="1B2A41"/>
                <w:sz w:val="19"/>
                <w:szCs w:val="19"/>
              </w:rPr>
              <w:t xml:space="preserve">← DNS reply</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10.10.0.10</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bCs/>
                <w:color w:val="334155"/>
                <w:sz w:val="19"/>
                <w:szCs w:val="19"/>
              </w:rPr>
              <w:t xml:space="preserve">53</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52000</w:t>
            </w:r>
          </w:p>
        </w:tc>
        <w:tc>
          <w:tcPr>
            <w:tcW w:type="dxa" w:w="20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b/>
                <w:bCs/>
                <w:color w:val="0F7C8C"/>
                <w:sz w:val="19"/>
                <w:szCs w:val="19"/>
              </w:rPr>
              <w:t xml:space="preserve">UDP</w:t>
            </w:r>
          </w:p>
        </w:tc>
      </w:tr>
      <w:tr>
        <w:trPr>
          <w:cantSplit/>
        </w:trPr>
        <w:tc>
          <w:tcPr>
            <w:tcW w:type="dxa" w:w="19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alibri" w:cs="Calibri" w:eastAsia="Calibri" w:hAnsi="Calibri"/>
                <w:b/>
                <w:bCs/>
                <w:color w:val="1B2A41"/>
                <w:sz w:val="19"/>
                <w:szCs w:val="19"/>
              </w:rPr>
              <w:t xml:space="preserve">→ DNS over TCP</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52001</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10.10.0.10</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bCs/>
                <w:color w:val="334155"/>
                <w:sz w:val="19"/>
                <w:szCs w:val="19"/>
              </w:rPr>
              <w:t xml:space="preserve">53</w:t>
            </w:r>
          </w:p>
        </w:tc>
        <w:tc>
          <w:tcPr>
            <w:tcW w:type="dxa" w:w="20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b/>
                <w:bCs/>
                <w:color w:val="315C99"/>
                <w:sz w:val="19"/>
                <w:szCs w:val="19"/>
              </w:rPr>
              <w:t xml:space="preserve">TCP</w:t>
            </w:r>
          </w:p>
        </w:tc>
      </w:tr>
      <w:tr>
        <w:trPr>
          <w:cantSplit/>
        </w:trPr>
        <w:tc>
          <w:tcPr>
            <w:tcW w:type="dxa" w:w="198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alibri" w:cs="Calibri" w:eastAsia="Calibri" w:hAnsi="Calibri"/>
                <w:b/>
                <w:bCs/>
                <w:color w:val="1B2A41"/>
                <w:sz w:val="19"/>
                <w:szCs w:val="19"/>
              </w:rPr>
              <w:t xml:space="preserve">← TCP reply</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val="false"/>
                <w:bCs w:val="false"/>
                <w:color w:val="334155"/>
                <w:sz w:val="19"/>
                <w:szCs w:val="19"/>
              </w:rPr>
              <w:t xml:space="preserve">10.10.0.10</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bCs/>
                <w:color w:val="334155"/>
                <w:sz w:val="19"/>
                <w:szCs w:val="19"/>
              </w:rPr>
              <w:t xml:space="preserve">53</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val="false"/>
                <w:bCs w:val="false"/>
                <w:color w:val="334155"/>
                <w:sz w:val="19"/>
                <w:szCs w:val="19"/>
              </w:rPr>
              <w:t xml:space="preserve">52001</w:t>
            </w:r>
          </w:p>
        </w:tc>
        <w:tc>
          <w:tcPr>
            <w:tcW w:type="dxa" w:w="20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b/>
                <w:bCs/>
                <w:color w:val="315C99"/>
                <w:sz w:val="19"/>
                <w:szCs w:val="19"/>
              </w:rPr>
              <w:t xml:space="preserve">TCP</w:t>
            </w:r>
          </w:p>
        </w:tc>
      </w:tr>
    </w:tbl>
    <w:p>
      <w:pPr>
        <w:pStyle w:val="Heading2"/>
        <w:keepNext/>
        <w:spacing w:after="100" w:before="260"/>
      </w:pPr>
      <w:r>
        <w:rPr>
          <w:b/>
          <w:bCs/>
          <w:color w:val="0F7C8C"/>
          <w:spacing w:val="30"/>
          <w:sz w:val="20"/>
          <w:szCs w:val="20"/>
        </w:rPr>
        <w:t xml:space="preserve">INTERPRETATION</w:t>
      </w:r>
    </w:p>
    <w:p>
      <w:pPr>
        <w:spacing w:after="140" w:line="300"/>
      </w:pPr>
      <w:r>
        <w:rPr>
          <w:color w:val="334155"/>
          <w:sz w:val="21"/>
          <w:szCs w:val="21"/>
        </w:rPr>
        <w:t xml:space="preserve">Replies use source port 53 because DC1 is the DNS service endpoint. The workstation receives the answer on the temporary port it selected. A TCP connection and a UDP exchange remain different flows even if their IP addresses and port numbers match.</w:t>
      </w:r>
    </w:p>
    <w:p>
      <w:pPr>
        <w:spacing w:after="140" w:line="300"/>
      </w:pPr>
      <w:r>
        <w:rPr>
          <w:color w:val="334155"/>
          <w:sz w:val="21"/>
          <w:szCs w:val="21"/>
        </w:rPr>
        <w:t xml:space="preserve">These tuples cover SMB and DNS only. Domain logon, Kerberos, LDAP and other Active Directory dependencies are outside the requested examples and would need separate policy review.</w:t>
      </w:r>
    </w:p>
    <w:p>
      <w:pPr>
        <w:pStyle w:val="Heading1"/>
        <w:keepNext/>
        <w:pageBreakBefore/>
        <w:pBdr>
          <w:bottom w:val="single" w:color="0F7C8C" w:sz="8" w:space="6"/>
        </w:pBdr>
        <w:spacing w:after="120" w:before="0"/>
      </w:pPr>
      <w:r>
        <w:rPr>
          <w:b/>
          <w:bCs/>
          <w:color w:val="0F7C8C"/>
          <w:sz w:val="30"/>
          <w:szCs w:val="30"/>
        </w:rPr>
        <w:t xml:space="preserve">4 and 5  </w:t>
      </w:r>
      <w:r>
        <w:rPr>
          <w:b/>
          <w:bCs/>
          <w:color w:val="1B2A41"/>
          <w:sz w:val="30"/>
          <w:szCs w:val="30"/>
        </w:rPr>
        <w:t xml:space="preserve">Web and email traffic</w:t>
      </w:r>
    </w:p>
    <w:p>
      <w:pPr>
        <w:pStyle w:val="Heading2"/>
        <w:keepNext/>
        <w:spacing w:after="100" w:before="260"/>
      </w:pPr>
      <w:r>
        <w:rPr>
          <w:b/>
          <w:bCs/>
          <w:color w:val="0F7C8C"/>
          <w:spacing w:val="30"/>
          <w:sz w:val="20"/>
          <w:szCs w:val="20"/>
        </w:rPr>
        <w:t xml:space="preserve">4  WORKSTATION TO THE DMZ WEB SERVER</w:t>
      </w:r>
    </w:p>
    <w:p>
      <w:pPr>
        <w:keepNext/>
        <w:spacing w:after="140" w:line="300"/>
      </w:pPr>
      <w:r>
        <w:rPr>
          <w:color w:val="334155"/>
          <w:sz w:val="21"/>
          <w:szCs w:val="21"/>
        </w:rPr>
        <w:t xml:space="preserve">The internal client reaches 192.168.10.2 through the router. HTTP and HTTPS use separate sessions. These examples assume HTTPS over TCP rather than HTTP/3. [1,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720"/>
        <w:gridCol w:w="940"/>
        <w:gridCol w:w="1720"/>
        <w:gridCol w:w="940"/>
        <w:gridCol w:w="2060"/>
      </w:tblGrid>
      <w:tr>
        <w:trPr>
          <w:tblHeader/>
        </w:trPr>
        <w:tc>
          <w:tcPr>
            <w:tcW w:type="dxa" w:w="198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Traffic</w:t>
            </w:r>
          </w:p>
        </w:tc>
        <w:tc>
          <w:tcPr>
            <w:tcW w:type="dxa" w:w="172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Source IP</w:t>
            </w:r>
          </w:p>
        </w:tc>
        <w:tc>
          <w:tcPr>
            <w:tcW w:type="dxa" w:w="94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Src port</w:t>
            </w:r>
          </w:p>
        </w:tc>
        <w:tc>
          <w:tcPr>
            <w:tcW w:type="dxa" w:w="172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Destination IP</w:t>
            </w:r>
          </w:p>
        </w:tc>
        <w:tc>
          <w:tcPr>
            <w:tcW w:type="dxa" w:w="94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Dst port</w:t>
            </w:r>
          </w:p>
        </w:tc>
        <w:tc>
          <w:tcPr>
            <w:tcW w:type="dxa" w:w="206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Protocol</w:t>
            </w:r>
          </w:p>
        </w:tc>
      </w:tr>
      <w:tr>
        <w:trPr>
          <w:cantSplit/>
        </w:trPr>
        <w:tc>
          <w:tcPr>
            <w:tcW w:type="dxa" w:w="19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alibri" w:cs="Calibri" w:eastAsia="Calibri" w:hAnsi="Calibri"/>
                <w:b/>
                <w:bCs/>
                <w:color w:val="1B2A41"/>
                <w:sz w:val="19"/>
                <w:szCs w:val="19"/>
              </w:rPr>
              <w:t xml:space="preserve">→ HTTP request</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53000</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192.168.10.2</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bCs/>
                <w:color w:val="334155"/>
                <w:sz w:val="19"/>
                <w:szCs w:val="19"/>
              </w:rPr>
              <w:t xml:space="preserve">80</w:t>
            </w:r>
          </w:p>
        </w:tc>
        <w:tc>
          <w:tcPr>
            <w:tcW w:type="dxa" w:w="20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b/>
                <w:bCs/>
                <w:color w:val="315C99"/>
                <w:sz w:val="19"/>
                <w:szCs w:val="19"/>
              </w:rPr>
              <w:t xml:space="preserve">TCP</w:t>
            </w:r>
          </w:p>
        </w:tc>
      </w:tr>
      <w:tr>
        <w:trPr>
          <w:cantSplit/>
        </w:trPr>
        <w:tc>
          <w:tcPr>
            <w:tcW w:type="dxa" w:w="198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alibri" w:cs="Calibri" w:eastAsia="Calibri" w:hAnsi="Calibri"/>
                <w:b/>
                <w:bCs/>
                <w:color w:val="1B2A41"/>
                <w:sz w:val="19"/>
                <w:szCs w:val="19"/>
              </w:rPr>
              <w:t xml:space="preserve">← HTTP response</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192.168.10.2</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bCs/>
                <w:color w:val="334155"/>
                <w:sz w:val="19"/>
                <w:szCs w:val="19"/>
              </w:rPr>
              <w:t xml:space="preserve">80</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53000</w:t>
            </w:r>
          </w:p>
        </w:tc>
        <w:tc>
          <w:tcPr>
            <w:tcW w:type="dxa" w:w="20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b/>
                <w:bCs/>
                <w:color w:val="315C99"/>
                <w:sz w:val="19"/>
                <w:szCs w:val="19"/>
              </w:rPr>
              <w:t xml:space="preserve">TCP</w:t>
            </w:r>
          </w:p>
        </w:tc>
      </w:tr>
      <w:tr>
        <w:trPr>
          <w:cantSplit/>
        </w:trPr>
        <w:tc>
          <w:tcPr>
            <w:tcW w:type="dxa" w:w="19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alibri" w:cs="Calibri" w:eastAsia="Calibri" w:hAnsi="Calibri"/>
                <w:b/>
                <w:bCs/>
                <w:color w:val="1B2A41"/>
                <w:sz w:val="19"/>
                <w:szCs w:val="19"/>
              </w:rPr>
              <w:t xml:space="preserve">→ HTTPS request</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53001</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192.168.10.2</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bCs/>
                <w:color w:val="334155"/>
                <w:sz w:val="19"/>
                <w:szCs w:val="19"/>
              </w:rPr>
              <w:t xml:space="preserve">443</w:t>
            </w:r>
          </w:p>
        </w:tc>
        <w:tc>
          <w:tcPr>
            <w:tcW w:type="dxa" w:w="20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b/>
                <w:bCs/>
                <w:color w:val="315C99"/>
                <w:sz w:val="19"/>
                <w:szCs w:val="19"/>
              </w:rPr>
              <w:t xml:space="preserve">TCP</w:t>
            </w:r>
          </w:p>
        </w:tc>
      </w:tr>
      <w:tr>
        <w:trPr>
          <w:cantSplit/>
        </w:trPr>
        <w:tc>
          <w:tcPr>
            <w:tcW w:type="dxa" w:w="198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alibri" w:cs="Calibri" w:eastAsia="Calibri" w:hAnsi="Calibri"/>
                <w:b/>
                <w:bCs/>
                <w:color w:val="1B2A41"/>
                <w:sz w:val="19"/>
                <w:szCs w:val="19"/>
              </w:rPr>
              <w:t xml:space="preserve">← HTTPS response</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val="false"/>
                <w:bCs w:val="false"/>
                <w:color w:val="334155"/>
                <w:sz w:val="19"/>
                <w:szCs w:val="19"/>
              </w:rPr>
              <w:t xml:space="preserve">192.168.10.2</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bCs/>
                <w:color w:val="334155"/>
                <w:sz w:val="19"/>
                <w:szCs w:val="19"/>
              </w:rPr>
              <w:t xml:space="preserve">443</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val="false"/>
                <w:bCs w:val="false"/>
                <w:color w:val="334155"/>
                <w:sz w:val="19"/>
                <w:szCs w:val="19"/>
              </w:rPr>
              <w:t xml:space="preserve">53001</w:t>
            </w:r>
          </w:p>
        </w:tc>
        <w:tc>
          <w:tcPr>
            <w:tcW w:type="dxa" w:w="20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b/>
                <w:bCs/>
                <w:color w:val="315C99"/>
                <w:sz w:val="19"/>
                <w:szCs w:val="19"/>
              </w:rPr>
              <w:t xml:space="preserve">TCP</w:t>
            </w:r>
          </w:p>
        </w:tc>
      </w:tr>
    </w:tbl>
    <w:p>
      <w:pPr>
        <w:pStyle w:val="Heading2"/>
        <w:keepNext/>
        <w:spacing w:after="100" w:before="260"/>
      </w:pPr>
      <w:r>
        <w:rPr>
          <w:b/>
          <w:bCs/>
          <w:color w:val="0F7C8C"/>
          <w:spacing w:val="30"/>
          <w:sz w:val="20"/>
          <w:szCs w:val="20"/>
        </w:rPr>
        <w:t xml:space="preserve">5  WORKSTATION TO THE DMZ EMAIL SERVER</w:t>
      </w:r>
    </w:p>
    <w:p>
      <w:pPr>
        <w:keepNext/>
        <w:spacing w:after="140" w:line="300"/>
      </w:pPr>
      <w:r>
        <w:rPr>
          <w:color w:val="334155"/>
          <w:sz w:val="21"/>
          <w:szCs w:val="21"/>
        </w:rPr>
        <w:t xml:space="preserve">Email includes several services. The tuples below show SMTP on 25 for completeness, authenticated submission on 587, and IMAP over TLS on 993. For normal employee sending, ABC should prefer authenticated submission with required TLS. [1,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720"/>
        <w:gridCol w:w="940"/>
        <w:gridCol w:w="1720"/>
        <w:gridCol w:w="940"/>
        <w:gridCol w:w="2060"/>
      </w:tblGrid>
      <w:tr>
        <w:trPr>
          <w:tblHeader/>
        </w:trPr>
        <w:tc>
          <w:tcPr>
            <w:tcW w:type="dxa" w:w="198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Traffic</w:t>
            </w:r>
          </w:p>
        </w:tc>
        <w:tc>
          <w:tcPr>
            <w:tcW w:type="dxa" w:w="172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Source IP</w:t>
            </w:r>
          </w:p>
        </w:tc>
        <w:tc>
          <w:tcPr>
            <w:tcW w:type="dxa" w:w="94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Src port</w:t>
            </w:r>
          </w:p>
        </w:tc>
        <w:tc>
          <w:tcPr>
            <w:tcW w:type="dxa" w:w="172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Destination IP</w:t>
            </w:r>
          </w:p>
        </w:tc>
        <w:tc>
          <w:tcPr>
            <w:tcW w:type="dxa" w:w="94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Dst port</w:t>
            </w:r>
          </w:p>
        </w:tc>
        <w:tc>
          <w:tcPr>
            <w:tcW w:type="dxa" w:w="206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Protocol</w:t>
            </w:r>
          </w:p>
        </w:tc>
      </w:tr>
      <w:tr>
        <w:trPr>
          <w:cantSplit/>
        </w:trPr>
        <w:tc>
          <w:tcPr>
            <w:tcW w:type="dxa" w:w="19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alibri" w:cs="Calibri" w:eastAsia="Calibri" w:hAnsi="Calibri"/>
                <w:b/>
                <w:bCs/>
                <w:color w:val="1B2A41"/>
                <w:sz w:val="19"/>
                <w:szCs w:val="19"/>
              </w:rPr>
              <w:t xml:space="preserve">→ SMTP request</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54000</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192.168.10.3</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bCs/>
                <w:color w:val="334155"/>
                <w:sz w:val="19"/>
                <w:szCs w:val="19"/>
              </w:rPr>
              <w:t xml:space="preserve">25</w:t>
            </w:r>
          </w:p>
        </w:tc>
        <w:tc>
          <w:tcPr>
            <w:tcW w:type="dxa" w:w="20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b/>
                <w:bCs/>
                <w:color w:val="315C99"/>
                <w:sz w:val="19"/>
                <w:szCs w:val="19"/>
              </w:rPr>
              <w:t xml:space="preserve">TCP</w:t>
            </w:r>
          </w:p>
        </w:tc>
      </w:tr>
      <w:tr>
        <w:trPr>
          <w:cantSplit/>
        </w:trPr>
        <w:tc>
          <w:tcPr>
            <w:tcW w:type="dxa" w:w="198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alibri" w:cs="Calibri" w:eastAsia="Calibri" w:hAnsi="Calibri"/>
                <w:b/>
                <w:bCs/>
                <w:color w:val="1B2A41"/>
                <w:sz w:val="19"/>
                <w:szCs w:val="19"/>
              </w:rPr>
              <w:t xml:space="preserve">← SMTP response</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192.168.10.3</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bCs/>
                <w:color w:val="334155"/>
                <w:sz w:val="19"/>
                <w:szCs w:val="19"/>
              </w:rPr>
              <w:t xml:space="preserve">25</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54000</w:t>
            </w:r>
          </w:p>
        </w:tc>
        <w:tc>
          <w:tcPr>
            <w:tcW w:type="dxa" w:w="20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b/>
                <w:bCs/>
                <w:color w:val="315C99"/>
                <w:sz w:val="19"/>
                <w:szCs w:val="19"/>
              </w:rPr>
              <w:t xml:space="preserve">TCP</w:t>
            </w:r>
          </w:p>
        </w:tc>
      </w:tr>
      <w:tr>
        <w:trPr>
          <w:cantSplit/>
        </w:trPr>
        <w:tc>
          <w:tcPr>
            <w:tcW w:type="dxa" w:w="19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alibri" w:cs="Calibri" w:eastAsia="Calibri" w:hAnsi="Calibri"/>
                <w:b/>
                <w:bCs/>
                <w:color w:val="1B2A41"/>
                <w:sz w:val="19"/>
                <w:szCs w:val="19"/>
              </w:rPr>
              <w:t xml:space="preserve">→ Mail submission</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54001</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192.168.10.3</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bCs/>
                <w:color w:val="334155"/>
                <w:sz w:val="19"/>
                <w:szCs w:val="19"/>
              </w:rPr>
              <w:t xml:space="preserve">587</w:t>
            </w:r>
          </w:p>
        </w:tc>
        <w:tc>
          <w:tcPr>
            <w:tcW w:type="dxa" w:w="20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b/>
                <w:bCs/>
                <w:color w:val="315C99"/>
                <w:sz w:val="19"/>
                <w:szCs w:val="19"/>
              </w:rPr>
              <w:t xml:space="preserve">TCP</w:t>
            </w:r>
          </w:p>
        </w:tc>
      </w:tr>
      <w:tr>
        <w:trPr>
          <w:cantSplit/>
        </w:trPr>
        <w:tc>
          <w:tcPr>
            <w:tcW w:type="dxa" w:w="198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alibri" w:cs="Calibri" w:eastAsia="Calibri" w:hAnsi="Calibri"/>
                <w:b/>
                <w:bCs/>
                <w:color w:val="1B2A41"/>
                <w:sz w:val="19"/>
                <w:szCs w:val="19"/>
              </w:rPr>
              <w:t xml:space="preserve">← Submission reply</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192.168.10.3</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bCs/>
                <w:color w:val="334155"/>
                <w:sz w:val="19"/>
                <w:szCs w:val="19"/>
              </w:rPr>
              <w:t xml:space="preserve">587</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54001</w:t>
            </w:r>
          </w:p>
        </w:tc>
        <w:tc>
          <w:tcPr>
            <w:tcW w:type="dxa" w:w="20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b/>
                <w:bCs/>
                <w:color w:val="315C99"/>
                <w:sz w:val="19"/>
                <w:szCs w:val="19"/>
              </w:rPr>
              <w:t xml:space="preserve">TCP</w:t>
            </w:r>
          </w:p>
        </w:tc>
      </w:tr>
      <w:tr>
        <w:trPr>
          <w:cantSplit/>
        </w:trPr>
        <w:tc>
          <w:tcPr>
            <w:tcW w:type="dxa" w:w="19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alibri" w:cs="Calibri" w:eastAsia="Calibri" w:hAnsi="Calibri"/>
                <w:b/>
                <w:bCs/>
                <w:color w:val="1B2A41"/>
                <w:sz w:val="19"/>
                <w:szCs w:val="19"/>
              </w:rPr>
              <w:t xml:space="preserve">→ IMAPS request</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54002</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192.168.10.3</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bCs/>
                <w:color w:val="334155"/>
                <w:sz w:val="19"/>
                <w:szCs w:val="19"/>
              </w:rPr>
              <w:t xml:space="preserve">993</w:t>
            </w:r>
          </w:p>
        </w:tc>
        <w:tc>
          <w:tcPr>
            <w:tcW w:type="dxa" w:w="20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b/>
                <w:bCs/>
                <w:color w:val="315C99"/>
                <w:sz w:val="19"/>
                <w:szCs w:val="19"/>
              </w:rPr>
              <w:t xml:space="preserve">TCP</w:t>
            </w:r>
          </w:p>
        </w:tc>
      </w:tr>
      <w:tr>
        <w:trPr>
          <w:cantSplit/>
        </w:trPr>
        <w:tc>
          <w:tcPr>
            <w:tcW w:type="dxa" w:w="198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alibri" w:cs="Calibri" w:eastAsia="Calibri" w:hAnsi="Calibri"/>
                <w:b/>
                <w:bCs/>
                <w:color w:val="1B2A41"/>
                <w:sz w:val="19"/>
                <w:szCs w:val="19"/>
              </w:rPr>
              <w:t xml:space="preserve">← IMAPS response</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val="false"/>
                <w:bCs w:val="false"/>
                <w:color w:val="334155"/>
                <w:sz w:val="19"/>
                <w:szCs w:val="19"/>
              </w:rPr>
              <w:t xml:space="preserve">192.168.10.3</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bCs/>
                <w:color w:val="334155"/>
                <w:sz w:val="19"/>
                <w:szCs w:val="19"/>
              </w:rPr>
              <w:t xml:space="preserve">993</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val="false"/>
                <w:bCs w:val="false"/>
                <w:color w:val="334155"/>
                <w:sz w:val="19"/>
                <w:szCs w:val="19"/>
              </w:rPr>
              <w:t xml:space="preserve">54002</w:t>
            </w:r>
          </w:p>
        </w:tc>
        <w:tc>
          <w:tcPr>
            <w:tcW w:type="dxa" w:w="20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b/>
                <w:bCs/>
                <w:color w:val="315C99"/>
                <w:sz w:val="19"/>
                <w:szCs w:val="19"/>
              </w:rPr>
              <w:t xml:space="preserve">TCP</w:t>
            </w:r>
          </w:p>
        </w:tc>
      </w:tr>
    </w:tbl>
    <w:p>
      <w:pPr>
        <w:keepNext w:val="false"/>
        <w:spacing w:after="100"/>
      </w:pPr>
    </w:p>
    <w:p>
      <w:pPr>
        <w:spacing w:after="140" w:line="300"/>
      </w:pPr>
      <w:r>
        <w:rPr>
          <w:color w:val="334155"/>
          <w:sz w:val="21"/>
          <w:szCs w:val="21"/>
        </w:rPr>
        <w:t xml:space="preserve">The SMTP 25 example assumes ABC explicitly permits that client connection. Port 587 does not itself guarantee encryption. The server must require STARTTLS. If ABC uses 465 or 995 instead, substitute that destination port and reverse it in the response.</w:t>
      </w:r>
    </w:p>
    <w:p>
      <w:pPr>
        <w:spacing w:after="140" w:line="300"/>
      </w:pPr>
      <w:r>
        <w:rPr>
          <w:color w:val="334155"/>
          <w:sz w:val="21"/>
          <w:szCs w:val="21"/>
        </w:rPr>
        <w:t xml:space="preserve">The public address 68.42.45.2 does not replace the private DMZ server address in these internal examples. External connections would depend on ABC’s destination NAT rules and the observation point. [5]</w:t>
      </w:r>
    </w:p>
    <w:p>
      <w:pPr>
        <w:pStyle w:val="Heading1"/>
        <w:keepNext/>
        <w:pageBreakBefore/>
        <w:pBdr>
          <w:bottom w:val="single" w:color="0F7C8C" w:sz="8" w:space="6"/>
        </w:pBdr>
        <w:spacing w:after="120" w:before="0"/>
      </w:pPr>
      <w:r>
        <w:rPr>
          <w:b/>
          <w:bCs/>
          <w:color w:val="0F7C8C"/>
          <w:sz w:val="30"/>
          <w:szCs w:val="30"/>
        </w:rPr>
        <w:t xml:space="preserve">6  </w:t>
      </w:r>
      <w:r>
        <w:rPr>
          <w:b/>
          <w:bCs/>
          <w:color w:val="1B2A41"/>
          <w:sz w:val="30"/>
          <w:szCs w:val="30"/>
        </w:rPr>
        <w:t xml:space="preserve">Remote Desktop from home through the VPN</w:t>
      </w:r>
    </w:p>
    <w:p>
      <w:pPr>
        <w:spacing w:after="140" w:line="300"/>
      </w:pPr>
      <w:r>
        <w:rPr>
          <w:color w:val="334155"/>
          <w:sz w:val="21"/>
          <w:szCs w:val="21"/>
        </w:rPr>
        <w:t xml:space="preserve">Assume the home internet connection uses documentation address 203.0.113.50. The router at 68.42.45.2 terminates IKEv2/IPsec, and the VPN assigns the home computer 10.10.20.10 from an illustrative routed pool. The pool has a return route from the LAN and does not use source NAT toward the workstation. [4]</w:t>
      </w:r>
    </w:p>
    <w:p>
      <w:pPr>
        <w:pStyle w:val="Heading2"/>
        <w:keepNext/>
        <w:spacing w:after="100" w:before="260"/>
      </w:pPr>
      <w:r>
        <w:rPr>
          <w:b/>
          <w:bCs/>
          <w:color w:val="0F7C8C"/>
          <w:spacing w:val="30"/>
          <w:sz w:val="20"/>
          <w:szCs w:val="20"/>
        </w:rPr>
        <w:t xml:space="preserve">INTERNET SIDE OF THE ENCRYPTED TUNNEL</w:t>
      </w:r>
    </w:p>
    <w:p>
      <w:pPr>
        <w:keepNext/>
        <w:spacing w:after="140" w:line="300"/>
      </w:pPr>
      <w:r>
        <w:rPr>
          <w:color w:val="334155"/>
          <w:sz w:val="21"/>
          <w:szCs w:val="21"/>
        </w:rPr>
        <w:t xml:space="preserve">After NAT traversal begins, an example home NAT mapping changes source port 4500 to 62000. The company WAN sees UDP 4500 VPN traffic, with the following outer tuples.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720"/>
        <w:gridCol w:w="940"/>
        <w:gridCol w:w="1720"/>
        <w:gridCol w:w="940"/>
        <w:gridCol w:w="2060"/>
      </w:tblGrid>
      <w:tr>
        <w:trPr>
          <w:tblHeader/>
        </w:trPr>
        <w:tc>
          <w:tcPr>
            <w:tcW w:type="dxa" w:w="198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Traffic</w:t>
            </w:r>
          </w:p>
        </w:tc>
        <w:tc>
          <w:tcPr>
            <w:tcW w:type="dxa" w:w="172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Source IP</w:t>
            </w:r>
          </w:p>
        </w:tc>
        <w:tc>
          <w:tcPr>
            <w:tcW w:type="dxa" w:w="94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Src port</w:t>
            </w:r>
          </w:p>
        </w:tc>
        <w:tc>
          <w:tcPr>
            <w:tcW w:type="dxa" w:w="172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Destination IP</w:t>
            </w:r>
          </w:p>
        </w:tc>
        <w:tc>
          <w:tcPr>
            <w:tcW w:type="dxa" w:w="94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Dst port</w:t>
            </w:r>
          </w:p>
        </w:tc>
        <w:tc>
          <w:tcPr>
            <w:tcW w:type="dxa" w:w="206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Protocol</w:t>
            </w:r>
          </w:p>
        </w:tc>
      </w:tr>
      <w:tr>
        <w:trPr>
          <w:cantSplit/>
        </w:trPr>
        <w:tc>
          <w:tcPr>
            <w:tcW w:type="dxa" w:w="19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alibri" w:cs="Calibri" w:eastAsia="Calibri" w:hAnsi="Calibri"/>
                <w:b/>
                <w:bCs/>
                <w:color w:val="1B2A41"/>
                <w:sz w:val="19"/>
                <w:szCs w:val="19"/>
              </w:rPr>
              <w:t xml:space="preserve">→ VPN inbound</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203.0.113.50</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62000</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68.42.45.2</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bCs/>
                <w:color w:val="334155"/>
                <w:sz w:val="19"/>
                <w:szCs w:val="19"/>
              </w:rPr>
              <w:t xml:space="preserve">4500</w:t>
            </w:r>
          </w:p>
        </w:tc>
        <w:tc>
          <w:tcPr>
            <w:tcW w:type="dxa" w:w="20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b/>
                <w:bCs/>
                <w:color w:val="0F7C8C"/>
                <w:sz w:val="19"/>
                <w:szCs w:val="19"/>
              </w:rPr>
              <w:t xml:space="preserve">UDP</w:t>
            </w:r>
          </w:p>
        </w:tc>
      </w:tr>
      <w:tr>
        <w:trPr>
          <w:cantSplit/>
        </w:trPr>
        <w:tc>
          <w:tcPr>
            <w:tcW w:type="dxa" w:w="198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alibri" w:cs="Calibri" w:eastAsia="Calibri" w:hAnsi="Calibri"/>
                <w:b/>
                <w:bCs/>
                <w:color w:val="1B2A41"/>
                <w:sz w:val="19"/>
                <w:szCs w:val="19"/>
              </w:rPr>
              <w:t xml:space="preserve">← VPN return</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val="false"/>
                <w:bCs w:val="false"/>
                <w:color w:val="334155"/>
                <w:sz w:val="19"/>
                <w:szCs w:val="19"/>
              </w:rPr>
              <w:t xml:space="preserve">68.42.45.2</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bCs/>
                <w:color w:val="334155"/>
                <w:sz w:val="19"/>
                <w:szCs w:val="19"/>
              </w:rPr>
              <w:t xml:space="preserve">4500</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val="false"/>
                <w:bCs w:val="false"/>
                <w:color w:val="334155"/>
                <w:sz w:val="19"/>
                <w:szCs w:val="19"/>
              </w:rPr>
              <w:t xml:space="preserve">203.0.113.50</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val="false"/>
                <w:bCs w:val="false"/>
                <w:color w:val="334155"/>
                <w:sz w:val="19"/>
                <w:szCs w:val="19"/>
              </w:rPr>
              <w:t xml:space="preserve">62000</w:t>
            </w:r>
          </w:p>
        </w:tc>
        <w:tc>
          <w:tcPr>
            <w:tcW w:type="dxa" w:w="20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b/>
                <w:bCs/>
                <w:color w:val="0F7C8C"/>
                <w:sz w:val="19"/>
                <w:szCs w:val="19"/>
              </w:rPr>
              <w:t xml:space="preserve">UDP</w:t>
            </w:r>
          </w:p>
        </w:tc>
      </w:tr>
    </w:tbl>
    <w:p>
      <w:pPr>
        <w:pStyle w:val="Heading2"/>
        <w:keepNext/>
        <w:spacing w:after="100" w:before="260"/>
      </w:pPr>
      <w:r>
        <w:rPr>
          <w:b/>
          <w:bCs/>
          <w:color w:val="0F7C8C"/>
          <w:spacing w:val="30"/>
          <w:sz w:val="20"/>
          <w:szCs w:val="20"/>
        </w:rPr>
        <w:t xml:space="preserve">INSIDE THE VPN AFTER DECRYPTION</w:t>
      </w:r>
    </w:p>
    <w:p>
      <w:pPr>
        <w:keepNext/>
        <w:spacing w:after="140" w:line="300"/>
      </w:pPr>
      <w:r>
        <w:rPr>
          <w:color w:val="334155"/>
          <w:sz w:val="21"/>
          <w:szCs w:val="21"/>
        </w:rPr>
        <w:t xml:space="preserve">The RDP connection uses the assigned VPN address as its source and 10.10.0.25 as its destination. TCP 3389 is the primary example. UDP 3389 may carry additional RDP traffic if supported and permitted.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720"/>
        <w:gridCol w:w="940"/>
        <w:gridCol w:w="1720"/>
        <w:gridCol w:w="940"/>
        <w:gridCol w:w="2060"/>
      </w:tblGrid>
      <w:tr>
        <w:trPr>
          <w:tblHeader/>
        </w:trPr>
        <w:tc>
          <w:tcPr>
            <w:tcW w:type="dxa" w:w="198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Traffic</w:t>
            </w:r>
          </w:p>
        </w:tc>
        <w:tc>
          <w:tcPr>
            <w:tcW w:type="dxa" w:w="172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Source IP</w:t>
            </w:r>
          </w:p>
        </w:tc>
        <w:tc>
          <w:tcPr>
            <w:tcW w:type="dxa" w:w="94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Src port</w:t>
            </w:r>
          </w:p>
        </w:tc>
        <w:tc>
          <w:tcPr>
            <w:tcW w:type="dxa" w:w="172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Destination IP</w:t>
            </w:r>
          </w:p>
        </w:tc>
        <w:tc>
          <w:tcPr>
            <w:tcW w:type="dxa" w:w="94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Dst port</w:t>
            </w:r>
          </w:p>
        </w:tc>
        <w:tc>
          <w:tcPr>
            <w:tcW w:type="dxa" w:w="206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Protocol</w:t>
            </w:r>
          </w:p>
        </w:tc>
      </w:tr>
      <w:tr>
        <w:trPr>
          <w:cantSplit/>
        </w:trPr>
        <w:tc>
          <w:tcPr>
            <w:tcW w:type="dxa" w:w="19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alibri" w:cs="Calibri" w:eastAsia="Calibri" w:hAnsi="Calibri"/>
                <w:b/>
                <w:bCs/>
                <w:color w:val="1B2A41"/>
                <w:sz w:val="19"/>
                <w:szCs w:val="19"/>
              </w:rPr>
              <w:t xml:space="preserve">→ RDP connection</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10.10.20.10</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55000</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bCs/>
                <w:color w:val="334155"/>
                <w:sz w:val="19"/>
                <w:szCs w:val="19"/>
              </w:rPr>
              <w:t xml:space="preserve">3389</w:t>
            </w:r>
          </w:p>
        </w:tc>
        <w:tc>
          <w:tcPr>
            <w:tcW w:type="dxa" w:w="20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b/>
                <w:bCs/>
                <w:color w:val="315C99"/>
                <w:sz w:val="19"/>
                <w:szCs w:val="19"/>
              </w:rPr>
              <w:t xml:space="preserve">TCP</w:t>
            </w:r>
          </w:p>
        </w:tc>
      </w:tr>
      <w:tr>
        <w:trPr>
          <w:cantSplit/>
        </w:trPr>
        <w:tc>
          <w:tcPr>
            <w:tcW w:type="dxa" w:w="198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alibri" w:cs="Calibri" w:eastAsia="Calibri" w:hAnsi="Calibri"/>
                <w:b/>
                <w:bCs/>
                <w:color w:val="1B2A41"/>
                <w:sz w:val="19"/>
                <w:szCs w:val="19"/>
              </w:rPr>
              <w:t xml:space="preserve">← RDP response</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bCs/>
                <w:color w:val="334155"/>
                <w:sz w:val="19"/>
                <w:szCs w:val="19"/>
              </w:rPr>
              <w:t xml:space="preserve">3389</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10.10.20.10</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55000</w:t>
            </w:r>
          </w:p>
        </w:tc>
        <w:tc>
          <w:tcPr>
            <w:tcW w:type="dxa" w:w="20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spacing w:after="0"/>
            </w:pPr>
            <w:r>
              <w:rPr>
                <w:b/>
                <w:bCs/>
                <w:color w:val="315C99"/>
                <w:sz w:val="19"/>
                <w:szCs w:val="19"/>
              </w:rPr>
              <w:t xml:space="preserve">TCP</w:t>
            </w:r>
          </w:p>
        </w:tc>
      </w:tr>
      <w:tr>
        <w:trPr>
          <w:cantSplit/>
        </w:trPr>
        <w:tc>
          <w:tcPr>
            <w:tcW w:type="dxa" w:w="19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alibri" w:cs="Calibri" w:eastAsia="Calibri" w:hAnsi="Calibri"/>
                <w:b/>
                <w:bCs/>
                <w:color w:val="1B2A41"/>
                <w:sz w:val="19"/>
                <w:szCs w:val="19"/>
              </w:rPr>
              <w:t xml:space="preserve">→ RDP UDP traffic</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10.10.20.10</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55001</w:t>
            </w:r>
          </w:p>
        </w:tc>
        <w:tc>
          <w:tcPr>
            <w:tcW w:type="dxa" w:w="17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rFonts w:ascii="Consolas" w:cs="Consolas" w:eastAsia="Consolas" w:hAnsi="Consolas"/>
                <w:b/>
                <w:bCs/>
                <w:color w:val="334155"/>
                <w:sz w:val="19"/>
                <w:szCs w:val="19"/>
              </w:rPr>
              <w:t xml:space="preserve">3389</w:t>
            </w:r>
          </w:p>
        </w:tc>
        <w:tc>
          <w:tcPr>
            <w:tcW w:type="dxa" w:w="20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center"/>
          </w:tcPr>
          <w:p>
            <w:pPr>
              <w:keepNext/>
              <w:spacing w:after="0"/>
            </w:pPr>
            <w:r>
              <w:rPr>
                <w:b/>
                <w:bCs/>
                <w:color w:val="0F7C8C"/>
                <w:sz w:val="19"/>
                <w:szCs w:val="19"/>
              </w:rPr>
              <w:t xml:space="preserve">UDP</w:t>
            </w:r>
          </w:p>
        </w:tc>
      </w:tr>
      <w:tr>
        <w:trPr>
          <w:cantSplit/>
        </w:trPr>
        <w:tc>
          <w:tcPr>
            <w:tcW w:type="dxa" w:w="198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alibri" w:cs="Calibri" w:eastAsia="Calibri" w:hAnsi="Calibri"/>
                <w:b/>
                <w:bCs/>
                <w:color w:val="1B2A41"/>
                <w:sz w:val="19"/>
                <w:szCs w:val="19"/>
              </w:rPr>
              <w:t xml:space="preserve">← RDP UDP reply</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val="false"/>
                <w:bCs w:val="false"/>
                <w:color w:val="334155"/>
                <w:sz w:val="19"/>
                <w:szCs w:val="19"/>
              </w:rPr>
              <w:t xml:space="preserve">10.10.0.25</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bCs/>
                <w:color w:val="334155"/>
                <w:sz w:val="19"/>
                <w:szCs w:val="19"/>
              </w:rPr>
              <w:t xml:space="preserve">3389</w:t>
            </w:r>
          </w:p>
        </w:tc>
        <w:tc>
          <w:tcPr>
            <w:tcW w:type="dxa" w:w="17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val="false"/>
                <w:bCs w:val="false"/>
                <w:color w:val="334155"/>
                <w:sz w:val="19"/>
                <w:szCs w:val="19"/>
              </w:rPr>
              <w:t xml:space="preserve">10.10.20.10</w:t>
            </w:r>
          </w:p>
        </w:tc>
        <w:tc>
          <w:tcPr>
            <w:tcW w:type="dxa" w:w="9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rFonts w:ascii="Consolas" w:cs="Consolas" w:eastAsia="Consolas" w:hAnsi="Consolas"/>
                <w:b w:val="false"/>
                <w:bCs w:val="false"/>
                <w:color w:val="334155"/>
                <w:sz w:val="19"/>
                <w:szCs w:val="19"/>
              </w:rPr>
              <w:t xml:space="preserve">55001</w:t>
            </w:r>
          </w:p>
        </w:tc>
        <w:tc>
          <w:tcPr>
            <w:tcW w:type="dxa" w:w="20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center"/>
          </w:tcPr>
          <w:p>
            <w:pPr>
              <w:keepNext w:val="false"/>
              <w:spacing w:after="0"/>
            </w:pPr>
            <w:r>
              <w:rPr>
                <w:b/>
                <w:bCs/>
                <w:color w:val="0F7C8C"/>
                <w:sz w:val="19"/>
                <w:szCs w:val="19"/>
              </w:rPr>
              <w:t xml:space="preserve">UDP</w:t>
            </w:r>
          </w:p>
        </w:tc>
      </w:tr>
    </w:tbl>
    <w:p>
      <w:pPr>
        <w:pStyle w:val="Heading2"/>
        <w:keepNext/>
        <w:spacing w:after="100" w:before="260"/>
      </w:pPr>
      <w:r>
        <w:rPr>
          <w:b/>
          <w:bCs/>
          <w:color w:val="0F7C8C"/>
          <w:spacing w:val="30"/>
          <w:sz w:val="20"/>
          <w:szCs w:val="20"/>
        </w:rPr>
        <w:t xml:space="preserve">POLICY AND VERIFICATION</w:t>
      </w:r>
    </w:p>
    <w:p>
      <w:pPr>
        <w:spacing w:after="140" w:line="300"/>
      </w:pPr>
      <w:r>
        <w:rPr>
          <w:color w:val="334155"/>
          <w:sz w:val="21"/>
          <w:szCs w:val="21"/>
        </w:rPr>
        <w:t xml:space="preserve">Allow authorized VPN users to reach approved workstations on the required RDP ports. Keep public TCP and UDP 3389 closed. Apply DMZ permissions to the specific servers and services, with default denial for other traffic. A stateful firewall can associate return traffic with permitted sessions. [5]</w:t>
      </w:r>
    </w:p>
    <w:p>
      <w:pPr>
        <w:spacing w:after="140" w:line="300"/>
      </w:pPr>
      <w:r>
        <w:rPr>
          <w:color w:val="334155"/>
          <w:sz w:val="21"/>
          <w:szCs w:val="21"/>
        </w:rPr>
        <w:t xml:space="preserve">Verify the design using a VPN connection log, firewall session records and an authorized capture on the LAN side. Confirm the assigned client address, successful RDP access and rejection of public RDP attempts. No live testing was performed for this scenario.</w:t>
      </w:r>
    </w:p>
    <w:p>
      <w:pPr>
        <w:spacing w:after="140" w:line="300"/>
      </w:pPr>
      <w:r>
        <w:rPr>
          <w:color w:val="334155"/>
          <w:sz w:val="21"/>
          <w:szCs w:val="21"/>
        </w:rPr>
        <w:t xml:space="preserve">A different VPN product or a gateway that translates VPN client addresses would produce different outer or inner tuples. The encrypted WAN packet does not expose the inner RDP port pair.</w:t>
      </w:r>
    </w:p>
    <w:p>
      <w:pPr>
        <w:pStyle w:val="Heading1"/>
        <w:keepNext/>
        <w:pageBreakBefore/>
        <w:pBdr>
          <w:bottom w:val="single" w:color="0F7C8C" w:sz="8" w:space="6"/>
        </w:pBdr>
        <w:spacing w:after="120" w:before="0"/>
      </w:pPr>
      <w:r>
        <w:rPr>
          <w:b/>
          <w:bCs/>
          <w:color w:val="1B2A41"/>
          <w:sz w:val="30"/>
          <w:szCs w:val="30"/>
        </w:rPr>
        <w:t xml:space="preserve">References</w:t>
      </w:r>
    </w:p>
    <w:p>
      <w:pPr>
        <w:tabs>
          <w:tab w:val="left" w:pos="620"/>
        </w:tabs>
        <w:spacing w:after="180" w:line="290"/>
        <w:ind w:left="620" w:hanging="620"/>
      </w:pPr>
      <w:r>
        <w:rPr>
          <w:b/>
          <w:bCs/>
          <w:color w:val="0F7C8C"/>
          <w:sz w:val="21"/>
          <w:szCs w:val="21"/>
        </w:rPr>
        <w:t xml:space="preserve">[1]	</w:t>
      </w:r>
      <w:r>
        <w:rPr>
          <w:i w:val="false"/>
          <w:iCs w:val="false"/>
          <w:color w:val="334155"/>
          <w:sz w:val="21"/>
          <w:szCs w:val="21"/>
        </w:rPr>
        <w:t xml:space="preserve">Internet Assigned Numbers Authority. (2026). </w:t>
      </w:r>
      <w:r>
        <w:rPr>
          <w:i/>
          <w:iCs/>
          <w:color w:val="334155"/>
          <w:sz w:val="21"/>
          <w:szCs w:val="21"/>
        </w:rPr>
        <w:t xml:space="preserve">Service Name and Transport Protocol Port Number Registry</w:t>
      </w:r>
      <w:r>
        <w:rPr>
          <w:i w:val="false"/>
          <w:iCs w:val="false"/>
          <w:color w:val="334155"/>
          <w:sz w:val="21"/>
          <w:szCs w:val="21"/>
        </w:rPr>
        <w:t xml:space="preserve">. </w:t>
      </w:r>
      <w:hyperlink w:history="1" r:id="rIdskavygdrpqoc_jhykv6ad">
        <w:r>
          <w:rPr>
            <w:color w:val="0F7C8C"/>
            <w:sz w:val="20"/>
            <w:szCs w:val="20"/>
            <w:u w:val="single"/>
          </w:rPr>
          <w:t xml:space="preserve">https://www.iana.org/assignments/service-names-port-numbers</w:t>
        </w:r>
      </w:hyperlink>
    </w:p>
    <w:p>
      <w:pPr>
        <w:tabs>
          <w:tab w:val="left" w:pos="620"/>
        </w:tabs>
        <w:spacing w:after="180" w:line="290"/>
        <w:ind w:left="620" w:hanging="620"/>
      </w:pPr>
      <w:r>
        <w:rPr>
          <w:b/>
          <w:bCs/>
          <w:color w:val="0F7C8C"/>
          <w:sz w:val="21"/>
          <w:szCs w:val="21"/>
        </w:rPr>
        <w:t xml:space="preserve">[2]	</w:t>
      </w:r>
      <w:r>
        <w:rPr>
          <w:i w:val="false"/>
          <w:iCs w:val="false"/>
          <w:color w:val="334155"/>
          <w:sz w:val="21"/>
          <w:szCs w:val="21"/>
        </w:rPr>
        <w:t xml:space="preserve">Microsoft. (n.d.). </w:t>
      </w:r>
      <w:r>
        <w:rPr>
          <w:i/>
          <w:iCs/>
          <w:color w:val="334155"/>
          <w:sz w:val="21"/>
          <w:szCs w:val="21"/>
        </w:rPr>
        <w:t xml:space="preserve">Service overview and network port requirements for Windows</w:t>
      </w:r>
      <w:r>
        <w:rPr>
          <w:i w:val="false"/>
          <w:iCs w:val="false"/>
          <w:color w:val="334155"/>
          <w:sz w:val="21"/>
          <w:szCs w:val="21"/>
        </w:rPr>
        <w:t xml:space="preserve">. Microsoft Learn. </w:t>
      </w:r>
      <w:hyperlink w:history="1" r:id="rIdsffuh2bxs8anouinll2i-">
        <w:r>
          <w:rPr>
            <w:color w:val="0F7C8C"/>
            <w:sz w:val="20"/>
            <w:szCs w:val="20"/>
            <w:u w:val="single"/>
          </w:rPr>
          <w:t xml:space="preserve">https://learn.microsoft.com/en-us/troubleshoot/windows-server/networking/service-overview-and-network-port-requirements</w:t>
        </w:r>
      </w:hyperlink>
    </w:p>
    <w:p>
      <w:pPr>
        <w:tabs>
          <w:tab w:val="left" w:pos="620"/>
        </w:tabs>
        <w:spacing w:after="180" w:line="290"/>
        <w:ind w:left="620" w:hanging="620"/>
      </w:pPr>
      <w:r>
        <w:rPr>
          <w:b/>
          <w:bCs/>
          <w:color w:val="0F7C8C"/>
          <w:sz w:val="21"/>
          <w:szCs w:val="21"/>
        </w:rPr>
        <w:t xml:space="preserve">[3]	</w:t>
      </w:r>
      <w:r>
        <w:rPr>
          <w:i w:val="false"/>
          <w:iCs w:val="false"/>
          <w:color w:val="334155"/>
          <w:sz w:val="21"/>
          <w:szCs w:val="21"/>
        </w:rPr>
        <w:t xml:space="preserve">Moore, K., &amp; Newman, C. (2018). </w:t>
      </w:r>
      <w:r>
        <w:rPr>
          <w:i/>
          <w:iCs/>
          <w:color w:val="334155"/>
          <w:sz w:val="21"/>
          <w:szCs w:val="21"/>
        </w:rPr>
        <w:t xml:space="preserve">Cleartext considered obsolete: Use of Transport Layer Security (TLS) for email submission and access</w:t>
      </w:r>
      <w:r>
        <w:rPr>
          <w:i w:val="false"/>
          <w:iCs w:val="false"/>
          <w:color w:val="334155"/>
          <w:sz w:val="21"/>
          <w:szCs w:val="21"/>
        </w:rPr>
        <w:t xml:space="preserve"> (RFC 8314). IETF. </w:t>
      </w:r>
      <w:hyperlink w:history="1" r:id="rId4euiqlulvzy4avh23ofmz">
        <w:r>
          <w:rPr>
            <w:color w:val="0F7C8C"/>
            <w:sz w:val="20"/>
            <w:szCs w:val="20"/>
            <w:u w:val="single"/>
          </w:rPr>
          <w:t xml:space="preserve">https://www.rfc-editor.org/rfc/rfc8314.html</w:t>
        </w:r>
      </w:hyperlink>
    </w:p>
    <w:p>
      <w:pPr>
        <w:tabs>
          <w:tab w:val="left" w:pos="620"/>
        </w:tabs>
        <w:spacing w:after="180" w:line="290"/>
        <w:ind w:left="620" w:hanging="620"/>
      </w:pPr>
      <w:r>
        <w:rPr>
          <w:b/>
          <w:bCs/>
          <w:color w:val="0F7C8C"/>
          <w:sz w:val="21"/>
          <w:szCs w:val="21"/>
        </w:rPr>
        <w:t xml:space="preserve">[4]	</w:t>
      </w:r>
      <w:r>
        <w:rPr>
          <w:i w:val="false"/>
          <w:iCs w:val="false"/>
          <w:color w:val="334155"/>
          <w:sz w:val="21"/>
          <w:szCs w:val="21"/>
        </w:rPr>
        <w:t xml:space="preserve">Kaufman, C., Hoffman, P., Nir, Y., Eronen, P., &amp; Kivinen, T. (2014). </w:t>
      </w:r>
      <w:r>
        <w:rPr>
          <w:i/>
          <w:iCs/>
          <w:color w:val="334155"/>
          <w:sz w:val="21"/>
          <w:szCs w:val="21"/>
        </w:rPr>
        <w:t xml:space="preserve">Internet Key Exchange Protocol Version 2 (IKEv2)</w:t>
      </w:r>
      <w:r>
        <w:rPr>
          <w:i w:val="false"/>
          <w:iCs w:val="false"/>
          <w:color w:val="334155"/>
          <w:sz w:val="21"/>
          <w:szCs w:val="21"/>
        </w:rPr>
        <w:t xml:space="preserve"> (RFC 7296), Section 2.23. IETF. </w:t>
      </w:r>
      <w:hyperlink w:history="1" r:id="rIdn-n363_tlqn8dogwspysb">
        <w:r>
          <w:rPr>
            <w:color w:val="0F7C8C"/>
            <w:sz w:val="20"/>
            <w:szCs w:val="20"/>
            <w:u w:val="single"/>
          </w:rPr>
          <w:t xml:space="preserve">https://www.rfc-editor.org/rfc/rfc7296.html</w:t>
        </w:r>
      </w:hyperlink>
    </w:p>
    <w:p>
      <w:pPr>
        <w:tabs>
          <w:tab w:val="left" w:pos="620"/>
        </w:tabs>
        <w:spacing w:after="180" w:line="290"/>
        <w:ind w:left="620" w:hanging="620"/>
      </w:pPr>
      <w:r>
        <w:rPr>
          <w:b/>
          <w:bCs/>
          <w:color w:val="0F7C8C"/>
          <w:sz w:val="21"/>
          <w:szCs w:val="21"/>
        </w:rPr>
        <w:t xml:space="preserve">[5]	</w:t>
      </w:r>
      <w:r>
        <w:rPr>
          <w:i w:val="false"/>
          <w:iCs w:val="false"/>
          <w:color w:val="334155"/>
          <w:sz w:val="21"/>
          <w:szCs w:val="21"/>
        </w:rPr>
        <w:t xml:space="preserve">Scarfone, K., &amp; Hoffman, P. (2009). </w:t>
      </w:r>
      <w:r>
        <w:rPr>
          <w:i/>
          <w:iCs/>
          <w:color w:val="334155"/>
          <w:sz w:val="21"/>
          <w:szCs w:val="21"/>
        </w:rPr>
        <w:t xml:space="preserve">Guidelines on firewalls and firewall policy</w:t>
      </w:r>
      <w:r>
        <w:rPr>
          <w:i w:val="false"/>
          <w:iCs w:val="false"/>
          <w:color w:val="334155"/>
          <w:sz w:val="21"/>
          <w:szCs w:val="21"/>
        </w:rPr>
        <w:t xml:space="preserve"> (NIST SP 800-41 Rev. 1), Sections 2 and 4. National Institute of Standards and Technology. </w:t>
      </w:r>
      <w:hyperlink w:history="1" r:id="rIdnvlwpcfqufnhkhpf08q5m">
        <w:r>
          <w:rPr>
            <w:color w:val="0F7C8C"/>
            <w:sz w:val="20"/>
            <w:szCs w:val="20"/>
            <w:u w:val="single"/>
          </w:rPr>
          <w:t xml:space="preserve">https://doi.org/10.6028/NIST.SP.800-41r1</w:t>
        </w:r>
      </w:hyperlink>
    </w:p>
    <w:p>
      <w:pPr>
        <w:tabs>
          <w:tab w:val="left" w:pos="620"/>
        </w:tabs>
        <w:spacing w:after="180" w:line="290"/>
        <w:ind w:left="620" w:hanging="620"/>
      </w:pPr>
      <w:r>
        <w:rPr>
          <w:b/>
          <w:bCs/>
          <w:color w:val="0F7C8C"/>
          <w:sz w:val="21"/>
          <w:szCs w:val="21"/>
        </w:rPr>
        <w:t xml:space="preserve">[6]	</w:t>
      </w:r>
      <w:r>
        <w:rPr>
          <w:i w:val="false"/>
          <w:iCs w:val="false"/>
          <w:color w:val="334155"/>
          <w:sz w:val="21"/>
          <w:szCs w:val="21"/>
        </w:rPr>
        <w:t xml:space="preserve">Bishop, M. (Ed.). (2022). </w:t>
      </w:r>
      <w:r>
        <w:rPr>
          <w:i/>
          <w:iCs/>
          <w:color w:val="334155"/>
          <w:sz w:val="21"/>
          <w:szCs w:val="21"/>
        </w:rPr>
        <w:t xml:space="preserve">HTTP/3</w:t>
      </w:r>
      <w:r>
        <w:rPr>
          <w:i w:val="false"/>
          <w:iCs w:val="false"/>
          <w:color w:val="334155"/>
          <w:sz w:val="21"/>
          <w:szCs w:val="21"/>
        </w:rPr>
        <w:t xml:space="preserve"> (RFC 9114). IETF. </w:t>
      </w:r>
      <w:hyperlink w:history="1" r:id="rIdd516rdx8i0wh4it51pyyg">
        <w:r>
          <w:rPr>
            <w:color w:val="0F7C8C"/>
            <w:sz w:val="20"/>
            <w:szCs w:val="20"/>
            <w:u w:val="single"/>
          </w:rPr>
          <w:t xml:space="preserve">https://www.rfc-editor.org/rfc/rfc9114.html</w:t>
        </w:r>
      </w:hyperlink>
    </w:p>
    <w:p>
      <w:pPr>
        <w:spacing w:after="140" w:line="300"/>
      </w:pPr>
      <w:r>
        <w:rPr>
          <w:i/>
          <w:iCs/>
          <w:color w:val="64748B"/>
          <w:sz w:val="21"/>
          <w:szCs w:val="21"/>
        </w:rPr>
        <w:t xml:space="preserve">Sources accessed October 18, 2026. Host addresses come from the assignment. Client source ports, the home public address, the VPN pool and the NAT mapping are labeled examples. Figure 1 is an original diagram.</w:t>
      </w:r>
    </w:p>
    <w:sectPr>
      <w:headerReference w:type="default" r:id="rId7"/>
      <w:footerReference w:type="default" r:id="rId8"/>
      <w:pgSz w:w="12240" w:h="15840" w:orient="portrait"/>
      <w:pgMar w:top="1296" w:right="1440" w:bottom="1296" w:left="144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b/>
        <w:bCs/>
        <w:color w:val="1B2A41"/>
        <w:spacing w:val="20"/>
        <w:sz w:val="16"/>
        <w:szCs w:val="16"/>
      </w:rPr>
      <w:t xml:space="preserve">PORTS AND SERVICES TRAFFIC ANALYSIS</w:t>
    </w:r>
    <w:r>
      <w:rPr>
        <w:color w:val="64748B"/>
        <w:sz w:val="16"/>
        <w:szCs w:val="16"/>
      </w:rPr>
      <w:t xml:space="preserve">	Justin Martin  |  IT490 Week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color w:val="1B2A41"/>
      <w:sz w:val="30"/>
      <w:szCs w:val="30"/>
    </w:rPr>
  </w:style>
  <w:style w:type="paragraph" w:styleId="Heading2">
    <w:name w:val="Heading 2"/>
    <w:basedOn w:val="Normal"/>
    <w:next w:val="Normal"/>
    <w:pPr>
      <w:outlineLvl w:val="1"/>
    </w:pPr>
    <w:rPr>
      <w:rFonts w:ascii="Calibri" w:cs="Calibri" w:eastAsia="Calibri" w:hAnsi="Calibri"/>
      <w:b/>
      <w:bCs/>
      <w:color w:val="0F7C8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kavygdrpqoc_jhykv6ad" Type="http://schemas.openxmlformats.org/officeDocument/2006/relationships/hyperlink" Target="https://www.iana.org/assignments/service-names-port-numbers" TargetMode="External"/><Relationship Id="rIdsffuh2bxs8anouinll2i-" Type="http://schemas.openxmlformats.org/officeDocument/2006/relationships/hyperlink" Target="https://learn.microsoft.com/en-us/troubleshoot/windows-server/networking/service-overview-and-network-port-requirements" TargetMode="External"/><Relationship Id="rId4euiqlulvzy4avh23ofmz" Type="http://schemas.openxmlformats.org/officeDocument/2006/relationships/hyperlink" Target="https://www.rfc-editor.org/rfc/rfc8314.html" TargetMode="External"/><Relationship Id="rIdn-n363_tlqn8dogwspysb" Type="http://schemas.openxmlformats.org/officeDocument/2006/relationships/hyperlink" Target="https://www.rfc-editor.org/rfc/rfc7296.html" TargetMode="External"/><Relationship Id="rIdnvlwpcfqufnhkhpf08q5m" Type="http://schemas.openxmlformats.org/officeDocument/2006/relationships/hyperlink" Target="https://doi.org/10.6028/NIST.SP.800-41r1" TargetMode="External"/><Relationship Id="rIdd516rdx8i0wh4it51pyyg" Type="http://schemas.openxmlformats.org/officeDocument/2006/relationships/hyperlink" Target="https://www.rfc-editor.org/rfc/rfc9114.html" TargetMode="External"/><Relationship Id="rId9" Type="http://schemas.openxmlformats.org/officeDocument/2006/relationships/image" Target="media/18a9c4cfd8f2cf80be663c18d53a0ccfa6eff43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Ports and Services Traffic Analysis</dc:title>
  <dc:creator>Justin Martin</dc:creator>
  <cp:lastModifiedBy>Un-named</cp:lastModifiedBy>
  <cp:revision>1</cp:revision>
  <dcterms:created xsi:type="dcterms:W3CDTF">2026-10-18T20:11:08.496Z</dcterms:created>
  <dcterms:modified xsi:type="dcterms:W3CDTF">2026-10-18T20:11:08.499Z</dcterms:modified>
</cp:coreProperties>
</file>

<file path=docProps/custom.xml><?xml version="1.0" encoding="utf-8"?>
<Properties xmlns="http://schemas.openxmlformats.org/officeDocument/2006/custom-properties" xmlns:vt="http://schemas.openxmlformats.org/officeDocument/2006/docPropsVTypes"/>
</file>