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96DB" w14:textId="338AF547" w:rsidR="00DF352C" w:rsidRPr="003B0078" w:rsidRDefault="00511B03" w:rsidP="003B0078">
      <w:pPr>
        <w:jc w:val="center"/>
        <w:rPr>
          <w:b/>
          <w:bCs/>
          <w:sz w:val="28"/>
          <w:szCs w:val="28"/>
        </w:rPr>
      </w:pPr>
      <w:r w:rsidRPr="00511B03">
        <w:rPr>
          <w:b/>
          <w:bCs/>
          <w:sz w:val="28"/>
          <w:szCs w:val="28"/>
        </w:rPr>
        <w:t>Executive Summary</w:t>
      </w:r>
    </w:p>
    <w:p w14:paraId="6DC8EB61" w14:textId="322B7110" w:rsidR="009A320B" w:rsidRDefault="00CB6357">
      <w:pPr>
        <w:rPr>
          <w:sz w:val="24"/>
          <w:szCs w:val="24"/>
        </w:rPr>
      </w:pPr>
      <w:r>
        <w:rPr>
          <w:sz w:val="24"/>
          <w:szCs w:val="24"/>
        </w:rPr>
        <w:t>This paper d</w:t>
      </w:r>
      <w:r w:rsidR="00DF352C">
        <w:rPr>
          <w:sz w:val="24"/>
          <w:szCs w:val="24"/>
        </w:rPr>
        <w:t xml:space="preserve">etails the development, findings, and ancillary analysis of a </w:t>
      </w:r>
      <w:r w:rsidR="009A320B">
        <w:rPr>
          <w:sz w:val="24"/>
          <w:szCs w:val="24"/>
        </w:rPr>
        <w:t xml:space="preserve">Climate </w:t>
      </w:r>
      <w:r w:rsidR="00DF352C">
        <w:rPr>
          <w:sz w:val="24"/>
          <w:szCs w:val="24"/>
        </w:rPr>
        <w:t xml:space="preserve">Vulnerability Metric created using Building Permit and </w:t>
      </w:r>
      <w:r w:rsidR="003B0078">
        <w:rPr>
          <w:sz w:val="24"/>
          <w:szCs w:val="24"/>
        </w:rPr>
        <w:t>a</w:t>
      </w:r>
      <w:r w:rsidR="00DF352C">
        <w:rPr>
          <w:sz w:val="24"/>
          <w:szCs w:val="24"/>
        </w:rPr>
        <w:t xml:space="preserve">djacent </w:t>
      </w:r>
      <w:r w:rsidR="003B0078">
        <w:rPr>
          <w:sz w:val="24"/>
          <w:szCs w:val="24"/>
        </w:rPr>
        <w:t xml:space="preserve">Tax </w:t>
      </w:r>
      <w:r w:rsidR="00DF352C">
        <w:rPr>
          <w:sz w:val="24"/>
          <w:szCs w:val="24"/>
        </w:rPr>
        <w:t xml:space="preserve">Assessment data for the City of Boston. The metric aims to identify communities where public and private infrastructure </w:t>
      </w:r>
      <w:r w:rsidR="009A320B">
        <w:rPr>
          <w:sz w:val="24"/>
          <w:szCs w:val="24"/>
        </w:rPr>
        <w:t xml:space="preserve">is potentially insufficient to shelter occupants as weather and heat events are made more severe by climate change. </w:t>
      </w:r>
    </w:p>
    <w:p w14:paraId="63AFC352" w14:textId="3353293B" w:rsidR="00CB6357" w:rsidRDefault="00CB6357">
      <w:pPr>
        <w:rPr>
          <w:sz w:val="24"/>
          <w:szCs w:val="24"/>
        </w:rPr>
      </w:pPr>
      <w:r>
        <w:rPr>
          <w:i/>
          <w:iCs/>
          <w:sz w:val="24"/>
          <w:szCs w:val="24"/>
        </w:rPr>
        <w:t>Main Findings</w:t>
      </w:r>
    </w:p>
    <w:p w14:paraId="18617CCD" w14:textId="27E9632B" w:rsidR="00CB6357" w:rsidRDefault="00CB6357" w:rsidP="00CB6357">
      <w:pPr>
        <w:pStyle w:val="ListParagraph"/>
        <w:numPr>
          <w:ilvl w:val="0"/>
          <w:numId w:val="1"/>
        </w:numPr>
        <w:rPr>
          <w:sz w:val="24"/>
          <w:szCs w:val="24"/>
        </w:rPr>
      </w:pPr>
      <w:r>
        <w:rPr>
          <w:sz w:val="24"/>
          <w:szCs w:val="24"/>
        </w:rPr>
        <w:t xml:space="preserve">High Vulnerability census tracts </w:t>
      </w:r>
      <w:r w:rsidR="00536368">
        <w:rPr>
          <w:sz w:val="24"/>
          <w:szCs w:val="24"/>
        </w:rPr>
        <w:t>are</w:t>
      </w:r>
      <w:r>
        <w:rPr>
          <w:sz w:val="24"/>
          <w:szCs w:val="24"/>
        </w:rPr>
        <w:t xml:space="preserve"> clustered in </w:t>
      </w:r>
      <w:r>
        <w:rPr>
          <w:b/>
          <w:bCs/>
          <w:sz w:val="24"/>
          <w:szCs w:val="24"/>
        </w:rPr>
        <w:t xml:space="preserve">Dorchester, Hyde Park, and East Boston. </w:t>
      </w:r>
      <w:r>
        <w:rPr>
          <w:sz w:val="24"/>
          <w:szCs w:val="24"/>
        </w:rPr>
        <w:t xml:space="preserve">Low Vulnerability census tracts </w:t>
      </w:r>
      <w:r w:rsidR="00536368">
        <w:rPr>
          <w:sz w:val="24"/>
          <w:szCs w:val="24"/>
        </w:rPr>
        <w:t>are</w:t>
      </w:r>
      <w:r>
        <w:rPr>
          <w:sz w:val="24"/>
          <w:szCs w:val="24"/>
        </w:rPr>
        <w:t xml:space="preserve"> clustered in </w:t>
      </w:r>
      <w:r w:rsidRPr="00CB6357">
        <w:rPr>
          <w:b/>
          <w:bCs/>
          <w:sz w:val="24"/>
          <w:szCs w:val="24"/>
        </w:rPr>
        <w:t>Back Bay, the South End, and Downtown.</w:t>
      </w:r>
    </w:p>
    <w:p w14:paraId="1677A13C" w14:textId="67B88316" w:rsidR="00CB6357" w:rsidRDefault="00CB6357" w:rsidP="00CB6357">
      <w:pPr>
        <w:pStyle w:val="ListParagraph"/>
        <w:numPr>
          <w:ilvl w:val="0"/>
          <w:numId w:val="1"/>
        </w:numPr>
        <w:rPr>
          <w:sz w:val="24"/>
          <w:szCs w:val="24"/>
        </w:rPr>
      </w:pPr>
      <w:r>
        <w:rPr>
          <w:sz w:val="24"/>
          <w:szCs w:val="24"/>
        </w:rPr>
        <w:t xml:space="preserve">There </w:t>
      </w:r>
      <w:r w:rsidR="00536368">
        <w:rPr>
          <w:sz w:val="24"/>
          <w:szCs w:val="24"/>
        </w:rPr>
        <w:t>is</w:t>
      </w:r>
      <w:r>
        <w:rPr>
          <w:sz w:val="24"/>
          <w:szCs w:val="24"/>
        </w:rPr>
        <w:t xml:space="preserve"> a significant relationship between the racial demographic of a census tract and </w:t>
      </w:r>
      <w:r w:rsidR="003B71F2">
        <w:rPr>
          <w:sz w:val="24"/>
          <w:szCs w:val="24"/>
        </w:rPr>
        <w:t xml:space="preserve">the Vulnerability measure. </w:t>
      </w:r>
    </w:p>
    <w:p w14:paraId="529FFEC1" w14:textId="404FA73A" w:rsidR="003B71F2" w:rsidRDefault="003B71F2" w:rsidP="003B71F2">
      <w:pPr>
        <w:pStyle w:val="ListParagraph"/>
        <w:numPr>
          <w:ilvl w:val="1"/>
          <w:numId w:val="1"/>
        </w:numPr>
        <w:rPr>
          <w:sz w:val="24"/>
          <w:szCs w:val="24"/>
        </w:rPr>
      </w:pPr>
      <w:r>
        <w:rPr>
          <w:sz w:val="24"/>
          <w:szCs w:val="24"/>
        </w:rPr>
        <w:t>Moderate correlation (R = +0.58) between proportion POC and Vulnerability (n = 176).</w:t>
      </w:r>
    </w:p>
    <w:p w14:paraId="4ACF23DA" w14:textId="745FD180" w:rsidR="003B71F2" w:rsidRPr="009A320B" w:rsidRDefault="003B71F2" w:rsidP="003B71F2">
      <w:pPr>
        <w:pStyle w:val="ListParagraph"/>
        <w:numPr>
          <w:ilvl w:val="1"/>
          <w:numId w:val="1"/>
        </w:numPr>
        <w:rPr>
          <w:sz w:val="24"/>
          <w:szCs w:val="24"/>
        </w:rPr>
      </w:pPr>
      <w:r>
        <w:rPr>
          <w:sz w:val="24"/>
          <w:szCs w:val="24"/>
        </w:rPr>
        <w:t xml:space="preserve">Significant difference in mean Vulnerability between majority white census tracts (n=94) and majority POC census tracts (n=82): </w:t>
      </w:r>
      <w:r w:rsidRPr="003B71F2">
        <w:rPr>
          <w:b/>
          <w:bCs/>
          <w:sz w:val="24"/>
          <w:szCs w:val="24"/>
        </w:rPr>
        <w:t>t = -8.367, p=1.9e-14</w:t>
      </w:r>
    </w:p>
    <w:p w14:paraId="1AF50A65" w14:textId="3439E398" w:rsidR="009A320B" w:rsidRDefault="009A320B" w:rsidP="003B71F2">
      <w:pPr>
        <w:pStyle w:val="ListParagraph"/>
        <w:numPr>
          <w:ilvl w:val="1"/>
          <w:numId w:val="1"/>
        </w:numPr>
        <w:rPr>
          <w:sz w:val="24"/>
          <w:szCs w:val="24"/>
        </w:rPr>
      </w:pPr>
      <w:r>
        <w:rPr>
          <w:sz w:val="24"/>
          <w:szCs w:val="24"/>
        </w:rPr>
        <w:t xml:space="preserve">The 13 least vulnerable census tracts </w:t>
      </w:r>
      <w:r w:rsidR="00536368">
        <w:rPr>
          <w:sz w:val="24"/>
          <w:szCs w:val="24"/>
        </w:rPr>
        <w:t>are</w:t>
      </w:r>
      <w:r>
        <w:rPr>
          <w:sz w:val="24"/>
          <w:szCs w:val="24"/>
        </w:rPr>
        <w:t xml:space="preserve"> all majority white.</w:t>
      </w:r>
    </w:p>
    <w:p w14:paraId="3986C49C" w14:textId="70A66D8C" w:rsidR="00DF352C" w:rsidRDefault="003B71F2" w:rsidP="00DF352C">
      <w:pPr>
        <w:pStyle w:val="ListParagraph"/>
        <w:numPr>
          <w:ilvl w:val="1"/>
          <w:numId w:val="1"/>
        </w:numPr>
        <w:rPr>
          <w:b/>
          <w:bCs/>
          <w:sz w:val="24"/>
          <w:szCs w:val="24"/>
        </w:rPr>
      </w:pPr>
      <w:r w:rsidRPr="003B71F2">
        <w:rPr>
          <w:b/>
          <w:bCs/>
          <w:sz w:val="24"/>
          <w:szCs w:val="24"/>
        </w:rPr>
        <w:t xml:space="preserve">The 34 most vulnerable census tracts </w:t>
      </w:r>
      <w:r w:rsidR="00536368">
        <w:rPr>
          <w:b/>
          <w:bCs/>
          <w:sz w:val="24"/>
          <w:szCs w:val="24"/>
        </w:rPr>
        <w:t>are</w:t>
      </w:r>
      <w:r w:rsidRPr="003B71F2">
        <w:rPr>
          <w:b/>
          <w:bCs/>
          <w:sz w:val="24"/>
          <w:szCs w:val="24"/>
        </w:rPr>
        <w:t xml:space="preserve"> all majority People of Color.</w:t>
      </w:r>
    </w:p>
    <w:p w14:paraId="3BC57FAF" w14:textId="034E1A3D" w:rsidR="00407BC4" w:rsidRPr="00407BC4" w:rsidRDefault="00407BC4" w:rsidP="00407BC4">
      <w:pPr>
        <w:pStyle w:val="ListParagraph"/>
        <w:numPr>
          <w:ilvl w:val="0"/>
          <w:numId w:val="1"/>
        </w:numPr>
        <w:rPr>
          <w:sz w:val="24"/>
          <w:szCs w:val="24"/>
        </w:rPr>
      </w:pPr>
      <w:r>
        <w:rPr>
          <w:sz w:val="24"/>
          <w:szCs w:val="24"/>
        </w:rPr>
        <w:t xml:space="preserve">Since these results are based solely on the built environment, it indicates that </w:t>
      </w:r>
      <w:r w:rsidRPr="00407BC4">
        <w:rPr>
          <w:b/>
          <w:bCs/>
          <w:sz w:val="24"/>
          <w:szCs w:val="24"/>
        </w:rPr>
        <w:t>climate injustice is built into the physical infrastructure of the city.</w:t>
      </w:r>
    </w:p>
    <w:p w14:paraId="048740C8" w14:textId="1E1F79DC" w:rsidR="00DF352C" w:rsidRDefault="00DF352C" w:rsidP="00DF352C">
      <w:pPr>
        <w:rPr>
          <w:i/>
          <w:iCs/>
          <w:sz w:val="24"/>
          <w:szCs w:val="24"/>
        </w:rPr>
      </w:pPr>
      <w:r>
        <w:rPr>
          <w:i/>
          <w:iCs/>
          <w:sz w:val="24"/>
          <w:szCs w:val="24"/>
        </w:rPr>
        <w:t>Implications on Policy</w:t>
      </w:r>
    </w:p>
    <w:p w14:paraId="4306BF5E" w14:textId="66515985" w:rsidR="003B71F2" w:rsidRPr="00407BC4" w:rsidRDefault="00DF352C" w:rsidP="00407BC4">
      <w:pPr>
        <w:rPr>
          <w:sz w:val="24"/>
          <w:szCs w:val="24"/>
        </w:rPr>
      </w:pPr>
      <w:r>
        <w:rPr>
          <w:sz w:val="24"/>
          <w:szCs w:val="24"/>
        </w:rPr>
        <w:t>Organizations such as Climate Ready Boston</w:t>
      </w:r>
      <w:r w:rsidR="009A320B">
        <w:rPr>
          <w:sz w:val="24"/>
          <w:szCs w:val="24"/>
        </w:rPr>
        <w:t xml:space="preserve"> </w:t>
      </w:r>
      <w:r w:rsidR="003B0078">
        <w:rPr>
          <w:sz w:val="24"/>
          <w:szCs w:val="24"/>
        </w:rPr>
        <w:t>and</w:t>
      </w:r>
      <w:r w:rsidR="003843E2">
        <w:rPr>
          <w:sz w:val="24"/>
          <w:szCs w:val="24"/>
        </w:rPr>
        <w:t xml:space="preserve"> the Metropolitan Area Policy Council</w:t>
      </w:r>
      <w:r w:rsidR="003B0078">
        <w:rPr>
          <w:sz w:val="24"/>
          <w:szCs w:val="24"/>
        </w:rPr>
        <w:t xml:space="preserve"> </w:t>
      </w:r>
      <w:r w:rsidR="003843E2">
        <w:rPr>
          <w:sz w:val="24"/>
          <w:szCs w:val="24"/>
        </w:rPr>
        <w:t>(</w:t>
      </w:r>
      <w:r w:rsidR="003B0078">
        <w:rPr>
          <w:sz w:val="24"/>
          <w:szCs w:val="24"/>
        </w:rPr>
        <w:t>MAPC</w:t>
      </w:r>
      <w:r w:rsidR="003843E2">
        <w:rPr>
          <w:sz w:val="24"/>
          <w:szCs w:val="24"/>
        </w:rPr>
        <w:t>)</w:t>
      </w:r>
      <w:r w:rsidR="003B0078">
        <w:rPr>
          <w:sz w:val="24"/>
          <w:szCs w:val="24"/>
        </w:rPr>
        <w:t xml:space="preserve"> </w:t>
      </w:r>
      <w:r w:rsidR="009A320B">
        <w:rPr>
          <w:sz w:val="24"/>
          <w:szCs w:val="24"/>
        </w:rPr>
        <w:t xml:space="preserve">are already </w:t>
      </w:r>
      <w:r w:rsidR="003843E2">
        <w:rPr>
          <w:sz w:val="24"/>
          <w:szCs w:val="24"/>
        </w:rPr>
        <w:t>aggregating Climate Vulnerability Metrics on the local level</w:t>
      </w:r>
      <w:r w:rsidR="009A320B">
        <w:rPr>
          <w:sz w:val="24"/>
          <w:szCs w:val="24"/>
        </w:rPr>
        <w:t>.</w:t>
      </w:r>
      <w:r w:rsidR="003B0078">
        <w:rPr>
          <w:sz w:val="24"/>
          <w:szCs w:val="24"/>
        </w:rPr>
        <w:t xml:space="preserve"> </w:t>
      </w:r>
      <w:r w:rsidR="00A054B2">
        <w:rPr>
          <w:sz w:val="24"/>
          <w:szCs w:val="24"/>
        </w:rPr>
        <w:t>These metrics incorporate a variety of social, economic and geographic factors</w:t>
      </w:r>
      <w:r w:rsidR="007C4CA0">
        <w:rPr>
          <w:sz w:val="24"/>
          <w:szCs w:val="24"/>
        </w:rPr>
        <w:t>.</w:t>
      </w:r>
      <w:r w:rsidR="00A054B2">
        <w:rPr>
          <w:sz w:val="24"/>
          <w:szCs w:val="24"/>
        </w:rPr>
        <w:t xml:space="preserve"> </w:t>
      </w:r>
      <w:r w:rsidR="003B0078">
        <w:rPr>
          <w:sz w:val="24"/>
          <w:szCs w:val="24"/>
        </w:rPr>
        <w:t>The Building Permit approach</w:t>
      </w:r>
      <w:r w:rsidR="007C4CA0">
        <w:rPr>
          <w:sz w:val="24"/>
          <w:szCs w:val="24"/>
        </w:rPr>
        <w:t xml:space="preserve"> in this paper</w:t>
      </w:r>
      <w:r w:rsidR="003B0078">
        <w:rPr>
          <w:sz w:val="24"/>
          <w:szCs w:val="24"/>
        </w:rPr>
        <w:t xml:space="preserve"> </w:t>
      </w:r>
      <w:r w:rsidR="003843E2">
        <w:rPr>
          <w:sz w:val="24"/>
          <w:szCs w:val="24"/>
        </w:rPr>
        <w:t>constrains</w:t>
      </w:r>
      <w:r w:rsidR="003B0078">
        <w:rPr>
          <w:sz w:val="24"/>
          <w:szCs w:val="24"/>
        </w:rPr>
        <w:t xml:space="preserve"> this research to </w:t>
      </w:r>
      <w:r w:rsidR="007C4CA0">
        <w:rPr>
          <w:sz w:val="24"/>
          <w:szCs w:val="24"/>
        </w:rPr>
        <w:t>solely</w:t>
      </w:r>
      <w:r w:rsidR="003B0078">
        <w:rPr>
          <w:sz w:val="24"/>
          <w:szCs w:val="24"/>
        </w:rPr>
        <w:t xml:space="preserve"> infrastructure</w:t>
      </w:r>
      <w:r w:rsidR="003843E2">
        <w:rPr>
          <w:sz w:val="24"/>
          <w:szCs w:val="24"/>
        </w:rPr>
        <w:t xml:space="preserve">, </w:t>
      </w:r>
      <w:r w:rsidR="007C4CA0">
        <w:rPr>
          <w:sz w:val="24"/>
          <w:szCs w:val="24"/>
        </w:rPr>
        <w:t>resulting in</w:t>
      </w:r>
      <w:r w:rsidR="003843E2">
        <w:rPr>
          <w:sz w:val="24"/>
          <w:szCs w:val="24"/>
        </w:rPr>
        <w:t xml:space="preserve"> a description of the climate inequities that are</w:t>
      </w:r>
      <w:r w:rsidR="007C4CA0">
        <w:rPr>
          <w:sz w:val="24"/>
          <w:szCs w:val="24"/>
        </w:rPr>
        <w:t xml:space="preserve"> physically</w:t>
      </w:r>
      <w:r w:rsidR="003843E2">
        <w:rPr>
          <w:sz w:val="24"/>
          <w:szCs w:val="24"/>
        </w:rPr>
        <w:t xml:space="preserve"> ingrained in</w:t>
      </w:r>
      <w:r w:rsidR="007C4CA0">
        <w:rPr>
          <w:sz w:val="24"/>
          <w:szCs w:val="24"/>
        </w:rPr>
        <w:t>to</w:t>
      </w:r>
      <w:r w:rsidR="003843E2">
        <w:rPr>
          <w:sz w:val="24"/>
          <w:szCs w:val="24"/>
        </w:rPr>
        <w:t xml:space="preserve"> </w:t>
      </w:r>
      <w:r w:rsidR="007C4CA0">
        <w:rPr>
          <w:sz w:val="24"/>
          <w:szCs w:val="24"/>
        </w:rPr>
        <w:t>Boston’s</w:t>
      </w:r>
      <w:r w:rsidR="003843E2">
        <w:rPr>
          <w:sz w:val="24"/>
          <w:szCs w:val="24"/>
        </w:rPr>
        <w:t xml:space="preserve"> </w:t>
      </w:r>
      <w:r w:rsidR="007C4CA0">
        <w:rPr>
          <w:sz w:val="24"/>
          <w:szCs w:val="24"/>
        </w:rPr>
        <w:t>built environment</w:t>
      </w:r>
      <w:r w:rsidR="003843E2">
        <w:rPr>
          <w:sz w:val="24"/>
          <w:szCs w:val="24"/>
        </w:rPr>
        <w:t xml:space="preserve">. </w:t>
      </w:r>
      <w:r w:rsidR="007C4CA0">
        <w:rPr>
          <w:sz w:val="24"/>
          <w:szCs w:val="24"/>
        </w:rPr>
        <w:t>It is important for policymakers to be proactive on this issue because of the time, money and public commitment it takes to</w:t>
      </w:r>
      <w:r w:rsidR="002F3A14">
        <w:rPr>
          <w:sz w:val="24"/>
          <w:szCs w:val="24"/>
        </w:rPr>
        <w:t xml:space="preserve"> improve</w:t>
      </w:r>
      <w:r w:rsidR="007C4CA0">
        <w:rPr>
          <w:sz w:val="24"/>
          <w:szCs w:val="24"/>
        </w:rPr>
        <w:t xml:space="preserve"> infrastructure at this scale.</w:t>
      </w:r>
    </w:p>
    <w:p w14:paraId="192B0132" w14:textId="21D9A8B8" w:rsidR="00BC7244" w:rsidRDefault="00BC7244" w:rsidP="00407BC4">
      <w:pPr>
        <w:rPr>
          <w:b/>
          <w:bCs/>
          <w:sz w:val="28"/>
          <w:szCs w:val="28"/>
        </w:rPr>
      </w:pPr>
    </w:p>
    <w:p w14:paraId="362A4E3F" w14:textId="10089198" w:rsidR="00BC7244" w:rsidRDefault="00BC7244" w:rsidP="00511B03">
      <w:pPr>
        <w:jc w:val="center"/>
        <w:rPr>
          <w:b/>
          <w:bCs/>
          <w:sz w:val="28"/>
          <w:szCs w:val="28"/>
        </w:rPr>
      </w:pPr>
    </w:p>
    <w:p w14:paraId="33C62B5E" w14:textId="547A82FF" w:rsidR="00BC7244" w:rsidRDefault="00BC7244" w:rsidP="00511B03">
      <w:pPr>
        <w:jc w:val="center"/>
        <w:rPr>
          <w:b/>
          <w:bCs/>
          <w:sz w:val="28"/>
          <w:szCs w:val="28"/>
        </w:rPr>
      </w:pPr>
    </w:p>
    <w:p w14:paraId="3A72BED5" w14:textId="3608A46E" w:rsidR="00BC7244" w:rsidRDefault="00BC7244" w:rsidP="007C4CA0">
      <w:pPr>
        <w:rPr>
          <w:b/>
          <w:bCs/>
          <w:sz w:val="28"/>
          <w:szCs w:val="28"/>
        </w:rPr>
      </w:pPr>
    </w:p>
    <w:p w14:paraId="7C33322B" w14:textId="536BA701" w:rsidR="00BC7244" w:rsidRDefault="00BC7244" w:rsidP="00B01101">
      <w:pPr>
        <w:rPr>
          <w:b/>
          <w:bCs/>
          <w:sz w:val="28"/>
          <w:szCs w:val="28"/>
        </w:rPr>
      </w:pPr>
    </w:p>
    <w:p w14:paraId="63F2C1FB" w14:textId="77777777" w:rsidR="00B01101" w:rsidRDefault="00B01101" w:rsidP="00B01101">
      <w:pPr>
        <w:rPr>
          <w:b/>
          <w:bCs/>
          <w:sz w:val="28"/>
          <w:szCs w:val="28"/>
        </w:rPr>
      </w:pPr>
    </w:p>
    <w:p w14:paraId="27968710" w14:textId="7AF924D3" w:rsidR="00511B03" w:rsidRPr="00511B03" w:rsidRDefault="00511B03" w:rsidP="00511B03">
      <w:pPr>
        <w:jc w:val="center"/>
        <w:rPr>
          <w:b/>
          <w:bCs/>
          <w:sz w:val="28"/>
          <w:szCs w:val="28"/>
        </w:rPr>
      </w:pPr>
      <w:r>
        <w:rPr>
          <w:b/>
          <w:bCs/>
          <w:sz w:val="28"/>
          <w:szCs w:val="28"/>
        </w:rPr>
        <w:lastRenderedPageBreak/>
        <w:t>Introduction</w:t>
      </w:r>
    </w:p>
    <w:p w14:paraId="6754EDFE" w14:textId="6A62A247" w:rsidR="00CC43A1" w:rsidRDefault="008E5778" w:rsidP="00CC43A1">
      <w:pPr>
        <w:rPr>
          <w:sz w:val="24"/>
          <w:szCs w:val="24"/>
        </w:rPr>
      </w:pPr>
      <w:r>
        <w:rPr>
          <w:sz w:val="24"/>
          <w:szCs w:val="24"/>
        </w:rPr>
        <w:t xml:space="preserve">In December 2016, Climate Ready Boston released an executive summary </w:t>
      </w:r>
      <w:r w:rsidR="00142CA8">
        <w:rPr>
          <w:sz w:val="24"/>
          <w:szCs w:val="24"/>
        </w:rPr>
        <w:t>(Arcadis</w:t>
      </w:r>
      <w:r w:rsidR="00F56BFB">
        <w:rPr>
          <w:sz w:val="24"/>
          <w:szCs w:val="24"/>
        </w:rPr>
        <w:t xml:space="preserve"> Et al.</w:t>
      </w:r>
      <w:r w:rsidR="00142CA8">
        <w:rPr>
          <w:sz w:val="24"/>
          <w:szCs w:val="24"/>
        </w:rPr>
        <w:t>, 2016)</w:t>
      </w:r>
      <w:r w:rsidR="00903DC0">
        <w:rPr>
          <w:sz w:val="24"/>
          <w:szCs w:val="24"/>
        </w:rPr>
        <w:t xml:space="preserve"> </w:t>
      </w:r>
      <w:r>
        <w:rPr>
          <w:sz w:val="24"/>
          <w:szCs w:val="24"/>
        </w:rPr>
        <w:t>outlining detailed projections for</w:t>
      </w:r>
      <w:r w:rsidR="00857448">
        <w:rPr>
          <w:sz w:val="24"/>
          <w:szCs w:val="24"/>
        </w:rPr>
        <w:t xml:space="preserve"> the</w:t>
      </w:r>
      <w:r>
        <w:rPr>
          <w:sz w:val="24"/>
          <w:szCs w:val="24"/>
        </w:rPr>
        <w:t xml:space="preserve"> climate c</w:t>
      </w:r>
      <w:r w:rsidR="00857448">
        <w:rPr>
          <w:sz w:val="24"/>
          <w:szCs w:val="24"/>
        </w:rPr>
        <w:t>risi</w:t>
      </w:r>
      <w:r>
        <w:rPr>
          <w:sz w:val="24"/>
          <w:szCs w:val="24"/>
        </w:rPr>
        <w:t>s</w:t>
      </w:r>
      <w:r w:rsidR="00857448">
        <w:rPr>
          <w:sz w:val="24"/>
          <w:szCs w:val="24"/>
        </w:rPr>
        <w:t>’</w:t>
      </w:r>
      <w:r>
        <w:rPr>
          <w:sz w:val="24"/>
          <w:szCs w:val="24"/>
        </w:rPr>
        <w:t xml:space="preserve"> impact on the city.</w:t>
      </w:r>
      <w:r w:rsidR="00903DC0">
        <w:rPr>
          <w:sz w:val="24"/>
          <w:szCs w:val="24"/>
        </w:rPr>
        <w:t xml:space="preserve"> Unavoidably, Boston is going to experience more extreme temperatures and heavier precipitation events in the coming decades. The average summer temperature, </w:t>
      </w:r>
      <w:r w:rsidR="00A53DFD">
        <w:rPr>
          <w:sz w:val="24"/>
          <w:szCs w:val="24"/>
        </w:rPr>
        <w:t xml:space="preserve">historically </w:t>
      </w:r>
      <w:r w:rsidR="00903DC0">
        <w:rPr>
          <w:sz w:val="24"/>
          <w:szCs w:val="24"/>
        </w:rPr>
        <w:t xml:space="preserve">69 </w:t>
      </w:r>
      <w:r w:rsidR="00903DC0" w:rsidRPr="00A53DFD">
        <w:rPr>
          <w:rFonts w:cstheme="minorHAnsi"/>
          <w:color w:val="4D5156"/>
          <w:sz w:val="21"/>
          <w:szCs w:val="21"/>
          <w:shd w:val="clear" w:color="auto" w:fill="FFFFFF"/>
        </w:rPr>
        <w:t>°</w:t>
      </w:r>
      <w:r w:rsidR="00903DC0" w:rsidRPr="00A53DFD">
        <w:rPr>
          <w:rFonts w:cstheme="minorHAnsi"/>
          <w:sz w:val="24"/>
          <w:szCs w:val="24"/>
        </w:rPr>
        <w:t>F</w:t>
      </w:r>
      <w:r w:rsidR="00903DC0">
        <w:rPr>
          <w:sz w:val="24"/>
          <w:szCs w:val="24"/>
        </w:rPr>
        <w:t xml:space="preserve">, </w:t>
      </w:r>
      <w:r w:rsidR="00A53DFD">
        <w:rPr>
          <w:sz w:val="24"/>
          <w:szCs w:val="24"/>
        </w:rPr>
        <w:t xml:space="preserve">could increase to 76 </w:t>
      </w:r>
      <w:r w:rsidR="00A53DFD" w:rsidRPr="00A53DFD">
        <w:rPr>
          <w:rFonts w:cstheme="minorHAnsi"/>
          <w:color w:val="4D5156"/>
          <w:sz w:val="21"/>
          <w:szCs w:val="21"/>
          <w:shd w:val="clear" w:color="auto" w:fill="FFFFFF"/>
        </w:rPr>
        <w:t>°</w:t>
      </w:r>
      <w:r w:rsidR="00A53DFD" w:rsidRPr="00A53DFD">
        <w:rPr>
          <w:rFonts w:cstheme="minorHAnsi"/>
          <w:sz w:val="24"/>
          <w:szCs w:val="24"/>
        </w:rPr>
        <w:t>F</w:t>
      </w:r>
      <w:r w:rsidR="00A53DFD">
        <w:rPr>
          <w:rFonts w:cstheme="minorHAnsi"/>
          <w:sz w:val="24"/>
          <w:szCs w:val="24"/>
        </w:rPr>
        <w:t xml:space="preserve"> by 2050 and </w:t>
      </w:r>
      <w:r w:rsidR="00A53DFD" w:rsidRPr="00407BC4">
        <w:rPr>
          <w:rFonts w:cstheme="minorHAnsi"/>
          <w:b/>
          <w:bCs/>
          <w:sz w:val="24"/>
          <w:szCs w:val="24"/>
        </w:rPr>
        <w:t xml:space="preserve">84 </w:t>
      </w:r>
      <w:r w:rsidR="00A53DFD" w:rsidRPr="00407BC4">
        <w:rPr>
          <w:rFonts w:cstheme="minorHAnsi"/>
          <w:b/>
          <w:bCs/>
          <w:color w:val="4D5156"/>
          <w:sz w:val="21"/>
          <w:szCs w:val="21"/>
          <w:shd w:val="clear" w:color="auto" w:fill="FFFFFF"/>
        </w:rPr>
        <w:t>°</w:t>
      </w:r>
      <w:r w:rsidR="00A53DFD" w:rsidRPr="00407BC4">
        <w:rPr>
          <w:rFonts w:cstheme="minorHAnsi"/>
          <w:b/>
          <w:bCs/>
          <w:sz w:val="24"/>
          <w:szCs w:val="24"/>
        </w:rPr>
        <w:t>F</w:t>
      </w:r>
      <w:r w:rsidR="00A53DFD" w:rsidRPr="00407BC4">
        <w:rPr>
          <w:rFonts w:cstheme="minorHAnsi"/>
          <w:b/>
          <w:bCs/>
          <w:sz w:val="24"/>
          <w:szCs w:val="24"/>
        </w:rPr>
        <w:t xml:space="preserve"> by the end of the century</w:t>
      </w:r>
      <w:r w:rsidR="00A53DFD">
        <w:rPr>
          <w:rFonts w:cstheme="minorHAnsi"/>
          <w:sz w:val="24"/>
          <w:szCs w:val="24"/>
        </w:rPr>
        <w:t xml:space="preserve">. From 1958 to 2010, there was a </w:t>
      </w:r>
      <w:r w:rsidR="00A53DFD" w:rsidRPr="00407BC4">
        <w:rPr>
          <w:rFonts w:cstheme="minorHAnsi"/>
          <w:b/>
          <w:bCs/>
          <w:sz w:val="24"/>
          <w:szCs w:val="24"/>
        </w:rPr>
        <w:t>70% increase in the amount of precipitation</w:t>
      </w:r>
      <w:r w:rsidR="00A53DFD">
        <w:rPr>
          <w:rFonts w:cstheme="minorHAnsi"/>
          <w:sz w:val="24"/>
          <w:szCs w:val="24"/>
        </w:rPr>
        <w:t xml:space="preserve"> that fell in the heaviest events. This trend is expected to continue, leading to more dangerous blizzard and flooding events. </w:t>
      </w:r>
    </w:p>
    <w:p w14:paraId="58DD3621" w14:textId="47A3BB1B" w:rsidR="00AB07BB" w:rsidRDefault="00B02EA6" w:rsidP="00CC43A1">
      <w:pPr>
        <w:rPr>
          <w:sz w:val="24"/>
          <w:szCs w:val="24"/>
        </w:rPr>
      </w:pPr>
      <w:r>
        <w:rPr>
          <w:sz w:val="24"/>
          <w:szCs w:val="24"/>
        </w:rPr>
        <w:t>For Climate Ready Boston and other organizations dedicated to researching these impacts, a common tool is to model vulnerability</w:t>
      </w:r>
      <w:r w:rsidR="00AB07BB">
        <w:rPr>
          <w:sz w:val="24"/>
          <w:szCs w:val="24"/>
        </w:rPr>
        <w:t xml:space="preserve"> geographically</w:t>
      </w:r>
      <w:r>
        <w:rPr>
          <w:sz w:val="24"/>
          <w:szCs w:val="24"/>
        </w:rPr>
        <w:t xml:space="preserve">. The </w:t>
      </w:r>
      <w:r w:rsidR="00407BC4">
        <w:rPr>
          <w:sz w:val="24"/>
          <w:szCs w:val="24"/>
        </w:rPr>
        <w:t xml:space="preserve">Climate Ready Boston </w:t>
      </w:r>
      <w:r>
        <w:rPr>
          <w:sz w:val="24"/>
          <w:szCs w:val="24"/>
        </w:rPr>
        <w:t xml:space="preserve">summary </w:t>
      </w:r>
      <w:r w:rsidR="00407BC4">
        <w:rPr>
          <w:sz w:val="24"/>
          <w:szCs w:val="24"/>
        </w:rPr>
        <w:t xml:space="preserve">(above) </w:t>
      </w:r>
      <w:r>
        <w:rPr>
          <w:sz w:val="24"/>
          <w:szCs w:val="24"/>
        </w:rPr>
        <w:t>includes maps detailing the changing flood threats over time. MAPC takes a wider approach to a vulnerability map, detailing the risk of both Heat and Flood threats in the</w:t>
      </w:r>
      <w:r w:rsidR="00AB07BB">
        <w:rPr>
          <w:sz w:val="24"/>
          <w:szCs w:val="24"/>
        </w:rPr>
        <w:t xml:space="preserve">ir model for the Greater Boston Area </w:t>
      </w:r>
      <w:r w:rsidR="00F56BFB">
        <w:rPr>
          <w:sz w:val="24"/>
          <w:szCs w:val="24"/>
        </w:rPr>
        <w:t>(</w:t>
      </w:r>
      <w:proofErr w:type="spellStart"/>
      <w:r w:rsidR="00FE4F2B" w:rsidRPr="00FE4F2B">
        <w:rPr>
          <w:sz w:val="24"/>
          <w:szCs w:val="24"/>
        </w:rPr>
        <w:t>Flingai</w:t>
      </w:r>
      <w:proofErr w:type="spellEnd"/>
      <w:r w:rsidR="00FE4F2B">
        <w:rPr>
          <w:sz w:val="24"/>
          <w:szCs w:val="24"/>
        </w:rPr>
        <w:t>, 2019</w:t>
      </w:r>
      <w:r w:rsidR="00F56BFB">
        <w:rPr>
          <w:sz w:val="24"/>
          <w:szCs w:val="24"/>
        </w:rPr>
        <w:t>).</w:t>
      </w:r>
      <w:r w:rsidR="00FE4F2B">
        <w:rPr>
          <w:sz w:val="24"/>
          <w:szCs w:val="24"/>
        </w:rPr>
        <w:t xml:space="preserve"> </w:t>
      </w:r>
      <w:r w:rsidR="00AB07BB">
        <w:rPr>
          <w:sz w:val="24"/>
          <w:szCs w:val="24"/>
        </w:rPr>
        <w:t xml:space="preserve">There are also resources detailing the social vulnerabilities to the climate crisis. Climate Ready Boston’s </w:t>
      </w:r>
      <w:r w:rsidR="00AB07BB" w:rsidRPr="00407BC4">
        <w:rPr>
          <w:sz w:val="24"/>
          <w:szCs w:val="24"/>
        </w:rPr>
        <w:t>Social</w:t>
      </w:r>
      <w:r w:rsidR="00AB07BB">
        <w:rPr>
          <w:sz w:val="24"/>
          <w:szCs w:val="24"/>
        </w:rPr>
        <w:t xml:space="preserve"> Vulnerability Index </w:t>
      </w:r>
      <w:r w:rsidR="00FE4F2B">
        <w:rPr>
          <w:sz w:val="24"/>
          <w:szCs w:val="24"/>
        </w:rPr>
        <w:t>(Boston Maps, 2017)</w:t>
      </w:r>
      <w:r w:rsidR="00AB07BB">
        <w:rPr>
          <w:sz w:val="24"/>
          <w:szCs w:val="24"/>
        </w:rPr>
        <w:t xml:space="preserve"> contains population counts of marginalized and vulnerable groups around the city. This data will be used later in the paper to compare to </w:t>
      </w:r>
      <w:r w:rsidR="002F3A14">
        <w:rPr>
          <w:sz w:val="24"/>
          <w:szCs w:val="24"/>
        </w:rPr>
        <w:t>an</w:t>
      </w:r>
      <w:r w:rsidR="00AB07BB">
        <w:rPr>
          <w:sz w:val="24"/>
          <w:szCs w:val="24"/>
        </w:rPr>
        <w:t xml:space="preserve"> infrastructure-based Vulnerability Metric.</w:t>
      </w:r>
    </w:p>
    <w:p w14:paraId="2AC1C9EF" w14:textId="3696F4F5" w:rsidR="00AB07BB" w:rsidRDefault="00AB07BB" w:rsidP="00CC43A1">
      <w:pPr>
        <w:rPr>
          <w:sz w:val="24"/>
          <w:szCs w:val="24"/>
        </w:rPr>
      </w:pPr>
      <w:r>
        <w:rPr>
          <w:sz w:val="24"/>
          <w:szCs w:val="24"/>
        </w:rPr>
        <w:t>In tune with many public crises</w:t>
      </w:r>
      <w:r w:rsidR="00A054B2">
        <w:rPr>
          <w:sz w:val="24"/>
          <w:szCs w:val="24"/>
        </w:rPr>
        <w:t>, the effects of climate change</w:t>
      </w:r>
      <w:r>
        <w:rPr>
          <w:sz w:val="24"/>
          <w:szCs w:val="24"/>
        </w:rPr>
        <w:t xml:space="preserve"> disproportionately</w:t>
      </w:r>
      <w:r w:rsidR="00A054B2">
        <w:rPr>
          <w:sz w:val="24"/>
          <w:szCs w:val="24"/>
        </w:rPr>
        <w:t xml:space="preserve"> impact minority groups.</w:t>
      </w:r>
      <w:r w:rsidR="00452949">
        <w:rPr>
          <w:sz w:val="24"/>
          <w:szCs w:val="24"/>
        </w:rPr>
        <w:t xml:space="preserve"> </w:t>
      </w:r>
      <w:r w:rsidR="00B20FDF">
        <w:rPr>
          <w:sz w:val="24"/>
          <w:szCs w:val="24"/>
        </w:rPr>
        <w:t xml:space="preserve">In the Northeast Region of the US, </w:t>
      </w:r>
      <w:r w:rsidR="00B20FDF" w:rsidRPr="00407BC4">
        <w:rPr>
          <w:b/>
          <w:bCs/>
          <w:sz w:val="24"/>
          <w:szCs w:val="24"/>
        </w:rPr>
        <w:t>minority groups are projected to see 10% more new asthma diagnoses</w:t>
      </w:r>
      <w:r w:rsidR="00B20FDF">
        <w:rPr>
          <w:sz w:val="24"/>
          <w:szCs w:val="24"/>
        </w:rPr>
        <w:t xml:space="preserve"> than whites due to a global Temperature increase of 2 </w:t>
      </w:r>
      <w:r w:rsidR="00B20FDF" w:rsidRPr="00A53DFD">
        <w:rPr>
          <w:rFonts w:cstheme="minorHAnsi"/>
          <w:color w:val="4D5156"/>
          <w:sz w:val="21"/>
          <w:szCs w:val="21"/>
          <w:shd w:val="clear" w:color="auto" w:fill="FFFFFF"/>
        </w:rPr>
        <w:t>°</w:t>
      </w:r>
      <w:r w:rsidR="00B20FDF">
        <w:rPr>
          <w:rFonts w:cstheme="minorHAnsi"/>
          <w:sz w:val="24"/>
          <w:szCs w:val="24"/>
        </w:rPr>
        <w:t>C</w:t>
      </w:r>
      <w:r w:rsidR="00B20FDF">
        <w:rPr>
          <w:sz w:val="24"/>
          <w:szCs w:val="24"/>
        </w:rPr>
        <w:t xml:space="preserve">. They are also </w:t>
      </w:r>
      <w:r w:rsidR="00B20FDF" w:rsidRPr="00407BC4">
        <w:rPr>
          <w:b/>
          <w:bCs/>
          <w:sz w:val="24"/>
          <w:szCs w:val="24"/>
        </w:rPr>
        <w:t>15% more likely to experience property damage or loss</w:t>
      </w:r>
      <w:r w:rsidR="00B20FDF">
        <w:rPr>
          <w:sz w:val="24"/>
          <w:szCs w:val="24"/>
        </w:rPr>
        <w:t xml:space="preserve"> under the same Temperature </w:t>
      </w:r>
      <w:r w:rsidR="00407BC4">
        <w:rPr>
          <w:sz w:val="24"/>
          <w:szCs w:val="24"/>
        </w:rPr>
        <w:t xml:space="preserve">increase </w:t>
      </w:r>
      <w:r w:rsidR="00A5714F">
        <w:rPr>
          <w:sz w:val="24"/>
          <w:szCs w:val="24"/>
        </w:rPr>
        <w:t>(EPA, 2021).</w:t>
      </w:r>
      <w:r w:rsidR="00B20FDF">
        <w:rPr>
          <w:sz w:val="24"/>
          <w:szCs w:val="24"/>
        </w:rPr>
        <w:t xml:space="preserve"> </w:t>
      </w:r>
    </w:p>
    <w:p w14:paraId="6C576C61" w14:textId="0402709A" w:rsidR="00452949" w:rsidRDefault="00452949" w:rsidP="00CC43A1">
      <w:pPr>
        <w:rPr>
          <w:sz w:val="24"/>
          <w:szCs w:val="24"/>
        </w:rPr>
      </w:pPr>
      <w:r>
        <w:rPr>
          <w:sz w:val="24"/>
          <w:szCs w:val="24"/>
        </w:rPr>
        <w:t xml:space="preserve">A major factor in these discrepancies is </w:t>
      </w:r>
      <w:r w:rsidR="005F0C2B">
        <w:rPr>
          <w:sz w:val="24"/>
          <w:szCs w:val="24"/>
        </w:rPr>
        <w:t xml:space="preserve">the historical impact of </w:t>
      </w:r>
      <w:r w:rsidR="005F0C2B" w:rsidRPr="00407BC4">
        <w:rPr>
          <w:b/>
          <w:bCs/>
          <w:sz w:val="24"/>
          <w:szCs w:val="24"/>
        </w:rPr>
        <w:t>spatial segregation</w:t>
      </w:r>
      <w:r w:rsidR="005F0C2B">
        <w:rPr>
          <w:sz w:val="24"/>
          <w:szCs w:val="24"/>
        </w:rPr>
        <w:t xml:space="preserve">. Even today, </w:t>
      </w:r>
      <w:r w:rsidR="005F0C2B" w:rsidRPr="00407BC4">
        <w:rPr>
          <w:b/>
          <w:bCs/>
          <w:sz w:val="24"/>
          <w:szCs w:val="24"/>
        </w:rPr>
        <w:t>two-thirds of Boston’s Black population reside</w:t>
      </w:r>
      <w:r w:rsidR="005F0C2B" w:rsidRPr="00407BC4">
        <w:rPr>
          <w:b/>
          <w:bCs/>
          <w:sz w:val="24"/>
          <w:szCs w:val="24"/>
        </w:rPr>
        <w:t xml:space="preserve"> in </w:t>
      </w:r>
      <w:r w:rsidR="005F0C2B" w:rsidRPr="00407BC4">
        <w:rPr>
          <w:b/>
          <w:bCs/>
          <w:sz w:val="24"/>
          <w:szCs w:val="24"/>
        </w:rPr>
        <w:t>3 neighborhoods</w:t>
      </w:r>
      <w:r w:rsidR="005F0C2B">
        <w:rPr>
          <w:sz w:val="24"/>
          <w:szCs w:val="24"/>
        </w:rPr>
        <w:t xml:space="preserve">: </w:t>
      </w:r>
      <w:r w:rsidR="005F0C2B">
        <w:rPr>
          <w:sz w:val="24"/>
          <w:szCs w:val="24"/>
        </w:rPr>
        <w:t xml:space="preserve">Dorchester, Roxbury and </w:t>
      </w:r>
      <w:r w:rsidR="000D041F">
        <w:rPr>
          <w:sz w:val="24"/>
          <w:szCs w:val="24"/>
        </w:rPr>
        <w:softHyphen/>
      </w:r>
      <w:r w:rsidR="005F0C2B">
        <w:rPr>
          <w:sz w:val="24"/>
          <w:szCs w:val="24"/>
        </w:rPr>
        <w:t>Mattapan</w:t>
      </w:r>
      <w:r w:rsidR="00A5714F">
        <w:rPr>
          <w:sz w:val="24"/>
          <w:szCs w:val="24"/>
        </w:rPr>
        <w:t xml:space="preserve"> (Data: Analyze Boston - Demographics, 2021)</w:t>
      </w:r>
      <w:r w:rsidR="00AC782B">
        <w:rPr>
          <w:sz w:val="24"/>
          <w:szCs w:val="24"/>
        </w:rPr>
        <w:t>.</w:t>
      </w:r>
      <w:r w:rsidR="005F0C2B">
        <w:rPr>
          <w:sz w:val="24"/>
          <w:szCs w:val="24"/>
        </w:rPr>
        <w:t xml:space="preserve"> </w:t>
      </w:r>
      <w:r w:rsidR="00C525A8">
        <w:rPr>
          <w:sz w:val="24"/>
          <w:szCs w:val="24"/>
        </w:rPr>
        <w:t xml:space="preserve">These and other neighborhoods with </w:t>
      </w:r>
      <w:proofErr w:type="gramStart"/>
      <w:r w:rsidR="00C525A8">
        <w:rPr>
          <w:sz w:val="24"/>
          <w:szCs w:val="24"/>
        </w:rPr>
        <w:t>a majority of</w:t>
      </w:r>
      <w:proofErr w:type="gramEnd"/>
      <w:r w:rsidR="00C525A8">
        <w:rPr>
          <w:sz w:val="24"/>
          <w:szCs w:val="24"/>
        </w:rPr>
        <w:t xml:space="preserve"> People of Color </w:t>
      </w:r>
      <w:r w:rsidR="00413CA9">
        <w:rPr>
          <w:sz w:val="24"/>
          <w:szCs w:val="24"/>
        </w:rPr>
        <w:t xml:space="preserve">tend to have </w:t>
      </w:r>
      <w:r w:rsidR="00C525A8">
        <w:rPr>
          <w:sz w:val="24"/>
          <w:szCs w:val="24"/>
        </w:rPr>
        <w:t xml:space="preserve">disadvantaged </w:t>
      </w:r>
      <w:r w:rsidR="00413CA9">
        <w:rPr>
          <w:sz w:val="24"/>
          <w:szCs w:val="24"/>
        </w:rPr>
        <w:t xml:space="preserve">economic and physical infrastructure </w:t>
      </w:r>
      <w:r w:rsidR="00C525A8">
        <w:rPr>
          <w:sz w:val="24"/>
          <w:szCs w:val="24"/>
        </w:rPr>
        <w:t xml:space="preserve">as a result </w:t>
      </w:r>
      <w:r w:rsidR="002F3A14">
        <w:rPr>
          <w:sz w:val="24"/>
          <w:szCs w:val="24"/>
        </w:rPr>
        <w:t>of historic marginalization</w:t>
      </w:r>
      <w:r w:rsidR="00413CA9">
        <w:rPr>
          <w:sz w:val="24"/>
          <w:szCs w:val="24"/>
        </w:rPr>
        <w:t xml:space="preserve">. </w:t>
      </w:r>
      <w:r w:rsidR="00184421">
        <w:rPr>
          <w:sz w:val="24"/>
          <w:szCs w:val="24"/>
        </w:rPr>
        <w:t xml:space="preserve">Roxbury </w:t>
      </w:r>
      <w:r w:rsidR="00AC782B">
        <w:rPr>
          <w:sz w:val="24"/>
          <w:szCs w:val="24"/>
        </w:rPr>
        <w:t xml:space="preserve">and </w:t>
      </w:r>
      <w:r w:rsidR="00184421">
        <w:rPr>
          <w:sz w:val="24"/>
          <w:szCs w:val="24"/>
        </w:rPr>
        <w:t>Dorchester</w:t>
      </w:r>
      <w:r w:rsidR="00AC782B">
        <w:rPr>
          <w:sz w:val="24"/>
          <w:szCs w:val="24"/>
        </w:rPr>
        <w:t xml:space="preserve"> </w:t>
      </w:r>
      <w:r w:rsidR="00184421">
        <w:rPr>
          <w:sz w:val="24"/>
          <w:szCs w:val="24"/>
        </w:rPr>
        <w:t xml:space="preserve">have some of the oldest </w:t>
      </w:r>
      <w:r w:rsidR="00413CA9">
        <w:rPr>
          <w:sz w:val="24"/>
          <w:szCs w:val="24"/>
        </w:rPr>
        <w:t>building stocks</w:t>
      </w:r>
      <w:r w:rsidR="00184421">
        <w:rPr>
          <w:sz w:val="24"/>
          <w:szCs w:val="24"/>
        </w:rPr>
        <w:t xml:space="preserve"> in the city</w:t>
      </w:r>
      <w:r w:rsidR="002174E3">
        <w:rPr>
          <w:sz w:val="24"/>
          <w:szCs w:val="24"/>
        </w:rPr>
        <w:t xml:space="preserve">, ranking </w:t>
      </w:r>
      <w:r w:rsidR="00184421">
        <w:rPr>
          <w:sz w:val="24"/>
          <w:szCs w:val="24"/>
        </w:rPr>
        <w:t>5</w:t>
      </w:r>
      <w:r w:rsidR="00184421" w:rsidRPr="00184421">
        <w:rPr>
          <w:sz w:val="24"/>
          <w:szCs w:val="24"/>
          <w:vertAlign w:val="superscript"/>
        </w:rPr>
        <w:t>th</w:t>
      </w:r>
      <w:r w:rsidR="002174E3">
        <w:rPr>
          <w:sz w:val="24"/>
          <w:szCs w:val="24"/>
        </w:rPr>
        <w:t xml:space="preserve"> and </w:t>
      </w:r>
      <w:r w:rsidR="00184421">
        <w:rPr>
          <w:sz w:val="24"/>
          <w:szCs w:val="24"/>
        </w:rPr>
        <w:t>6</w:t>
      </w:r>
      <w:r w:rsidR="00184421" w:rsidRPr="00184421">
        <w:rPr>
          <w:sz w:val="24"/>
          <w:szCs w:val="24"/>
          <w:vertAlign w:val="superscript"/>
        </w:rPr>
        <w:t>th</w:t>
      </w:r>
      <w:r w:rsidR="00184421">
        <w:rPr>
          <w:sz w:val="24"/>
          <w:szCs w:val="24"/>
        </w:rPr>
        <w:t xml:space="preserve"> out of all neighborhoods</w:t>
      </w:r>
      <w:r w:rsidR="002174E3">
        <w:rPr>
          <w:sz w:val="24"/>
          <w:szCs w:val="24"/>
        </w:rPr>
        <w:t xml:space="preserve"> with a </w:t>
      </w:r>
      <w:r w:rsidR="002174E3" w:rsidRPr="00407BC4">
        <w:rPr>
          <w:b/>
          <w:bCs/>
          <w:sz w:val="24"/>
          <w:szCs w:val="24"/>
        </w:rPr>
        <w:t xml:space="preserve">median age of around 105 years </w:t>
      </w:r>
      <w:r w:rsidR="002174E3" w:rsidRPr="00407BC4">
        <w:rPr>
          <w:sz w:val="24"/>
          <w:szCs w:val="24"/>
        </w:rPr>
        <w:t>each</w:t>
      </w:r>
      <w:r w:rsidR="00184421">
        <w:rPr>
          <w:sz w:val="24"/>
          <w:szCs w:val="24"/>
        </w:rPr>
        <w:t xml:space="preserve"> </w:t>
      </w:r>
      <w:r w:rsidR="002174E3">
        <w:rPr>
          <w:sz w:val="24"/>
          <w:szCs w:val="24"/>
        </w:rPr>
        <w:t>(</w:t>
      </w:r>
      <w:proofErr w:type="spellStart"/>
      <w:r w:rsidR="002F3A14">
        <w:rPr>
          <w:sz w:val="24"/>
          <w:szCs w:val="24"/>
        </w:rPr>
        <w:t>J</w:t>
      </w:r>
      <w:r w:rsidR="002174E3">
        <w:rPr>
          <w:sz w:val="24"/>
          <w:szCs w:val="24"/>
        </w:rPr>
        <w:t>tpollak</w:t>
      </w:r>
      <w:proofErr w:type="spellEnd"/>
      <w:r w:rsidR="002174E3">
        <w:rPr>
          <w:sz w:val="24"/>
          <w:szCs w:val="24"/>
        </w:rPr>
        <w:t>, 2015).</w:t>
      </w:r>
    </w:p>
    <w:p w14:paraId="17D47DBD" w14:textId="3ABABFEF" w:rsidR="00321B0F" w:rsidRDefault="00A054B2" w:rsidP="00CC43A1">
      <w:pPr>
        <w:rPr>
          <w:sz w:val="24"/>
          <w:szCs w:val="24"/>
        </w:rPr>
      </w:pPr>
      <w:r>
        <w:rPr>
          <w:sz w:val="24"/>
          <w:szCs w:val="24"/>
        </w:rPr>
        <w:t>Th</w:t>
      </w:r>
      <w:r w:rsidR="00184421">
        <w:rPr>
          <w:sz w:val="24"/>
          <w:szCs w:val="24"/>
        </w:rPr>
        <w:t>is</w:t>
      </w:r>
      <w:r>
        <w:rPr>
          <w:sz w:val="24"/>
          <w:szCs w:val="24"/>
        </w:rPr>
        <w:t xml:space="preserve"> built environment</w:t>
      </w:r>
      <w:r w:rsidR="00BC7931">
        <w:rPr>
          <w:sz w:val="24"/>
          <w:szCs w:val="24"/>
        </w:rPr>
        <w:t xml:space="preserve"> </w:t>
      </w:r>
      <w:r w:rsidR="000D041F">
        <w:rPr>
          <w:sz w:val="24"/>
          <w:szCs w:val="24"/>
        </w:rPr>
        <w:t xml:space="preserve">has </w:t>
      </w:r>
      <w:r w:rsidR="00321B0F">
        <w:rPr>
          <w:sz w:val="24"/>
          <w:szCs w:val="24"/>
        </w:rPr>
        <w:t>significant</w:t>
      </w:r>
      <w:r w:rsidR="000D041F">
        <w:rPr>
          <w:sz w:val="24"/>
          <w:szCs w:val="24"/>
        </w:rPr>
        <w:t xml:space="preserve"> implications on community health as it is the </w:t>
      </w:r>
      <w:r w:rsidR="00184421">
        <w:rPr>
          <w:sz w:val="24"/>
          <w:szCs w:val="24"/>
        </w:rPr>
        <w:t>first line of defense agai</w:t>
      </w:r>
      <w:r w:rsidR="000D041F">
        <w:rPr>
          <w:sz w:val="24"/>
          <w:szCs w:val="24"/>
        </w:rPr>
        <w:t>nst the elements</w:t>
      </w:r>
      <w:r w:rsidR="00BC7931">
        <w:rPr>
          <w:sz w:val="24"/>
          <w:szCs w:val="24"/>
        </w:rPr>
        <w:t xml:space="preserve">. </w:t>
      </w:r>
      <w:r w:rsidR="000D041F">
        <w:rPr>
          <w:sz w:val="24"/>
          <w:szCs w:val="24"/>
        </w:rPr>
        <w:t xml:space="preserve">Both public and private infrastructure in an area provide emergency and everyday shelter for severe heat and weather events. </w:t>
      </w:r>
      <w:r w:rsidR="000D041F">
        <w:rPr>
          <w:sz w:val="24"/>
          <w:szCs w:val="24"/>
        </w:rPr>
        <w:t xml:space="preserve">There is also an argument that general disorder and dilapidation in an area impacts overall safety and quality of life </w:t>
      </w:r>
      <w:r w:rsidR="001C2482">
        <w:rPr>
          <w:sz w:val="24"/>
          <w:szCs w:val="24"/>
        </w:rPr>
        <w:t>(</w:t>
      </w:r>
      <w:proofErr w:type="spellStart"/>
      <w:r w:rsidR="001C2482">
        <w:rPr>
          <w:sz w:val="24"/>
          <w:szCs w:val="24"/>
        </w:rPr>
        <w:t>Kelling</w:t>
      </w:r>
      <w:proofErr w:type="spellEnd"/>
      <w:r w:rsidR="001C2482">
        <w:rPr>
          <w:sz w:val="24"/>
          <w:szCs w:val="24"/>
        </w:rPr>
        <w:t>, 1999).</w:t>
      </w:r>
      <w:r w:rsidR="000D041F">
        <w:rPr>
          <w:sz w:val="24"/>
          <w:szCs w:val="24"/>
        </w:rPr>
        <w:t xml:space="preserve"> </w:t>
      </w:r>
    </w:p>
    <w:p w14:paraId="3508A45E" w14:textId="65A9CCAA" w:rsidR="00511B03" w:rsidRDefault="000D041F">
      <w:pPr>
        <w:rPr>
          <w:sz w:val="24"/>
          <w:szCs w:val="24"/>
        </w:rPr>
      </w:pPr>
      <w:r>
        <w:rPr>
          <w:sz w:val="24"/>
          <w:szCs w:val="24"/>
        </w:rPr>
        <w:t xml:space="preserve">Regardless, infrastructure </w:t>
      </w:r>
      <w:r w:rsidR="00321B0F">
        <w:rPr>
          <w:sz w:val="24"/>
          <w:szCs w:val="24"/>
        </w:rPr>
        <w:t xml:space="preserve">resilience is a crucial factor in mitigating the impacts of climate related disasters. In this paper, a Climate Vulnerability Metric based solely on Boston’s </w:t>
      </w:r>
      <w:r w:rsidR="00407BC4">
        <w:rPr>
          <w:sz w:val="24"/>
          <w:szCs w:val="24"/>
        </w:rPr>
        <w:t>b</w:t>
      </w:r>
      <w:r w:rsidR="00321B0F">
        <w:rPr>
          <w:sz w:val="24"/>
          <w:szCs w:val="24"/>
        </w:rPr>
        <w:t xml:space="preserve">uilt </w:t>
      </w:r>
      <w:r w:rsidR="00407BC4">
        <w:rPr>
          <w:sz w:val="24"/>
          <w:szCs w:val="24"/>
        </w:rPr>
        <w:t>e</w:t>
      </w:r>
      <w:r w:rsidR="00321B0F">
        <w:rPr>
          <w:sz w:val="24"/>
          <w:szCs w:val="24"/>
        </w:rPr>
        <w:t xml:space="preserve">nvironment will be created. The metric will be aggregated using both Building Permit data and </w:t>
      </w:r>
      <w:r w:rsidR="00321B0F">
        <w:rPr>
          <w:sz w:val="24"/>
          <w:szCs w:val="24"/>
        </w:rPr>
        <w:lastRenderedPageBreak/>
        <w:t>Property Assessment data to incorporate existing infrastructure and active renovation patterns, creating a nuanced representation</w:t>
      </w:r>
      <w:r w:rsidR="00A87D51">
        <w:rPr>
          <w:sz w:val="24"/>
          <w:szCs w:val="24"/>
        </w:rPr>
        <w:t xml:space="preserve"> to help inform policymakers of climate injustice in the city.</w:t>
      </w:r>
    </w:p>
    <w:p w14:paraId="11E77594" w14:textId="77965DBE" w:rsidR="00CC2794" w:rsidRDefault="00CC2794">
      <w:pPr>
        <w:rPr>
          <w:sz w:val="24"/>
          <w:szCs w:val="24"/>
        </w:rPr>
      </w:pPr>
    </w:p>
    <w:p w14:paraId="5E973DF4" w14:textId="6B30A443" w:rsidR="00CC2794" w:rsidRDefault="00CC2794">
      <w:pPr>
        <w:rPr>
          <w:sz w:val="24"/>
          <w:szCs w:val="24"/>
        </w:rPr>
      </w:pPr>
    </w:p>
    <w:p w14:paraId="441A8A63" w14:textId="493BCF1B" w:rsidR="00CC2794" w:rsidRDefault="00CC2794">
      <w:pPr>
        <w:rPr>
          <w:sz w:val="24"/>
          <w:szCs w:val="24"/>
        </w:rPr>
      </w:pPr>
    </w:p>
    <w:p w14:paraId="1685222B" w14:textId="0C7C798E" w:rsidR="00CC2794" w:rsidRDefault="00CC2794">
      <w:pPr>
        <w:rPr>
          <w:sz w:val="24"/>
          <w:szCs w:val="24"/>
        </w:rPr>
      </w:pPr>
    </w:p>
    <w:p w14:paraId="1E4FFD54" w14:textId="7DB63097" w:rsidR="00CC2794" w:rsidRDefault="00CC2794">
      <w:pPr>
        <w:rPr>
          <w:sz w:val="24"/>
          <w:szCs w:val="24"/>
        </w:rPr>
      </w:pPr>
    </w:p>
    <w:p w14:paraId="51731015" w14:textId="463CDFF4" w:rsidR="00CC2794" w:rsidRDefault="00CC2794">
      <w:pPr>
        <w:rPr>
          <w:sz w:val="24"/>
          <w:szCs w:val="24"/>
        </w:rPr>
      </w:pPr>
    </w:p>
    <w:p w14:paraId="286863D1" w14:textId="47CA0A0A" w:rsidR="00CC2794" w:rsidRDefault="00CC2794">
      <w:pPr>
        <w:rPr>
          <w:sz w:val="24"/>
          <w:szCs w:val="24"/>
        </w:rPr>
      </w:pPr>
    </w:p>
    <w:p w14:paraId="2CEFF58E" w14:textId="0CAC0CD9" w:rsidR="00CC2794" w:rsidRDefault="00CC2794">
      <w:pPr>
        <w:rPr>
          <w:sz w:val="24"/>
          <w:szCs w:val="24"/>
        </w:rPr>
      </w:pPr>
    </w:p>
    <w:p w14:paraId="3F75A684" w14:textId="1F81ECF2" w:rsidR="00CC2794" w:rsidRDefault="00CC2794">
      <w:pPr>
        <w:rPr>
          <w:sz w:val="24"/>
          <w:szCs w:val="24"/>
        </w:rPr>
      </w:pPr>
    </w:p>
    <w:p w14:paraId="566BD555" w14:textId="01E3FA6B" w:rsidR="00CC2794" w:rsidRDefault="00CC2794">
      <w:pPr>
        <w:rPr>
          <w:sz w:val="24"/>
          <w:szCs w:val="24"/>
        </w:rPr>
      </w:pPr>
    </w:p>
    <w:p w14:paraId="220A9ADD" w14:textId="0BE3C86A" w:rsidR="00CC2794" w:rsidRDefault="00CC2794">
      <w:pPr>
        <w:rPr>
          <w:sz w:val="24"/>
          <w:szCs w:val="24"/>
        </w:rPr>
      </w:pPr>
    </w:p>
    <w:p w14:paraId="3C8C307F" w14:textId="692D557F" w:rsidR="00CC2794" w:rsidRDefault="00CC2794">
      <w:pPr>
        <w:rPr>
          <w:sz w:val="24"/>
          <w:szCs w:val="24"/>
        </w:rPr>
      </w:pPr>
    </w:p>
    <w:p w14:paraId="0B35CF6B" w14:textId="2A62ED07" w:rsidR="00CC2794" w:rsidRDefault="00CC2794">
      <w:pPr>
        <w:rPr>
          <w:sz w:val="24"/>
          <w:szCs w:val="24"/>
        </w:rPr>
      </w:pPr>
    </w:p>
    <w:p w14:paraId="302BDF04" w14:textId="1E175C25" w:rsidR="00CC2794" w:rsidRDefault="00CC2794">
      <w:pPr>
        <w:rPr>
          <w:sz w:val="24"/>
          <w:szCs w:val="24"/>
        </w:rPr>
      </w:pPr>
    </w:p>
    <w:p w14:paraId="0136BA0F" w14:textId="2B8C70EC" w:rsidR="00CC2794" w:rsidRDefault="00CC2794">
      <w:pPr>
        <w:rPr>
          <w:sz w:val="24"/>
          <w:szCs w:val="24"/>
        </w:rPr>
      </w:pPr>
    </w:p>
    <w:p w14:paraId="45D4CC4D" w14:textId="0FAE7EA7" w:rsidR="00CC2794" w:rsidRDefault="00CC2794">
      <w:pPr>
        <w:rPr>
          <w:sz w:val="24"/>
          <w:szCs w:val="24"/>
        </w:rPr>
      </w:pPr>
    </w:p>
    <w:p w14:paraId="343D9234" w14:textId="391E9DF2" w:rsidR="00CC2794" w:rsidRDefault="00CC2794">
      <w:pPr>
        <w:rPr>
          <w:sz w:val="24"/>
          <w:szCs w:val="24"/>
        </w:rPr>
      </w:pPr>
    </w:p>
    <w:p w14:paraId="669E2A93" w14:textId="5CD42530" w:rsidR="00CC2794" w:rsidRDefault="00CC2794">
      <w:pPr>
        <w:rPr>
          <w:sz w:val="24"/>
          <w:szCs w:val="24"/>
        </w:rPr>
      </w:pPr>
    </w:p>
    <w:p w14:paraId="51A38FD5" w14:textId="0AD1BFB7" w:rsidR="00CC2794" w:rsidRDefault="00CC2794">
      <w:pPr>
        <w:rPr>
          <w:sz w:val="24"/>
          <w:szCs w:val="24"/>
        </w:rPr>
      </w:pPr>
    </w:p>
    <w:p w14:paraId="2BB48116" w14:textId="46C8E5E9" w:rsidR="00CC2794" w:rsidRDefault="00CC2794">
      <w:pPr>
        <w:rPr>
          <w:sz w:val="24"/>
          <w:szCs w:val="24"/>
        </w:rPr>
      </w:pPr>
    </w:p>
    <w:p w14:paraId="2428E8F9" w14:textId="507E5D51" w:rsidR="00CC2794" w:rsidRDefault="00CC2794">
      <w:pPr>
        <w:rPr>
          <w:sz w:val="24"/>
          <w:szCs w:val="24"/>
        </w:rPr>
      </w:pPr>
    </w:p>
    <w:p w14:paraId="1ACEC37F" w14:textId="092E952A" w:rsidR="00CC2794" w:rsidRDefault="00CC2794">
      <w:pPr>
        <w:rPr>
          <w:sz w:val="24"/>
          <w:szCs w:val="24"/>
        </w:rPr>
      </w:pPr>
    </w:p>
    <w:p w14:paraId="5B1D1E4F" w14:textId="0720A36E" w:rsidR="00CC2794" w:rsidRDefault="00CC2794">
      <w:pPr>
        <w:rPr>
          <w:sz w:val="24"/>
          <w:szCs w:val="24"/>
        </w:rPr>
      </w:pPr>
    </w:p>
    <w:p w14:paraId="0A2A6790" w14:textId="17D3C66C" w:rsidR="00CC2794" w:rsidRDefault="00CC2794">
      <w:pPr>
        <w:rPr>
          <w:sz w:val="24"/>
          <w:szCs w:val="24"/>
        </w:rPr>
      </w:pPr>
    </w:p>
    <w:p w14:paraId="326FDF2C" w14:textId="77777777" w:rsidR="00CC2794" w:rsidRDefault="00CC2794">
      <w:pPr>
        <w:rPr>
          <w:sz w:val="24"/>
          <w:szCs w:val="24"/>
        </w:rPr>
      </w:pPr>
    </w:p>
    <w:p w14:paraId="5FFB4FDA" w14:textId="49BA4041" w:rsidR="00511B03" w:rsidRPr="00511B03" w:rsidRDefault="00511B03" w:rsidP="00511B03">
      <w:pPr>
        <w:jc w:val="center"/>
        <w:rPr>
          <w:b/>
          <w:bCs/>
          <w:sz w:val="28"/>
          <w:szCs w:val="28"/>
        </w:rPr>
      </w:pPr>
      <w:r>
        <w:rPr>
          <w:b/>
          <w:bCs/>
          <w:sz w:val="28"/>
          <w:szCs w:val="28"/>
        </w:rPr>
        <w:lastRenderedPageBreak/>
        <w:t>Data &amp; Methods</w:t>
      </w:r>
    </w:p>
    <w:p w14:paraId="4FF43420" w14:textId="6F51F373" w:rsidR="003843E2" w:rsidRDefault="003843E2" w:rsidP="00CC43A1">
      <w:pPr>
        <w:rPr>
          <w:i/>
          <w:iCs/>
          <w:sz w:val="24"/>
          <w:szCs w:val="24"/>
        </w:rPr>
      </w:pPr>
      <w:r>
        <w:rPr>
          <w:i/>
          <w:iCs/>
          <w:sz w:val="24"/>
          <w:szCs w:val="24"/>
        </w:rPr>
        <w:t>Data: Building Permits</w:t>
      </w:r>
    </w:p>
    <w:p w14:paraId="35F57A84" w14:textId="770023E2" w:rsidR="003843E2" w:rsidRDefault="00536368" w:rsidP="00CC43A1">
      <w:pPr>
        <w:rPr>
          <w:sz w:val="24"/>
          <w:szCs w:val="24"/>
        </w:rPr>
      </w:pPr>
      <w:r>
        <w:rPr>
          <w:sz w:val="24"/>
          <w:szCs w:val="24"/>
        </w:rPr>
        <w:t xml:space="preserve">The Building Permits Dataset is an aggregate of 480,000+ Permit Requests </w:t>
      </w:r>
      <w:r w:rsidR="009134CA">
        <w:rPr>
          <w:sz w:val="24"/>
          <w:szCs w:val="24"/>
        </w:rPr>
        <w:t>collected</w:t>
      </w:r>
      <w:r>
        <w:rPr>
          <w:sz w:val="24"/>
          <w:szCs w:val="24"/>
        </w:rPr>
        <w:t xml:space="preserve"> over the last 15 years. Sourced from </w:t>
      </w:r>
      <w:r w:rsidR="00AA0782">
        <w:rPr>
          <w:sz w:val="24"/>
          <w:szCs w:val="24"/>
        </w:rPr>
        <w:t xml:space="preserve">BARI via the Harvard </w:t>
      </w:r>
      <w:proofErr w:type="spellStart"/>
      <w:r w:rsidR="00AA0782">
        <w:rPr>
          <w:sz w:val="24"/>
          <w:szCs w:val="24"/>
        </w:rPr>
        <w:t>Data</w:t>
      </w:r>
      <w:r w:rsidR="003906F4">
        <w:rPr>
          <w:sz w:val="24"/>
          <w:szCs w:val="24"/>
        </w:rPr>
        <w:t>v</w:t>
      </w:r>
      <w:r w:rsidR="00AA0782">
        <w:rPr>
          <w:sz w:val="24"/>
          <w:szCs w:val="24"/>
        </w:rPr>
        <w:t>erse</w:t>
      </w:r>
      <w:proofErr w:type="spellEnd"/>
      <w:r w:rsidR="00AA0782">
        <w:rPr>
          <w:sz w:val="24"/>
          <w:szCs w:val="24"/>
        </w:rPr>
        <w:t>,</w:t>
      </w:r>
      <w:r>
        <w:rPr>
          <w:sz w:val="24"/>
          <w:szCs w:val="24"/>
        </w:rPr>
        <w:t xml:space="preserve"> </w:t>
      </w:r>
      <w:r w:rsidR="00C00128">
        <w:rPr>
          <w:sz w:val="24"/>
          <w:szCs w:val="24"/>
        </w:rPr>
        <w:t xml:space="preserve">the data contains information on the applicant, construction type and estimated valuation. The data is marked geographically by Parcel, Block and Census IDs. The rest of the data is mostly text-based, with the estimated valuation </w:t>
      </w:r>
      <w:r w:rsidR="00F93E28">
        <w:rPr>
          <w:sz w:val="24"/>
          <w:szCs w:val="24"/>
        </w:rPr>
        <w:t xml:space="preserve">and the permit fee </w:t>
      </w:r>
      <w:r w:rsidR="00C00128">
        <w:rPr>
          <w:sz w:val="24"/>
          <w:szCs w:val="24"/>
        </w:rPr>
        <w:t xml:space="preserve">being the </w:t>
      </w:r>
      <w:r w:rsidR="00F93E28">
        <w:rPr>
          <w:sz w:val="24"/>
          <w:szCs w:val="24"/>
        </w:rPr>
        <w:t>only</w:t>
      </w:r>
      <w:r w:rsidR="00C00128">
        <w:rPr>
          <w:sz w:val="24"/>
          <w:szCs w:val="24"/>
        </w:rPr>
        <w:t xml:space="preserve"> quantitative value</w:t>
      </w:r>
      <w:r w:rsidR="00F93E28">
        <w:rPr>
          <w:sz w:val="24"/>
          <w:szCs w:val="24"/>
        </w:rPr>
        <w:t>s</w:t>
      </w:r>
      <w:r w:rsidR="00C00128">
        <w:rPr>
          <w:sz w:val="24"/>
          <w:szCs w:val="24"/>
        </w:rPr>
        <w:t xml:space="preserve"> included. As such, a significant amount of </w:t>
      </w:r>
      <w:r w:rsidR="00F93E28">
        <w:rPr>
          <w:sz w:val="24"/>
          <w:szCs w:val="24"/>
        </w:rPr>
        <w:t>pre</w:t>
      </w:r>
      <w:r w:rsidR="00C00128">
        <w:rPr>
          <w:sz w:val="24"/>
          <w:szCs w:val="24"/>
        </w:rPr>
        <w:t xml:space="preserve">processing is required </w:t>
      </w:r>
      <w:r w:rsidR="00F93E28">
        <w:rPr>
          <w:sz w:val="24"/>
          <w:szCs w:val="24"/>
        </w:rPr>
        <w:t>for any numerical analysis.</w:t>
      </w:r>
    </w:p>
    <w:p w14:paraId="4C6CAF74" w14:textId="3BA7286D" w:rsidR="00D114FF" w:rsidRPr="00536368" w:rsidRDefault="00D114FF" w:rsidP="00CC43A1">
      <w:pPr>
        <w:rPr>
          <w:sz w:val="24"/>
          <w:szCs w:val="24"/>
        </w:rPr>
      </w:pPr>
      <w:r>
        <w:rPr>
          <w:sz w:val="24"/>
          <w:szCs w:val="24"/>
        </w:rPr>
        <w:t>To simplify the creation of the Vulnerability Metric, the Building Permit data is trimmed to only include records marked as a “Renovation”. The other three types (New Construction, Addition and Demolition) all have differ</w:t>
      </w:r>
      <w:r w:rsidR="009134CA">
        <w:rPr>
          <w:sz w:val="24"/>
          <w:szCs w:val="24"/>
        </w:rPr>
        <w:t>ent</w:t>
      </w:r>
      <w:r>
        <w:rPr>
          <w:sz w:val="24"/>
          <w:szCs w:val="24"/>
        </w:rPr>
        <w:t xml:space="preserve"> scopes and implications which add unnecessary variance. This action does not sacrifice sample size as most Permits are marked as Renovation; the resulting subset still has 400,000+ records.</w:t>
      </w:r>
    </w:p>
    <w:p w14:paraId="6881B50B" w14:textId="67D33F78" w:rsidR="003843E2" w:rsidRDefault="003843E2" w:rsidP="00CC43A1">
      <w:pPr>
        <w:rPr>
          <w:i/>
          <w:iCs/>
          <w:sz w:val="24"/>
          <w:szCs w:val="24"/>
        </w:rPr>
      </w:pPr>
      <w:r>
        <w:rPr>
          <w:i/>
          <w:iCs/>
          <w:sz w:val="24"/>
          <w:szCs w:val="24"/>
        </w:rPr>
        <w:t>Data:</w:t>
      </w:r>
      <w:r w:rsidR="00F93E28">
        <w:rPr>
          <w:i/>
          <w:iCs/>
          <w:sz w:val="24"/>
          <w:szCs w:val="24"/>
        </w:rPr>
        <w:t xml:space="preserve"> Property</w:t>
      </w:r>
      <w:r>
        <w:rPr>
          <w:i/>
          <w:iCs/>
          <w:sz w:val="24"/>
          <w:szCs w:val="24"/>
        </w:rPr>
        <w:t xml:space="preserve"> Assessment Data</w:t>
      </w:r>
    </w:p>
    <w:p w14:paraId="00695241" w14:textId="12A749E2" w:rsidR="00BA13AF" w:rsidRDefault="00F93E28" w:rsidP="00CC43A1">
      <w:pPr>
        <w:rPr>
          <w:sz w:val="24"/>
          <w:szCs w:val="24"/>
        </w:rPr>
      </w:pPr>
      <w:r>
        <w:rPr>
          <w:sz w:val="24"/>
          <w:szCs w:val="24"/>
        </w:rPr>
        <w:t>The Property Assessment is a wide</w:t>
      </w:r>
      <w:r w:rsidR="00BA13AF">
        <w:rPr>
          <w:sz w:val="24"/>
          <w:szCs w:val="24"/>
        </w:rPr>
        <w:t>-</w:t>
      </w:r>
      <w:r>
        <w:rPr>
          <w:sz w:val="24"/>
          <w:szCs w:val="24"/>
        </w:rPr>
        <w:t xml:space="preserve">ranging description of 175,000 properties across the city of Boston last updated in 2019. </w:t>
      </w:r>
      <w:proofErr w:type="gramStart"/>
      <w:r w:rsidR="00AA0782">
        <w:rPr>
          <w:sz w:val="24"/>
          <w:szCs w:val="24"/>
        </w:rPr>
        <w:t>Also</w:t>
      </w:r>
      <w:proofErr w:type="gramEnd"/>
      <w:r w:rsidR="00AA0782">
        <w:rPr>
          <w:sz w:val="24"/>
          <w:szCs w:val="24"/>
        </w:rPr>
        <w:t xml:space="preserve"> from BARI via the Harvard </w:t>
      </w:r>
      <w:proofErr w:type="spellStart"/>
      <w:r w:rsidR="00AA0782">
        <w:rPr>
          <w:sz w:val="24"/>
          <w:szCs w:val="24"/>
        </w:rPr>
        <w:t>Data</w:t>
      </w:r>
      <w:r w:rsidR="003906F4">
        <w:rPr>
          <w:sz w:val="24"/>
          <w:szCs w:val="24"/>
        </w:rPr>
        <w:t>v</w:t>
      </w:r>
      <w:r w:rsidR="00AA0782">
        <w:rPr>
          <w:sz w:val="24"/>
          <w:szCs w:val="24"/>
        </w:rPr>
        <w:t>erse</w:t>
      </w:r>
      <w:proofErr w:type="spellEnd"/>
      <w:r w:rsidR="00AA0782">
        <w:rPr>
          <w:sz w:val="24"/>
          <w:szCs w:val="24"/>
        </w:rPr>
        <w:t xml:space="preserve">. </w:t>
      </w:r>
      <w:r>
        <w:rPr>
          <w:sz w:val="24"/>
          <w:szCs w:val="24"/>
        </w:rPr>
        <w:t>the data contains</w:t>
      </w:r>
      <w:r w:rsidR="00BA13AF">
        <w:rPr>
          <w:sz w:val="24"/>
          <w:szCs w:val="24"/>
        </w:rPr>
        <w:t xml:space="preserve"> many property details such as Living Area, building age and Air Conditioning type. The data is marked geographically by Parcel, Block and Census IDs. As such, it </w:t>
      </w:r>
      <w:r w:rsidR="009134CA">
        <w:rPr>
          <w:sz w:val="24"/>
          <w:szCs w:val="24"/>
        </w:rPr>
        <w:t>can</w:t>
      </w:r>
      <w:r w:rsidR="00BA13AF">
        <w:rPr>
          <w:sz w:val="24"/>
          <w:szCs w:val="24"/>
        </w:rPr>
        <w:t xml:space="preserve"> be easily matched with the Building Permit Data</w:t>
      </w:r>
      <w:r w:rsidR="009134CA">
        <w:rPr>
          <w:sz w:val="24"/>
          <w:szCs w:val="24"/>
        </w:rPr>
        <w:t>, r</w:t>
      </w:r>
      <w:r w:rsidR="009134CA">
        <w:rPr>
          <w:sz w:val="24"/>
          <w:szCs w:val="24"/>
        </w:rPr>
        <w:t xml:space="preserve">esulting in </w:t>
      </w:r>
      <w:r w:rsidR="009134CA" w:rsidRPr="000140B7">
        <w:rPr>
          <w:b/>
          <w:bCs/>
          <w:sz w:val="24"/>
          <w:szCs w:val="24"/>
        </w:rPr>
        <w:t>150,100 total records</w:t>
      </w:r>
      <w:r w:rsidR="009134CA">
        <w:rPr>
          <w:sz w:val="24"/>
          <w:szCs w:val="24"/>
        </w:rPr>
        <w:t xml:space="preserve"> of combined </w:t>
      </w:r>
      <w:r w:rsidR="009134CA">
        <w:rPr>
          <w:sz w:val="24"/>
          <w:szCs w:val="24"/>
        </w:rPr>
        <w:t>data. To satisfy the tradeoff between sample size and noise</w:t>
      </w:r>
      <w:r w:rsidR="00BA13AF">
        <w:rPr>
          <w:sz w:val="24"/>
          <w:szCs w:val="24"/>
        </w:rPr>
        <w:t xml:space="preserve">, the data is aggregated at the Census Tract level </w:t>
      </w:r>
      <w:r w:rsidR="009134CA">
        <w:rPr>
          <w:sz w:val="24"/>
          <w:szCs w:val="24"/>
        </w:rPr>
        <w:t>(n=179)</w:t>
      </w:r>
      <w:r w:rsidR="00BA13AF">
        <w:rPr>
          <w:sz w:val="24"/>
          <w:szCs w:val="24"/>
        </w:rPr>
        <w:t>.</w:t>
      </w:r>
    </w:p>
    <w:p w14:paraId="45F3A229" w14:textId="6D7DDD87" w:rsidR="00536368" w:rsidRDefault="00BA13AF" w:rsidP="00CC43A1">
      <w:pPr>
        <w:rPr>
          <w:i/>
          <w:iCs/>
          <w:sz w:val="24"/>
          <w:szCs w:val="24"/>
        </w:rPr>
      </w:pPr>
      <w:r>
        <w:rPr>
          <w:i/>
          <w:iCs/>
          <w:sz w:val="24"/>
          <w:szCs w:val="24"/>
        </w:rPr>
        <w:t xml:space="preserve">Supporting Data: </w:t>
      </w:r>
      <w:r w:rsidR="00536368" w:rsidRPr="00BA13AF">
        <w:rPr>
          <w:i/>
          <w:iCs/>
          <w:sz w:val="24"/>
          <w:szCs w:val="24"/>
        </w:rPr>
        <w:t>Climate Ready</w:t>
      </w:r>
      <w:r w:rsidR="001A39AC">
        <w:rPr>
          <w:i/>
          <w:iCs/>
          <w:sz w:val="24"/>
          <w:szCs w:val="24"/>
        </w:rPr>
        <w:t xml:space="preserve"> Boston</w:t>
      </w:r>
      <w:r w:rsidR="00536368" w:rsidRPr="00BA13AF">
        <w:rPr>
          <w:i/>
          <w:iCs/>
          <w:sz w:val="24"/>
          <w:szCs w:val="24"/>
        </w:rPr>
        <w:t xml:space="preserve"> Social Vulnerability</w:t>
      </w:r>
    </w:p>
    <w:p w14:paraId="19A41FB4" w14:textId="21DE49A8" w:rsidR="00684C93" w:rsidRPr="00BA13AF" w:rsidRDefault="00BA13AF" w:rsidP="001A39AC">
      <w:pPr>
        <w:spacing w:before="240"/>
        <w:rPr>
          <w:sz w:val="24"/>
          <w:szCs w:val="24"/>
        </w:rPr>
      </w:pPr>
      <w:r>
        <w:rPr>
          <w:sz w:val="24"/>
          <w:szCs w:val="24"/>
        </w:rPr>
        <w:t xml:space="preserve">The Climate Ready </w:t>
      </w:r>
      <w:r w:rsidR="001A39AC">
        <w:rPr>
          <w:sz w:val="24"/>
          <w:szCs w:val="24"/>
        </w:rPr>
        <w:t xml:space="preserve">Boston </w:t>
      </w:r>
      <w:r>
        <w:rPr>
          <w:sz w:val="24"/>
          <w:szCs w:val="24"/>
        </w:rPr>
        <w:t>Social Vulnerability data</w:t>
      </w:r>
      <w:r w:rsidR="001A39AC">
        <w:rPr>
          <w:sz w:val="24"/>
          <w:szCs w:val="24"/>
        </w:rPr>
        <w:t xml:space="preserve"> (</w:t>
      </w:r>
      <w:r w:rsidR="007054B5">
        <w:rPr>
          <w:sz w:val="24"/>
          <w:szCs w:val="24"/>
        </w:rPr>
        <w:t>Boston Maps, 2017)</w:t>
      </w:r>
      <w:r w:rsidR="001A39AC">
        <w:rPr>
          <w:sz w:val="24"/>
          <w:szCs w:val="24"/>
        </w:rPr>
        <w:t xml:space="preserve"> is </w:t>
      </w:r>
      <w:r>
        <w:rPr>
          <w:sz w:val="24"/>
          <w:szCs w:val="24"/>
        </w:rPr>
        <w:t xml:space="preserve">an index of 7 </w:t>
      </w:r>
      <w:r w:rsidR="001A39AC">
        <w:rPr>
          <w:sz w:val="24"/>
          <w:szCs w:val="24"/>
        </w:rPr>
        <w:t>social metrics known to impact community resilience</w:t>
      </w:r>
      <w:r>
        <w:rPr>
          <w:sz w:val="24"/>
          <w:szCs w:val="24"/>
        </w:rPr>
        <w:t>.</w:t>
      </w:r>
      <w:r w:rsidR="001A39AC">
        <w:rPr>
          <w:sz w:val="24"/>
          <w:szCs w:val="24"/>
        </w:rPr>
        <w:t xml:space="preserve"> These </w:t>
      </w:r>
      <w:r w:rsidR="00A87D51">
        <w:rPr>
          <w:sz w:val="24"/>
          <w:szCs w:val="24"/>
        </w:rPr>
        <w:t>include</w:t>
      </w:r>
      <w:r w:rsidR="001A39AC">
        <w:rPr>
          <w:sz w:val="24"/>
          <w:szCs w:val="24"/>
        </w:rPr>
        <w:t xml:space="preserve"> Older Adults, Children, People of Color, Limited English Proficiency (LEP), Low to No Income, People with Disabilities and Medical Illness.</w:t>
      </w:r>
      <w:r>
        <w:rPr>
          <w:sz w:val="24"/>
          <w:szCs w:val="24"/>
        </w:rPr>
        <w:t xml:space="preserve"> Th</w:t>
      </w:r>
      <w:r w:rsidR="001A39AC">
        <w:rPr>
          <w:sz w:val="24"/>
          <w:szCs w:val="24"/>
        </w:rPr>
        <w:t>e</w:t>
      </w:r>
      <w:r>
        <w:rPr>
          <w:sz w:val="24"/>
          <w:szCs w:val="24"/>
        </w:rPr>
        <w:t xml:space="preserve"> </w:t>
      </w:r>
      <w:r w:rsidR="001A39AC">
        <w:rPr>
          <w:sz w:val="24"/>
          <w:szCs w:val="24"/>
        </w:rPr>
        <w:t>data</w:t>
      </w:r>
      <w:r>
        <w:rPr>
          <w:sz w:val="24"/>
          <w:szCs w:val="24"/>
        </w:rPr>
        <w:t xml:space="preserve"> is aggregated on the Census Tract Level and is available as a </w:t>
      </w:r>
      <w:r w:rsidR="001A39AC">
        <w:rPr>
          <w:sz w:val="24"/>
          <w:szCs w:val="24"/>
        </w:rPr>
        <w:t>Shapefile</w:t>
      </w:r>
      <w:r>
        <w:rPr>
          <w:sz w:val="24"/>
          <w:szCs w:val="24"/>
        </w:rPr>
        <w:t>. Th</w:t>
      </w:r>
      <w:r w:rsidR="001A39AC">
        <w:rPr>
          <w:sz w:val="24"/>
          <w:szCs w:val="24"/>
        </w:rPr>
        <w:t>is information will be</w:t>
      </w:r>
      <w:r>
        <w:rPr>
          <w:sz w:val="24"/>
          <w:szCs w:val="24"/>
        </w:rPr>
        <w:t xml:space="preserve"> used to compare the calculated vulnerability metric with other social factors present in the City of Boston. </w:t>
      </w:r>
    </w:p>
    <w:p w14:paraId="1E7DED0A" w14:textId="41843C8C" w:rsidR="00511B03" w:rsidRPr="00BA13AF" w:rsidRDefault="00BA13AF">
      <w:pPr>
        <w:rPr>
          <w:i/>
          <w:iCs/>
          <w:sz w:val="24"/>
          <w:szCs w:val="24"/>
        </w:rPr>
      </w:pPr>
      <w:r>
        <w:rPr>
          <w:i/>
          <w:iCs/>
          <w:sz w:val="24"/>
          <w:szCs w:val="24"/>
        </w:rPr>
        <w:t xml:space="preserve">Supporting Data: </w:t>
      </w:r>
      <w:r w:rsidR="00536368" w:rsidRPr="00BA13AF">
        <w:rPr>
          <w:i/>
          <w:iCs/>
          <w:sz w:val="24"/>
          <w:szCs w:val="24"/>
        </w:rPr>
        <w:t>US Disaster Fatality Data</w:t>
      </w:r>
    </w:p>
    <w:p w14:paraId="27742A14" w14:textId="3DB555F0" w:rsidR="00684C93" w:rsidRDefault="001A39AC">
      <w:pPr>
        <w:rPr>
          <w:sz w:val="24"/>
          <w:szCs w:val="24"/>
        </w:rPr>
      </w:pPr>
      <w:r>
        <w:rPr>
          <w:sz w:val="24"/>
          <w:szCs w:val="24"/>
        </w:rPr>
        <w:t>The United States Disaster Fatality Data is used in creating weights for the Vulnerability Metric. The data is a cumulative table and is shown</w:t>
      </w:r>
      <w:r w:rsidR="00684C93">
        <w:rPr>
          <w:sz w:val="24"/>
          <w:szCs w:val="24"/>
        </w:rPr>
        <w:t xml:space="preserve"> </w:t>
      </w:r>
      <w:r>
        <w:rPr>
          <w:sz w:val="24"/>
          <w:szCs w:val="24"/>
        </w:rPr>
        <w:t xml:space="preserve">in detail in the </w:t>
      </w:r>
      <w:r>
        <w:rPr>
          <w:b/>
          <w:bCs/>
          <w:sz w:val="24"/>
          <w:szCs w:val="24"/>
        </w:rPr>
        <w:t>Methodology Appendix</w:t>
      </w:r>
      <w:r w:rsidR="000800A3">
        <w:rPr>
          <w:b/>
          <w:bCs/>
          <w:sz w:val="24"/>
          <w:szCs w:val="24"/>
        </w:rPr>
        <w:t xml:space="preserve"> 3</w:t>
      </w:r>
      <w:r>
        <w:rPr>
          <w:sz w:val="24"/>
          <w:szCs w:val="24"/>
        </w:rPr>
        <w:t xml:space="preserve">. </w:t>
      </w:r>
    </w:p>
    <w:p w14:paraId="171C9405" w14:textId="08D16ED5" w:rsidR="00684C93" w:rsidRDefault="00684C93">
      <w:pPr>
        <w:rPr>
          <w:sz w:val="24"/>
          <w:szCs w:val="24"/>
        </w:rPr>
      </w:pPr>
    </w:p>
    <w:p w14:paraId="65959EAB" w14:textId="37F4F64A" w:rsidR="00CC2794" w:rsidRDefault="00CC2794">
      <w:pPr>
        <w:rPr>
          <w:sz w:val="24"/>
          <w:szCs w:val="24"/>
        </w:rPr>
      </w:pPr>
    </w:p>
    <w:p w14:paraId="4B994B80" w14:textId="77777777" w:rsidR="00CC2794" w:rsidRPr="001A39AC" w:rsidRDefault="00CC2794">
      <w:pPr>
        <w:rPr>
          <w:sz w:val="24"/>
          <w:szCs w:val="24"/>
        </w:rPr>
      </w:pPr>
    </w:p>
    <w:p w14:paraId="5900BAE8" w14:textId="7B1FDAC9" w:rsidR="00536368" w:rsidRDefault="00536368">
      <w:pPr>
        <w:rPr>
          <w:i/>
          <w:iCs/>
          <w:sz w:val="24"/>
          <w:szCs w:val="24"/>
        </w:rPr>
      </w:pPr>
      <w:r>
        <w:rPr>
          <w:i/>
          <w:iCs/>
          <w:sz w:val="24"/>
          <w:szCs w:val="24"/>
        </w:rPr>
        <w:lastRenderedPageBreak/>
        <w:t>Metric Creation: Theory &amp; Components</w:t>
      </w:r>
    </w:p>
    <w:p w14:paraId="38E025A4" w14:textId="2E40746C" w:rsidR="00BD5D58" w:rsidRDefault="001A39AC" w:rsidP="00BD5D58">
      <w:pPr>
        <w:rPr>
          <w:sz w:val="24"/>
          <w:szCs w:val="24"/>
        </w:rPr>
      </w:pPr>
      <w:r>
        <w:rPr>
          <w:sz w:val="24"/>
          <w:szCs w:val="24"/>
        </w:rPr>
        <w:t xml:space="preserve">The first step in creating the Climate Vulnerability Metric was to identify </w:t>
      </w:r>
      <w:r w:rsidR="00BD5D58">
        <w:rPr>
          <w:sz w:val="24"/>
          <w:szCs w:val="24"/>
        </w:rPr>
        <w:t xml:space="preserve">characteristics of vulnerable infrastructure. The original list of potential factors is displayed in the </w:t>
      </w:r>
      <w:r w:rsidR="00BD5D58">
        <w:rPr>
          <w:b/>
          <w:bCs/>
          <w:sz w:val="24"/>
          <w:szCs w:val="24"/>
        </w:rPr>
        <w:t>Methodology Appendix</w:t>
      </w:r>
      <w:r w:rsidR="000800A3">
        <w:rPr>
          <w:b/>
          <w:bCs/>
          <w:sz w:val="24"/>
          <w:szCs w:val="24"/>
        </w:rPr>
        <w:t xml:space="preserve"> 1</w:t>
      </w:r>
      <w:r w:rsidR="00BD5D58">
        <w:rPr>
          <w:sz w:val="24"/>
          <w:szCs w:val="24"/>
        </w:rPr>
        <w:t>. The 4 factors that were pursued in the final project are as follows:</w:t>
      </w:r>
    </w:p>
    <w:p w14:paraId="60F54E82" w14:textId="6F300403" w:rsidR="00BD5D58" w:rsidRDefault="00BD5D58" w:rsidP="00BD5D58">
      <w:pPr>
        <w:pStyle w:val="ListParagraph"/>
        <w:numPr>
          <w:ilvl w:val="0"/>
          <w:numId w:val="3"/>
        </w:numPr>
        <w:rPr>
          <w:sz w:val="24"/>
          <w:szCs w:val="24"/>
        </w:rPr>
      </w:pPr>
      <w:r>
        <w:rPr>
          <w:sz w:val="24"/>
          <w:szCs w:val="24"/>
        </w:rPr>
        <w:t>Value of New Investments in the Property</w:t>
      </w:r>
    </w:p>
    <w:p w14:paraId="47CBE281" w14:textId="2016E86B" w:rsidR="00BD5D58" w:rsidRDefault="00BD5D58" w:rsidP="00BD5D58">
      <w:pPr>
        <w:pStyle w:val="ListParagraph"/>
        <w:numPr>
          <w:ilvl w:val="0"/>
          <w:numId w:val="3"/>
        </w:numPr>
        <w:rPr>
          <w:sz w:val="24"/>
          <w:szCs w:val="24"/>
        </w:rPr>
      </w:pPr>
      <w:r>
        <w:rPr>
          <w:sz w:val="24"/>
          <w:szCs w:val="24"/>
        </w:rPr>
        <w:t>Presence of Air Conditioning</w:t>
      </w:r>
    </w:p>
    <w:p w14:paraId="29DF1821" w14:textId="6ED01663" w:rsidR="00BD5D58" w:rsidRDefault="00BD5D58" w:rsidP="00BD5D58">
      <w:pPr>
        <w:pStyle w:val="ListParagraph"/>
        <w:numPr>
          <w:ilvl w:val="0"/>
          <w:numId w:val="3"/>
        </w:numPr>
        <w:rPr>
          <w:sz w:val="24"/>
          <w:szCs w:val="24"/>
        </w:rPr>
      </w:pPr>
      <w:r>
        <w:rPr>
          <w:sz w:val="24"/>
          <w:szCs w:val="24"/>
        </w:rPr>
        <w:t xml:space="preserve">Age of Property </w:t>
      </w:r>
    </w:p>
    <w:p w14:paraId="6B74267D" w14:textId="36918A41" w:rsidR="00BD5D58" w:rsidRPr="00684C93" w:rsidRDefault="00CF7DDE" w:rsidP="00684C93">
      <w:pPr>
        <w:pStyle w:val="ListParagraph"/>
        <w:numPr>
          <w:ilvl w:val="0"/>
          <w:numId w:val="3"/>
        </w:numPr>
        <w:rPr>
          <w:sz w:val="24"/>
          <w:szCs w:val="24"/>
        </w:rPr>
      </w:pPr>
      <w:r>
        <w:rPr>
          <w:sz w:val="24"/>
          <w:szCs w:val="24"/>
        </w:rPr>
        <w:t xml:space="preserve">Owner Attention </w:t>
      </w:r>
      <w:r w:rsidRPr="00CF7DDE">
        <w:rPr>
          <w:sz w:val="24"/>
          <w:szCs w:val="24"/>
        </w:rPr>
        <w:sym w:font="Wingdings" w:char="F0E0"/>
      </w:r>
      <w:r>
        <w:rPr>
          <w:sz w:val="24"/>
          <w:szCs w:val="24"/>
        </w:rPr>
        <w:t xml:space="preserve"> </w:t>
      </w:r>
      <w:r w:rsidR="00D114FF">
        <w:rPr>
          <w:sz w:val="24"/>
          <w:szCs w:val="24"/>
        </w:rPr>
        <w:t>Frequency of Upkeep</w:t>
      </w:r>
      <w:r>
        <w:rPr>
          <w:sz w:val="24"/>
          <w:szCs w:val="24"/>
        </w:rPr>
        <w:t xml:space="preserve"> / Repairs</w:t>
      </w:r>
    </w:p>
    <w:p w14:paraId="207FA24F" w14:textId="135B59E9" w:rsidR="00BD5D58" w:rsidRDefault="00D114FF">
      <w:pPr>
        <w:rPr>
          <w:sz w:val="24"/>
          <w:szCs w:val="24"/>
        </w:rPr>
      </w:pPr>
      <w:r>
        <w:rPr>
          <w:sz w:val="24"/>
          <w:szCs w:val="24"/>
        </w:rPr>
        <w:t xml:space="preserve">The first </w:t>
      </w:r>
      <w:r w:rsidR="00883A5E">
        <w:rPr>
          <w:sz w:val="24"/>
          <w:szCs w:val="24"/>
        </w:rPr>
        <w:t xml:space="preserve">factor can be found directly in the </w:t>
      </w:r>
      <w:proofErr w:type="spellStart"/>
      <w:r w:rsidR="00883A5E" w:rsidRPr="00883A5E">
        <w:rPr>
          <w:b/>
          <w:bCs/>
          <w:sz w:val="24"/>
          <w:szCs w:val="24"/>
        </w:rPr>
        <w:t>declared_valuation</w:t>
      </w:r>
      <w:proofErr w:type="spellEnd"/>
      <w:r w:rsidR="00883A5E">
        <w:rPr>
          <w:sz w:val="24"/>
          <w:szCs w:val="24"/>
        </w:rPr>
        <w:t xml:space="preserve"> variable in the Permit dataset. This records the monetary estimation of the value added by the project according to the applicant. While this value is subjective and has some empty values, that uncertainty is accounted for </w:t>
      </w:r>
      <w:r w:rsidR="00CC7435">
        <w:rPr>
          <w:sz w:val="24"/>
          <w:szCs w:val="24"/>
        </w:rPr>
        <w:t>when adding weights to the components</w:t>
      </w:r>
      <w:r w:rsidR="00883A5E">
        <w:rPr>
          <w:sz w:val="24"/>
          <w:szCs w:val="24"/>
        </w:rPr>
        <w:t>.</w:t>
      </w:r>
      <w:r w:rsidR="00B81028">
        <w:rPr>
          <w:sz w:val="24"/>
          <w:szCs w:val="24"/>
        </w:rPr>
        <w:t xml:space="preserve"> For ease of development, it is renamed </w:t>
      </w:r>
      <w:r w:rsidR="00B81028" w:rsidRPr="00B81028">
        <w:rPr>
          <w:b/>
          <w:bCs/>
          <w:sz w:val="24"/>
          <w:szCs w:val="24"/>
        </w:rPr>
        <w:t>val</w:t>
      </w:r>
      <w:r w:rsidR="00B81028">
        <w:rPr>
          <w:sz w:val="24"/>
          <w:szCs w:val="24"/>
        </w:rPr>
        <w:t>.</w:t>
      </w:r>
    </w:p>
    <w:p w14:paraId="70BA2C2C" w14:textId="7AF64240" w:rsidR="00883A5E" w:rsidRDefault="00883A5E">
      <w:pPr>
        <w:rPr>
          <w:sz w:val="24"/>
          <w:szCs w:val="24"/>
        </w:rPr>
      </w:pPr>
      <w:r>
        <w:rPr>
          <w:sz w:val="24"/>
          <w:szCs w:val="24"/>
        </w:rPr>
        <w:t>The second factor</w:t>
      </w:r>
      <w:r w:rsidR="00CF7DDE">
        <w:rPr>
          <w:sz w:val="24"/>
          <w:szCs w:val="24"/>
        </w:rPr>
        <w:t xml:space="preserve"> can be</w:t>
      </w:r>
      <w:r>
        <w:rPr>
          <w:sz w:val="24"/>
          <w:szCs w:val="24"/>
        </w:rPr>
        <w:t xml:space="preserve"> found directly in the </w:t>
      </w:r>
      <w:r>
        <w:rPr>
          <w:b/>
          <w:bCs/>
          <w:sz w:val="24"/>
          <w:szCs w:val="24"/>
        </w:rPr>
        <w:t xml:space="preserve">R_AC </w:t>
      </w:r>
      <w:r>
        <w:rPr>
          <w:sz w:val="24"/>
          <w:szCs w:val="24"/>
        </w:rPr>
        <w:t>variable</w:t>
      </w:r>
      <w:r>
        <w:rPr>
          <w:b/>
          <w:bCs/>
          <w:sz w:val="24"/>
          <w:szCs w:val="24"/>
        </w:rPr>
        <w:t xml:space="preserve"> </w:t>
      </w:r>
      <w:r>
        <w:rPr>
          <w:sz w:val="24"/>
          <w:szCs w:val="24"/>
        </w:rPr>
        <w:t>in the Assessments data. This describes the type of Air Conditioning in the property as one of four categories: ‘</w:t>
      </w:r>
      <w:proofErr w:type="spellStart"/>
      <w:r>
        <w:rPr>
          <w:sz w:val="24"/>
          <w:szCs w:val="24"/>
        </w:rPr>
        <w:t>central_ac</w:t>
      </w:r>
      <w:proofErr w:type="spellEnd"/>
      <w:r w:rsidR="009134CA">
        <w:rPr>
          <w:sz w:val="24"/>
          <w:szCs w:val="24"/>
        </w:rPr>
        <w:t>’</w:t>
      </w:r>
      <w:r>
        <w:rPr>
          <w:sz w:val="24"/>
          <w:szCs w:val="24"/>
        </w:rPr>
        <w:t>, ‘</w:t>
      </w:r>
      <w:proofErr w:type="spellStart"/>
      <w:r>
        <w:rPr>
          <w:sz w:val="24"/>
          <w:szCs w:val="24"/>
        </w:rPr>
        <w:t>ductless_ac</w:t>
      </w:r>
      <w:proofErr w:type="spellEnd"/>
      <w:r>
        <w:rPr>
          <w:sz w:val="24"/>
          <w:szCs w:val="24"/>
        </w:rPr>
        <w:t>’, ‘none’ or ‘yes’. The ‘</w:t>
      </w:r>
      <w:proofErr w:type="spellStart"/>
      <w:r>
        <w:rPr>
          <w:sz w:val="24"/>
          <w:szCs w:val="24"/>
        </w:rPr>
        <w:t>central_ac</w:t>
      </w:r>
      <w:proofErr w:type="spellEnd"/>
      <w:r>
        <w:rPr>
          <w:sz w:val="24"/>
          <w:szCs w:val="24"/>
        </w:rPr>
        <w:t>’, ‘</w:t>
      </w:r>
      <w:proofErr w:type="spellStart"/>
      <w:r>
        <w:rPr>
          <w:sz w:val="24"/>
          <w:szCs w:val="24"/>
        </w:rPr>
        <w:t>ductless_ac</w:t>
      </w:r>
      <w:proofErr w:type="spellEnd"/>
      <w:r>
        <w:rPr>
          <w:sz w:val="24"/>
          <w:szCs w:val="24"/>
        </w:rPr>
        <w:t>’, and ‘yes’ were set to True and the ‘none’</w:t>
      </w:r>
      <w:r w:rsidR="00CF7DDE">
        <w:rPr>
          <w:sz w:val="24"/>
          <w:szCs w:val="24"/>
        </w:rPr>
        <w:t xml:space="preserve"> was set to False to create a Boolean representation. </w:t>
      </w:r>
    </w:p>
    <w:p w14:paraId="20FA16EA" w14:textId="167E69F2" w:rsidR="00CC7435" w:rsidRDefault="00CF7DDE" w:rsidP="00CF7DDE">
      <w:pPr>
        <w:rPr>
          <w:sz w:val="24"/>
          <w:szCs w:val="24"/>
        </w:rPr>
      </w:pPr>
      <w:r>
        <w:rPr>
          <w:sz w:val="24"/>
          <w:szCs w:val="24"/>
        </w:rPr>
        <w:t xml:space="preserve">The third factor can be </w:t>
      </w:r>
      <w:r w:rsidR="00B81028">
        <w:rPr>
          <w:sz w:val="24"/>
          <w:szCs w:val="24"/>
        </w:rPr>
        <w:t>derived</w:t>
      </w:r>
      <w:r>
        <w:rPr>
          <w:sz w:val="24"/>
          <w:szCs w:val="24"/>
        </w:rPr>
        <w:t xml:space="preserve"> </w:t>
      </w:r>
      <w:r w:rsidR="00B81028">
        <w:rPr>
          <w:sz w:val="24"/>
          <w:szCs w:val="24"/>
        </w:rPr>
        <w:t>from</w:t>
      </w:r>
      <w:r>
        <w:rPr>
          <w:sz w:val="24"/>
          <w:szCs w:val="24"/>
        </w:rPr>
        <w:t xml:space="preserve"> the </w:t>
      </w:r>
      <w:r>
        <w:rPr>
          <w:b/>
          <w:bCs/>
          <w:sz w:val="24"/>
          <w:szCs w:val="24"/>
        </w:rPr>
        <w:t>YR_BUILT</w:t>
      </w:r>
      <w:r>
        <w:rPr>
          <w:sz w:val="24"/>
          <w:szCs w:val="24"/>
        </w:rPr>
        <w:t xml:space="preserve"> variable, also in the Assessments data. </w:t>
      </w:r>
      <w:r w:rsidR="00B81028">
        <w:rPr>
          <w:sz w:val="24"/>
          <w:szCs w:val="24"/>
        </w:rPr>
        <w:t xml:space="preserve">The variable </w:t>
      </w:r>
      <w:r w:rsidR="00B81028">
        <w:rPr>
          <w:b/>
          <w:bCs/>
          <w:sz w:val="24"/>
          <w:szCs w:val="24"/>
        </w:rPr>
        <w:t>a</w:t>
      </w:r>
      <w:r w:rsidRPr="00B81028">
        <w:rPr>
          <w:b/>
          <w:bCs/>
          <w:sz w:val="24"/>
          <w:szCs w:val="24"/>
        </w:rPr>
        <w:t>ge</w:t>
      </w:r>
      <w:r>
        <w:rPr>
          <w:sz w:val="24"/>
          <w:szCs w:val="24"/>
        </w:rPr>
        <w:t xml:space="preserve"> is calculated by subtracting the year from 2021. </w:t>
      </w:r>
    </w:p>
    <w:p w14:paraId="746B4CBB" w14:textId="1C2E8795" w:rsidR="00B01101" w:rsidRPr="00B01101" w:rsidRDefault="00CF7DDE" w:rsidP="00CF7DDE">
      <w:pPr>
        <w:rPr>
          <w:sz w:val="24"/>
          <w:szCs w:val="24"/>
        </w:rPr>
      </w:pPr>
      <w:r>
        <w:rPr>
          <w:sz w:val="24"/>
          <w:szCs w:val="24"/>
        </w:rPr>
        <w:t xml:space="preserve">The final factor requires a string-based comparison to identify repair frequency. This is aggregated into a single variable, </w:t>
      </w:r>
      <w:r>
        <w:rPr>
          <w:b/>
          <w:bCs/>
          <w:sz w:val="24"/>
          <w:szCs w:val="24"/>
        </w:rPr>
        <w:t>repair</w:t>
      </w:r>
      <w:r>
        <w:rPr>
          <w:sz w:val="24"/>
          <w:szCs w:val="24"/>
        </w:rPr>
        <w:t xml:space="preserve">, which is detailed in the </w:t>
      </w:r>
      <w:r>
        <w:rPr>
          <w:b/>
          <w:bCs/>
          <w:sz w:val="24"/>
          <w:szCs w:val="24"/>
        </w:rPr>
        <w:t>Methodology Appendix</w:t>
      </w:r>
      <w:r w:rsidR="000800A3">
        <w:rPr>
          <w:b/>
          <w:bCs/>
          <w:sz w:val="24"/>
          <w:szCs w:val="24"/>
        </w:rPr>
        <w:t xml:space="preserve"> 2</w:t>
      </w:r>
      <w:r>
        <w:rPr>
          <w:b/>
          <w:bCs/>
          <w:sz w:val="24"/>
          <w:szCs w:val="24"/>
        </w:rPr>
        <w:t>.</w:t>
      </w:r>
    </w:p>
    <w:p w14:paraId="42B9E9AD" w14:textId="0A3D9D22" w:rsidR="00CC7435" w:rsidRDefault="00CC7435" w:rsidP="00CF7DDE">
      <w:pPr>
        <w:rPr>
          <w:b/>
          <w:bCs/>
          <w:sz w:val="24"/>
          <w:szCs w:val="24"/>
        </w:rPr>
      </w:pPr>
      <w:r>
        <w:rPr>
          <w:i/>
          <w:iCs/>
          <w:sz w:val="24"/>
          <w:szCs w:val="24"/>
        </w:rPr>
        <w:t xml:space="preserve">Metric Creation: </w:t>
      </w:r>
      <w:r>
        <w:rPr>
          <w:i/>
          <w:iCs/>
          <w:sz w:val="24"/>
          <w:szCs w:val="24"/>
        </w:rPr>
        <w:t>Aggregation</w:t>
      </w:r>
    </w:p>
    <w:p w14:paraId="00569CAB" w14:textId="75C5D5DD" w:rsidR="00B81028" w:rsidRPr="00CC7435" w:rsidRDefault="00CC7435" w:rsidP="00CC7435">
      <w:pPr>
        <w:rPr>
          <w:sz w:val="24"/>
          <w:szCs w:val="24"/>
        </w:rPr>
      </w:pPr>
      <w:r>
        <w:rPr>
          <w:sz w:val="24"/>
          <w:szCs w:val="24"/>
        </w:rPr>
        <w:t>To create a representation on a geographical level, these 4 variables are aggregated by census tract. The quantitative variables (</w:t>
      </w:r>
      <w:proofErr w:type="spellStart"/>
      <w:r w:rsidR="00EA7A44">
        <w:rPr>
          <w:b/>
          <w:bCs/>
          <w:sz w:val="24"/>
          <w:szCs w:val="24"/>
        </w:rPr>
        <w:t>val</w:t>
      </w:r>
      <w:proofErr w:type="spellEnd"/>
      <w:r>
        <w:rPr>
          <w:b/>
          <w:bCs/>
          <w:sz w:val="24"/>
          <w:szCs w:val="24"/>
        </w:rPr>
        <w:t xml:space="preserve">, </w:t>
      </w:r>
      <w:r w:rsidR="00EA7A44">
        <w:rPr>
          <w:b/>
          <w:bCs/>
          <w:sz w:val="24"/>
          <w:szCs w:val="24"/>
        </w:rPr>
        <w:t>age</w:t>
      </w:r>
      <w:r>
        <w:rPr>
          <w:b/>
          <w:bCs/>
          <w:sz w:val="24"/>
          <w:szCs w:val="24"/>
        </w:rPr>
        <w:t>, repairs</w:t>
      </w:r>
      <w:r>
        <w:rPr>
          <w:sz w:val="24"/>
          <w:szCs w:val="24"/>
        </w:rPr>
        <w:t xml:space="preserve">) are aggregated by mean. The </w:t>
      </w:r>
      <w:r>
        <w:rPr>
          <w:b/>
          <w:bCs/>
          <w:sz w:val="24"/>
          <w:szCs w:val="24"/>
        </w:rPr>
        <w:t>R_AC</w:t>
      </w:r>
      <w:r>
        <w:rPr>
          <w:sz w:val="24"/>
          <w:szCs w:val="24"/>
        </w:rPr>
        <w:t xml:space="preserve"> is </w:t>
      </w:r>
      <w:r w:rsidR="00B81028">
        <w:rPr>
          <w:sz w:val="24"/>
          <w:szCs w:val="24"/>
        </w:rPr>
        <w:t>used</w:t>
      </w:r>
      <w:r>
        <w:rPr>
          <w:sz w:val="24"/>
          <w:szCs w:val="24"/>
        </w:rPr>
        <w:t xml:space="preserve"> to</w:t>
      </w:r>
      <w:r w:rsidR="00B81028">
        <w:rPr>
          <w:sz w:val="24"/>
          <w:szCs w:val="24"/>
        </w:rPr>
        <w:t xml:space="preserve"> create</w:t>
      </w:r>
      <w:r>
        <w:rPr>
          <w:sz w:val="24"/>
          <w:szCs w:val="24"/>
        </w:rPr>
        <w:t xml:space="preserve"> </w:t>
      </w:r>
      <w:proofErr w:type="spellStart"/>
      <w:r>
        <w:rPr>
          <w:b/>
          <w:bCs/>
          <w:sz w:val="24"/>
          <w:szCs w:val="24"/>
        </w:rPr>
        <w:t>no_ac</w:t>
      </w:r>
      <w:proofErr w:type="spellEnd"/>
      <w:r w:rsidR="00B81028">
        <w:rPr>
          <w:sz w:val="24"/>
          <w:szCs w:val="24"/>
        </w:rPr>
        <w:t>:</w:t>
      </w:r>
      <w:r>
        <w:rPr>
          <w:sz w:val="24"/>
          <w:szCs w:val="24"/>
        </w:rPr>
        <w:t xml:space="preserve"> the proportion of the Census</w:t>
      </w:r>
      <w:r w:rsidR="00B81028">
        <w:rPr>
          <w:sz w:val="24"/>
          <w:szCs w:val="24"/>
        </w:rPr>
        <w:t xml:space="preserve"> Tract without any sort of Air Conditioning infrastructure. Sample size concerns for these aggregations are described in </w:t>
      </w:r>
      <w:r w:rsidR="00B81028">
        <w:rPr>
          <w:b/>
          <w:bCs/>
          <w:sz w:val="24"/>
          <w:szCs w:val="24"/>
        </w:rPr>
        <w:t>Metric Creation: Validation</w:t>
      </w:r>
      <w:r w:rsidR="00B81028">
        <w:rPr>
          <w:sz w:val="24"/>
          <w:szCs w:val="24"/>
        </w:rPr>
        <w:t>.</w:t>
      </w:r>
      <w:r w:rsidR="00CC2794">
        <w:rPr>
          <w:sz w:val="24"/>
          <w:szCs w:val="24"/>
        </w:rPr>
        <w:t xml:space="preserve"> </w:t>
      </w:r>
      <w:r w:rsidR="00EA7A44">
        <w:rPr>
          <w:sz w:val="24"/>
          <w:szCs w:val="24"/>
        </w:rPr>
        <w:t xml:space="preserve">Once the values for each variable </w:t>
      </w:r>
      <w:r w:rsidR="006F3408">
        <w:rPr>
          <w:sz w:val="24"/>
          <w:szCs w:val="24"/>
        </w:rPr>
        <w:t>are</w:t>
      </w:r>
      <w:r w:rsidR="00EA7A44">
        <w:rPr>
          <w:sz w:val="24"/>
          <w:szCs w:val="24"/>
        </w:rPr>
        <w:t xml:space="preserve"> aggregated, each vector is linearly scaled to a range of [0,1] for simplicity.</w:t>
      </w:r>
    </w:p>
    <w:p w14:paraId="0FCE2855" w14:textId="125B4924" w:rsidR="00536368" w:rsidRDefault="00536368" w:rsidP="00CC7435">
      <w:pPr>
        <w:rPr>
          <w:i/>
          <w:iCs/>
          <w:sz w:val="24"/>
          <w:szCs w:val="24"/>
        </w:rPr>
      </w:pPr>
      <w:r>
        <w:rPr>
          <w:i/>
          <w:iCs/>
          <w:sz w:val="24"/>
          <w:szCs w:val="24"/>
        </w:rPr>
        <w:t>Metric Creation: Weighting</w:t>
      </w:r>
    </w:p>
    <w:p w14:paraId="7C916F08" w14:textId="5F2B7E2F" w:rsidR="00536368" w:rsidRDefault="00CF7DDE">
      <w:pPr>
        <w:rPr>
          <w:sz w:val="24"/>
          <w:szCs w:val="24"/>
        </w:rPr>
      </w:pPr>
      <w:r>
        <w:rPr>
          <w:sz w:val="24"/>
          <w:szCs w:val="24"/>
        </w:rPr>
        <w:t>Once all 4 components are created, they can be aggregated into a single metric. To do so, it is important to appropriately adjust them by their individual impact on Climate Vulnerability. Since there isn’t any training or reference data relevant enough to learn weights statistically, the weights are calculated using a rule</w:t>
      </w:r>
      <w:r w:rsidR="00CC7435">
        <w:rPr>
          <w:sz w:val="24"/>
          <w:szCs w:val="24"/>
        </w:rPr>
        <w:t>-</w:t>
      </w:r>
      <w:r>
        <w:rPr>
          <w:sz w:val="24"/>
          <w:szCs w:val="24"/>
        </w:rPr>
        <w:t xml:space="preserve">based system described in depth in the </w:t>
      </w:r>
      <w:r>
        <w:rPr>
          <w:b/>
          <w:bCs/>
          <w:sz w:val="24"/>
          <w:szCs w:val="24"/>
        </w:rPr>
        <w:t>Methodology Appendix</w:t>
      </w:r>
      <w:r w:rsidR="000800A3">
        <w:rPr>
          <w:b/>
          <w:bCs/>
          <w:sz w:val="24"/>
          <w:szCs w:val="24"/>
        </w:rPr>
        <w:t xml:space="preserve"> 3</w:t>
      </w:r>
      <w:r>
        <w:rPr>
          <w:b/>
          <w:bCs/>
          <w:sz w:val="24"/>
          <w:szCs w:val="24"/>
        </w:rPr>
        <w:t>.</w:t>
      </w:r>
      <w:r>
        <w:rPr>
          <w:sz w:val="24"/>
          <w:szCs w:val="24"/>
        </w:rPr>
        <w:t xml:space="preserve"> </w:t>
      </w:r>
      <w:r w:rsidR="00CC7435">
        <w:rPr>
          <w:sz w:val="24"/>
          <w:szCs w:val="24"/>
        </w:rPr>
        <w:t xml:space="preserve">The finalized </w:t>
      </w:r>
      <w:r w:rsidR="002B717F">
        <w:rPr>
          <w:sz w:val="24"/>
          <w:szCs w:val="24"/>
        </w:rPr>
        <w:t>component</w:t>
      </w:r>
      <w:r w:rsidR="00CC7435">
        <w:rPr>
          <w:sz w:val="24"/>
          <w:szCs w:val="24"/>
        </w:rPr>
        <w:t xml:space="preserve"> weights are shown in Table 1 below.</w:t>
      </w:r>
    </w:p>
    <w:p w14:paraId="599F3F7F" w14:textId="77777777" w:rsidR="00EA7A44" w:rsidRPr="00EA7A44" w:rsidRDefault="00EA7A44">
      <w:pPr>
        <w:rPr>
          <w:sz w:val="16"/>
          <w:szCs w:val="16"/>
        </w:rPr>
      </w:pPr>
    </w:p>
    <w:p w14:paraId="4E6A131A" w14:textId="5B0B02B2" w:rsidR="00EA7A44" w:rsidRDefault="00EA7A44" w:rsidP="00EA7A44">
      <w:pPr>
        <w:jc w:val="center"/>
        <w:rPr>
          <w:sz w:val="24"/>
          <w:szCs w:val="24"/>
        </w:rPr>
      </w:pPr>
      <w:r>
        <w:rPr>
          <w:sz w:val="24"/>
          <w:szCs w:val="24"/>
        </w:rPr>
        <w:lastRenderedPageBreak/>
        <w:t>Table 1. Component Weights</w:t>
      </w:r>
    </w:p>
    <w:tbl>
      <w:tblPr>
        <w:tblW w:w="4230" w:type="dxa"/>
        <w:tblInd w:w="2782" w:type="dxa"/>
        <w:tblCellMar>
          <w:left w:w="0" w:type="dxa"/>
          <w:right w:w="0" w:type="dxa"/>
        </w:tblCellMar>
        <w:tblLook w:val="04A0" w:firstRow="1" w:lastRow="0" w:firstColumn="1" w:lastColumn="0" w:noHBand="0" w:noVBand="1"/>
      </w:tblPr>
      <w:tblGrid>
        <w:gridCol w:w="2113"/>
        <w:gridCol w:w="2117"/>
      </w:tblGrid>
      <w:tr w:rsidR="00EA7A44" w:rsidRPr="00EA7A44" w14:paraId="7DE48AB6" w14:textId="77777777" w:rsidTr="00EA7A44">
        <w:trPr>
          <w:trHeight w:val="315"/>
        </w:trPr>
        <w:tc>
          <w:tcPr>
            <w:tcW w:w="2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16499" w14:textId="77777777" w:rsidR="00EA7A44" w:rsidRPr="00EA7A44" w:rsidRDefault="00EA7A44" w:rsidP="00EA7A44">
            <w:pPr>
              <w:spacing w:after="0" w:line="240" w:lineRule="auto"/>
              <w:jc w:val="center"/>
              <w:rPr>
                <w:rFonts w:ascii="Arial" w:eastAsia="Times New Roman" w:hAnsi="Arial" w:cs="Arial"/>
                <w:b/>
                <w:bCs/>
                <w:sz w:val="20"/>
                <w:szCs w:val="20"/>
              </w:rPr>
            </w:pPr>
            <w:r w:rsidRPr="00EA7A44">
              <w:rPr>
                <w:rFonts w:ascii="Arial" w:eastAsia="Times New Roman" w:hAnsi="Arial" w:cs="Arial"/>
                <w:b/>
                <w:bCs/>
                <w:sz w:val="20"/>
                <w:szCs w:val="20"/>
              </w:rPr>
              <w:t>Component</w:t>
            </w:r>
          </w:p>
        </w:tc>
        <w:tc>
          <w:tcPr>
            <w:tcW w:w="2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D2BC2" w14:textId="77777777" w:rsidR="00EA7A44" w:rsidRPr="00EA7A44" w:rsidRDefault="00EA7A44" w:rsidP="00EA7A44">
            <w:pPr>
              <w:spacing w:after="0" w:line="240" w:lineRule="auto"/>
              <w:jc w:val="center"/>
              <w:rPr>
                <w:rFonts w:ascii="Arial" w:eastAsia="Times New Roman" w:hAnsi="Arial" w:cs="Arial"/>
                <w:b/>
                <w:bCs/>
                <w:sz w:val="20"/>
                <w:szCs w:val="20"/>
              </w:rPr>
            </w:pPr>
            <w:r w:rsidRPr="00EA7A44">
              <w:rPr>
                <w:rFonts w:ascii="Arial" w:eastAsia="Times New Roman" w:hAnsi="Arial" w:cs="Arial"/>
                <w:b/>
                <w:bCs/>
                <w:sz w:val="20"/>
                <w:szCs w:val="20"/>
              </w:rPr>
              <w:t>Weight</w:t>
            </w:r>
          </w:p>
        </w:tc>
      </w:tr>
      <w:tr w:rsidR="00EA7A44" w:rsidRPr="00EA7A44" w14:paraId="5DE17A4D" w14:textId="77777777" w:rsidTr="00EA7A44">
        <w:trPr>
          <w:trHeight w:val="315"/>
        </w:trPr>
        <w:tc>
          <w:tcPr>
            <w:tcW w:w="2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A7522" w14:textId="77777777" w:rsidR="00EA7A44" w:rsidRPr="00EA7A44" w:rsidRDefault="00EA7A44" w:rsidP="00EA7A44">
            <w:pPr>
              <w:spacing w:after="0" w:line="240" w:lineRule="auto"/>
              <w:jc w:val="center"/>
              <w:rPr>
                <w:rFonts w:ascii="Arial" w:eastAsia="Times New Roman" w:hAnsi="Arial" w:cs="Arial"/>
                <w:sz w:val="20"/>
                <w:szCs w:val="20"/>
              </w:rPr>
            </w:pPr>
            <w:proofErr w:type="spellStart"/>
            <w:r w:rsidRPr="00EA7A44">
              <w:rPr>
                <w:rFonts w:ascii="Arial" w:eastAsia="Times New Roman" w:hAnsi="Arial" w:cs="Arial"/>
                <w:sz w:val="20"/>
                <w:szCs w:val="20"/>
              </w:rPr>
              <w:t>no_ac</w:t>
            </w:r>
            <w:proofErr w:type="spellEnd"/>
          </w:p>
        </w:tc>
        <w:tc>
          <w:tcPr>
            <w:tcW w:w="2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C6D7E" w14:textId="77777777" w:rsidR="00EA7A44" w:rsidRPr="00EA7A44" w:rsidRDefault="00EA7A44" w:rsidP="00EA7A44">
            <w:pPr>
              <w:spacing w:after="0" w:line="240" w:lineRule="auto"/>
              <w:jc w:val="center"/>
              <w:rPr>
                <w:rFonts w:ascii="Arial" w:eastAsia="Times New Roman" w:hAnsi="Arial" w:cs="Arial"/>
                <w:sz w:val="20"/>
                <w:szCs w:val="20"/>
              </w:rPr>
            </w:pPr>
            <w:r w:rsidRPr="00EA7A44">
              <w:rPr>
                <w:rFonts w:ascii="Arial" w:eastAsia="Times New Roman" w:hAnsi="Arial" w:cs="Arial"/>
                <w:sz w:val="20"/>
                <w:szCs w:val="20"/>
              </w:rPr>
              <w:t>0.367</w:t>
            </w:r>
          </w:p>
        </w:tc>
      </w:tr>
      <w:tr w:rsidR="00EA7A44" w:rsidRPr="00EA7A44" w14:paraId="2693F471" w14:textId="77777777" w:rsidTr="00EA7A44">
        <w:trPr>
          <w:trHeight w:val="315"/>
        </w:trPr>
        <w:tc>
          <w:tcPr>
            <w:tcW w:w="2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DBBCF" w14:textId="77777777" w:rsidR="00EA7A44" w:rsidRPr="00EA7A44" w:rsidRDefault="00EA7A44" w:rsidP="00EA7A44">
            <w:pPr>
              <w:spacing w:after="0" w:line="240" w:lineRule="auto"/>
              <w:jc w:val="center"/>
              <w:rPr>
                <w:rFonts w:ascii="Arial" w:eastAsia="Times New Roman" w:hAnsi="Arial" w:cs="Arial"/>
                <w:sz w:val="20"/>
                <w:szCs w:val="20"/>
              </w:rPr>
            </w:pPr>
            <w:r w:rsidRPr="00EA7A44">
              <w:rPr>
                <w:rFonts w:ascii="Arial" w:eastAsia="Times New Roman" w:hAnsi="Arial" w:cs="Arial"/>
                <w:sz w:val="20"/>
                <w:szCs w:val="20"/>
              </w:rPr>
              <w:t>repair</w:t>
            </w:r>
          </w:p>
        </w:tc>
        <w:tc>
          <w:tcPr>
            <w:tcW w:w="2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AB3E3" w14:textId="77777777" w:rsidR="00EA7A44" w:rsidRPr="00EA7A44" w:rsidRDefault="00EA7A44" w:rsidP="00EA7A44">
            <w:pPr>
              <w:spacing w:after="0" w:line="240" w:lineRule="auto"/>
              <w:jc w:val="center"/>
              <w:rPr>
                <w:rFonts w:ascii="Arial" w:eastAsia="Times New Roman" w:hAnsi="Arial" w:cs="Arial"/>
                <w:sz w:val="20"/>
                <w:szCs w:val="20"/>
              </w:rPr>
            </w:pPr>
            <w:r w:rsidRPr="00EA7A44">
              <w:rPr>
                <w:rFonts w:ascii="Arial" w:eastAsia="Times New Roman" w:hAnsi="Arial" w:cs="Arial"/>
                <w:sz w:val="20"/>
                <w:szCs w:val="20"/>
              </w:rPr>
              <w:t>0.334</w:t>
            </w:r>
          </w:p>
        </w:tc>
      </w:tr>
      <w:tr w:rsidR="00EA7A44" w:rsidRPr="00EA7A44" w14:paraId="63B6EF15" w14:textId="77777777" w:rsidTr="00EA7A44">
        <w:trPr>
          <w:trHeight w:val="315"/>
        </w:trPr>
        <w:tc>
          <w:tcPr>
            <w:tcW w:w="2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558E3" w14:textId="77777777" w:rsidR="00EA7A44" w:rsidRPr="00EA7A44" w:rsidRDefault="00EA7A44" w:rsidP="00EA7A44">
            <w:pPr>
              <w:spacing w:after="0" w:line="240" w:lineRule="auto"/>
              <w:jc w:val="center"/>
              <w:rPr>
                <w:rFonts w:ascii="Arial" w:eastAsia="Times New Roman" w:hAnsi="Arial" w:cs="Arial"/>
                <w:sz w:val="20"/>
                <w:szCs w:val="20"/>
              </w:rPr>
            </w:pPr>
            <w:r w:rsidRPr="00EA7A44">
              <w:rPr>
                <w:rFonts w:ascii="Arial" w:eastAsia="Times New Roman" w:hAnsi="Arial" w:cs="Arial"/>
                <w:sz w:val="20"/>
                <w:szCs w:val="20"/>
              </w:rPr>
              <w:t>age</w:t>
            </w:r>
          </w:p>
        </w:tc>
        <w:tc>
          <w:tcPr>
            <w:tcW w:w="2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FBB07" w14:textId="77777777" w:rsidR="00EA7A44" w:rsidRPr="00EA7A44" w:rsidRDefault="00EA7A44" w:rsidP="00EA7A44">
            <w:pPr>
              <w:spacing w:after="0" w:line="240" w:lineRule="auto"/>
              <w:jc w:val="center"/>
              <w:rPr>
                <w:rFonts w:ascii="Arial" w:eastAsia="Times New Roman" w:hAnsi="Arial" w:cs="Arial"/>
                <w:sz w:val="20"/>
                <w:szCs w:val="20"/>
              </w:rPr>
            </w:pPr>
            <w:r w:rsidRPr="00EA7A44">
              <w:rPr>
                <w:rFonts w:ascii="Arial" w:eastAsia="Times New Roman" w:hAnsi="Arial" w:cs="Arial"/>
                <w:sz w:val="20"/>
                <w:szCs w:val="20"/>
              </w:rPr>
              <w:t>0.207</w:t>
            </w:r>
          </w:p>
        </w:tc>
      </w:tr>
      <w:tr w:rsidR="00EA7A44" w:rsidRPr="00EA7A44" w14:paraId="5F063FFE" w14:textId="77777777" w:rsidTr="00EA7A44">
        <w:trPr>
          <w:trHeight w:val="315"/>
        </w:trPr>
        <w:tc>
          <w:tcPr>
            <w:tcW w:w="2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ED610" w14:textId="77777777" w:rsidR="00EA7A44" w:rsidRPr="00EA7A44" w:rsidRDefault="00EA7A44" w:rsidP="00EA7A44">
            <w:pPr>
              <w:spacing w:after="0" w:line="240" w:lineRule="auto"/>
              <w:jc w:val="center"/>
              <w:rPr>
                <w:rFonts w:ascii="Arial" w:eastAsia="Times New Roman" w:hAnsi="Arial" w:cs="Arial"/>
                <w:sz w:val="20"/>
                <w:szCs w:val="20"/>
              </w:rPr>
            </w:pPr>
            <w:proofErr w:type="spellStart"/>
            <w:r w:rsidRPr="00EA7A44">
              <w:rPr>
                <w:rFonts w:ascii="Arial" w:eastAsia="Times New Roman" w:hAnsi="Arial" w:cs="Arial"/>
                <w:sz w:val="20"/>
                <w:szCs w:val="20"/>
              </w:rPr>
              <w:t>val</w:t>
            </w:r>
            <w:proofErr w:type="spellEnd"/>
          </w:p>
        </w:tc>
        <w:tc>
          <w:tcPr>
            <w:tcW w:w="2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7110E" w14:textId="77777777" w:rsidR="00EA7A44" w:rsidRPr="00EA7A44" w:rsidRDefault="00EA7A44" w:rsidP="00EA7A44">
            <w:pPr>
              <w:spacing w:after="0" w:line="240" w:lineRule="auto"/>
              <w:jc w:val="center"/>
              <w:rPr>
                <w:rFonts w:ascii="Arial" w:eastAsia="Times New Roman" w:hAnsi="Arial" w:cs="Arial"/>
                <w:sz w:val="20"/>
                <w:szCs w:val="20"/>
              </w:rPr>
            </w:pPr>
            <w:r w:rsidRPr="00EA7A44">
              <w:rPr>
                <w:rFonts w:ascii="Arial" w:eastAsia="Times New Roman" w:hAnsi="Arial" w:cs="Arial"/>
                <w:sz w:val="20"/>
                <w:szCs w:val="20"/>
              </w:rPr>
              <w:t>0.092</w:t>
            </w:r>
          </w:p>
        </w:tc>
      </w:tr>
    </w:tbl>
    <w:p w14:paraId="569EB77D" w14:textId="00A6225B" w:rsidR="00CC7435" w:rsidRDefault="00CC7435">
      <w:pPr>
        <w:rPr>
          <w:sz w:val="24"/>
          <w:szCs w:val="24"/>
        </w:rPr>
      </w:pPr>
    </w:p>
    <w:p w14:paraId="0080A97F" w14:textId="77777777" w:rsidR="00EA7A44" w:rsidRPr="00CF7DDE" w:rsidRDefault="00EA7A44">
      <w:pPr>
        <w:rPr>
          <w:sz w:val="24"/>
          <w:szCs w:val="24"/>
        </w:rPr>
      </w:pPr>
    </w:p>
    <w:p w14:paraId="2DB1E61B" w14:textId="090B4247" w:rsidR="00536368" w:rsidRPr="00536368" w:rsidRDefault="00536368">
      <w:pPr>
        <w:rPr>
          <w:i/>
          <w:iCs/>
          <w:sz w:val="24"/>
          <w:szCs w:val="24"/>
        </w:rPr>
      </w:pPr>
      <w:r>
        <w:rPr>
          <w:i/>
          <w:iCs/>
          <w:sz w:val="24"/>
          <w:szCs w:val="24"/>
        </w:rPr>
        <w:t>Metric Creation: Validation</w:t>
      </w:r>
    </w:p>
    <w:p w14:paraId="1471FA16" w14:textId="012502F0" w:rsidR="00536368" w:rsidRDefault="00EA7A44">
      <w:pPr>
        <w:rPr>
          <w:sz w:val="24"/>
          <w:szCs w:val="24"/>
        </w:rPr>
      </w:pPr>
      <w:r>
        <w:rPr>
          <w:sz w:val="24"/>
          <w:szCs w:val="24"/>
        </w:rPr>
        <w:t>The following chart shows the distribution of the final vulnerability metric.</w:t>
      </w:r>
    </w:p>
    <w:p w14:paraId="03EE6CC2" w14:textId="697EFAB9" w:rsidR="00EA7A44" w:rsidRDefault="00EA7A44" w:rsidP="00EA7A44">
      <w:pPr>
        <w:jc w:val="center"/>
        <w:rPr>
          <w:sz w:val="24"/>
          <w:szCs w:val="24"/>
        </w:rPr>
      </w:pPr>
      <w:r w:rsidRPr="00EA7A44">
        <w:rPr>
          <w:sz w:val="24"/>
          <w:szCs w:val="24"/>
        </w:rPr>
        <w:drawing>
          <wp:inline distT="0" distB="0" distL="0" distR="0" wp14:anchorId="61396153" wp14:editId="4DA38576">
            <wp:extent cx="3177540" cy="2622173"/>
            <wp:effectExtent l="0" t="0" r="3810" b="6985"/>
            <wp:docPr id="7" name="Picture 6" descr="Chart, histogram&#10;&#10;Description automatically generated">
              <a:extLst xmlns:a="http://schemas.openxmlformats.org/drawingml/2006/main">
                <a:ext uri="{FF2B5EF4-FFF2-40B4-BE49-F238E27FC236}">
                  <a16:creationId xmlns:a16="http://schemas.microsoft.com/office/drawing/2014/main" id="{97EDE830-FE1C-4BF9-997A-4EE298AA04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97EDE830-FE1C-4BF9-997A-4EE298AA0492}"/>
                        </a:ext>
                      </a:extLst>
                    </pic:cNvPr>
                    <pic:cNvPicPr>
                      <a:picLocks noChangeAspect="1"/>
                    </pic:cNvPicPr>
                  </pic:nvPicPr>
                  <pic:blipFill>
                    <a:blip r:embed="rId8"/>
                    <a:stretch>
                      <a:fillRect/>
                    </a:stretch>
                  </pic:blipFill>
                  <pic:spPr>
                    <a:xfrm>
                      <a:off x="0" y="0"/>
                      <a:ext cx="3184839" cy="2628197"/>
                    </a:xfrm>
                    <a:prstGeom prst="rect">
                      <a:avLst/>
                    </a:prstGeom>
                    <a:ln w="38100">
                      <a:noFill/>
                    </a:ln>
                  </pic:spPr>
                </pic:pic>
              </a:graphicData>
            </a:graphic>
          </wp:inline>
        </w:drawing>
      </w:r>
    </w:p>
    <w:p w14:paraId="47658231" w14:textId="2B264F63" w:rsidR="00EA7A44" w:rsidRDefault="00EA7A44" w:rsidP="00EA7A44">
      <w:pPr>
        <w:jc w:val="center"/>
        <w:rPr>
          <w:sz w:val="24"/>
          <w:szCs w:val="24"/>
        </w:rPr>
      </w:pPr>
      <w:r>
        <w:rPr>
          <w:sz w:val="24"/>
          <w:szCs w:val="24"/>
        </w:rPr>
        <w:t>Figure 1. Frequency Histogram</w:t>
      </w:r>
    </w:p>
    <w:p w14:paraId="1919F00E" w14:textId="1B22E748" w:rsidR="00A3379F" w:rsidRDefault="00A3379F">
      <w:pPr>
        <w:rPr>
          <w:sz w:val="24"/>
          <w:szCs w:val="24"/>
        </w:rPr>
      </w:pPr>
      <w:r>
        <w:rPr>
          <w:sz w:val="24"/>
          <w:szCs w:val="24"/>
        </w:rPr>
        <w:t xml:space="preserve">Figure 1 reveals a </w:t>
      </w:r>
      <w:r w:rsidR="002B717F">
        <w:rPr>
          <w:sz w:val="24"/>
          <w:szCs w:val="24"/>
        </w:rPr>
        <w:t>semi-</w:t>
      </w:r>
      <w:r>
        <w:rPr>
          <w:sz w:val="24"/>
          <w:szCs w:val="24"/>
        </w:rPr>
        <w:t xml:space="preserve">normal distribution with left skew and an overall range </w:t>
      </w:r>
      <w:r w:rsidR="002B717F">
        <w:rPr>
          <w:sz w:val="24"/>
          <w:szCs w:val="24"/>
        </w:rPr>
        <w:t>of</w:t>
      </w:r>
      <w:r>
        <w:rPr>
          <w:sz w:val="24"/>
          <w:szCs w:val="24"/>
        </w:rPr>
        <w:t xml:space="preserve"> [0.1, 0.7]. The reason that there is no data at the extreme end of the possible range [0,1] is due to the cumulation and relative scaling of the metric. For a Census Tract to have a Vulnerability of 1, for example, it would have to have the most severe value for each of the four components. Since this is not expected of any single part of the city, the lack of extreme values is not a reason for concern. </w:t>
      </w:r>
    </w:p>
    <w:p w14:paraId="161056BC" w14:textId="73444959" w:rsidR="00A3379F" w:rsidRDefault="00A3379F">
      <w:pPr>
        <w:rPr>
          <w:sz w:val="24"/>
          <w:szCs w:val="24"/>
        </w:rPr>
      </w:pPr>
      <w:r>
        <w:rPr>
          <w:sz w:val="24"/>
          <w:szCs w:val="24"/>
        </w:rPr>
        <w:t>The more serious worry is sample size. Even though there are over 150,000 total values for just 179 census tracts</w:t>
      </w:r>
      <w:r w:rsidR="005306B0">
        <w:rPr>
          <w:sz w:val="24"/>
          <w:szCs w:val="24"/>
        </w:rPr>
        <w:t>, tracts with low population can experience a lack of data. The chart below shows the Histogram of Sample Counts that went into each Tract</w:t>
      </w:r>
      <w:r w:rsidR="00DF6562">
        <w:rPr>
          <w:sz w:val="24"/>
          <w:szCs w:val="24"/>
        </w:rPr>
        <w:t>’</w:t>
      </w:r>
      <w:r w:rsidR="005306B0">
        <w:rPr>
          <w:sz w:val="24"/>
          <w:szCs w:val="24"/>
        </w:rPr>
        <w:t>s Vulnerability Calculation.</w:t>
      </w:r>
    </w:p>
    <w:p w14:paraId="2ED32424" w14:textId="558F9FBF" w:rsidR="005306B0" w:rsidRDefault="005306B0" w:rsidP="005306B0">
      <w:pPr>
        <w:jc w:val="center"/>
        <w:rPr>
          <w:sz w:val="24"/>
          <w:szCs w:val="24"/>
        </w:rPr>
      </w:pPr>
      <w:r w:rsidRPr="005306B0">
        <w:rPr>
          <w:sz w:val="24"/>
          <w:szCs w:val="24"/>
        </w:rPr>
        <w:lastRenderedPageBreak/>
        <w:drawing>
          <wp:inline distT="0" distB="0" distL="0" distR="0" wp14:anchorId="13EAB334" wp14:editId="5F569A12">
            <wp:extent cx="4762500" cy="2818486"/>
            <wp:effectExtent l="0" t="0" r="0" b="1270"/>
            <wp:docPr id="9" name="Picture 8" descr="Chart, bar chart&#10;&#10;Description automatically generated">
              <a:extLst xmlns:a="http://schemas.openxmlformats.org/drawingml/2006/main">
                <a:ext uri="{FF2B5EF4-FFF2-40B4-BE49-F238E27FC236}">
                  <a16:creationId xmlns:a16="http://schemas.microsoft.com/office/drawing/2014/main" id="{64F94151-F375-4BF1-8235-52ED94B1B7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bar chart&#10;&#10;Description automatically generated">
                      <a:extLst>
                        <a:ext uri="{FF2B5EF4-FFF2-40B4-BE49-F238E27FC236}">
                          <a16:creationId xmlns:a16="http://schemas.microsoft.com/office/drawing/2014/main" id="{64F94151-F375-4BF1-8235-52ED94B1B7F4}"/>
                        </a:ext>
                      </a:extLst>
                    </pic:cNvPr>
                    <pic:cNvPicPr>
                      <a:picLocks noChangeAspect="1"/>
                    </pic:cNvPicPr>
                  </pic:nvPicPr>
                  <pic:blipFill>
                    <a:blip r:embed="rId9"/>
                    <a:stretch>
                      <a:fillRect/>
                    </a:stretch>
                  </pic:blipFill>
                  <pic:spPr>
                    <a:xfrm>
                      <a:off x="0" y="0"/>
                      <a:ext cx="4779533" cy="2828566"/>
                    </a:xfrm>
                    <a:prstGeom prst="rect">
                      <a:avLst/>
                    </a:prstGeom>
                    <a:ln w="38100">
                      <a:noFill/>
                    </a:ln>
                  </pic:spPr>
                </pic:pic>
              </a:graphicData>
            </a:graphic>
          </wp:inline>
        </w:drawing>
      </w:r>
    </w:p>
    <w:p w14:paraId="01F03689" w14:textId="5FF7D6CA" w:rsidR="005306B0" w:rsidRDefault="005306B0" w:rsidP="005306B0">
      <w:pPr>
        <w:jc w:val="center"/>
        <w:rPr>
          <w:sz w:val="24"/>
          <w:szCs w:val="24"/>
        </w:rPr>
      </w:pPr>
      <w:r>
        <w:rPr>
          <w:sz w:val="24"/>
          <w:szCs w:val="24"/>
        </w:rPr>
        <w:t>Figure 2. Sample Counts in each Census Tract</w:t>
      </w:r>
    </w:p>
    <w:p w14:paraId="7FD5C913" w14:textId="67C7595E" w:rsidR="006F3408" w:rsidRDefault="005306B0">
      <w:pPr>
        <w:rPr>
          <w:sz w:val="24"/>
          <w:szCs w:val="24"/>
        </w:rPr>
      </w:pPr>
      <w:r>
        <w:rPr>
          <w:sz w:val="24"/>
          <w:szCs w:val="24"/>
        </w:rPr>
        <w:t>The graph reveals that there are 10 Census Tracts (5.6%</w:t>
      </w:r>
      <w:r w:rsidR="00D4494C">
        <w:rPr>
          <w:sz w:val="24"/>
          <w:szCs w:val="24"/>
        </w:rPr>
        <w:t xml:space="preserve"> of sample</w:t>
      </w:r>
      <w:r>
        <w:rPr>
          <w:sz w:val="24"/>
          <w:szCs w:val="24"/>
        </w:rPr>
        <w:t>) with less than 30 records. Recall that each record is a single building permit. As such, the</w:t>
      </w:r>
      <w:r w:rsidR="00613EA1">
        <w:rPr>
          <w:sz w:val="24"/>
          <w:szCs w:val="24"/>
        </w:rPr>
        <w:t xml:space="preserve"> </w:t>
      </w:r>
      <w:r>
        <w:rPr>
          <w:sz w:val="24"/>
          <w:szCs w:val="24"/>
        </w:rPr>
        <w:t xml:space="preserve">data points may be </w:t>
      </w:r>
      <w:r w:rsidR="00613EA1">
        <w:rPr>
          <w:sz w:val="24"/>
          <w:szCs w:val="24"/>
        </w:rPr>
        <w:t xml:space="preserve">subject to noise if there is an extreme value being factored into the aggregation. For example, if an applicant here added an extra digit to their declared valuation, it would spike the mean for the overall </w:t>
      </w:r>
      <w:proofErr w:type="spellStart"/>
      <w:r w:rsidR="00613EA1">
        <w:rPr>
          <w:b/>
          <w:bCs/>
          <w:sz w:val="24"/>
          <w:szCs w:val="24"/>
        </w:rPr>
        <w:t>val</w:t>
      </w:r>
      <w:proofErr w:type="spellEnd"/>
      <w:r w:rsidR="00613EA1">
        <w:rPr>
          <w:sz w:val="24"/>
          <w:szCs w:val="24"/>
        </w:rPr>
        <w:t xml:space="preserve"> variable much more than in a district with 1000+ records. </w:t>
      </w:r>
    </w:p>
    <w:p w14:paraId="2BC0EAF1" w14:textId="1BA67190" w:rsidR="00D4494C" w:rsidRDefault="00613EA1">
      <w:pPr>
        <w:rPr>
          <w:sz w:val="24"/>
          <w:szCs w:val="24"/>
        </w:rPr>
      </w:pPr>
      <w:r>
        <w:rPr>
          <w:sz w:val="24"/>
          <w:szCs w:val="24"/>
        </w:rPr>
        <w:t>In addition to these 10 tracts, there are 3 tracts</w:t>
      </w:r>
      <w:r w:rsidR="00D4494C">
        <w:rPr>
          <w:sz w:val="24"/>
          <w:szCs w:val="24"/>
        </w:rPr>
        <w:t xml:space="preserve"> (1.7% of sample)</w:t>
      </w:r>
      <w:r>
        <w:rPr>
          <w:sz w:val="24"/>
          <w:szCs w:val="24"/>
        </w:rPr>
        <w:t xml:space="preserve"> with no records at all. Counterintuitively, this is not as much of an issue as the tracts can be ignored in any </w:t>
      </w:r>
      <w:r w:rsidR="006F3408">
        <w:rPr>
          <w:sz w:val="24"/>
          <w:szCs w:val="24"/>
        </w:rPr>
        <w:t>mapping or analysis</w:t>
      </w:r>
      <w:r>
        <w:rPr>
          <w:sz w:val="24"/>
          <w:szCs w:val="24"/>
        </w:rPr>
        <w:t xml:space="preserve">. This is </w:t>
      </w:r>
      <w:r w:rsidR="006F3408">
        <w:rPr>
          <w:sz w:val="24"/>
          <w:szCs w:val="24"/>
        </w:rPr>
        <w:t>an appropriate dismissal</w:t>
      </w:r>
      <w:r>
        <w:rPr>
          <w:sz w:val="24"/>
          <w:szCs w:val="24"/>
        </w:rPr>
        <w:t xml:space="preserve"> as</w:t>
      </w:r>
      <w:r w:rsidR="00D4494C">
        <w:rPr>
          <w:sz w:val="24"/>
          <w:szCs w:val="24"/>
        </w:rPr>
        <w:t xml:space="preserve"> </w:t>
      </w:r>
      <w:proofErr w:type="gramStart"/>
      <w:r w:rsidR="00D4494C">
        <w:rPr>
          <w:sz w:val="24"/>
          <w:szCs w:val="24"/>
        </w:rPr>
        <w:t>all of</w:t>
      </w:r>
      <w:proofErr w:type="gramEnd"/>
      <w:r>
        <w:rPr>
          <w:sz w:val="24"/>
          <w:szCs w:val="24"/>
        </w:rPr>
        <w:t xml:space="preserve"> these areas are census tracts with no </w:t>
      </w:r>
      <w:r w:rsidR="006F3408">
        <w:rPr>
          <w:sz w:val="24"/>
          <w:szCs w:val="24"/>
        </w:rPr>
        <w:t>built environment.</w:t>
      </w:r>
    </w:p>
    <w:p w14:paraId="18116089" w14:textId="6DE55CCA" w:rsidR="00D4494C" w:rsidRDefault="00D4494C" w:rsidP="00D4494C">
      <w:pPr>
        <w:rPr>
          <w:sz w:val="24"/>
          <w:szCs w:val="24"/>
        </w:rPr>
      </w:pPr>
      <w:r>
        <w:rPr>
          <w:sz w:val="24"/>
          <w:szCs w:val="24"/>
        </w:rPr>
        <w:t>Overall, the vulnerability metric has no</w:t>
      </w:r>
      <w:r w:rsidR="001F4F49">
        <w:rPr>
          <w:sz w:val="24"/>
          <w:szCs w:val="24"/>
        </w:rPr>
        <w:t xml:space="preserve"> extreme</w:t>
      </w:r>
      <w:r>
        <w:rPr>
          <w:sz w:val="24"/>
          <w:szCs w:val="24"/>
        </w:rPr>
        <w:t xml:space="preserve"> issues that would invalidate any analysis. While sample size does have the potential to cause noise, it is a small enough proportion of the city to not impact any overall trends. However, it does have some quantitative limitations. It is important to remember that</w:t>
      </w:r>
      <w:r>
        <w:rPr>
          <w:sz w:val="24"/>
          <w:szCs w:val="24"/>
        </w:rPr>
        <w:t xml:space="preserve"> </w:t>
      </w:r>
      <w:r>
        <w:rPr>
          <w:sz w:val="24"/>
          <w:szCs w:val="24"/>
        </w:rPr>
        <w:t>the Vulnerability</w:t>
      </w:r>
      <w:r>
        <w:rPr>
          <w:sz w:val="24"/>
          <w:szCs w:val="24"/>
        </w:rPr>
        <w:t xml:space="preserve"> is an abstract metric. Due to its cumulative nature, Vulnerability is only relevant when compared to another Census Tract</w:t>
      </w:r>
      <w:r>
        <w:rPr>
          <w:sz w:val="24"/>
          <w:szCs w:val="24"/>
        </w:rPr>
        <w:t>. This lack of tangibility may cause confusion when viewing any regression or numerical analysis.</w:t>
      </w:r>
    </w:p>
    <w:p w14:paraId="3C5B71A2" w14:textId="452DD382" w:rsidR="00D4494C" w:rsidRDefault="00D4494C">
      <w:pPr>
        <w:rPr>
          <w:sz w:val="24"/>
          <w:szCs w:val="24"/>
        </w:rPr>
      </w:pPr>
    </w:p>
    <w:p w14:paraId="0A180104" w14:textId="55EBA150" w:rsidR="00B4330D" w:rsidRDefault="00B4330D">
      <w:pPr>
        <w:rPr>
          <w:sz w:val="24"/>
          <w:szCs w:val="24"/>
        </w:rPr>
      </w:pPr>
    </w:p>
    <w:p w14:paraId="4B985001" w14:textId="2D421D51" w:rsidR="00B4330D" w:rsidRDefault="00B4330D">
      <w:pPr>
        <w:rPr>
          <w:sz w:val="24"/>
          <w:szCs w:val="24"/>
        </w:rPr>
      </w:pPr>
    </w:p>
    <w:p w14:paraId="5C6B75EE" w14:textId="21980C92" w:rsidR="00B4330D" w:rsidRDefault="00B4330D">
      <w:pPr>
        <w:rPr>
          <w:sz w:val="24"/>
          <w:szCs w:val="24"/>
        </w:rPr>
      </w:pPr>
    </w:p>
    <w:p w14:paraId="61270019" w14:textId="77777777" w:rsidR="00B4330D" w:rsidRDefault="00B4330D">
      <w:pPr>
        <w:rPr>
          <w:sz w:val="24"/>
          <w:szCs w:val="24"/>
        </w:rPr>
      </w:pPr>
    </w:p>
    <w:p w14:paraId="5C738CE6" w14:textId="642D6C5B" w:rsidR="00D4494C" w:rsidRPr="001F4F49" w:rsidRDefault="00511B03" w:rsidP="001F4F49">
      <w:pPr>
        <w:jc w:val="center"/>
        <w:rPr>
          <w:b/>
          <w:bCs/>
          <w:sz w:val="28"/>
          <w:szCs w:val="28"/>
        </w:rPr>
      </w:pPr>
      <w:r>
        <w:rPr>
          <w:b/>
          <w:bCs/>
          <w:sz w:val="28"/>
          <w:szCs w:val="28"/>
        </w:rPr>
        <w:lastRenderedPageBreak/>
        <w:t>Results &amp; Discussion</w:t>
      </w:r>
    </w:p>
    <w:p w14:paraId="6D252E89" w14:textId="7912AC93" w:rsidR="00CC43A1" w:rsidRDefault="00EA7A44" w:rsidP="00CC43A1">
      <w:pPr>
        <w:rPr>
          <w:i/>
          <w:iCs/>
          <w:sz w:val="24"/>
          <w:szCs w:val="24"/>
        </w:rPr>
      </w:pPr>
      <w:r>
        <w:rPr>
          <w:i/>
          <w:iCs/>
          <w:sz w:val="24"/>
          <w:szCs w:val="24"/>
        </w:rPr>
        <w:t>Geographic</w:t>
      </w:r>
    </w:p>
    <w:p w14:paraId="51D8738F" w14:textId="6CB3845F" w:rsidR="00EA7A44" w:rsidRDefault="00EA7A44" w:rsidP="00CC43A1">
      <w:pPr>
        <w:rPr>
          <w:sz w:val="24"/>
          <w:szCs w:val="24"/>
        </w:rPr>
      </w:pPr>
      <w:r>
        <w:rPr>
          <w:sz w:val="24"/>
          <w:szCs w:val="24"/>
        </w:rPr>
        <w:t>The following</w:t>
      </w:r>
      <w:r w:rsidR="006F3408">
        <w:rPr>
          <w:sz w:val="24"/>
          <w:szCs w:val="24"/>
        </w:rPr>
        <w:t xml:space="preserve"> figure displays the heat map of vulnerability. Note that </w:t>
      </w:r>
      <w:r w:rsidR="00D4494C">
        <w:rPr>
          <w:sz w:val="24"/>
          <w:szCs w:val="24"/>
        </w:rPr>
        <w:t xml:space="preserve">darker shades of red indicate higher </w:t>
      </w:r>
      <w:r w:rsidR="005E34AD">
        <w:rPr>
          <w:sz w:val="24"/>
          <w:szCs w:val="24"/>
        </w:rPr>
        <w:t>V</w:t>
      </w:r>
      <w:r w:rsidR="00D4494C">
        <w:rPr>
          <w:sz w:val="24"/>
          <w:szCs w:val="24"/>
        </w:rPr>
        <w:t>ulnerability</w:t>
      </w:r>
      <w:r w:rsidR="005E34AD">
        <w:rPr>
          <w:sz w:val="24"/>
          <w:szCs w:val="24"/>
        </w:rPr>
        <w:t>; since Vulnerability is abstract the scale is omitted.</w:t>
      </w:r>
    </w:p>
    <w:p w14:paraId="10C9E5D7" w14:textId="29162068" w:rsidR="005E34AD" w:rsidRDefault="005E34AD" w:rsidP="005E34AD">
      <w:pPr>
        <w:jc w:val="center"/>
        <w:rPr>
          <w:sz w:val="24"/>
          <w:szCs w:val="24"/>
        </w:rPr>
      </w:pPr>
      <w:r w:rsidRPr="005E34AD">
        <w:rPr>
          <w:sz w:val="24"/>
          <w:szCs w:val="24"/>
        </w:rPr>
        <w:drawing>
          <wp:inline distT="0" distB="0" distL="0" distR="0" wp14:anchorId="7F423403" wp14:editId="5B1580D8">
            <wp:extent cx="4473146" cy="5055478"/>
            <wp:effectExtent l="0" t="0" r="3810" b="0"/>
            <wp:docPr id="10" name="Picture 9" descr="Map&#10;&#10;Description automatically generated">
              <a:extLst xmlns:a="http://schemas.openxmlformats.org/drawingml/2006/main">
                <a:ext uri="{FF2B5EF4-FFF2-40B4-BE49-F238E27FC236}">
                  <a16:creationId xmlns:a16="http://schemas.microsoft.com/office/drawing/2014/main" id="{68BBBE01-0923-49BE-AD4A-A43D4A6518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Map&#10;&#10;Description automatically generated">
                      <a:extLst>
                        <a:ext uri="{FF2B5EF4-FFF2-40B4-BE49-F238E27FC236}">
                          <a16:creationId xmlns:a16="http://schemas.microsoft.com/office/drawing/2014/main" id="{68BBBE01-0923-49BE-AD4A-A43D4A651857}"/>
                        </a:ext>
                      </a:extLst>
                    </pic:cNvPr>
                    <pic:cNvPicPr>
                      <a:picLocks noChangeAspect="1"/>
                    </pic:cNvPicPr>
                  </pic:nvPicPr>
                  <pic:blipFill rotWithShape="1">
                    <a:blip r:embed="rId10"/>
                    <a:srcRect l="7277" r="10043"/>
                    <a:stretch/>
                  </pic:blipFill>
                  <pic:spPr>
                    <a:xfrm>
                      <a:off x="0" y="0"/>
                      <a:ext cx="4507448" cy="5094246"/>
                    </a:xfrm>
                    <a:prstGeom prst="rect">
                      <a:avLst/>
                    </a:prstGeom>
                    <a:ln w="38100">
                      <a:noFill/>
                    </a:ln>
                  </pic:spPr>
                </pic:pic>
              </a:graphicData>
            </a:graphic>
          </wp:inline>
        </w:drawing>
      </w:r>
    </w:p>
    <w:p w14:paraId="50E60FEB" w14:textId="3B8321C2" w:rsidR="005E34AD" w:rsidRDefault="005E34AD" w:rsidP="005E34AD">
      <w:pPr>
        <w:jc w:val="center"/>
        <w:rPr>
          <w:sz w:val="24"/>
          <w:szCs w:val="24"/>
        </w:rPr>
      </w:pPr>
      <w:r>
        <w:rPr>
          <w:sz w:val="24"/>
          <w:szCs w:val="24"/>
        </w:rPr>
        <w:t>Figure 3. Climate Vulnerability Map</w:t>
      </w:r>
    </w:p>
    <w:p w14:paraId="6F71AA83" w14:textId="1D8DC043" w:rsidR="005E34AD" w:rsidRDefault="005E34AD" w:rsidP="00CC43A1">
      <w:pPr>
        <w:rPr>
          <w:sz w:val="24"/>
          <w:szCs w:val="24"/>
        </w:rPr>
      </w:pPr>
      <w:r>
        <w:rPr>
          <w:sz w:val="24"/>
          <w:szCs w:val="24"/>
        </w:rPr>
        <w:t xml:space="preserve">The most vulnerable cluster of Census Tracts </w:t>
      </w:r>
      <w:proofErr w:type="gramStart"/>
      <w:r>
        <w:rPr>
          <w:sz w:val="24"/>
          <w:szCs w:val="24"/>
        </w:rPr>
        <w:t>is located in</w:t>
      </w:r>
      <w:proofErr w:type="gramEnd"/>
      <w:r>
        <w:rPr>
          <w:sz w:val="24"/>
          <w:szCs w:val="24"/>
        </w:rPr>
        <w:t xml:space="preserve"> Dorchester.</w:t>
      </w:r>
      <w:r w:rsidR="00D353F2">
        <w:rPr>
          <w:sz w:val="24"/>
          <w:szCs w:val="24"/>
        </w:rPr>
        <w:t xml:space="preserve"> Mattapan, Hyde Park and East Boston also have high vulnerability rankings. On the other hand, Back Bay, the South End and Downtown have the lowest vulnerability rankings.</w:t>
      </w:r>
    </w:p>
    <w:p w14:paraId="004491F7" w14:textId="2CBFA515" w:rsidR="005E34AD" w:rsidRPr="00EA7A44" w:rsidRDefault="005E34AD" w:rsidP="00CC43A1">
      <w:pPr>
        <w:rPr>
          <w:sz w:val="24"/>
          <w:szCs w:val="24"/>
        </w:rPr>
      </w:pPr>
      <w:r>
        <w:rPr>
          <w:sz w:val="24"/>
          <w:szCs w:val="24"/>
        </w:rPr>
        <w:t xml:space="preserve">Note that there is some noise as anticipated in </w:t>
      </w:r>
      <w:r>
        <w:rPr>
          <w:b/>
          <w:bCs/>
          <w:sz w:val="24"/>
          <w:szCs w:val="24"/>
        </w:rPr>
        <w:t>Metric Creation: Validation</w:t>
      </w:r>
      <w:r>
        <w:rPr>
          <w:sz w:val="24"/>
          <w:szCs w:val="24"/>
        </w:rPr>
        <w:t>.</w:t>
      </w:r>
      <w:r w:rsidR="001768CD">
        <w:rPr>
          <w:sz w:val="24"/>
          <w:szCs w:val="24"/>
        </w:rPr>
        <w:t xml:space="preserve"> T</w:t>
      </w:r>
      <w:r>
        <w:rPr>
          <w:sz w:val="24"/>
          <w:szCs w:val="24"/>
        </w:rPr>
        <w:t xml:space="preserve">he </w:t>
      </w:r>
      <w:r w:rsidR="001768CD">
        <w:rPr>
          <w:sz w:val="24"/>
          <w:szCs w:val="24"/>
        </w:rPr>
        <w:t xml:space="preserve">highest vulnerability </w:t>
      </w:r>
      <w:r>
        <w:rPr>
          <w:sz w:val="24"/>
          <w:szCs w:val="24"/>
        </w:rPr>
        <w:t>in the city (</w:t>
      </w:r>
      <w:r w:rsidR="00BC7244">
        <w:rPr>
          <w:sz w:val="24"/>
          <w:szCs w:val="24"/>
        </w:rPr>
        <w:t xml:space="preserve">see </w:t>
      </w:r>
      <w:r>
        <w:rPr>
          <w:sz w:val="24"/>
          <w:szCs w:val="24"/>
        </w:rPr>
        <w:t xml:space="preserve">Jamaica Plain) </w:t>
      </w:r>
      <w:r w:rsidR="001768CD">
        <w:rPr>
          <w:sz w:val="24"/>
          <w:szCs w:val="24"/>
        </w:rPr>
        <w:t>belongs to a tract</w:t>
      </w:r>
      <w:r>
        <w:rPr>
          <w:sz w:val="24"/>
          <w:szCs w:val="24"/>
        </w:rPr>
        <w:t xml:space="preserve"> mostly occupied by the Arnold Arboretum. </w:t>
      </w:r>
      <w:r w:rsidR="00D353F2">
        <w:rPr>
          <w:sz w:val="24"/>
          <w:szCs w:val="24"/>
        </w:rPr>
        <w:t xml:space="preserve">Since there isn’t much built environment here, the </w:t>
      </w:r>
      <w:r w:rsidR="00BC7244">
        <w:rPr>
          <w:sz w:val="24"/>
          <w:szCs w:val="24"/>
        </w:rPr>
        <w:t xml:space="preserve">individual </w:t>
      </w:r>
      <w:r w:rsidR="00D353F2">
        <w:rPr>
          <w:sz w:val="24"/>
          <w:szCs w:val="24"/>
        </w:rPr>
        <w:t xml:space="preserve">permits </w:t>
      </w:r>
      <w:r w:rsidR="00BC7244">
        <w:rPr>
          <w:sz w:val="24"/>
          <w:szCs w:val="24"/>
        </w:rPr>
        <w:t>filed</w:t>
      </w:r>
      <w:r w:rsidR="00D353F2">
        <w:rPr>
          <w:sz w:val="24"/>
          <w:szCs w:val="24"/>
        </w:rPr>
        <w:t xml:space="preserve"> </w:t>
      </w:r>
      <w:r w:rsidR="00BC7244">
        <w:rPr>
          <w:sz w:val="24"/>
          <w:szCs w:val="24"/>
        </w:rPr>
        <w:t>have an extreme impact on the tract’s overall Vulnerability.</w:t>
      </w:r>
    </w:p>
    <w:p w14:paraId="6CC54D3D" w14:textId="122289E2" w:rsidR="00EA7A44" w:rsidRDefault="00EA7A44" w:rsidP="00CC43A1">
      <w:pPr>
        <w:rPr>
          <w:i/>
          <w:iCs/>
          <w:sz w:val="24"/>
          <w:szCs w:val="24"/>
        </w:rPr>
      </w:pPr>
      <w:r>
        <w:rPr>
          <w:i/>
          <w:iCs/>
          <w:sz w:val="24"/>
          <w:szCs w:val="24"/>
        </w:rPr>
        <w:lastRenderedPageBreak/>
        <w:t>Trends</w:t>
      </w:r>
      <w:r w:rsidR="00BC7244">
        <w:rPr>
          <w:i/>
          <w:iCs/>
          <w:sz w:val="24"/>
          <w:szCs w:val="24"/>
        </w:rPr>
        <w:t>: Exploratory Analysis</w:t>
      </w:r>
    </w:p>
    <w:p w14:paraId="09257EAE" w14:textId="6EB6C8FB" w:rsidR="00BC7244" w:rsidRDefault="00BC7244" w:rsidP="00CC43A1">
      <w:pPr>
        <w:rPr>
          <w:sz w:val="24"/>
          <w:szCs w:val="24"/>
        </w:rPr>
      </w:pPr>
      <w:r>
        <w:rPr>
          <w:sz w:val="24"/>
          <w:szCs w:val="24"/>
        </w:rPr>
        <w:t>To explore overal</w:t>
      </w:r>
      <w:r w:rsidR="00F30466">
        <w:rPr>
          <w:sz w:val="24"/>
          <w:szCs w:val="24"/>
        </w:rPr>
        <w:t xml:space="preserve">l trends in the distribution of Vulnerability, the </w:t>
      </w:r>
      <w:r w:rsidR="004F680D">
        <w:rPr>
          <w:sz w:val="24"/>
          <w:szCs w:val="24"/>
        </w:rPr>
        <w:t>census level data is merged with</w:t>
      </w:r>
      <w:r w:rsidR="00F30466">
        <w:rPr>
          <w:sz w:val="24"/>
          <w:szCs w:val="24"/>
        </w:rPr>
        <w:t xml:space="preserve"> the Climate Ready Boston Social Vulnerability Index. </w:t>
      </w:r>
      <w:r w:rsidR="004F680D">
        <w:rPr>
          <w:sz w:val="24"/>
          <w:szCs w:val="24"/>
        </w:rPr>
        <w:t xml:space="preserve">A </w:t>
      </w:r>
      <w:r w:rsidR="004F680D">
        <w:rPr>
          <w:sz w:val="24"/>
          <w:szCs w:val="24"/>
        </w:rPr>
        <w:softHyphen/>
      </w:r>
      <w:r w:rsidR="00A87D51">
        <w:rPr>
          <w:sz w:val="24"/>
          <w:szCs w:val="24"/>
        </w:rPr>
        <w:t>scatterplot matrix</w:t>
      </w:r>
      <w:r w:rsidR="004F680D">
        <w:rPr>
          <w:sz w:val="24"/>
          <w:szCs w:val="24"/>
        </w:rPr>
        <w:t xml:space="preserve"> is created to identify features of interest.</w:t>
      </w:r>
      <w:r w:rsidR="00A87D51">
        <w:rPr>
          <w:sz w:val="24"/>
          <w:szCs w:val="24"/>
        </w:rPr>
        <w:t xml:space="preserve"> </w:t>
      </w:r>
    </w:p>
    <w:p w14:paraId="31A8A94D" w14:textId="75492504" w:rsidR="004F680D" w:rsidRDefault="00A87D51" w:rsidP="00CC43A1">
      <w:pPr>
        <w:rPr>
          <w:sz w:val="24"/>
          <w:szCs w:val="24"/>
        </w:rPr>
      </w:pPr>
      <w:r>
        <w:rPr>
          <w:noProof/>
        </w:rPr>
        <w:drawing>
          <wp:inline distT="0" distB="0" distL="0" distR="0" wp14:anchorId="18B34B9C" wp14:editId="4C5F656B">
            <wp:extent cx="6045547" cy="2446638"/>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stretch>
                      <a:fillRect/>
                    </a:stretch>
                  </pic:blipFill>
                  <pic:spPr>
                    <a:xfrm>
                      <a:off x="0" y="0"/>
                      <a:ext cx="6060433" cy="2452663"/>
                    </a:xfrm>
                    <a:prstGeom prst="rect">
                      <a:avLst/>
                    </a:prstGeom>
                  </pic:spPr>
                </pic:pic>
              </a:graphicData>
            </a:graphic>
          </wp:inline>
        </w:drawing>
      </w:r>
    </w:p>
    <w:p w14:paraId="121DF095" w14:textId="181E1B6B" w:rsidR="00A87D51" w:rsidRDefault="00A87D51" w:rsidP="00A87D51">
      <w:pPr>
        <w:jc w:val="center"/>
        <w:rPr>
          <w:sz w:val="24"/>
          <w:szCs w:val="24"/>
        </w:rPr>
      </w:pPr>
      <w:r>
        <w:rPr>
          <w:sz w:val="24"/>
          <w:szCs w:val="24"/>
        </w:rPr>
        <w:t xml:space="preserve">Figure </w:t>
      </w:r>
      <w:r w:rsidR="007054B5">
        <w:rPr>
          <w:sz w:val="24"/>
          <w:szCs w:val="24"/>
        </w:rPr>
        <w:t>4</w:t>
      </w:r>
      <w:r>
        <w:rPr>
          <w:sz w:val="24"/>
          <w:szCs w:val="24"/>
        </w:rPr>
        <w:t>. Exploratory Analysis between Climate &amp; Social Vulnerability</w:t>
      </w:r>
    </w:p>
    <w:p w14:paraId="2A3C4D20" w14:textId="3A7B51E5" w:rsidR="004F680D" w:rsidRDefault="004F680D" w:rsidP="00CC43A1">
      <w:pPr>
        <w:rPr>
          <w:sz w:val="24"/>
          <w:szCs w:val="24"/>
        </w:rPr>
      </w:pPr>
      <w:r>
        <w:rPr>
          <w:sz w:val="24"/>
          <w:szCs w:val="24"/>
        </w:rPr>
        <w:t xml:space="preserve">From the </w:t>
      </w:r>
      <w:r w:rsidR="00A87D51">
        <w:rPr>
          <w:sz w:val="24"/>
          <w:szCs w:val="24"/>
        </w:rPr>
        <w:t>figure above</w:t>
      </w:r>
      <w:r>
        <w:rPr>
          <w:sz w:val="24"/>
          <w:szCs w:val="24"/>
        </w:rPr>
        <w:t xml:space="preserve">, the most </w:t>
      </w:r>
      <w:r w:rsidR="00DA0704">
        <w:rPr>
          <w:sz w:val="24"/>
          <w:szCs w:val="24"/>
        </w:rPr>
        <w:t xml:space="preserve">strongly </w:t>
      </w:r>
      <w:r>
        <w:rPr>
          <w:sz w:val="24"/>
          <w:szCs w:val="24"/>
        </w:rPr>
        <w:t xml:space="preserve">related feature is </w:t>
      </w:r>
      <w:r w:rsidRPr="00B4330D">
        <w:rPr>
          <w:b/>
          <w:bCs/>
          <w:sz w:val="24"/>
          <w:szCs w:val="24"/>
        </w:rPr>
        <w:t>POC2</w:t>
      </w:r>
      <w:r>
        <w:rPr>
          <w:sz w:val="24"/>
          <w:szCs w:val="24"/>
        </w:rPr>
        <w:t xml:space="preserve">, which represents the Proportion of People of Color in any given census tract. Some other features that display significant </w:t>
      </w:r>
      <w:r w:rsidR="00984E81">
        <w:rPr>
          <w:sz w:val="24"/>
          <w:szCs w:val="24"/>
        </w:rPr>
        <w:t xml:space="preserve">positive </w:t>
      </w:r>
      <w:r>
        <w:rPr>
          <w:sz w:val="24"/>
          <w:szCs w:val="24"/>
        </w:rPr>
        <w:t xml:space="preserve">relationships are </w:t>
      </w:r>
      <w:proofErr w:type="spellStart"/>
      <w:r w:rsidRPr="006F7D03">
        <w:rPr>
          <w:b/>
          <w:bCs/>
          <w:sz w:val="24"/>
          <w:szCs w:val="24"/>
        </w:rPr>
        <w:t>TotDis</w:t>
      </w:r>
      <w:proofErr w:type="spellEnd"/>
      <w:r>
        <w:rPr>
          <w:sz w:val="24"/>
          <w:szCs w:val="24"/>
        </w:rPr>
        <w:t xml:space="preserve"> and </w:t>
      </w:r>
      <w:proofErr w:type="spellStart"/>
      <w:r w:rsidRPr="006F7D03">
        <w:rPr>
          <w:b/>
          <w:bCs/>
          <w:sz w:val="24"/>
          <w:szCs w:val="24"/>
        </w:rPr>
        <w:t>TotChild</w:t>
      </w:r>
      <w:proofErr w:type="spellEnd"/>
      <w:r>
        <w:rPr>
          <w:sz w:val="24"/>
          <w:szCs w:val="24"/>
        </w:rPr>
        <w:t>, which represent the proportion of People with Disabilities and the Proportion of Children, respectively.</w:t>
      </w:r>
      <w:r w:rsidR="00DA0704">
        <w:rPr>
          <w:sz w:val="24"/>
          <w:szCs w:val="24"/>
        </w:rPr>
        <w:t xml:space="preserve"> </w:t>
      </w:r>
      <w:r w:rsidR="00984E81">
        <w:rPr>
          <w:sz w:val="24"/>
          <w:szCs w:val="24"/>
        </w:rPr>
        <w:t xml:space="preserve">Interestingly, </w:t>
      </w:r>
      <w:r w:rsidR="006F7D03">
        <w:rPr>
          <w:sz w:val="24"/>
          <w:szCs w:val="24"/>
        </w:rPr>
        <w:t xml:space="preserve">there is one category with a significant negative relationship: </w:t>
      </w:r>
      <w:proofErr w:type="spellStart"/>
      <w:r w:rsidR="006F7D03" w:rsidRPr="006F7D03">
        <w:rPr>
          <w:b/>
          <w:bCs/>
          <w:sz w:val="24"/>
          <w:szCs w:val="24"/>
        </w:rPr>
        <w:t>MedIllness</w:t>
      </w:r>
      <w:proofErr w:type="spellEnd"/>
      <w:r w:rsidR="006F7D03">
        <w:rPr>
          <w:sz w:val="24"/>
          <w:szCs w:val="24"/>
        </w:rPr>
        <w:t xml:space="preserve"> (medical illness). It is likely that this relationship is a result of response bias due to an underreporting of certain diseases in disadvantaged communities. </w:t>
      </w:r>
    </w:p>
    <w:p w14:paraId="5B0C5873" w14:textId="37437C9B" w:rsidR="00BC7244" w:rsidRDefault="006F7D03" w:rsidP="00CC43A1">
      <w:pPr>
        <w:rPr>
          <w:sz w:val="24"/>
          <w:szCs w:val="24"/>
        </w:rPr>
      </w:pPr>
      <w:r>
        <w:rPr>
          <w:sz w:val="24"/>
          <w:szCs w:val="24"/>
        </w:rPr>
        <w:t>Because of the strength of the trend (and prior support</w:t>
      </w:r>
      <w:r w:rsidR="00A87D51">
        <w:rPr>
          <w:sz w:val="24"/>
          <w:szCs w:val="24"/>
        </w:rPr>
        <w:t>ing research</w:t>
      </w:r>
      <w:r>
        <w:rPr>
          <w:sz w:val="24"/>
          <w:szCs w:val="24"/>
        </w:rPr>
        <w:t xml:space="preserve">) </w:t>
      </w:r>
      <w:r w:rsidR="00A87D51">
        <w:rPr>
          <w:sz w:val="24"/>
          <w:szCs w:val="24"/>
        </w:rPr>
        <w:t>t</w:t>
      </w:r>
      <w:r>
        <w:rPr>
          <w:sz w:val="24"/>
          <w:szCs w:val="24"/>
        </w:rPr>
        <w:t>he next few sections of the paper will dive deeper into the relationship between Proportion of People of Color and Vulnerability.</w:t>
      </w:r>
    </w:p>
    <w:p w14:paraId="61D668DF" w14:textId="7DCA26F4" w:rsidR="00BC7244" w:rsidRDefault="00BC7244" w:rsidP="00BC7244">
      <w:pPr>
        <w:rPr>
          <w:i/>
          <w:iCs/>
          <w:sz w:val="24"/>
          <w:szCs w:val="24"/>
        </w:rPr>
      </w:pPr>
      <w:r>
        <w:rPr>
          <w:i/>
          <w:iCs/>
          <w:sz w:val="24"/>
          <w:szCs w:val="24"/>
        </w:rPr>
        <w:t>Trend</w:t>
      </w:r>
      <w:r>
        <w:rPr>
          <w:i/>
          <w:iCs/>
          <w:sz w:val="24"/>
          <w:szCs w:val="24"/>
        </w:rPr>
        <w:t>s</w:t>
      </w:r>
      <w:r>
        <w:rPr>
          <w:i/>
          <w:iCs/>
          <w:sz w:val="24"/>
          <w:szCs w:val="24"/>
        </w:rPr>
        <w:t xml:space="preserve">: </w:t>
      </w:r>
      <w:r>
        <w:rPr>
          <w:i/>
          <w:iCs/>
          <w:sz w:val="24"/>
          <w:szCs w:val="24"/>
        </w:rPr>
        <w:t xml:space="preserve">Racial Correlation </w:t>
      </w:r>
    </w:p>
    <w:p w14:paraId="2F60267C" w14:textId="2014218B" w:rsidR="00BC7244" w:rsidRDefault="001768CD" w:rsidP="001768CD">
      <w:pPr>
        <w:tabs>
          <w:tab w:val="left" w:pos="2448"/>
        </w:tabs>
        <w:rPr>
          <w:sz w:val="24"/>
          <w:szCs w:val="24"/>
        </w:rPr>
      </w:pPr>
      <w:r>
        <w:rPr>
          <w:sz w:val="24"/>
          <w:szCs w:val="24"/>
        </w:rPr>
        <w:t xml:space="preserve">A </w:t>
      </w:r>
      <w:r w:rsidR="00E674FC">
        <w:rPr>
          <w:sz w:val="24"/>
          <w:szCs w:val="24"/>
        </w:rPr>
        <w:t>simple</w:t>
      </w:r>
      <w:r>
        <w:rPr>
          <w:sz w:val="24"/>
          <w:szCs w:val="24"/>
        </w:rPr>
        <w:t xml:space="preserve"> geographic visualization </w:t>
      </w:r>
      <w:r w:rsidR="00E674FC">
        <w:rPr>
          <w:sz w:val="24"/>
          <w:szCs w:val="24"/>
        </w:rPr>
        <w:t>provides some</w:t>
      </w:r>
      <w:r>
        <w:rPr>
          <w:sz w:val="24"/>
          <w:szCs w:val="24"/>
        </w:rPr>
        <w:t xml:space="preserve"> </w:t>
      </w:r>
      <w:r w:rsidR="00E674FC">
        <w:rPr>
          <w:sz w:val="24"/>
          <w:szCs w:val="24"/>
        </w:rPr>
        <w:t xml:space="preserve">more </w:t>
      </w:r>
      <w:r>
        <w:rPr>
          <w:sz w:val="24"/>
          <w:szCs w:val="24"/>
        </w:rPr>
        <w:t xml:space="preserve">context to </w:t>
      </w:r>
      <w:r w:rsidR="00E674FC">
        <w:rPr>
          <w:sz w:val="24"/>
          <w:szCs w:val="24"/>
        </w:rPr>
        <w:t>this</w:t>
      </w:r>
      <w:r>
        <w:rPr>
          <w:sz w:val="24"/>
          <w:szCs w:val="24"/>
        </w:rPr>
        <w:t xml:space="preserve"> relationship.</w:t>
      </w:r>
    </w:p>
    <w:p w14:paraId="79A24EAB" w14:textId="71EF57B7" w:rsidR="004F680D" w:rsidRDefault="004F680D" w:rsidP="00E674FC">
      <w:pPr>
        <w:tabs>
          <w:tab w:val="left" w:pos="2448"/>
        </w:tabs>
        <w:rPr>
          <w:sz w:val="24"/>
          <w:szCs w:val="24"/>
        </w:rPr>
      </w:pPr>
    </w:p>
    <w:p w14:paraId="099F8901" w14:textId="77777777" w:rsidR="007054B5" w:rsidRDefault="007054B5" w:rsidP="00DB38CE">
      <w:pPr>
        <w:tabs>
          <w:tab w:val="left" w:pos="2448"/>
        </w:tabs>
        <w:jc w:val="center"/>
        <w:rPr>
          <w:sz w:val="24"/>
          <w:szCs w:val="24"/>
        </w:rPr>
      </w:pPr>
    </w:p>
    <w:p w14:paraId="48C642F5" w14:textId="51EC971F" w:rsidR="001768CD" w:rsidRDefault="00DB38CE" w:rsidP="00DB38CE">
      <w:pPr>
        <w:tabs>
          <w:tab w:val="left" w:pos="2448"/>
        </w:tabs>
        <w:jc w:val="center"/>
        <w:rPr>
          <w:sz w:val="24"/>
          <w:szCs w:val="24"/>
        </w:rPr>
      </w:pPr>
      <w:r w:rsidRPr="001768CD">
        <w:rPr>
          <w:sz w:val="24"/>
          <w:szCs w:val="24"/>
        </w:rPr>
        <w:lastRenderedPageBreak/>
        <w:drawing>
          <wp:anchor distT="0" distB="0" distL="114300" distR="114300" simplePos="0" relativeHeight="251659264" behindDoc="0" locked="0" layoutInCell="1" allowOverlap="1" wp14:anchorId="009B00E4" wp14:editId="706A144A">
            <wp:simplePos x="0" y="0"/>
            <wp:positionH relativeFrom="margin">
              <wp:posOffset>2868930</wp:posOffset>
            </wp:positionH>
            <wp:positionV relativeFrom="paragraph">
              <wp:align>top</wp:align>
            </wp:positionV>
            <wp:extent cx="2946400" cy="3329940"/>
            <wp:effectExtent l="0" t="0" r="6350" b="3810"/>
            <wp:wrapSquare wrapText="bothSides"/>
            <wp:docPr id="4" name="Picture 3" descr="Map&#10;&#10;Description automatically generated">
              <a:extLst xmlns:a="http://schemas.openxmlformats.org/drawingml/2006/main">
                <a:ext uri="{FF2B5EF4-FFF2-40B4-BE49-F238E27FC236}">
                  <a16:creationId xmlns:a16="http://schemas.microsoft.com/office/drawing/2014/main" id="{3DF4398A-2BC8-4719-AF38-4B5E58E005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p&#10;&#10;Description automatically generated">
                      <a:extLst>
                        <a:ext uri="{FF2B5EF4-FFF2-40B4-BE49-F238E27FC236}">
                          <a16:creationId xmlns:a16="http://schemas.microsoft.com/office/drawing/2014/main" id="{3DF4398A-2BC8-4719-AF38-4B5E58E005BD}"/>
                        </a:ext>
                      </a:extLst>
                    </pic:cNvPr>
                    <pic:cNvPicPr>
                      <a:picLocks noChangeAspect="1"/>
                    </pic:cNvPicPr>
                  </pic:nvPicPr>
                  <pic:blipFill rotWithShape="1">
                    <a:blip r:embed="rId10"/>
                    <a:srcRect l="7277" r="10043"/>
                    <a:stretch/>
                  </pic:blipFill>
                  <pic:spPr>
                    <a:xfrm>
                      <a:off x="0" y="0"/>
                      <a:ext cx="2946400" cy="3329940"/>
                    </a:xfrm>
                    <a:prstGeom prst="rect">
                      <a:avLst/>
                    </a:prstGeom>
                    <a:ln w="38100">
                      <a:noFill/>
                    </a:ln>
                  </pic:spPr>
                </pic:pic>
              </a:graphicData>
            </a:graphic>
            <wp14:sizeRelH relativeFrom="margin">
              <wp14:pctWidth>0</wp14:pctWidth>
            </wp14:sizeRelH>
            <wp14:sizeRelV relativeFrom="margin">
              <wp14:pctHeight>0</wp14:pctHeight>
            </wp14:sizeRelV>
          </wp:anchor>
        </w:drawing>
      </w:r>
      <w:r w:rsidRPr="001768CD">
        <w:rPr>
          <w:sz w:val="24"/>
          <w:szCs w:val="24"/>
        </w:rPr>
        <w:drawing>
          <wp:anchor distT="0" distB="0" distL="114300" distR="114300" simplePos="0" relativeHeight="251660288" behindDoc="0" locked="0" layoutInCell="1" allowOverlap="1" wp14:anchorId="5A6F94DE" wp14:editId="30993E64">
            <wp:simplePos x="0" y="0"/>
            <wp:positionH relativeFrom="margin">
              <wp:posOffset>182880</wp:posOffset>
            </wp:positionH>
            <wp:positionV relativeFrom="paragraph">
              <wp:align>top</wp:align>
            </wp:positionV>
            <wp:extent cx="2667635" cy="3338195"/>
            <wp:effectExtent l="0" t="0" r="0" b="0"/>
            <wp:wrapSquare wrapText="bothSides"/>
            <wp:docPr id="5" name="Picture 4" descr="Map&#10;&#10;Description automatically generated">
              <a:extLst xmlns:a="http://schemas.openxmlformats.org/drawingml/2006/main">
                <a:ext uri="{FF2B5EF4-FFF2-40B4-BE49-F238E27FC236}">
                  <a16:creationId xmlns:a16="http://schemas.microsoft.com/office/drawing/2014/main" id="{7AA4248D-DA2F-477A-9155-41596CBB3A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p&#10;&#10;Description automatically generated">
                      <a:extLst>
                        <a:ext uri="{FF2B5EF4-FFF2-40B4-BE49-F238E27FC236}">
                          <a16:creationId xmlns:a16="http://schemas.microsoft.com/office/drawing/2014/main" id="{7AA4248D-DA2F-477A-9155-41596CBB3A62}"/>
                        </a:ext>
                      </a:extLst>
                    </pic:cNvPr>
                    <pic:cNvPicPr>
                      <a:picLocks noChangeAspect="1"/>
                    </pic:cNvPicPr>
                  </pic:nvPicPr>
                  <pic:blipFill rotWithShape="1">
                    <a:blip r:embed="rId12"/>
                    <a:srcRect b="800"/>
                    <a:stretch/>
                  </pic:blipFill>
                  <pic:spPr>
                    <a:xfrm>
                      <a:off x="0" y="0"/>
                      <a:ext cx="2667635" cy="3338195"/>
                    </a:xfrm>
                    <a:prstGeom prst="rect">
                      <a:avLst/>
                    </a:prstGeom>
                    <a:ln w="38100">
                      <a:noFill/>
                    </a:ln>
                  </pic:spPr>
                </pic:pic>
              </a:graphicData>
            </a:graphic>
            <wp14:sizeRelH relativeFrom="margin">
              <wp14:pctWidth>0</wp14:pctWidth>
            </wp14:sizeRelH>
            <wp14:sizeRelV relativeFrom="margin">
              <wp14:pctHeight>0</wp14:pctHeight>
            </wp14:sizeRelV>
          </wp:anchor>
        </w:drawing>
      </w:r>
      <w:r w:rsidR="007054B5">
        <w:rPr>
          <w:sz w:val="24"/>
          <w:szCs w:val="24"/>
        </w:rPr>
        <w:t xml:space="preserve">                                                                                           </w:t>
      </w:r>
      <w:r>
        <w:rPr>
          <w:sz w:val="24"/>
          <w:szCs w:val="24"/>
        </w:rPr>
        <w:t xml:space="preserve">Figure </w:t>
      </w:r>
      <w:r w:rsidR="007054B5">
        <w:rPr>
          <w:sz w:val="24"/>
          <w:szCs w:val="24"/>
        </w:rPr>
        <w:t>5</w:t>
      </w:r>
      <w:r>
        <w:rPr>
          <w:sz w:val="24"/>
          <w:szCs w:val="24"/>
        </w:rPr>
        <w:t>. Vulnerability &amp; People of Color Comparison</w:t>
      </w:r>
    </w:p>
    <w:p w14:paraId="5665B222" w14:textId="38B94849" w:rsidR="00DB38CE" w:rsidRDefault="00B4330D" w:rsidP="00BC7244">
      <w:pPr>
        <w:rPr>
          <w:sz w:val="24"/>
          <w:szCs w:val="24"/>
        </w:rPr>
      </w:pPr>
      <w:r>
        <w:rPr>
          <w:sz w:val="24"/>
          <w:szCs w:val="24"/>
        </w:rPr>
        <w:t xml:space="preserve">On the demographic map one can see the results of spatial segregation, most majority POC tracts </w:t>
      </w:r>
      <w:proofErr w:type="gramStart"/>
      <w:r>
        <w:rPr>
          <w:sz w:val="24"/>
          <w:szCs w:val="24"/>
        </w:rPr>
        <w:t>are located in</w:t>
      </w:r>
      <w:proofErr w:type="gramEnd"/>
      <w:r>
        <w:rPr>
          <w:sz w:val="24"/>
          <w:szCs w:val="24"/>
        </w:rPr>
        <w:t xml:space="preserve"> Dorchester, Roxbury and Hyde Park. One can also see a resemblance to vulnerability, with the most vulnerable areas lining up with yellow tracts (&gt;90% POC). </w:t>
      </w:r>
      <w:r w:rsidR="00DB38CE">
        <w:rPr>
          <w:sz w:val="24"/>
          <w:szCs w:val="24"/>
        </w:rPr>
        <w:t xml:space="preserve">To quantify this relationship, a linear regression is created. The resulting visualization and model </w:t>
      </w:r>
      <w:r w:rsidR="00860554">
        <w:rPr>
          <w:sz w:val="24"/>
          <w:szCs w:val="24"/>
        </w:rPr>
        <w:t>output</w:t>
      </w:r>
      <w:r w:rsidR="00DB38CE">
        <w:rPr>
          <w:sz w:val="24"/>
          <w:szCs w:val="24"/>
        </w:rPr>
        <w:t xml:space="preserve"> </w:t>
      </w:r>
      <w:r w:rsidR="00860554">
        <w:rPr>
          <w:sz w:val="24"/>
          <w:szCs w:val="24"/>
        </w:rPr>
        <w:t>is</w:t>
      </w:r>
      <w:r w:rsidR="00DB38CE">
        <w:rPr>
          <w:sz w:val="24"/>
          <w:szCs w:val="24"/>
        </w:rPr>
        <w:t xml:space="preserve"> shown below.</w:t>
      </w:r>
      <w:r w:rsidR="004E21B7">
        <w:rPr>
          <w:sz w:val="24"/>
          <w:szCs w:val="24"/>
        </w:rPr>
        <w:t xml:space="preserve"> </w:t>
      </w:r>
    </w:p>
    <w:p w14:paraId="50181BC6" w14:textId="62D47315" w:rsidR="00DB38CE" w:rsidRDefault="00DB38CE" w:rsidP="00DB38CE">
      <w:pPr>
        <w:jc w:val="center"/>
        <w:rPr>
          <w:sz w:val="24"/>
          <w:szCs w:val="24"/>
        </w:rPr>
      </w:pPr>
      <w:r w:rsidRPr="00DB38CE">
        <w:rPr>
          <w:sz w:val="24"/>
          <w:szCs w:val="24"/>
        </w:rPr>
        <w:drawing>
          <wp:inline distT="0" distB="0" distL="0" distR="0" wp14:anchorId="00EC50E0" wp14:editId="2B399317">
            <wp:extent cx="4891120" cy="2934672"/>
            <wp:effectExtent l="0" t="0" r="5080" b="0"/>
            <wp:docPr id="1" name="Picture 3" descr="Chart, scatter chart&#10;&#10;Description automatically generated">
              <a:extLst xmlns:a="http://schemas.openxmlformats.org/drawingml/2006/main">
                <a:ext uri="{FF2B5EF4-FFF2-40B4-BE49-F238E27FC236}">
                  <a16:creationId xmlns:a16="http://schemas.microsoft.com/office/drawing/2014/main" id="{2C9EF8BD-19B0-4BFB-82B2-8E7C527A7F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 scatter chart&#10;&#10;Description automatically generated">
                      <a:extLst>
                        <a:ext uri="{FF2B5EF4-FFF2-40B4-BE49-F238E27FC236}">
                          <a16:creationId xmlns:a16="http://schemas.microsoft.com/office/drawing/2014/main" id="{2C9EF8BD-19B0-4BFB-82B2-8E7C527A7F90}"/>
                        </a:ext>
                      </a:extLst>
                    </pic:cNvPr>
                    <pic:cNvPicPr>
                      <a:picLocks noChangeAspect="1"/>
                    </pic:cNvPicPr>
                  </pic:nvPicPr>
                  <pic:blipFill>
                    <a:blip r:embed="rId13"/>
                    <a:stretch>
                      <a:fillRect/>
                    </a:stretch>
                  </pic:blipFill>
                  <pic:spPr>
                    <a:xfrm>
                      <a:off x="0" y="0"/>
                      <a:ext cx="4906477" cy="2943886"/>
                    </a:xfrm>
                    <a:prstGeom prst="rect">
                      <a:avLst/>
                    </a:prstGeom>
                  </pic:spPr>
                </pic:pic>
              </a:graphicData>
            </a:graphic>
          </wp:inline>
        </w:drawing>
      </w:r>
    </w:p>
    <w:p w14:paraId="0B4FDC47" w14:textId="2F2D5882" w:rsidR="00DB38CE" w:rsidRDefault="00DB38CE" w:rsidP="00DB38CE">
      <w:pPr>
        <w:jc w:val="center"/>
        <w:rPr>
          <w:sz w:val="24"/>
          <w:szCs w:val="24"/>
        </w:rPr>
      </w:pPr>
      <w:r>
        <w:rPr>
          <w:sz w:val="24"/>
          <w:szCs w:val="24"/>
        </w:rPr>
        <w:t xml:space="preserve">Figure </w:t>
      </w:r>
      <w:r w:rsidR="007054B5">
        <w:rPr>
          <w:sz w:val="24"/>
          <w:szCs w:val="24"/>
        </w:rPr>
        <w:t>6</w:t>
      </w:r>
      <w:r w:rsidR="00017568">
        <w:rPr>
          <w:sz w:val="24"/>
          <w:szCs w:val="24"/>
        </w:rPr>
        <w:t>. POC and Vulnerability Regression</w:t>
      </w:r>
    </w:p>
    <w:p w14:paraId="54AD5A24" w14:textId="1967F9C3" w:rsidR="00017568" w:rsidRDefault="00017568" w:rsidP="00DB38CE">
      <w:pPr>
        <w:jc w:val="center"/>
        <w:rPr>
          <w:sz w:val="24"/>
          <w:szCs w:val="24"/>
        </w:rPr>
      </w:pPr>
    </w:p>
    <w:p w14:paraId="44E569C8" w14:textId="36B06241" w:rsidR="00017568" w:rsidRDefault="00017568" w:rsidP="00DB38CE">
      <w:pPr>
        <w:jc w:val="center"/>
        <w:rPr>
          <w:sz w:val="24"/>
          <w:szCs w:val="24"/>
        </w:rPr>
      </w:pPr>
      <w:r>
        <w:rPr>
          <w:noProof/>
        </w:rPr>
        <w:drawing>
          <wp:inline distT="0" distB="0" distL="0" distR="0" wp14:anchorId="743C7C37" wp14:editId="4F7650C7">
            <wp:extent cx="4886325" cy="2705100"/>
            <wp:effectExtent l="0" t="0" r="952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stretch>
                      <a:fillRect/>
                    </a:stretch>
                  </pic:blipFill>
                  <pic:spPr>
                    <a:xfrm>
                      <a:off x="0" y="0"/>
                      <a:ext cx="4886325" cy="2705100"/>
                    </a:xfrm>
                    <a:prstGeom prst="rect">
                      <a:avLst/>
                    </a:prstGeom>
                  </pic:spPr>
                </pic:pic>
              </a:graphicData>
            </a:graphic>
          </wp:inline>
        </w:drawing>
      </w:r>
    </w:p>
    <w:p w14:paraId="5C5CBF1D" w14:textId="6DB0E5D9" w:rsidR="00017568" w:rsidRDefault="00017568" w:rsidP="00017568">
      <w:pPr>
        <w:jc w:val="center"/>
        <w:rPr>
          <w:sz w:val="24"/>
          <w:szCs w:val="24"/>
        </w:rPr>
      </w:pPr>
      <w:r>
        <w:rPr>
          <w:sz w:val="24"/>
          <w:szCs w:val="24"/>
        </w:rPr>
        <w:t xml:space="preserve">Figure </w:t>
      </w:r>
      <w:r w:rsidR="007054B5">
        <w:rPr>
          <w:sz w:val="24"/>
          <w:szCs w:val="24"/>
        </w:rPr>
        <w:t>7</w:t>
      </w:r>
      <w:r>
        <w:rPr>
          <w:sz w:val="24"/>
          <w:szCs w:val="24"/>
        </w:rPr>
        <w:t xml:space="preserve">. POC and Vulnerability </w:t>
      </w:r>
      <w:r>
        <w:rPr>
          <w:sz w:val="24"/>
          <w:szCs w:val="24"/>
        </w:rPr>
        <w:t>Output Parameters</w:t>
      </w:r>
    </w:p>
    <w:p w14:paraId="27B620BF" w14:textId="42B02961" w:rsidR="00017568" w:rsidRPr="00DB38CE" w:rsidRDefault="00E674FC" w:rsidP="00017568">
      <w:pPr>
        <w:rPr>
          <w:sz w:val="24"/>
          <w:szCs w:val="24"/>
        </w:rPr>
      </w:pPr>
      <w:r>
        <w:rPr>
          <w:sz w:val="24"/>
          <w:szCs w:val="24"/>
        </w:rPr>
        <w:t>As seen in the exploratory analysis, t</w:t>
      </w:r>
      <w:r w:rsidR="00F30466">
        <w:rPr>
          <w:sz w:val="24"/>
          <w:szCs w:val="24"/>
        </w:rPr>
        <w:t>here is a moderate positive correlation (R=+0.58) between the two groups</w:t>
      </w:r>
      <w:r>
        <w:rPr>
          <w:sz w:val="24"/>
          <w:szCs w:val="24"/>
        </w:rPr>
        <w:t xml:space="preserve"> (DF = 174)</w:t>
      </w:r>
      <w:r w:rsidR="00F30466">
        <w:rPr>
          <w:sz w:val="24"/>
          <w:szCs w:val="24"/>
        </w:rPr>
        <w:t>.</w:t>
      </w:r>
      <w:r w:rsidR="004470A0">
        <w:rPr>
          <w:sz w:val="24"/>
          <w:szCs w:val="24"/>
        </w:rPr>
        <w:t xml:space="preserve"> </w:t>
      </w:r>
      <w:r w:rsidR="00F30466">
        <w:rPr>
          <w:sz w:val="24"/>
          <w:szCs w:val="24"/>
        </w:rPr>
        <w:t xml:space="preserve"> </w:t>
      </w:r>
      <w:r w:rsidR="00FB7A8D">
        <w:rPr>
          <w:sz w:val="24"/>
          <w:szCs w:val="24"/>
        </w:rPr>
        <w:t xml:space="preserve">While race is not a sole indicator, it has a definite relationship with vulnerability. </w:t>
      </w:r>
    </w:p>
    <w:p w14:paraId="31D8E74A" w14:textId="3A9F95AF" w:rsidR="00BC7244" w:rsidRDefault="00BC7244" w:rsidP="00BC7244">
      <w:pPr>
        <w:rPr>
          <w:i/>
          <w:iCs/>
          <w:sz w:val="24"/>
          <w:szCs w:val="24"/>
        </w:rPr>
      </w:pPr>
      <w:r>
        <w:rPr>
          <w:i/>
          <w:iCs/>
          <w:sz w:val="24"/>
          <w:szCs w:val="24"/>
        </w:rPr>
        <w:t xml:space="preserve">Trends: </w:t>
      </w:r>
      <w:r>
        <w:rPr>
          <w:i/>
          <w:iCs/>
          <w:sz w:val="24"/>
          <w:szCs w:val="24"/>
        </w:rPr>
        <w:t xml:space="preserve">Majority </w:t>
      </w:r>
      <w:r w:rsidR="00557539">
        <w:rPr>
          <w:i/>
          <w:iCs/>
          <w:sz w:val="24"/>
          <w:szCs w:val="24"/>
        </w:rPr>
        <w:t>POC vs. Majority White</w:t>
      </w:r>
      <w:r>
        <w:rPr>
          <w:i/>
          <w:iCs/>
          <w:sz w:val="24"/>
          <w:szCs w:val="24"/>
        </w:rPr>
        <w:t xml:space="preserve"> </w:t>
      </w:r>
    </w:p>
    <w:p w14:paraId="4F2252CD" w14:textId="11049F9F" w:rsidR="00B85AF6" w:rsidRPr="00B85AF6" w:rsidRDefault="004470A0" w:rsidP="00BC7244">
      <w:pPr>
        <w:rPr>
          <w:sz w:val="24"/>
          <w:szCs w:val="24"/>
        </w:rPr>
      </w:pPr>
      <w:r>
        <w:rPr>
          <w:sz w:val="24"/>
          <w:szCs w:val="24"/>
        </w:rPr>
        <w:t>To create a more tangible comparison, the data is split into two groups: majority POC (N=82) and majority white (N=94). A T-Test</w:t>
      </w:r>
      <w:r w:rsidR="00B85AF6">
        <w:rPr>
          <w:sz w:val="24"/>
          <w:szCs w:val="24"/>
        </w:rPr>
        <w:t xml:space="preserve"> for Difference in Means yields a significant result (</w:t>
      </w:r>
      <w:r w:rsidR="00B85AF6" w:rsidRPr="003B71F2">
        <w:rPr>
          <w:b/>
          <w:bCs/>
          <w:sz w:val="24"/>
          <w:szCs w:val="24"/>
        </w:rPr>
        <w:t>t = 8.367, p=1.9e-14</w:t>
      </w:r>
      <w:r w:rsidR="00B85AF6">
        <w:rPr>
          <w:sz w:val="24"/>
          <w:szCs w:val="24"/>
        </w:rPr>
        <w:t>) with a 95% Confidence Interval of [</w:t>
      </w:r>
      <w:r w:rsidR="00B85AF6" w:rsidRPr="00B85AF6">
        <w:rPr>
          <w:sz w:val="24"/>
          <w:szCs w:val="24"/>
        </w:rPr>
        <w:t>0.</w:t>
      </w:r>
      <w:r w:rsidR="00B85AF6">
        <w:rPr>
          <w:sz w:val="24"/>
          <w:szCs w:val="24"/>
        </w:rPr>
        <w:t>08</w:t>
      </w:r>
      <w:r w:rsidR="00B85AF6" w:rsidRPr="00B85AF6">
        <w:rPr>
          <w:sz w:val="24"/>
          <w:szCs w:val="24"/>
        </w:rPr>
        <w:t>2</w:t>
      </w:r>
      <w:r w:rsidR="00B85AF6">
        <w:rPr>
          <w:sz w:val="24"/>
          <w:szCs w:val="24"/>
        </w:rPr>
        <w:t xml:space="preserve">, </w:t>
      </w:r>
      <w:r w:rsidR="00B85AF6" w:rsidRPr="00B85AF6">
        <w:rPr>
          <w:sz w:val="24"/>
          <w:szCs w:val="24"/>
        </w:rPr>
        <w:t>0.</w:t>
      </w:r>
      <w:r w:rsidR="00B85AF6">
        <w:rPr>
          <w:sz w:val="24"/>
          <w:szCs w:val="24"/>
        </w:rPr>
        <w:t xml:space="preserve">132]. Note that this interval isn’t very insightful given the abstract nature of the Vulnerability Metric. A more conceptual understanding of these distributions can be gained from the violin chart shown </w:t>
      </w:r>
      <w:r w:rsidR="00FE716D">
        <w:rPr>
          <w:sz w:val="24"/>
          <w:szCs w:val="24"/>
        </w:rPr>
        <w:t>on the next page</w:t>
      </w:r>
      <w:r w:rsidR="00B85AF6">
        <w:rPr>
          <w:sz w:val="24"/>
          <w:szCs w:val="24"/>
        </w:rPr>
        <w:t xml:space="preserve">. </w:t>
      </w:r>
    </w:p>
    <w:p w14:paraId="6F63A9D5" w14:textId="4FE1A21A" w:rsidR="00BC7244" w:rsidRDefault="00442283" w:rsidP="00B85AF6">
      <w:pPr>
        <w:jc w:val="center"/>
        <w:rPr>
          <w:sz w:val="24"/>
          <w:szCs w:val="24"/>
        </w:rPr>
      </w:pPr>
      <w:r w:rsidRPr="00442283">
        <w:rPr>
          <w:sz w:val="24"/>
          <w:szCs w:val="24"/>
        </w:rPr>
        <w:lastRenderedPageBreak/>
        <w:drawing>
          <wp:inline distT="0" distB="0" distL="0" distR="0" wp14:anchorId="1972792F" wp14:editId="5C8C39E1">
            <wp:extent cx="4330482" cy="3206222"/>
            <wp:effectExtent l="0" t="0" r="0" b="0"/>
            <wp:docPr id="6" name="Picture 4" descr="Chart&#10;&#10;Description automatically generated">
              <a:extLst xmlns:a="http://schemas.openxmlformats.org/drawingml/2006/main">
                <a:ext uri="{FF2B5EF4-FFF2-40B4-BE49-F238E27FC236}">
                  <a16:creationId xmlns:a16="http://schemas.microsoft.com/office/drawing/2014/main" id="{C97908FA-E8D6-4A5D-85BB-C27B23B8A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hart&#10;&#10;Description automatically generated">
                      <a:extLst>
                        <a:ext uri="{FF2B5EF4-FFF2-40B4-BE49-F238E27FC236}">
                          <a16:creationId xmlns:a16="http://schemas.microsoft.com/office/drawing/2014/main" id="{C97908FA-E8D6-4A5D-85BB-C27B23B8ABA4}"/>
                        </a:ext>
                      </a:extLst>
                    </pic:cNvPr>
                    <pic:cNvPicPr>
                      <a:picLocks noChangeAspect="1"/>
                    </pic:cNvPicPr>
                  </pic:nvPicPr>
                  <pic:blipFill rotWithShape="1">
                    <a:blip r:embed="rId15"/>
                    <a:srcRect t="-1" b="1363"/>
                    <a:stretch/>
                  </pic:blipFill>
                  <pic:spPr>
                    <a:xfrm>
                      <a:off x="0" y="0"/>
                      <a:ext cx="4337675" cy="3211547"/>
                    </a:xfrm>
                    <a:prstGeom prst="rect">
                      <a:avLst/>
                    </a:prstGeom>
                  </pic:spPr>
                </pic:pic>
              </a:graphicData>
            </a:graphic>
          </wp:inline>
        </w:drawing>
      </w:r>
    </w:p>
    <w:p w14:paraId="1E14B011" w14:textId="3BA71FF5" w:rsidR="00B85AF6" w:rsidRDefault="00B85AF6" w:rsidP="0006781E">
      <w:pPr>
        <w:pStyle w:val="BodyText"/>
        <w:jc w:val="center"/>
      </w:pPr>
      <w:r>
        <w:t xml:space="preserve">Figure </w:t>
      </w:r>
      <w:r w:rsidR="007054B5">
        <w:t>8</w:t>
      </w:r>
      <w:r>
        <w:t xml:space="preserve">. </w:t>
      </w:r>
      <w:r w:rsidR="004742C0">
        <w:t>Distribution of Majority POC &amp; Majority White Groups</w:t>
      </w:r>
    </w:p>
    <w:p w14:paraId="6015EF1E" w14:textId="2903C761" w:rsidR="004742C0" w:rsidRPr="004742C0" w:rsidRDefault="00DE4951" w:rsidP="004742C0">
      <w:pPr>
        <w:rPr>
          <w:sz w:val="24"/>
          <w:szCs w:val="24"/>
        </w:rPr>
      </w:pPr>
      <w:r>
        <w:rPr>
          <w:sz w:val="24"/>
          <w:szCs w:val="24"/>
        </w:rPr>
        <w:t xml:space="preserve">This visualization is useful in depicting the disparities towards the extreme end for each group. </w:t>
      </w:r>
      <w:r w:rsidR="004742C0">
        <w:rPr>
          <w:sz w:val="24"/>
          <w:szCs w:val="24"/>
        </w:rPr>
        <w:t xml:space="preserve">The exact numbers are as follows: the </w:t>
      </w:r>
      <w:r w:rsidR="004742C0">
        <w:rPr>
          <w:b/>
          <w:bCs/>
          <w:sz w:val="24"/>
          <w:szCs w:val="24"/>
        </w:rPr>
        <w:t xml:space="preserve">13 </w:t>
      </w:r>
      <w:r w:rsidR="004742C0" w:rsidRPr="004742C0">
        <w:rPr>
          <w:b/>
          <w:bCs/>
          <w:i/>
          <w:iCs/>
          <w:sz w:val="24"/>
          <w:szCs w:val="24"/>
        </w:rPr>
        <w:t>least</w:t>
      </w:r>
      <w:r w:rsidR="004742C0">
        <w:rPr>
          <w:b/>
          <w:bCs/>
          <w:sz w:val="24"/>
          <w:szCs w:val="24"/>
        </w:rPr>
        <w:t xml:space="preserve"> vulnerable</w:t>
      </w:r>
      <w:r w:rsidR="004742C0">
        <w:rPr>
          <w:sz w:val="24"/>
          <w:szCs w:val="24"/>
        </w:rPr>
        <w:t xml:space="preserve"> census tracts are </w:t>
      </w:r>
      <w:r w:rsidR="004742C0">
        <w:rPr>
          <w:b/>
          <w:bCs/>
          <w:sz w:val="24"/>
          <w:szCs w:val="24"/>
        </w:rPr>
        <w:t>majority white</w:t>
      </w:r>
      <w:r w:rsidR="004742C0">
        <w:rPr>
          <w:sz w:val="24"/>
          <w:szCs w:val="24"/>
        </w:rPr>
        <w:t xml:space="preserve"> while the </w:t>
      </w:r>
      <w:r w:rsidR="004742C0">
        <w:rPr>
          <w:b/>
          <w:bCs/>
          <w:sz w:val="24"/>
          <w:szCs w:val="24"/>
        </w:rPr>
        <w:t xml:space="preserve">34 </w:t>
      </w:r>
      <w:r w:rsidR="004742C0">
        <w:rPr>
          <w:b/>
          <w:bCs/>
          <w:i/>
          <w:iCs/>
          <w:sz w:val="24"/>
          <w:szCs w:val="24"/>
        </w:rPr>
        <w:t>most</w:t>
      </w:r>
      <w:r w:rsidR="004742C0">
        <w:rPr>
          <w:b/>
          <w:bCs/>
          <w:sz w:val="24"/>
          <w:szCs w:val="24"/>
        </w:rPr>
        <w:t xml:space="preserve"> vulnerable</w:t>
      </w:r>
      <w:r w:rsidR="004742C0">
        <w:rPr>
          <w:sz w:val="24"/>
          <w:szCs w:val="24"/>
        </w:rPr>
        <w:t xml:space="preserve"> census tracts are </w:t>
      </w:r>
      <w:r w:rsidR="004742C0">
        <w:rPr>
          <w:b/>
          <w:bCs/>
          <w:sz w:val="24"/>
          <w:szCs w:val="24"/>
        </w:rPr>
        <w:t>majority POC</w:t>
      </w:r>
      <w:r w:rsidR="004742C0">
        <w:rPr>
          <w:sz w:val="24"/>
          <w:szCs w:val="24"/>
        </w:rPr>
        <w:t xml:space="preserve">. </w:t>
      </w:r>
      <w:r w:rsidR="00444953">
        <w:rPr>
          <w:sz w:val="24"/>
          <w:szCs w:val="24"/>
        </w:rPr>
        <w:t xml:space="preserve">Recall that the Vulnerability metric does not </w:t>
      </w:r>
      <w:r w:rsidR="0086694E">
        <w:rPr>
          <w:sz w:val="24"/>
          <w:szCs w:val="24"/>
        </w:rPr>
        <w:t>include</w:t>
      </w:r>
      <w:r w:rsidR="00444953">
        <w:rPr>
          <w:sz w:val="24"/>
          <w:szCs w:val="24"/>
        </w:rPr>
        <w:t xml:space="preserve"> any sort of social or race-related factors, this discrepancy is purely based on the built environment.</w:t>
      </w:r>
    </w:p>
    <w:p w14:paraId="6F1AA318" w14:textId="2EC46181" w:rsidR="003225ED" w:rsidRPr="00BC7244" w:rsidRDefault="003225ED" w:rsidP="00CC43A1">
      <w:pPr>
        <w:rPr>
          <w:i/>
          <w:iCs/>
          <w:sz w:val="24"/>
          <w:szCs w:val="24"/>
        </w:rPr>
      </w:pPr>
      <w:r w:rsidRPr="00BC7244">
        <w:rPr>
          <w:i/>
          <w:iCs/>
          <w:sz w:val="24"/>
          <w:szCs w:val="24"/>
        </w:rPr>
        <w:t>Discussio</w:t>
      </w:r>
      <w:r w:rsidR="00BC7244">
        <w:rPr>
          <w:i/>
          <w:iCs/>
          <w:sz w:val="24"/>
          <w:szCs w:val="24"/>
        </w:rPr>
        <w:t>n: Implications</w:t>
      </w:r>
    </w:p>
    <w:p w14:paraId="4C2E2A69" w14:textId="517D4D5F" w:rsidR="00223E1B" w:rsidRDefault="004E21B7" w:rsidP="00CC43A1">
      <w:pPr>
        <w:rPr>
          <w:sz w:val="24"/>
          <w:szCs w:val="24"/>
        </w:rPr>
      </w:pPr>
      <w:r>
        <w:rPr>
          <w:sz w:val="24"/>
          <w:szCs w:val="24"/>
        </w:rPr>
        <w:t xml:space="preserve">The fact that </w:t>
      </w:r>
      <w:r w:rsidRPr="0006781E">
        <w:rPr>
          <w:b/>
          <w:bCs/>
          <w:sz w:val="24"/>
          <w:szCs w:val="24"/>
        </w:rPr>
        <w:t>41%</w:t>
      </w:r>
      <w:r>
        <w:rPr>
          <w:sz w:val="24"/>
          <w:szCs w:val="24"/>
        </w:rPr>
        <w:t xml:space="preserve"> of all POC majority census tracts are</w:t>
      </w:r>
      <w:r w:rsidR="00444953">
        <w:rPr>
          <w:sz w:val="24"/>
          <w:szCs w:val="24"/>
        </w:rPr>
        <w:t xml:space="preserve"> ranked as more vulnerable than the </w:t>
      </w:r>
      <w:r w:rsidR="00444953" w:rsidRPr="0006781E">
        <w:rPr>
          <w:b/>
          <w:bCs/>
          <w:sz w:val="24"/>
          <w:szCs w:val="24"/>
        </w:rPr>
        <w:t>most</w:t>
      </w:r>
      <w:r w:rsidR="00444953">
        <w:rPr>
          <w:sz w:val="24"/>
          <w:szCs w:val="24"/>
        </w:rPr>
        <w:t xml:space="preserve"> vulnerable white majority tract has significant implications. </w:t>
      </w:r>
      <w:r w:rsidR="003172BA">
        <w:rPr>
          <w:sz w:val="24"/>
          <w:szCs w:val="24"/>
        </w:rPr>
        <w:t xml:space="preserve">While this number may seem impossibly high, the relationship can be </w:t>
      </w:r>
      <w:r w:rsidR="00444953">
        <w:rPr>
          <w:sz w:val="24"/>
          <w:szCs w:val="24"/>
        </w:rPr>
        <w:t xml:space="preserve">explained by the geographical clustering of both POC populations and </w:t>
      </w:r>
      <w:r w:rsidR="009A264F">
        <w:rPr>
          <w:sz w:val="24"/>
          <w:szCs w:val="24"/>
        </w:rPr>
        <w:t>v</w:t>
      </w:r>
      <w:r w:rsidR="00444953">
        <w:rPr>
          <w:sz w:val="24"/>
          <w:szCs w:val="24"/>
        </w:rPr>
        <w:t>ulnerabilit</w:t>
      </w:r>
      <w:r w:rsidR="003172BA">
        <w:rPr>
          <w:sz w:val="24"/>
          <w:szCs w:val="24"/>
        </w:rPr>
        <w:t xml:space="preserve">y. </w:t>
      </w:r>
      <w:r w:rsidR="009A264F">
        <w:rPr>
          <w:sz w:val="24"/>
          <w:szCs w:val="24"/>
        </w:rPr>
        <w:t>These</w:t>
      </w:r>
      <w:r w:rsidR="002F3A14">
        <w:rPr>
          <w:sz w:val="24"/>
          <w:szCs w:val="24"/>
        </w:rPr>
        <w:t xml:space="preserve"> clusters</w:t>
      </w:r>
      <w:r w:rsidR="009A264F">
        <w:rPr>
          <w:sz w:val="24"/>
          <w:szCs w:val="24"/>
        </w:rPr>
        <w:t xml:space="preserve"> are remnants</w:t>
      </w:r>
      <w:r w:rsidR="003172BA">
        <w:rPr>
          <w:sz w:val="24"/>
          <w:szCs w:val="24"/>
        </w:rPr>
        <w:t xml:space="preserve"> of a long history of spatial </w:t>
      </w:r>
      <w:r w:rsidR="009A264F">
        <w:rPr>
          <w:sz w:val="24"/>
          <w:szCs w:val="24"/>
        </w:rPr>
        <w:t>segregation</w:t>
      </w:r>
      <w:r w:rsidR="0006781E">
        <w:rPr>
          <w:sz w:val="24"/>
          <w:szCs w:val="24"/>
        </w:rPr>
        <w:t>. To combat the inequity, the City of Boston needs to focus on these marginalized areas with targeted infrastructure policy.</w:t>
      </w:r>
    </w:p>
    <w:p w14:paraId="17F8A965" w14:textId="0483FD54" w:rsidR="00511B03" w:rsidRDefault="0006781E">
      <w:pPr>
        <w:rPr>
          <w:sz w:val="24"/>
          <w:szCs w:val="24"/>
        </w:rPr>
      </w:pPr>
      <w:r>
        <w:rPr>
          <w:sz w:val="24"/>
          <w:szCs w:val="24"/>
        </w:rPr>
        <w:t xml:space="preserve">For a guiding </w:t>
      </w:r>
      <w:r w:rsidR="00223E1B">
        <w:rPr>
          <w:sz w:val="24"/>
          <w:szCs w:val="24"/>
        </w:rPr>
        <w:t>example</w:t>
      </w:r>
      <w:r>
        <w:rPr>
          <w:sz w:val="24"/>
          <w:szCs w:val="24"/>
        </w:rPr>
        <w:t>, Boston should look towards existing programs.</w:t>
      </w:r>
      <w:r w:rsidR="00223E1B">
        <w:rPr>
          <w:sz w:val="24"/>
          <w:szCs w:val="24"/>
        </w:rPr>
        <w:t xml:space="preserve"> </w:t>
      </w:r>
      <w:r w:rsidR="006F2B8A">
        <w:rPr>
          <w:sz w:val="24"/>
          <w:szCs w:val="24"/>
        </w:rPr>
        <w:t xml:space="preserve">Climate Ready Boston is clearly going in the right direction in the context of climate vulnerability. As for the Built Environment, </w:t>
      </w:r>
      <w:r w:rsidR="006F2B8A">
        <w:rPr>
          <w:sz w:val="24"/>
          <w:szCs w:val="24"/>
        </w:rPr>
        <w:t xml:space="preserve">Go Boston 30 is a Green Infrastructure Initiative working to </w:t>
      </w:r>
      <w:r w:rsidR="00DE4951">
        <w:rPr>
          <w:sz w:val="24"/>
          <w:szCs w:val="24"/>
        </w:rPr>
        <w:t>improve</w:t>
      </w:r>
      <w:r w:rsidR="006F2B8A">
        <w:rPr>
          <w:sz w:val="24"/>
          <w:szCs w:val="24"/>
        </w:rPr>
        <w:t xml:space="preserve"> safety and </w:t>
      </w:r>
      <w:r w:rsidR="00DE4951">
        <w:rPr>
          <w:sz w:val="24"/>
          <w:szCs w:val="24"/>
        </w:rPr>
        <w:t>reduce</w:t>
      </w:r>
      <w:r w:rsidR="006F2B8A">
        <w:rPr>
          <w:sz w:val="24"/>
          <w:szCs w:val="24"/>
        </w:rPr>
        <w:t xml:space="preserve"> emissions</w:t>
      </w:r>
      <w:r w:rsidR="0000616E">
        <w:rPr>
          <w:sz w:val="24"/>
          <w:szCs w:val="24"/>
        </w:rPr>
        <w:t>. For affordable infrastructure</w:t>
      </w:r>
      <w:r w:rsidR="006F2B8A">
        <w:rPr>
          <w:sz w:val="24"/>
          <w:szCs w:val="24"/>
        </w:rPr>
        <w:t>,</w:t>
      </w:r>
      <w:r w:rsidR="006F2B8A">
        <w:rPr>
          <w:sz w:val="24"/>
          <w:szCs w:val="24"/>
        </w:rPr>
        <w:t xml:space="preserve"> </w:t>
      </w:r>
      <w:r w:rsidR="006F2B8A">
        <w:rPr>
          <w:sz w:val="24"/>
          <w:szCs w:val="24"/>
        </w:rPr>
        <w:t>t</w:t>
      </w:r>
      <w:r w:rsidR="005075B9">
        <w:rPr>
          <w:sz w:val="24"/>
          <w:szCs w:val="24"/>
        </w:rPr>
        <w:t xml:space="preserve">he </w:t>
      </w:r>
      <w:r>
        <w:rPr>
          <w:sz w:val="24"/>
          <w:szCs w:val="24"/>
        </w:rPr>
        <w:t xml:space="preserve">Boston Housing Authority is the largest housing provider in the city </w:t>
      </w:r>
      <w:r w:rsidR="005075B9">
        <w:rPr>
          <w:sz w:val="24"/>
          <w:szCs w:val="24"/>
        </w:rPr>
        <w:t>working at the intersection of the public/private sectors to provide safe</w:t>
      </w:r>
      <w:r w:rsidR="0000616E">
        <w:rPr>
          <w:sz w:val="24"/>
          <w:szCs w:val="24"/>
        </w:rPr>
        <w:t xml:space="preserve"> and accessible </w:t>
      </w:r>
      <w:r w:rsidR="005075B9">
        <w:rPr>
          <w:sz w:val="24"/>
          <w:szCs w:val="24"/>
        </w:rPr>
        <w:t xml:space="preserve">shelter. These types of programs have historically secured funding to proactively ensure citizen’s shelter and </w:t>
      </w:r>
      <w:r w:rsidR="006F2B8A">
        <w:rPr>
          <w:sz w:val="24"/>
          <w:szCs w:val="24"/>
        </w:rPr>
        <w:t xml:space="preserve">develop </w:t>
      </w:r>
      <w:r w:rsidR="005075B9">
        <w:rPr>
          <w:sz w:val="24"/>
          <w:szCs w:val="24"/>
        </w:rPr>
        <w:t>future-ready infrastructur</w:t>
      </w:r>
      <w:r w:rsidR="006F2B8A">
        <w:rPr>
          <w:sz w:val="24"/>
          <w:szCs w:val="24"/>
        </w:rPr>
        <w:t>e</w:t>
      </w:r>
      <w:r w:rsidR="005075B9">
        <w:rPr>
          <w:sz w:val="24"/>
          <w:szCs w:val="24"/>
        </w:rPr>
        <w:t>.</w:t>
      </w:r>
      <w:r w:rsidR="00DB3A0A">
        <w:rPr>
          <w:sz w:val="24"/>
          <w:szCs w:val="24"/>
        </w:rPr>
        <w:t xml:space="preserve"> </w:t>
      </w:r>
      <w:r w:rsidR="006F2B8A">
        <w:rPr>
          <w:sz w:val="24"/>
          <w:szCs w:val="24"/>
        </w:rPr>
        <w:t>Policymakers should consider using these existing groups to identify and mitigate widespread infrastructure vulnerabilities in the most at risk census tracts.</w:t>
      </w:r>
      <w:r w:rsidR="00DB3A0A">
        <w:rPr>
          <w:sz w:val="24"/>
          <w:szCs w:val="24"/>
        </w:rPr>
        <w:t xml:space="preserve"> </w:t>
      </w:r>
    </w:p>
    <w:p w14:paraId="6E935E46" w14:textId="3569E60F" w:rsidR="00511B03" w:rsidRPr="00442283" w:rsidRDefault="00511B03" w:rsidP="00442283">
      <w:pPr>
        <w:jc w:val="center"/>
        <w:rPr>
          <w:b/>
          <w:bCs/>
          <w:sz w:val="28"/>
          <w:szCs w:val="28"/>
        </w:rPr>
      </w:pPr>
      <w:r>
        <w:rPr>
          <w:b/>
          <w:bCs/>
          <w:sz w:val="28"/>
          <w:szCs w:val="28"/>
        </w:rPr>
        <w:lastRenderedPageBreak/>
        <w:t>Conclusion</w:t>
      </w:r>
    </w:p>
    <w:p w14:paraId="11208EF4" w14:textId="1D797050" w:rsidR="0026427C" w:rsidRDefault="00442283" w:rsidP="00CC43A1">
      <w:pPr>
        <w:rPr>
          <w:sz w:val="24"/>
          <w:szCs w:val="24"/>
        </w:rPr>
      </w:pPr>
      <w:r>
        <w:rPr>
          <w:sz w:val="24"/>
          <w:szCs w:val="24"/>
        </w:rPr>
        <w:t>Climate Vulnerability Metric</w:t>
      </w:r>
      <w:r w:rsidR="00612C4F">
        <w:rPr>
          <w:sz w:val="24"/>
          <w:szCs w:val="24"/>
        </w:rPr>
        <w:t>s</w:t>
      </w:r>
      <w:r>
        <w:rPr>
          <w:sz w:val="24"/>
          <w:szCs w:val="24"/>
        </w:rPr>
        <w:t xml:space="preserve"> (and similar measures) can play a significant role when it comes to creating equitable policy. With the proliferation of open data and the new urban science, </w:t>
      </w:r>
      <w:r w:rsidR="0026427C">
        <w:rPr>
          <w:sz w:val="24"/>
          <w:szCs w:val="24"/>
        </w:rPr>
        <w:t xml:space="preserve">aggregated </w:t>
      </w:r>
      <w:r>
        <w:rPr>
          <w:sz w:val="24"/>
          <w:szCs w:val="24"/>
        </w:rPr>
        <w:t xml:space="preserve">indicators are playing an increasingly important role in identifying disparity in cities. </w:t>
      </w:r>
      <w:r w:rsidR="0026427C">
        <w:rPr>
          <w:sz w:val="24"/>
          <w:szCs w:val="24"/>
        </w:rPr>
        <w:t>Previous research has shown these types of Metrics to correlate with social factors, making them capable of identifying injustice on a city-wide scale.</w:t>
      </w:r>
    </w:p>
    <w:p w14:paraId="45F70FA0" w14:textId="51991F30" w:rsidR="00F30466" w:rsidRDefault="00442283" w:rsidP="00CC43A1">
      <w:pPr>
        <w:rPr>
          <w:sz w:val="24"/>
          <w:szCs w:val="24"/>
        </w:rPr>
      </w:pPr>
      <w:r>
        <w:rPr>
          <w:sz w:val="24"/>
          <w:szCs w:val="24"/>
        </w:rPr>
        <w:t xml:space="preserve">In this paper, </w:t>
      </w:r>
      <w:r w:rsidR="0026427C">
        <w:rPr>
          <w:sz w:val="24"/>
          <w:szCs w:val="24"/>
        </w:rPr>
        <w:t xml:space="preserve">a Climate Vulnerability Metric </w:t>
      </w:r>
      <w:r w:rsidR="00D65487">
        <w:rPr>
          <w:sz w:val="24"/>
          <w:szCs w:val="24"/>
        </w:rPr>
        <w:t xml:space="preserve">was </w:t>
      </w:r>
      <w:r w:rsidR="0026427C">
        <w:rPr>
          <w:sz w:val="24"/>
          <w:szCs w:val="24"/>
        </w:rPr>
        <w:t xml:space="preserve">created </w:t>
      </w:r>
      <w:r w:rsidR="00D65487">
        <w:rPr>
          <w:sz w:val="24"/>
          <w:szCs w:val="24"/>
        </w:rPr>
        <w:t>using only</w:t>
      </w:r>
      <w:r w:rsidR="0026427C">
        <w:rPr>
          <w:sz w:val="24"/>
          <w:szCs w:val="24"/>
        </w:rPr>
        <w:t xml:space="preserve"> </w:t>
      </w:r>
      <w:r w:rsidR="00D65487">
        <w:rPr>
          <w:sz w:val="24"/>
          <w:szCs w:val="24"/>
        </w:rPr>
        <w:t xml:space="preserve">Building Permit &amp; Property Assessment </w:t>
      </w:r>
      <w:r w:rsidR="0026427C">
        <w:rPr>
          <w:sz w:val="24"/>
          <w:szCs w:val="24"/>
        </w:rPr>
        <w:t>dat</w:t>
      </w:r>
      <w:r w:rsidR="00D65487">
        <w:rPr>
          <w:sz w:val="24"/>
          <w:szCs w:val="24"/>
        </w:rPr>
        <w:t>a</w:t>
      </w:r>
      <w:r w:rsidR="00DC5738">
        <w:rPr>
          <w:sz w:val="24"/>
          <w:szCs w:val="24"/>
        </w:rPr>
        <w:t>. By cross-examining these results with a social vulnerability index,</w:t>
      </w:r>
      <w:r w:rsidR="006F2B8A">
        <w:rPr>
          <w:sz w:val="24"/>
          <w:szCs w:val="24"/>
        </w:rPr>
        <w:t xml:space="preserve"> </w:t>
      </w:r>
      <w:r w:rsidR="0026427C">
        <w:rPr>
          <w:sz w:val="24"/>
          <w:szCs w:val="24"/>
        </w:rPr>
        <w:t xml:space="preserve">the </w:t>
      </w:r>
      <w:r w:rsidR="00DC5738">
        <w:rPr>
          <w:sz w:val="24"/>
          <w:szCs w:val="24"/>
        </w:rPr>
        <w:t xml:space="preserve">underlying trends </w:t>
      </w:r>
      <w:r w:rsidR="006F2B8A">
        <w:rPr>
          <w:sz w:val="24"/>
          <w:szCs w:val="24"/>
        </w:rPr>
        <w:t xml:space="preserve">connecting minority populations with increased </w:t>
      </w:r>
      <w:r w:rsidR="0026427C">
        <w:rPr>
          <w:sz w:val="24"/>
          <w:szCs w:val="24"/>
        </w:rPr>
        <w:t xml:space="preserve">climate </w:t>
      </w:r>
      <w:r w:rsidR="006F2B8A">
        <w:rPr>
          <w:sz w:val="24"/>
          <w:szCs w:val="24"/>
        </w:rPr>
        <w:t>vulnerability were confirmed</w:t>
      </w:r>
      <w:r w:rsidR="0026427C">
        <w:rPr>
          <w:sz w:val="24"/>
          <w:szCs w:val="24"/>
        </w:rPr>
        <w:t xml:space="preserve">. Because the metric did not account for any traditional socioeconomic factors, the resulting trend indicates that Climate Vulnerability is inequitably distributed in Boston’s </w:t>
      </w:r>
      <w:r w:rsidR="00D65487">
        <w:rPr>
          <w:sz w:val="24"/>
          <w:szCs w:val="24"/>
        </w:rPr>
        <w:t>physical infrastructure.</w:t>
      </w:r>
    </w:p>
    <w:p w14:paraId="7A4E638E" w14:textId="2A86F86A" w:rsidR="00D65487" w:rsidRDefault="00D65487" w:rsidP="00CC43A1">
      <w:pPr>
        <w:rPr>
          <w:sz w:val="24"/>
          <w:szCs w:val="24"/>
        </w:rPr>
      </w:pPr>
      <w:r>
        <w:rPr>
          <w:sz w:val="24"/>
          <w:szCs w:val="24"/>
        </w:rPr>
        <w:t xml:space="preserve">As a result, it is important for policymakers to be proactive in mitigating the impacts of climate change. Large-scale infrastructure improvements require a significant amount of time, money and commitment. </w:t>
      </w:r>
      <w:r w:rsidR="00042FB6">
        <w:rPr>
          <w:sz w:val="24"/>
          <w:szCs w:val="24"/>
        </w:rPr>
        <w:t xml:space="preserve">Boston should take advantage of existing climate and infrastructure initiatives to direct attention and funding in order to improve the built environment of marginalized regions. </w:t>
      </w:r>
    </w:p>
    <w:p w14:paraId="752BC0D0" w14:textId="2C66083B" w:rsidR="00F30466" w:rsidRDefault="00F30466" w:rsidP="00CC43A1">
      <w:pPr>
        <w:rPr>
          <w:sz w:val="24"/>
          <w:szCs w:val="24"/>
        </w:rPr>
      </w:pPr>
    </w:p>
    <w:p w14:paraId="61569094" w14:textId="50F5731A" w:rsidR="00E35323" w:rsidRDefault="00E35323" w:rsidP="00CC43A1">
      <w:pPr>
        <w:rPr>
          <w:sz w:val="24"/>
          <w:szCs w:val="24"/>
        </w:rPr>
      </w:pPr>
    </w:p>
    <w:p w14:paraId="734D9784" w14:textId="02BA9273" w:rsidR="00E35323" w:rsidRDefault="00E35323" w:rsidP="00CC43A1">
      <w:pPr>
        <w:rPr>
          <w:sz w:val="24"/>
          <w:szCs w:val="24"/>
        </w:rPr>
      </w:pPr>
    </w:p>
    <w:p w14:paraId="4A91040B" w14:textId="3854F1AA" w:rsidR="00E35323" w:rsidRDefault="00E35323" w:rsidP="00CC43A1">
      <w:pPr>
        <w:rPr>
          <w:sz w:val="24"/>
          <w:szCs w:val="24"/>
        </w:rPr>
      </w:pPr>
    </w:p>
    <w:p w14:paraId="2DC7E52B" w14:textId="68AF775D" w:rsidR="00E35323" w:rsidRDefault="00E35323" w:rsidP="00CC43A1">
      <w:pPr>
        <w:rPr>
          <w:sz w:val="24"/>
          <w:szCs w:val="24"/>
        </w:rPr>
      </w:pPr>
    </w:p>
    <w:p w14:paraId="2E831556" w14:textId="75D642F4" w:rsidR="00E35323" w:rsidRDefault="00E35323" w:rsidP="00CC43A1">
      <w:pPr>
        <w:rPr>
          <w:sz w:val="24"/>
          <w:szCs w:val="24"/>
        </w:rPr>
      </w:pPr>
    </w:p>
    <w:p w14:paraId="37D38C1E" w14:textId="49B32FF1" w:rsidR="00E35323" w:rsidRDefault="00E35323" w:rsidP="00CC43A1">
      <w:pPr>
        <w:rPr>
          <w:sz w:val="24"/>
          <w:szCs w:val="24"/>
        </w:rPr>
      </w:pPr>
    </w:p>
    <w:p w14:paraId="7A43109B" w14:textId="79E10543" w:rsidR="00E35323" w:rsidRDefault="00E35323" w:rsidP="00CC43A1">
      <w:pPr>
        <w:rPr>
          <w:sz w:val="24"/>
          <w:szCs w:val="24"/>
        </w:rPr>
      </w:pPr>
    </w:p>
    <w:p w14:paraId="4893DE64" w14:textId="6BC77053" w:rsidR="00E35323" w:rsidRDefault="00E35323" w:rsidP="00CC43A1">
      <w:pPr>
        <w:rPr>
          <w:sz w:val="24"/>
          <w:szCs w:val="24"/>
        </w:rPr>
      </w:pPr>
    </w:p>
    <w:p w14:paraId="5D2D23BA" w14:textId="27C06EEA" w:rsidR="00E35323" w:rsidRDefault="00E35323" w:rsidP="00CC43A1">
      <w:pPr>
        <w:rPr>
          <w:sz w:val="24"/>
          <w:szCs w:val="24"/>
        </w:rPr>
      </w:pPr>
    </w:p>
    <w:p w14:paraId="1C6BC068" w14:textId="6CC10E80" w:rsidR="00E35323" w:rsidRDefault="00E35323" w:rsidP="00CC43A1">
      <w:pPr>
        <w:rPr>
          <w:sz w:val="24"/>
          <w:szCs w:val="24"/>
        </w:rPr>
      </w:pPr>
    </w:p>
    <w:p w14:paraId="45563198" w14:textId="16B9800B" w:rsidR="00E35323" w:rsidRDefault="00E35323" w:rsidP="00CC43A1">
      <w:pPr>
        <w:rPr>
          <w:sz w:val="24"/>
          <w:szCs w:val="24"/>
        </w:rPr>
      </w:pPr>
    </w:p>
    <w:p w14:paraId="6571E815" w14:textId="5DE14F69" w:rsidR="00E35323" w:rsidRDefault="00E35323" w:rsidP="00CC43A1">
      <w:pPr>
        <w:rPr>
          <w:sz w:val="24"/>
          <w:szCs w:val="24"/>
        </w:rPr>
      </w:pPr>
    </w:p>
    <w:p w14:paraId="27B04A8F" w14:textId="0F096D44" w:rsidR="00E35323" w:rsidRPr="00CC43A1" w:rsidRDefault="00833442" w:rsidP="00833442">
      <w:pPr>
        <w:tabs>
          <w:tab w:val="left" w:pos="7278"/>
        </w:tabs>
        <w:rPr>
          <w:sz w:val="24"/>
          <w:szCs w:val="24"/>
        </w:rPr>
      </w:pPr>
      <w:r>
        <w:rPr>
          <w:sz w:val="24"/>
          <w:szCs w:val="24"/>
        </w:rPr>
        <w:tab/>
      </w:r>
    </w:p>
    <w:p w14:paraId="6A99E8D1" w14:textId="2A4B01C3" w:rsidR="00511B03" w:rsidRPr="00511B03" w:rsidRDefault="00511B03" w:rsidP="00511B03">
      <w:pPr>
        <w:jc w:val="center"/>
        <w:rPr>
          <w:b/>
          <w:bCs/>
          <w:sz w:val="28"/>
          <w:szCs w:val="28"/>
        </w:rPr>
      </w:pPr>
      <w:r>
        <w:rPr>
          <w:b/>
          <w:bCs/>
          <w:sz w:val="28"/>
          <w:szCs w:val="28"/>
        </w:rPr>
        <w:lastRenderedPageBreak/>
        <w:t>Methodolog</w:t>
      </w:r>
      <w:r w:rsidRPr="00511B03">
        <w:rPr>
          <w:b/>
          <w:bCs/>
          <w:sz w:val="28"/>
          <w:szCs w:val="28"/>
        </w:rPr>
        <w:t>y</w:t>
      </w:r>
      <w:r>
        <w:rPr>
          <w:b/>
          <w:bCs/>
          <w:sz w:val="28"/>
          <w:szCs w:val="28"/>
        </w:rPr>
        <w:t xml:space="preserve"> Appendix</w:t>
      </w:r>
    </w:p>
    <w:p w14:paraId="754B052E" w14:textId="77777777" w:rsidR="00CC2794" w:rsidRDefault="00CC2794" w:rsidP="00534983">
      <w:pPr>
        <w:rPr>
          <w:i/>
          <w:iCs/>
          <w:sz w:val="24"/>
          <w:szCs w:val="24"/>
        </w:rPr>
      </w:pPr>
      <w:r>
        <w:rPr>
          <w:b/>
          <w:bCs/>
          <w:sz w:val="24"/>
          <w:szCs w:val="24"/>
        </w:rPr>
        <w:t xml:space="preserve">Appendix 1: </w:t>
      </w:r>
      <w:r>
        <w:rPr>
          <w:i/>
          <w:iCs/>
          <w:sz w:val="24"/>
          <w:szCs w:val="24"/>
        </w:rPr>
        <w:t>Original Factor Ideas</w:t>
      </w:r>
    </w:p>
    <w:p w14:paraId="04B824AB" w14:textId="4CE0A9E7" w:rsidR="00D31AF6" w:rsidRDefault="00CC2794" w:rsidP="00D31AF6">
      <w:pPr>
        <w:jc w:val="center"/>
        <w:rPr>
          <w:sz w:val="24"/>
          <w:szCs w:val="24"/>
        </w:rPr>
      </w:pPr>
      <w:r>
        <w:rPr>
          <w:noProof/>
        </w:rPr>
        <w:drawing>
          <wp:inline distT="0" distB="0" distL="0" distR="0" wp14:anchorId="1B008178" wp14:editId="36110BD2">
            <wp:extent cx="3982856" cy="211950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699" cy="2126876"/>
                    </a:xfrm>
                    <a:prstGeom prst="rect">
                      <a:avLst/>
                    </a:prstGeom>
                    <a:noFill/>
                    <a:ln>
                      <a:noFill/>
                    </a:ln>
                  </pic:spPr>
                </pic:pic>
              </a:graphicData>
            </a:graphic>
          </wp:inline>
        </w:drawing>
      </w:r>
    </w:p>
    <w:p w14:paraId="61E2D56A" w14:textId="21B21208" w:rsidR="00D31AF6" w:rsidRDefault="00D31AF6" w:rsidP="00D31AF6">
      <w:pPr>
        <w:jc w:val="center"/>
        <w:rPr>
          <w:sz w:val="24"/>
          <w:szCs w:val="24"/>
        </w:rPr>
      </w:pPr>
      <w:r>
        <w:rPr>
          <w:sz w:val="24"/>
          <w:szCs w:val="24"/>
        </w:rPr>
        <w:t>Figure 9. Brainstormed Chart of Possible Climate Vulnerability Indicators</w:t>
      </w:r>
    </w:p>
    <w:p w14:paraId="28807797" w14:textId="77777777" w:rsidR="00D31AF6" w:rsidRPr="00D31AF6" w:rsidRDefault="00D31AF6" w:rsidP="00534983">
      <w:pPr>
        <w:rPr>
          <w:sz w:val="24"/>
          <w:szCs w:val="24"/>
        </w:rPr>
      </w:pPr>
    </w:p>
    <w:p w14:paraId="43318EC3" w14:textId="04351D78" w:rsidR="00534983" w:rsidRPr="00684C93" w:rsidRDefault="00684C93" w:rsidP="00534983">
      <w:pPr>
        <w:rPr>
          <w:b/>
          <w:bCs/>
          <w:i/>
          <w:iCs/>
          <w:sz w:val="24"/>
          <w:szCs w:val="24"/>
        </w:rPr>
      </w:pPr>
      <w:r>
        <w:rPr>
          <w:b/>
          <w:bCs/>
          <w:sz w:val="24"/>
          <w:szCs w:val="24"/>
        </w:rPr>
        <w:t xml:space="preserve">Appendix </w:t>
      </w:r>
      <w:r w:rsidR="00CC2794">
        <w:rPr>
          <w:b/>
          <w:bCs/>
          <w:sz w:val="24"/>
          <w:szCs w:val="24"/>
        </w:rPr>
        <w:t>2</w:t>
      </w:r>
      <w:r>
        <w:rPr>
          <w:b/>
          <w:bCs/>
          <w:sz w:val="24"/>
          <w:szCs w:val="24"/>
        </w:rPr>
        <w:t xml:space="preserve">: </w:t>
      </w:r>
      <w:r w:rsidR="00534983" w:rsidRPr="00684C93">
        <w:rPr>
          <w:i/>
          <w:iCs/>
          <w:sz w:val="24"/>
          <w:szCs w:val="24"/>
        </w:rPr>
        <w:t>Variable Construction: repair</w:t>
      </w:r>
    </w:p>
    <w:p w14:paraId="7BE60158" w14:textId="6ED40C17" w:rsidR="00534983" w:rsidRDefault="00684C93" w:rsidP="00442283">
      <w:pPr>
        <w:pStyle w:val="FirstParagraph"/>
      </w:pPr>
      <w:r>
        <w:t xml:space="preserve">The fourth component variable </w:t>
      </w:r>
      <w:r w:rsidRPr="00684C93">
        <w:t>repair</w:t>
      </w:r>
      <w:r>
        <w:t xml:space="preserve"> </w:t>
      </w:r>
      <w:r w:rsidRPr="00684C93">
        <w:t>will</w:t>
      </w:r>
      <w:r>
        <w:t xml:space="preserve"> loop through a list of common ‘repair’ keywords and synonyms and assign each row </w:t>
      </w:r>
      <w:r>
        <w:t>True or False</w:t>
      </w:r>
      <w:r>
        <w:t>. The</w:t>
      </w:r>
      <w:r>
        <w:t xml:space="preserve"> targets for the String search are</w:t>
      </w:r>
      <w:r>
        <w:t xml:space="preserve">: “repair”, “fix” (excluding fixture), “mend”, “restore”, “overhaul”, “service”, and “rebuild”. While these aren’t comprehensive, it should be enough to mark a significant portion of permit data for each neighborhood grouping. Once the </w:t>
      </w:r>
      <w:r>
        <w:t>Boolean</w:t>
      </w:r>
      <w:r>
        <w:t xml:space="preserve"> list is </w:t>
      </w:r>
      <w:r>
        <w:t>created</w:t>
      </w:r>
      <w:r>
        <w:t xml:space="preserve">, I will aggregate it by </w:t>
      </w:r>
      <w:r>
        <w:t>census tract</w:t>
      </w:r>
      <w:r>
        <w:t xml:space="preserve"> in the same method used for the other variables. </w:t>
      </w:r>
    </w:p>
    <w:p w14:paraId="57E0B66E" w14:textId="77777777" w:rsidR="00442283" w:rsidRPr="00442283" w:rsidRDefault="00442283" w:rsidP="00442283">
      <w:pPr>
        <w:pStyle w:val="BodyText"/>
      </w:pPr>
    </w:p>
    <w:p w14:paraId="39F44222" w14:textId="6D11A22E" w:rsidR="00511B03" w:rsidRDefault="00684C93" w:rsidP="0040131D">
      <w:pPr>
        <w:rPr>
          <w:i/>
          <w:iCs/>
          <w:sz w:val="24"/>
          <w:szCs w:val="24"/>
        </w:rPr>
      </w:pPr>
      <w:r>
        <w:rPr>
          <w:b/>
          <w:bCs/>
          <w:sz w:val="24"/>
          <w:szCs w:val="24"/>
        </w:rPr>
        <w:t xml:space="preserve">Appendix </w:t>
      </w:r>
      <w:r w:rsidR="00CC2794">
        <w:rPr>
          <w:b/>
          <w:bCs/>
          <w:sz w:val="24"/>
          <w:szCs w:val="24"/>
        </w:rPr>
        <w:t>3</w:t>
      </w:r>
      <w:r>
        <w:rPr>
          <w:b/>
          <w:bCs/>
          <w:sz w:val="24"/>
          <w:szCs w:val="24"/>
        </w:rPr>
        <w:t xml:space="preserve">: </w:t>
      </w:r>
      <w:r w:rsidR="00D31AF6">
        <w:rPr>
          <w:i/>
          <w:iCs/>
          <w:sz w:val="24"/>
          <w:szCs w:val="24"/>
        </w:rPr>
        <w:t>Process and Assignment for Weighting Components</w:t>
      </w:r>
    </w:p>
    <w:p w14:paraId="5887A4C3" w14:textId="3BA8C556" w:rsidR="00D31AF6" w:rsidRDefault="00D31AF6" w:rsidP="0040131D">
      <w:pPr>
        <w:rPr>
          <w:i/>
          <w:iCs/>
          <w:sz w:val="24"/>
          <w:szCs w:val="24"/>
        </w:rPr>
      </w:pPr>
      <w:r>
        <w:rPr>
          <w:i/>
          <w:iCs/>
          <w:sz w:val="24"/>
          <w:szCs w:val="24"/>
        </w:rPr>
        <w:t>Process</w:t>
      </w:r>
    </w:p>
    <w:p w14:paraId="26C2014C" w14:textId="15CCCCCE" w:rsidR="0040131D" w:rsidRDefault="0040131D" w:rsidP="00534983">
      <w:pPr>
        <w:pStyle w:val="FirstParagraph"/>
      </w:pPr>
      <w:r>
        <w:t xml:space="preserve">Reweighting the existing (and new) variables precisely would require significant background knowledge and focused research that </w:t>
      </w:r>
      <w:r w:rsidR="00534983">
        <w:t>is out of the scope of the project</w:t>
      </w:r>
      <w:r>
        <w:t xml:space="preserve">. So, </w:t>
      </w:r>
      <w:r w:rsidR="00C537D0">
        <w:t>t</w:t>
      </w:r>
      <w:r w:rsidR="00534983">
        <w:t>he weights will be based</w:t>
      </w:r>
      <w:r>
        <w:t xml:space="preserve"> roughly </w:t>
      </w:r>
      <w:proofErr w:type="gramStart"/>
      <w:r>
        <w:t>off of</w:t>
      </w:r>
      <w:proofErr w:type="gramEnd"/>
      <w:r>
        <w:t xml:space="preserve"> their implications in the context of the national death count from natural disasters (1970-2004). I acknowledge that these do not perfectly represent the fatality proportions in Boston’s climate, but any regional data was far too sparse to use. I will keep it in mind during the weight assignment. </w:t>
      </w:r>
      <w:bookmarkStart w:id="0" w:name="method"/>
      <w:r w:rsidR="00534983">
        <w:t>The Disaster Data Table is shown below</w:t>
      </w:r>
      <w:r w:rsidR="00A141B0">
        <w:t xml:space="preserve"> (Borden, 2008).</w:t>
      </w:r>
    </w:p>
    <w:p w14:paraId="2A3018C8" w14:textId="344E4BCD" w:rsidR="00534983" w:rsidRDefault="00534983" w:rsidP="00534983">
      <w:pPr>
        <w:pStyle w:val="BodyText"/>
        <w:jc w:val="center"/>
      </w:pPr>
      <w:r>
        <w:rPr>
          <w:noProof/>
        </w:rPr>
        <w:lastRenderedPageBreak/>
        <w:drawing>
          <wp:inline distT="0" distB="0" distL="0" distR="0" wp14:anchorId="1CA40E58" wp14:editId="248242ED">
            <wp:extent cx="3703320" cy="3589020"/>
            <wp:effectExtent l="0" t="0" r="0" b="0"/>
            <wp:docPr id="3" name="Picture" descr="Disaster Fatality Chart"/>
            <wp:cNvGraphicFramePr/>
            <a:graphic xmlns:a="http://schemas.openxmlformats.org/drawingml/2006/main">
              <a:graphicData uri="http://schemas.openxmlformats.org/drawingml/2006/picture">
                <pic:pic xmlns:pic="http://schemas.openxmlformats.org/drawingml/2006/picture">
                  <pic:nvPicPr>
                    <pic:cNvPr id="0" name="Picture" descr="../disasterDeathsUs.png"/>
                    <pic:cNvPicPr>
                      <a:picLocks noChangeAspect="1" noChangeArrowheads="1"/>
                    </pic:cNvPicPr>
                  </pic:nvPicPr>
                  <pic:blipFill>
                    <a:blip r:embed="rId17"/>
                    <a:stretch>
                      <a:fillRect/>
                    </a:stretch>
                  </pic:blipFill>
                  <pic:spPr bwMode="auto">
                    <a:xfrm>
                      <a:off x="0" y="0"/>
                      <a:ext cx="3703344" cy="3589043"/>
                    </a:xfrm>
                    <a:prstGeom prst="rect">
                      <a:avLst/>
                    </a:prstGeom>
                    <a:noFill/>
                    <a:ln w="9525">
                      <a:noFill/>
                      <a:headEnd/>
                      <a:tailEnd/>
                    </a:ln>
                  </pic:spPr>
                </pic:pic>
              </a:graphicData>
            </a:graphic>
          </wp:inline>
        </w:drawing>
      </w:r>
    </w:p>
    <w:p w14:paraId="3ABEB8D0" w14:textId="164C0D19" w:rsidR="00534983" w:rsidRPr="00534983" w:rsidRDefault="00534983" w:rsidP="00534983">
      <w:pPr>
        <w:pStyle w:val="BodyText"/>
        <w:jc w:val="center"/>
      </w:pPr>
      <w:r>
        <w:t xml:space="preserve">Figure </w:t>
      </w:r>
      <w:r w:rsidR="00D43F06">
        <w:t>10</w:t>
      </w:r>
      <w:r>
        <w:t>. Natural Disaster Deaths US (1970-2004)</w:t>
      </w:r>
    </w:p>
    <w:p w14:paraId="4862F61A" w14:textId="3C8F1937" w:rsidR="00534983" w:rsidRPr="00534983" w:rsidRDefault="00534983" w:rsidP="00534983">
      <w:pPr>
        <w:pStyle w:val="BodyText"/>
        <w:rPr>
          <w:i/>
          <w:iCs/>
        </w:rPr>
      </w:pPr>
      <w:r>
        <w:rPr>
          <w:i/>
          <w:iCs/>
        </w:rPr>
        <w:t>Assignment</w:t>
      </w:r>
    </w:p>
    <w:p w14:paraId="7BB882C5" w14:textId="06A09E4D" w:rsidR="0040131D" w:rsidRDefault="0040131D" w:rsidP="0040131D">
      <w:pPr>
        <w:pStyle w:val="FirstParagraph"/>
      </w:pPr>
      <w:r>
        <w:t>To assign weights, use the following process.</w:t>
      </w:r>
    </w:p>
    <w:p w14:paraId="707DA850" w14:textId="7D3808FC" w:rsidR="0040131D" w:rsidRDefault="0040131D" w:rsidP="0040131D">
      <w:pPr>
        <w:pStyle w:val="Compact"/>
        <w:numPr>
          <w:ilvl w:val="0"/>
          <w:numId w:val="4"/>
        </w:numPr>
      </w:pPr>
      <w:r>
        <w:t>For each variable, estimate the relevant proportion for its implications on each disaster. For example, not having insulation and heat may be assigned 90% to “Winter Weather”, and the remaining 10% to the more temperate “Severe Weather” category.</w:t>
      </w:r>
    </w:p>
    <w:p w14:paraId="1FAF02DF" w14:textId="3DEA3330" w:rsidR="0040131D" w:rsidRDefault="0040131D" w:rsidP="0040131D">
      <w:pPr>
        <w:pStyle w:val="Compact"/>
        <w:numPr>
          <w:ilvl w:val="0"/>
          <w:numId w:val="4"/>
        </w:numPr>
      </w:pPr>
      <w:r>
        <w:t>For each variable, estimate the certainty of the impact from 0 to 1. For example, I am sure that not having AC would impact the building’s vulnerability (x=1) while the ‘repair’ variable may only have a</w:t>
      </w:r>
      <w:r w:rsidR="002B3930">
        <w:t>n</w:t>
      </w:r>
      <w:r>
        <w:t xml:space="preserve"> 80% chance of being structural and making the building more resilient (x=0.8). Then, reweight these values so the impact proportions for all variables sum to 1.</w:t>
      </w:r>
    </w:p>
    <w:p w14:paraId="180DD797" w14:textId="77777777" w:rsidR="0040131D" w:rsidRDefault="0040131D" w:rsidP="0040131D">
      <w:pPr>
        <w:pStyle w:val="Compact"/>
        <w:numPr>
          <w:ilvl w:val="0"/>
          <w:numId w:val="4"/>
        </w:numPr>
      </w:pPr>
      <w:r>
        <w:t xml:space="preserve">For the final component, take the proportion of deaths from the disaster fatality chart. To roughly account for New England’s weather, add </w:t>
      </w:r>
      <w:proofErr w:type="gramStart"/>
      <w:r>
        <w:t>all of</w:t>
      </w:r>
      <w:proofErr w:type="gramEnd"/>
      <w:r>
        <w:t xml:space="preserve"> the percentage points from the “Tornado” section to “Winter Weather”.</w:t>
      </w:r>
    </w:p>
    <w:p w14:paraId="661486A2" w14:textId="3F2700B2" w:rsidR="0040131D" w:rsidRDefault="0040131D" w:rsidP="0040131D">
      <w:pPr>
        <w:pStyle w:val="Compact"/>
        <w:numPr>
          <w:ilvl w:val="0"/>
          <w:numId w:val="4"/>
        </w:numPr>
      </w:pPr>
      <w:r>
        <w:t xml:space="preserve">Linearly combine the implication matrix with the impact and disaster proportion vectors </w:t>
      </w:r>
      <w:r w:rsidR="00BC7C5E">
        <w:t xml:space="preserve">by summing the </w:t>
      </w:r>
      <w:r w:rsidR="004F1E9B">
        <w:t>rows</w:t>
      </w:r>
      <w:r w:rsidR="00BC7C5E">
        <w:t xml:space="preserve"> and completing the</w:t>
      </w:r>
      <w:r>
        <w:t xml:space="preserve"> following element-wise multiplication. </w:t>
      </w:r>
    </w:p>
    <w:p w14:paraId="43075B9C" w14:textId="60A9BEEF" w:rsidR="0040131D" w:rsidRDefault="00654767" w:rsidP="00534983">
      <w:pPr>
        <w:pStyle w:val="Compact"/>
        <w:ind w:left="720"/>
      </w:pPr>
      <w:r>
        <w:rPr>
          <w:rFonts w:eastAsiaTheme="minorEastAsia"/>
          <w:b/>
          <w:bCs/>
        </w:rPr>
        <w:t xml:space="preserve">       </w:t>
      </w:r>
      <w:r w:rsidR="004F1E9B">
        <w:rPr>
          <w:rFonts w:eastAsiaTheme="minorEastAsia"/>
          <w:b/>
          <w:bCs/>
        </w:rPr>
        <w:t xml:space="preserve">               </w:t>
      </w:r>
      <w:r>
        <w:rPr>
          <w:rFonts w:eastAsiaTheme="minorEastAsia"/>
          <w:b/>
          <w:bCs/>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total</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j</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4</m:t>
            </m:r>
          </m:sup>
          <m:e>
            <m:d>
              <m:dPr>
                <m:ctrlPr>
                  <w:rPr>
                    <w:rFonts w:ascii="Cambria Math" w:hAnsi="Cambria Math"/>
                    <w:i/>
                  </w:rPr>
                </m:ctrlPr>
              </m:dPr>
              <m:e>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i</m:t>
                        </m:r>
                        <m:r>
                          <m:rPr>
                            <m:sty m:val="bi"/>
                          </m:rPr>
                          <w:rPr>
                            <w:rFonts w:ascii="Cambria Math" w:hAnsi="Cambria Math"/>
                          </w:rPr>
                          <m:t>j</m:t>
                        </m:r>
                      </m:sup>
                    </m:sSup>
                  </m:e>
                  <m:sub>
                    <m:r>
                      <m:rPr>
                        <m:sty m:val="bi"/>
                      </m:rPr>
                      <w:rPr>
                        <w:rFonts w:ascii="Cambria Math" w:hAnsi="Cambria Math"/>
                      </w:rPr>
                      <m:t>implication</m:t>
                    </m:r>
                  </m:sub>
                </m:sSub>
              </m:e>
            </m:d>
          </m:e>
        </m:nary>
        <m:r>
          <w:rPr>
            <w:rFonts w:ascii="Cambria Math" w:hAnsi="Cambria Math"/>
          </w:rPr>
          <m:t xml:space="preserve"> .* </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impact</m:t>
            </m:r>
          </m:sub>
        </m:sSub>
        <m:r>
          <w:rPr>
            <w:rFonts w:ascii="Cambria Math" w:hAnsi="Cambria Math"/>
          </w:rPr>
          <m:t xml:space="preserve">  </m:t>
        </m:r>
        <m:r>
          <w:rPr>
            <w:rFonts w:ascii="Cambria Math" w:hAnsi="Cambria Math"/>
          </w:rPr>
          <m:t>.</m:t>
        </m:r>
        <m:r>
          <w:rPr>
            <w:rFonts w:ascii="Cambria Math" w:hAnsi="Cambria Math"/>
          </w:rPr>
          <m:t xml:space="preserve">*  </m:t>
        </m:r>
        <m:r>
          <m:rPr>
            <m:sty m:val="bi"/>
          </m:rPr>
          <w:rPr>
            <w:rFonts w:ascii="Cambria Math" w:hAnsi="Cambria Math"/>
          </w:rPr>
          <m:t>D</m:t>
        </m:r>
        <m:r>
          <w:rPr>
            <w:rFonts w:ascii="Cambria Math" w:hAnsi="Cambria Math"/>
          </w:rPr>
          <m:t xml:space="preserve"> </m:t>
        </m:r>
      </m:oMath>
      <w:r>
        <w:rPr>
          <w:rFonts w:eastAsiaTheme="minorEastAsia"/>
        </w:rPr>
        <w:t xml:space="preserve">               </w:t>
      </w:r>
      <w:r w:rsidR="004F1E9B">
        <w:rPr>
          <w:rFonts w:eastAsiaTheme="minorEastAsia"/>
        </w:rPr>
        <w:t xml:space="preserve">      </w:t>
      </w:r>
      <w:r>
        <w:rPr>
          <w:rFonts w:eastAsiaTheme="minorEastAsia"/>
        </w:rPr>
        <w:t xml:space="preserve">    (Eq. 1)</w:t>
      </w:r>
      <w:bookmarkEnd w:id="0"/>
    </w:p>
    <w:p w14:paraId="0CF639CA" w14:textId="77777777" w:rsidR="00124F33" w:rsidRDefault="00124F33" w:rsidP="0040131D">
      <w:pPr>
        <w:pStyle w:val="FirstParagraph"/>
      </w:pPr>
    </w:p>
    <w:p w14:paraId="0C523F53" w14:textId="26F48099" w:rsidR="0040131D" w:rsidRDefault="0040131D" w:rsidP="0040131D">
      <w:pPr>
        <w:pStyle w:val="FirstParagraph"/>
      </w:pPr>
      <w:r>
        <w:lastRenderedPageBreak/>
        <w:t xml:space="preserve">For step 1 (implications), the following proportions were assigned: </w:t>
      </w:r>
      <w:proofErr w:type="spellStart"/>
      <w:r w:rsidR="002B3930">
        <w:rPr>
          <w:b/>
          <w:bCs/>
        </w:rPr>
        <w:t>no_ac</w:t>
      </w:r>
      <w:proofErr w:type="spellEnd"/>
      <w:r>
        <w:t>: {“Heat or Drought</w:t>
      </w:r>
      <w:proofErr w:type="gramStart"/>
      <w:r>
        <w:t>” :</w:t>
      </w:r>
      <w:proofErr w:type="gramEnd"/>
      <w:r>
        <w:t xml:space="preserve"> 1.0} </w:t>
      </w:r>
      <w:r w:rsidR="002B3930" w:rsidRPr="002B3930">
        <w:rPr>
          <w:b/>
          <w:bCs/>
        </w:rPr>
        <w:t>age</w:t>
      </w:r>
      <w:r>
        <w:t xml:space="preserve">: {“Severe Weather” : 0.5, “Winter Weather” : 0.3, “Flooding” : 0.1, Heat or Drought" : 0.1} </w:t>
      </w:r>
      <w:proofErr w:type="spellStart"/>
      <w:r w:rsidR="002B3930" w:rsidRPr="002B3930">
        <w:rPr>
          <w:b/>
          <w:bCs/>
        </w:rPr>
        <w:t>val</w:t>
      </w:r>
      <w:proofErr w:type="spellEnd"/>
      <w:r>
        <w:t xml:space="preserve">: {“Winter Weather” : 0.5, “Severe Weather” : 0.3, “Heat or Drought” : 0.2} </w:t>
      </w:r>
      <w:r w:rsidR="002B3930" w:rsidRPr="002B3930">
        <w:rPr>
          <w:b/>
          <w:bCs/>
        </w:rPr>
        <w:t>repair</w:t>
      </w:r>
      <w:r>
        <w:t>: {“Severe Weather” : 0.5, “Winter Weather” : 0.3, “Heat or Drought” : 0.2}</w:t>
      </w:r>
    </w:p>
    <w:p w14:paraId="7F591128" w14:textId="02BB277E" w:rsidR="00654767" w:rsidRPr="00654767" w:rsidRDefault="00654767" w:rsidP="00654767">
      <w:pPr>
        <w:pStyle w:val="BodyText"/>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implication</m:t>
              </m:r>
            </m:sub>
          </m:sSub>
          <m:r>
            <m:rPr>
              <m:sty m:val="bi"/>
            </m:rPr>
            <w:rPr>
              <w:rFonts w:ascii="Cambria Math" w:hAnsi="Cambria Math"/>
            </w:rPr>
            <m:t>=</m:t>
          </m:r>
          <m:m>
            <m:mPr>
              <m:mcs>
                <m:mc>
                  <m:mcPr>
                    <m:count m:val="4"/>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0.1</m:t>
                </m:r>
              </m:e>
              <m:e>
                <m:r>
                  <m:rPr>
                    <m:sty m:val="bi"/>
                  </m:rPr>
                  <w:rPr>
                    <w:rFonts w:ascii="Cambria Math" w:hAnsi="Cambria Math"/>
                  </w:rPr>
                  <m:t>0.2</m:t>
                </m:r>
                <m:ctrlPr>
                  <w:rPr>
                    <w:rFonts w:ascii="Cambria Math" w:eastAsia="Cambria Math" w:hAnsi="Cambria Math" w:cs="Cambria Math"/>
                    <w:b/>
                    <w:bCs/>
                    <w:i/>
                  </w:rPr>
                </m:ctrlPr>
              </m:e>
              <m:e>
                <m:r>
                  <m:rPr>
                    <m:sty m:val="bi"/>
                  </m:rPr>
                  <w:rPr>
                    <w:rFonts w:ascii="Cambria Math" w:eastAsia="Cambria Math" w:hAnsi="Cambria Math" w:cs="Cambria Math"/>
                  </w:rPr>
                  <m:t>0.2</m:t>
                </m:r>
              </m:e>
            </m:mr>
            <m:mr>
              <m:e>
                <m:r>
                  <m:rPr>
                    <m:sty m:val="bi"/>
                  </m:rPr>
                  <w:rPr>
                    <w:rFonts w:ascii="Cambria Math" w:hAnsi="Cambria Math"/>
                  </w:rPr>
                  <m:t>0</m:t>
                </m:r>
              </m:e>
              <m:e>
                <m:r>
                  <m:rPr>
                    <m:sty m:val="bi"/>
                  </m:rPr>
                  <w:rPr>
                    <w:rFonts w:ascii="Cambria Math" w:hAnsi="Cambria Math"/>
                  </w:rPr>
                  <m:t>0.5</m:t>
                </m:r>
              </m:e>
              <m:e>
                <m:r>
                  <m:rPr>
                    <m:sty m:val="bi"/>
                  </m:rPr>
                  <w:rPr>
                    <w:rFonts w:ascii="Cambria Math" w:hAnsi="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r>
              <m:e>
                <m:r>
                  <m:rPr>
                    <m:sty m:val="bi"/>
                  </m:rPr>
                  <w:rPr>
                    <w:rFonts w:ascii="Cambria Math" w:hAnsi="Cambria Math"/>
                  </w:rPr>
                  <m:t>0</m:t>
                </m:r>
              </m:e>
              <m:e>
                <m:r>
                  <m:rPr>
                    <m:sty m:val="bi"/>
                  </m:rPr>
                  <w:rPr>
                    <w:rFonts w:ascii="Cambria Math" w:hAnsi="Cambria Math"/>
                  </w:rPr>
                  <m:t>0.3</m:t>
                </m:r>
              </m:e>
              <m:e>
                <m:r>
                  <m:rPr>
                    <m:sty m:val="bi"/>
                  </m:rPr>
                  <w:rPr>
                    <w:rFonts w:ascii="Cambria Math" w:hAnsi="Cambria Math"/>
                  </w:rPr>
                  <m:t>0.5</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e>
            </m:mr>
          </m:m>
        </m:oMath>
      </m:oMathPara>
    </w:p>
    <w:p w14:paraId="4A5409DA" w14:textId="6CC99318" w:rsidR="0040131D" w:rsidRDefault="0040131D" w:rsidP="0040131D">
      <w:pPr>
        <w:pStyle w:val="BodyText"/>
      </w:pPr>
      <w:r>
        <w:t>For step 2 (impact certainty), the following proportions were assigned: {</w:t>
      </w:r>
      <w:proofErr w:type="spellStart"/>
      <w:r w:rsidR="002B3930">
        <w:rPr>
          <w:b/>
          <w:bCs/>
        </w:rPr>
        <w:t>no_</w:t>
      </w:r>
      <w:proofErr w:type="gramStart"/>
      <w:r w:rsidR="002B3930">
        <w:rPr>
          <w:b/>
          <w:bCs/>
        </w:rPr>
        <w:t>ac</w:t>
      </w:r>
      <w:proofErr w:type="spellEnd"/>
      <w:r>
        <w:t xml:space="preserve"> :</w:t>
      </w:r>
      <w:proofErr w:type="gramEnd"/>
      <w:r>
        <w:t xml:space="preserve"> 1, </w:t>
      </w:r>
      <w:r w:rsidR="002B3930">
        <w:rPr>
          <w:b/>
          <w:bCs/>
        </w:rPr>
        <w:t>age</w:t>
      </w:r>
      <w:r>
        <w:t xml:space="preserve">: 0.5, </w:t>
      </w:r>
      <w:proofErr w:type="spellStart"/>
      <w:r w:rsidR="002B3930">
        <w:rPr>
          <w:b/>
          <w:bCs/>
        </w:rPr>
        <w:t>val</w:t>
      </w:r>
      <w:proofErr w:type="spellEnd"/>
      <w:r>
        <w:t xml:space="preserve">: 0.2, </w:t>
      </w:r>
      <w:r w:rsidR="002B3930">
        <w:rPr>
          <w:b/>
          <w:bCs/>
        </w:rPr>
        <w:t>repair</w:t>
      </w:r>
      <w:r>
        <w:t xml:space="preserve"> : 0.8} When reweighted, this gives us the following proportions: {</w:t>
      </w:r>
      <w:proofErr w:type="spellStart"/>
      <w:r w:rsidR="002B3930">
        <w:rPr>
          <w:b/>
          <w:bCs/>
        </w:rPr>
        <w:t>no_ac</w:t>
      </w:r>
      <w:proofErr w:type="spellEnd"/>
      <w:r>
        <w:t xml:space="preserve">: 0.4, </w:t>
      </w:r>
      <w:r w:rsidR="002B3930">
        <w:rPr>
          <w:b/>
          <w:bCs/>
        </w:rPr>
        <w:t>age</w:t>
      </w:r>
      <w:r>
        <w:t xml:space="preserve">: 0.2, </w:t>
      </w:r>
      <w:proofErr w:type="spellStart"/>
      <w:r w:rsidR="002B3930">
        <w:rPr>
          <w:b/>
          <w:bCs/>
        </w:rPr>
        <w:t>val</w:t>
      </w:r>
      <w:proofErr w:type="spellEnd"/>
      <w:r>
        <w:t xml:space="preserve"> : 0.08, </w:t>
      </w:r>
      <w:r w:rsidR="002B3930">
        <w:rPr>
          <w:b/>
          <w:bCs/>
        </w:rPr>
        <w:t>repair</w:t>
      </w:r>
      <w:r>
        <w:t xml:space="preserve"> : 0.32}</w:t>
      </w:r>
    </w:p>
    <w:p w14:paraId="25BA6908" w14:textId="26A7AE92" w:rsidR="004F1E9B" w:rsidRPr="00654767" w:rsidRDefault="004F1E9B" w:rsidP="004F1E9B">
      <w:pPr>
        <w:pStyle w:val="BodyText"/>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impact</m:t>
              </m:r>
            </m:sub>
          </m:sSub>
          <m:r>
            <m:rPr>
              <m:sty m:val="bi"/>
            </m:rPr>
            <w:rPr>
              <w:rFonts w:ascii="Cambria Math" w:hAnsi="Cambria Math"/>
            </w:rPr>
            <m:t>=</m:t>
          </m:r>
          <m:m>
            <m:mPr>
              <m:mcs>
                <m:mc>
                  <m:mcPr>
                    <m:count m:val="1"/>
                    <m:mcJc m:val="center"/>
                  </m:mcPr>
                </m:mc>
              </m:mcs>
              <m:ctrlPr>
                <w:rPr>
                  <w:rFonts w:ascii="Cambria Math" w:hAnsi="Cambria Math"/>
                  <w:b/>
                  <w:bCs/>
                  <w:i/>
                </w:rPr>
              </m:ctrlPr>
            </m:mPr>
            <m:mr>
              <m:e>
                <m:r>
                  <m:rPr>
                    <m:sty m:val="bi"/>
                  </m:rPr>
                  <w:rPr>
                    <w:rFonts w:ascii="Cambria Math" w:hAnsi="Cambria Math"/>
                  </w:rPr>
                  <m:t>1</m:t>
                </m:r>
              </m:e>
            </m:mr>
            <m:mr>
              <m:e>
                <m:r>
                  <m:rPr>
                    <m:sty m:val="bi"/>
                  </m:rPr>
                  <w:rPr>
                    <w:rFonts w:ascii="Cambria Math" w:hAnsi="Cambria Math"/>
                  </w:rPr>
                  <m:t>0.</m:t>
                </m:r>
                <m:r>
                  <m:rPr>
                    <m:sty m:val="bi"/>
                  </m:rPr>
                  <w:rPr>
                    <w:rFonts w:ascii="Cambria Math" w:hAnsi="Cambria Math"/>
                  </w:rPr>
                  <m:t>5</m:t>
                </m:r>
              </m:e>
            </m:mr>
            <m:mr>
              <m:e>
                <m:r>
                  <m:rPr>
                    <m:sty m:val="bi"/>
                  </m:rPr>
                  <w:rPr>
                    <w:rFonts w:ascii="Cambria Math" w:hAnsi="Cambria Math"/>
                  </w:rPr>
                  <m:t>0.2</m:t>
                </m:r>
              </m:e>
            </m:mr>
            <m:mr>
              <m:e>
                <m:r>
                  <m:rPr>
                    <m:sty m:val="bi"/>
                  </m:rPr>
                  <w:rPr>
                    <w:rFonts w:ascii="Cambria Math" w:eastAsia="Cambria Math" w:hAnsi="Cambria Math" w:cs="Cambria Math"/>
                  </w:rPr>
                  <m:t>0.</m:t>
                </m:r>
                <m:r>
                  <m:rPr>
                    <m:sty m:val="bi"/>
                  </m:rPr>
                  <w:rPr>
                    <w:rFonts w:ascii="Cambria Math" w:eastAsia="Cambria Math" w:hAnsi="Cambria Math" w:cs="Cambria Math"/>
                  </w:rPr>
                  <m:t>8</m:t>
                </m:r>
              </m:e>
            </m:mr>
          </m:m>
          <m:r>
            <m:rPr>
              <m:sty m:val="bi"/>
            </m:rPr>
            <w:rPr>
              <w:rFonts w:ascii="Cambria Math" w:hAnsi="Cambria Math"/>
            </w:rPr>
            <m:t xml:space="preserve">→ </m:t>
          </m:r>
          <m:m>
            <m:mPr>
              <m:mcs>
                <m:mc>
                  <m:mcPr>
                    <m:count m:val="1"/>
                    <m:mcJc m:val="center"/>
                  </m:mcPr>
                </m:mc>
              </m:mcs>
              <m:ctrlPr>
                <w:rPr>
                  <w:rFonts w:ascii="Cambria Math" w:hAnsi="Cambria Math"/>
                  <w:b/>
                  <w:bCs/>
                  <w:i/>
                </w:rPr>
              </m:ctrlPr>
            </m:mPr>
            <m:mr>
              <m:e>
                <m:r>
                  <m:rPr>
                    <m:sty m:val="bi"/>
                  </m:rPr>
                  <w:rPr>
                    <w:rFonts w:ascii="Cambria Math" w:hAnsi="Cambria Math"/>
                  </w:rPr>
                  <m:t>0.4</m:t>
                </m:r>
              </m:e>
            </m:mr>
            <m:mr>
              <m:e>
                <m:r>
                  <m:rPr>
                    <m:sty m:val="bi"/>
                  </m:rPr>
                  <w:rPr>
                    <w:rFonts w:ascii="Cambria Math" w:hAnsi="Cambria Math"/>
                  </w:rPr>
                  <m:t>0.</m:t>
                </m:r>
                <m:r>
                  <m:rPr>
                    <m:sty m:val="bi"/>
                  </m:rPr>
                  <w:rPr>
                    <w:rFonts w:ascii="Cambria Math" w:hAnsi="Cambria Math"/>
                  </w:rPr>
                  <m:t>2</m:t>
                </m:r>
              </m:e>
            </m:mr>
            <m:mr>
              <m:e>
                <m:r>
                  <m:rPr>
                    <m:sty m:val="bi"/>
                  </m:rPr>
                  <w:rPr>
                    <w:rFonts w:ascii="Cambria Math" w:hAnsi="Cambria Math"/>
                  </w:rPr>
                  <m:t>0.</m:t>
                </m:r>
                <m:r>
                  <m:rPr>
                    <m:sty m:val="bi"/>
                  </m:rPr>
                  <w:rPr>
                    <w:rFonts w:ascii="Cambria Math" w:hAnsi="Cambria Math"/>
                  </w:rPr>
                  <m:t>08</m:t>
                </m:r>
              </m:e>
            </m:mr>
            <m:mr>
              <m:e>
                <m:r>
                  <m:rPr>
                    <m:sty m:val="bi"/>
                  </m:rPr>
                  <w:rPr>
                    <w:rFonts w:ascii="Cambria Math" w:eastAsia="Cambria Math" w:hAnsi="Cambria Math" w:cs="Cambria Math"/>
                  </w:rPr>
                  <m:t>0.</m:t>
                </m:r>
                <m:r>
                  <m:rPr>
                    <m:sty m:val="bi"/>
                  </m:rPr>
                  <w:rPr>
                    <w:rFonts w:ascii="Cambria Math" w:eastAsia="Cambria Math" w:hAnsi="Cambria Math" w:cs="Cambria Math"/>
                  </w:rPr>
                  <m:t>32</m:t>
                </m:r>
              </m:e>
            </m:mr>
          </m:m>
        </m:oMath>
      </m:oMathPara>
    </w:p>
    <w:p w14:paraId="4C30BBAA" w14:textId="77777777" w:rsidR="004F1E9B" w:rsidRDefault="004F1E9B" w:rsidP="0040131D">
      <w:pPr>
        <w:pStyle w:val="BodyText"/>
      </w:pPr>
    </w:p>
    <w:p w14:paraId="150ABA9A" w14:textId="5AC1D181" w:rsidR="0040131D" w:rsidRDefault="0040131D" w:rsidP="0040131D">
      <w:pPr>
        <w:pStyle w:val="BodyText"/>
      </w:pPr>
      <w:r>
        <w:t xml:space="preserve">For step 3, these are the needed proportions (including Tornado -&gt; Winter Weather). Any category not included in steps 1 or 2 is cancelled out in the matrix equation. Those percentage points were reassigned equally among all categories. {Winter </w:t>
      </w:r>
      <w:proofErr w:type="gramStart"/>
      <w:r>
        <w:t>Weather :</w:t>
      </w:r>
      <w:proofErr w:type="gramEnd"/>
      <w:r>
        <w:t xml:space="preserve"> 0.362 Heat or Drought : 0.239 Severe Weather : 0.229 Flooding : 0.170 }</w:t>
      </w:r>
    </w:p>
    <w:p w14:paraId="1A3029D1" w14:textId="7FEECE2C" w:rsidR="004F1E9B" w:rsidRDefault="004F1E9B" w:rsidP="0040131D">
      <w:pPr>
        <w:pStyle w:val="BodyText"/>
      </w:pPr>
      <m:oMathPara>
        <m:oMath>
          <m:r>
            <m:rPr>
              <m:sty m:val="bi"/>
            </m:rPr>
            <w:rPr>
              <w:rFonts w:ascii="Cambria Math" w:hAnsi="Cambria Math"/>
            </w:rPr>
            <m:t>D</m:t>
          </m:r>
          <m:r>
            <m:rPr>
              <m:sty m:val="bi"/>
            </m:rPr>
            <w:rPr>
              <w:rFonts w:ascii="Cambria Math" w:hAnsi="Cambria Math"/>
            </w:rPr>
            <m:t>=</m:t>
          </m:r>
          <m:m>
            <m:mPr>
              <m:mcs>
                <m:mc>
                  <m:mcPr>
                    <m:count m:val="1"/>
                    <m:mcJc m:val="center"/>
                  </m:mcPr>
                </m:mc>
              </m:mcs>
              <m:ctrlPr>
                <w:rPr>
                  <w:rFonts w:ascii="Cambria Math" w:hAnsi="Cambria Math"/>
                  <w:b/>
                  <w:bCs/>
                  <w:i/>
                </w:rPr>
              </m:ctrlPr>
            </m:mPr>
            <m:mr>
              <m:e>
                <m:r>
                  <m:rPr>
                    <m:sty m:val="bi"/>
                  </m:rPr>
                  <w:rPr>
                    <w:rFonts w:ascii="Cambria Math" w:hAnsi="Cambria Math"/>
                  </w:rPr>
                  <m:t>0.239</m:t>
                </m:r>
              </m:e>
            </m:mr>
            <m:mr>
              <m:e>
                <m:r>
                  <m:rPr>
                    <m:sty m:val="bi"/>
                  </m:rPr>
                  <w:rPr>
                    <w:rFonts w:ascii="Cambria Math" w:hAnsi="Cambria Math"/>
                  </w:rPr>
                  <m:t>0.</m:t>
                </m:r>
                <m:r>
                  <m:rPr>
                    <m:sty m:val="bi"/>
                  </m:rPr>
                  <w:rPr>
                    <w:rFonts w:ascii="Cambria Math" w:hAnsi="Cambria Math"/>
                  </w:rPr>
                  <m:t>229</m:t>
                </m:r>
              </m:e>
            </m:mr>
            <m:mr>
              <m:e>
                <m:r>
                  <m:rPr>
                    <m:sty m:val="bi"/>
                  </m:rPr>
                  <w:rPr>
                    <w:rFonts w:ascii="Cambria Math" w:hAnsi="Cambria Math"/>
                  </w:rPr>
                  <m:t>0.</m:t>
                </m:r>
                <m:r>
                  <m:rPr>
                    <m:sty m:val="bi"/>
                  </m:rPr>
                  <w:rPr>
                    <w:rFonts w:ascii="Cambria Math" w:hAnsi="Cambria Math"/>
                  </w:rPr>
                  <m:t>362</m:t>
                </m:r>
              </m:e>
            </m:mr>
            <m:mr>
              <m:e>
                <m:r>
                  <m:rPr>
                    <m:sty m:val="bi"/>
                  </m:rPr>
                  <w:rPr>
                    <w:rFonts w:ascii="Cambria Math" w:eastAsia="Cambria Math" w:hAnsi="Cambria Math" w:cs="Cambria Math"/>
                  </w:rPr>
                  <m:t>0.</m:t>
                </m:r>
                <m:r>
                  <m:rPr>
                    <m:sty m:val="bi"/>
                  </m:rPr>
                  <w:rPr>
                    <w:rFonts w:ascii="Cambria Math" w:eastAsia="Cambria Math" w:hAnsi="Cambria Math" w:cs="Cambria Math"/>
                  </w:rPr>
                  <m:t>170</m:t>
                </m:r>
              </m:e>
            </m:mr>
          </m:m>
        </m:oMath>
      </m:oMathPara>
    </w:p>
    <w:p w14:paraId="57A56795" w14:textId="6856888F" w:rsidR="0040131D" w:rsidRDefault="0040131D" w:rsidP="0040131D">
      <w:pPr>
        <w:pStyle w:val="BodyText"/>
      </w:pPr>
      <w:r>
        <w:t xml:space="preserve">Putting it all together, we get the following vector: </w:t>
      </w:r>
      <w:proofErr w:type="gramStart"/>
      <w:r>
        <w:t xml:space="preserve">{ </w:t>
      </w:r>
      <w:proofErr w:type="spellStart"/>
      <w:r w:rsidR="002B3930">
        <w:rPr>
          <w:b/>
          <w:bCs/>
        </w:rPr>
        <w:t>no</w:t>
      </w:r>
      <w:proofErr w:type="gramEnd"/>
      <w:r w:rsidR="002B3930">
        <w:rPr>
          <w:b/>
          <w:bCs/>
        </w:rPr>
        <w:t>_ac</w:t>
      </w:r>
      <w:proofErr w:type="spellEnd"/>
      <w:r>
        <w:t xml:space="preserve"> : .23</w:t>
      </w:r>
      <w:r w:rsidR="002B3930">
        <w:t xml:space="preserve">9, </w:t>
      </w:r>
      <w:r w:rsidR="002B3930">
        <w:rPr>
          <w:b/>
          <w:bCs/>
        </w:rPr>
        <w:t xml:space="preserve">age </w:t>
      </w:r>
      <w:r>
        <w:t>: .13</w:t>
      </w:r>
      <w:r w:rsidR="002B3930">
        <w:t xml:space="preserve">5, </w:t>
      </w:r>
      <w:proofErr w:type="spellStart"/>
      <w:r w:rsidR="002B3930">
        <w:rPr>
          <w:b/>
          <w:bCs/>
        </w:rPr>
        <w:t>val</w:t>
      </w:r>
      <w:proofErr w:type="spellEnd"/>
      <w:r w:rsidR="002B3930">
        <w:rPr>
          <w:b/>
          <w:bCs/>
        </w:rPr>
        <w:t xml:space="preserve"> </w:t>
      </w:r>
      <w:r>
        <w:t>: .060</w:t>
      </w:r>
      <w:r w:rsidR="002B3930">
        <w:t>,</w:t>
      </w:r>
      <w:r>
        <w:t xml:space="preserve"> </w:t>
      </w:r>
      <w:r w:rsidR="002B3930">
        <w:rPr>
          <w:b/>
          <w:bCs/>
        </w:rPr>
        <w:t>repair</w:t>
      </w:r>
      <w:r>
        <w:t xml:space="preserve"> : .217 } Reweighting, this gives us our final weight vector: {</w:t>
      </w:r>
      <w:proofErr w:type="spellStart"/>
      <w:r w:rsidR="002B3930">
        <w:rPr>
          <w:b/>
          <w:bCs/>
        </w:rPr>
        <w:t>no_ac</w:t>
      </w:r>
      <w:proofErr w:type="spellEnd"/>
      <w:r w:rsidR="002B3930">
        <w:rPr>
          <w:b/>
          <w:bCs/>
        </w:rPr>
        <w:t xml:space="preserve"> </w:t>
      </w:r>
      <w:r>
        <w:t>:</w:t>
      </w:r>
      <w:r w:rsidR="002B3930">
        <w:t xml:space="preserve"> </w:t>
      </w:r>
      <w:r>
        <w:t>.367</w:t>
      </w:r>
      <w:r w:rsidR="002B3930">
        <w:t>,</w:t>
      </w:r>
      <w:r w:rsidR="002B3930">
        <w:rPr>
          <w:b/>
          <w:bCs/>
        </w:rPr>
        <w:t xml:space="preserve"> age </w:t>
      </w:r>
      <w:r>
        <w:t>: .207</w:t>
      </w:r>
      <w:r w:rsidR="002B3930">
        <w:t>,</w:t>
      </w:r>
      <w:r>
        <w:t xml:space="preserve"> </w:t>
      </w:r>
      <w:proofErr w:type="spellStart"/>
      <w:r w:rsidR="002B3930">
        <w:rPr>
          <w:b/>
          <w:bCs/>
        </w:rPr>
        <w:t>val</w:t>
      </w:r>
      <w:proofErr w:type="spellEnd"/>
      <w:r>
        <w:t xml:space="preserve"> : .092</w:t>
      </w:r>
      <w:r w:rsidR="002B3930">
        <w:t>,</w:t>
      </w:r>
      <w:r>
        <w:t xml:space="preserve"> </w:t>
      </w:r>
      <w:r w:rsidR="002B3930">
        <w:rPr>
          <w:b/>
          <w:bCs/>
        </w:rPr>
        <w:t>repairs</w:t>
      </w:r>
      <w:r>
        <w:t xml:space="preserve"> : .334 }</w:t>
      </w:r>
    </w:p>
    <w:p w14:paraId="11C718B1" w14:textId="6E0BE755" w:rsidR="00534983" w:rsidRPr="00654767" w:rsidRDefault="00534983" w:rsidP="00534983">
      <w:pPr>
        <w:pStyle w:val="BodyText"/>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total</m:t>
              </m:r>
            </m:sub>
          </m:sSub>
          <m:r>
            <m:rPr>
              <m:sty m:val="bi"/>
            </m:rPr>
            <w:rPr>
              <w:rFonts w:ascii="Cambria Math" w:hAnsi="Cambria Math"/>
            </w:rPr>
            <m:t>=</m:t>
          </m:r>
          <m:m>
            <m:mPr>
              <m:mcs>
                <m:mc>
                  <m:mcPr>
                    <m:count m:val="1"/>
                    <m:mcJc m:val="center"/>
                  </m:mcPr>
                </m:mc>
              </m:mcs>
              <m:ctrlPr>
                <w:rPr>
                  <w:rFonts w:ascii="Cambria Math" w:hAnsi="Cambria Math"/>
                  <w:b/>
                  <w:bCs/>
                  <w:i/>
                </w:rPr>
              </m:ctrlPr>
            </m:mPr>
            <m:mr>
              <m:e>
                <m:r>
                  <m:rPr>
                    <m:sty m:val="bi"/>
                  </m:rPr>
                  <w:rPr>
                    <w:rFonts w:ascii="Cambria Math" w:hAnsi="Cambria Math"/>
                  </w:rPr>
                  <m:t>0.239</m:t>
                </m:r>
              </m:e>
            </m:mr>
            <m:mr>
              <m:e>
                <m:r>
                  <m:rPr>
                    <m:sty m:val="bi"/>
                  </m:rPr>
                  <w:rPr>
                    <w:rFonts w:ascii="Cambria Math" w:hAnsi="Cambria Math"/>
                  </w:rPr>
                  <m:t>0</m:t>
                </m:r>
                <m:r>
                  <m:rPr>
                    <m:sty m:val="bi"/>
                  </m:rPr>
                  <w:rPr>
                    <w:rFonts w:ascii="Cambria Math" w:hAnsi="Cambria Math"/>
                  </w:rPr>
                  <m:t>.135</m:t>
                </m:r>
              </m:e>
            </m:mr>
            <m:mr>
              <m:e>
                <m:r>
                  <m:rPr>
                    <m:sty m:val="bi"/>
                  </m:rPr>
                  <w:rPr>
                    <w:rFonts w:ascii="Cambria Math" w:hAnsi="Cambria Math"/>
                  </w:rPr>
                  <m:t>0.</m:t>
                </m:r>
                <m:r>
                  <m:rPr>
                    <m:sty m:val="bi"/>
                  </m:rPr>
                  <w:rPr>
                    <w:rFonts w:ascii="Cambria Math" w:hAnsi="Cambria Math"/>
                  </w:rPr>
                  <m:t>060</m:t>
                </m:r>
              </m:e>
            </m:mr>
            <m:mr>
              <m:e>
                <m:r>
                  <m:rPr>
                    <m:sty m:val="bi"/>
                  </m:rPr>
                  <w:rPr>
                    <w:rFonts w:ascii="Cambria Math" w:eastAsia="Cambria Math" w:hAnsi="Cambria Math" w:cs="Cambria Math"/>
                  </w:rPr>
                  <m:t>0.</m:t>
                </m:r>
                <m:r>
                  <m:rPr>
                    <m:sty m:val="bi"/>
                  </m:rPr>
                  <w:rPr>
                    <w:rFonts w:ascii="Cambria Math" w:eastAsia="Cambria Math" w:hAnsi="Cambria Math" w:cs="Cambria Math"/>
                  </w:rPr>
                  <m:t>217</m:t>
                </m:r>
              </m:e>
            </m:mr>
          </m:m>
          <m:r>
            <m:rPr>
              <m:sty m:val="bi"/>
            </m:rPr>
            <w:rPr>
              <w:rFonts w:ascii="Cambria Math" w:hAnsi="Cambria Math"/>
            </w:rPr>
            <m:t xml:space="preserve">→ </m:t>
          </m:r>
          <m:m>
            <m:mPr>
              <m:mcs>
                <m:mc>
                  <m:mcPr>
                    <m:count m:val="1"/>
                    <m:mcJc m:val="center"/>
                  </m:mcPr>
                </m:mc>
              </m:mcs>
              <m:ctrlPr>
                <w:rPr>
                  <w:rFonts w:ascii="Cambria Math" w:hAnsi="Cambria Math"/>
                  <w:b/>
                  <w:bCs/>
                  <w:i/>
                  <w:highlight w:val="yellow"/>
                </w:rPr>
              </m:ctrlPr>
            </m:mPr>
            <m:mr>
              <m:e>
                <m:r>
                  <m:rPr>
                    <m:sty m:val="bi"/>
                  </m:rPr>
                  <w:rPr>
                    <w:rFonts w:ascii="Cambria Math" w:hAnsi="Cambria Math"/>
                    <w:highlight w:val="yellow"/>
                  </w:rPr>
                  <m:t>0.</m:t>
                </m:r>
                <m:r>
                  <m:rPr>
                    <m:sty m:val="bi"/>
                  </m:rPr>
                  <w:rPr>
                    <w:rFonts w:ascii="Cambria Math" w:hAnsi="Cambria Math"/>
                    <w:highlight w:val="yellow"/>
                  </w:rPr>
                  <m:t>367</m:t>
                </m:r>
              </m:e>
            </m:mr>
            <m:mr>
              <m:e>
                <m:r>
                  <m:rPr>
                    <m:sty m:val="bi"/>
                  </m:rPr>
                  <w:rPr>
                    <w:rFonts w:ascii="Cambria Math" w:hAnsi="Cambria Math"/>
                    <w:highlight w:val="yellow"/>
                  </w:rPr>
                  <m:t>0.</m:t>
                </m:r>
                <m:r>
                  <m:rPr>
                    <m:sty m:val="bi"/>
                  </m:rPr>
                  <w:rPr>
                    <w:rFonts w:ascii="Cambria Math" w:hAnsi="Cambria Math"/>
                    <w:highlight w:val="yellow"/>
                  </w:rPr>
                  <m:t>207</m:t>
                </m:r>
              </m:e>
            </m:mr>
            <m:mr>
              <m:e>
                <m:r>
                  <m:rPr>
                    <m:sty m:val="bi"/>
                  </m:rPr>
                  <w:rPr>
                    <w:rFonts w:ascii="Cambria Math" w:hAnsi="Cambria Math"/>
                    <w:highlight w:val="yellow"/>
                  </w:rPr>
                  <m:t>0.</m:t>
                </m:r>
                <m:r>
                  <m:rPr>
                    <m:sty m:val="bi"/>
                  </m:rPr>
                  <w:rPr>
                    <w:rFonts w:ascii="Cambria Math" w:hAnsi="Cambria Math"/>
                    <w:highlight w:val="yellow"/>
                  </w:rPr>
                  <m:t>092</m:t>
                </m:r>
              </m:e>
            </m:mr>
            <m:mr>
              <m:e>
                <m:r>
                  <m:rPr>
                    <m:sty m:val="bi"/>
                  </m:rPr>
                  <w:rPr>
                    <w:rFonts w:ascii="Cambria Math" w:eastAsia="Cambria Math" w:hAnsi="Cambria Math" w:cs="Cambria Math"/>
                    <w:highlight w:val="yellow"/>
                  </w:rPr>
                  <m:t>0.</m:t>
                </m:r>
                <m:r>
                  <m:rPr>
                    <m:sty m:val="bi"/>
                  </m:rPr>
                  <w:rPr>
                    <w:rFonts w:ascii="Cambria Math" w:eastAsia="Cambria Math" w:hAnsi="Cambria Math" w:cs="Cambria Math"/>
                    <w:highlight w:val="yellow"/>
                  </w:rPr>
                  <m:t>334</m:t>
                </m:r>
              </m:e>
            </m:mr>
          </m:m>
        </m:oMath>
      </m:oMathPara>
    </w:p>
    <w:p w14:paraId="4BB140AF" w14:textId="77777777" w:rsidR="00534983" w:rsidRDefault="00534983" w:rsidP="0040131D">
      <w:pPr>
        <w:pStyle w:val="BodyText"/>
      </w:pPr>
    </w:p>
    <w:p w14:paraId="7F839D76" w14:textId="59B69559" w:rsidR="0040131D" w:rsidRDefault="0040131D" w:rsidP="0040131D">
      <w:pPr>
        <w:pStyle w:val="BodyText"/>
      </w:pPr>
      <w:r>
        <w:t xml:space="preserve">A quick sanity check confirms that this result aligns with an intuitive expectation of these different factors. </w:t>
      </w:r>
    </w:p>
    <w:p w14:paraId="672484C3" w14:textId="4ABB3E71" w:rsidR="0040131D" w:rsidRDefault="0040131D" w:rsidP="0040131D">
      <w:pPr>
        <w:rPr>
          <w:i/>
          <w:iCs/>
          <w:sz w:val="28"/>
          <w:szCs w:val="28"/>
        </w:rPr>
      </w:pPr>
    </w:p>
    <w:p w14:paraId="0C57454D" w14:textId="0B0A630F" w:rsidR="00F56BFB" w:rsidRDefault="00F56BFB" w:rsidP="0040131D">
      <w:pPr>
        <w:rPr>
          <w:i/>
          <w:iCs/>
          <w:sz w:val="28"/>
          <w:szCs w:val="28"/>
        </w:rPr>
      </w:pPr>
    </w:p>
    <w:p w14:paraId="3654DBB2" w14:textId="707CFD26" w:rsidR="00F56BFB" w:rsidRDefault="00F56BFB" w:rsidP="0040131D">
      <w:pPr>
        <w:rPr>
          <w:sz w:val="28"/>
          <w:szCs w:val="28"/>
        </w:rPr>
      </w:pPr>
    </w:p>
    <w:p w14:paraId="06089192" w14:textId="5189DF75" w:rsidR="00F56BFB" w:rsidRDefault="00F56BFB" w:rsidP="00F56BFB">
      <w:pPr>
        <w:jc w:val="center"/>
        <w:rPr>
          <w:b/>
          <w:bCs/>
          <w:sz w:val="28"/>
          <w:szCs w:val="28"/>
        </w:rPr>
      </w:pPr>
      <w:r>
        <w:rPr>
          <w:b/>
          <w:bCs/>
          <w:sz w:val="28"/>
          <w:szCs w:val="28"/>
        </w:rPr>
        <w:lastRenderedPageBreak/>
        <w:t xml:space="preserve">References </w:t>
      </w:r>
    </w:p>
    <w:p w14:paraId="7850EF5F" w14:textId="40370EE2" w:rsidR="009461B9" w:rsidRDefault="009461B9" w:rsidP="009461B9">
      <w:pPr>
        <w:rPr>
          <w:sz w:val="24"/>
          <w:szCs w:val="24"/>
        </w:rPr>
      </w:pPr>
      <w:r w:rsidRPr="009461B9">
        <w:rPr>
          <w:sz w:val="24"/>
          <w:szCs w:val="24"/>
        </w:rPr>
        <w:t xml:space="preserve">“Boston Neighborhood Demographics 1950-2010”. Analyze Boston. 2019. Accessed December 16, 2021. https://data.boston.gov/dataset/neighborhood-demographics. </w:t>
      </w:r>
    </w:p>
    <w:p w14:paraId="314E5BC1" w14:textId="7FF22837" w:rsidR="00F56BFB" w:rsidRDefault="00F56BFB" w:rsidP="009461B9">
      <w:r w:rsidRPr="009461B9">
        <w:rPr>
          <w:sz w:val="24"/>
          <w:szCs w:val="24"/>
        </w:rPr>
        <w:t>Arcadis, HR&amp;A, University of Massachusetts Boston</w:t>
      </w:r>
      <w:r w:rsidRPr="009461B9">
        <w:rPr>
          <w:sz w:val="24"/>
          <w:szCs w:val="24"/>
        </w:rPr>
        <w:t xml:space="preserve">. 2016. </w:t>
      </w:r>
      <w:r w:rsidRPr="009461B9">
        <w:rPr>
          <w:i/>
          <w:iCs/>
          <w:sz w:val="24"/>
          <w:szCs w:val="24"/>
        </w:rPr>
        <w:t>Climate Ready Boston</w:t>
      </w:r>
      <w:r>
        <w:t xml:space="preserve"> </w:t>
      </w:r>
      <w:r w:rsidRPr="009461B9">
        <w:rPr>
          <w:i/>
          <w:iCs/>
        </w:rPr>
        <w:t>(Executive Summary).</w:t>
      </w:r>
      <w:r w:rsidR="00FE4F2B">
        <w:t xml:space="preserve"> </w:t>
      </w:r>
    </w:p>
    <w:p w14:paraId="07FDD5D9" w14:textId="3838FD10" w:rsidR="009461B9" w:rsidRPr="009461B9" w:rsidRDefault="009461B9" w:rsidP="009461B9">
      <w:pPr>
        <w:rPr>
          <w:sz w:val="24"/>
          <w:szCs w:val="24"/>
        </w:rPr>
      </w:pPr>
      <w:r w:rsidRPr="009461B9">
        <w:rPr>
          <w:sz w:val="24"/>
          <w:szCs w:val="24"/>
        </w:rPr>
        <w:t xml:space="preserve">Borden, Kevin A. and Cutter, Susan L. “Spatial Patterns of Natural Hazards Mortality in the United States” </w:t>
      </w:r>
      <w:r w:rsidRPr="009461B9">
        <w:rPr>
          <w:i/>
          <w:iCs/>
          <w:sz w:val="24"/>
          <w:szCs w:val="24"/>
        </w:rPr>
        <w:t xml:space="preserve">International Journal of Health Geographics </w:t>
      </w:r>
      <w:r w:rsidRPr="009461B9">
        <w:rPr>
          <w:sz w:val="24"/>
          <w:szCs w:val="24"/>
        </w:rPr>
        <w:t xml:space="preserve">7, no.64. 2008. </w:t>
      </w:r>
    </w:p>
    <w:p w14:paraId="452875D3" w14:textId="13BC0051" w:rsidR="009461B9" w:rsidRDefault="009461B9" w:rsidP="009461B9">
      <w:pPr>
        <w:rPr>
          <w:sz w:val="24"/>
          <w:szCs w:val="24"/>
        </w:rPr>
      </w:pPr>
      <w:r w:rsidRPr="009461B9">
        <w:rPr>
          <w:sz w:val="24"/>
          <w:szCs w:val="24"/>
        </w:rPr>
        <w:t xml:space="preserve">“Climate Ready Boston Social Vulnerability Index” Boston Maps. 2017. Accessed October 17, 2021. </w:t>
      </w:r>
      <w:r w:rsidRPr="009461B9">
        <w:rPr>
          <w:sz w:val="24"/>
          <w:szCs w:val="24"/>
        </w:rPr>
        <w:t>https://data.boston.gov/dataset/climate-ready-boston-social-vulnerability</w:t>
      </w:r>
      <w:r w:rsidRPr="009461B9">
        <w:rPr>
          <w:sz w:val="24"/>
          <w:szCs w:val="24"/>
        </w:rPr>
        <w:t>.</w:t>
      </w:r>
    </w:p>
    <w:p w14:paraId="734E108D" w14:textId="7BE8811E" w:rsidR="009461B9" w:rsidRDefault="009461B9" w:rsidP="009461B9">
      <w:pPr>
        <w:rPr>
          <w:sz w:val="24"/>
          <w:szCs w:val="24"/>
        </w:rPr>
      </w:pPr>
      <w:r w:rsidRPr="009461B9">
        <w:rPr>
          <w:sz w:val="24"/>
          <w:szCs w:val="24"/>
        </w:rPr>
        <w:t xml:space="preserve">EPA. </w:t>
      </w:r>
      <w:r w:rsidRPr="009461B9">
        <w:rPr>
          <w:i/>
          <w:iCs/>
          <w:sz w:val="24"/>
          <w:szCs w:val="24"/>
        </w:rPr>
        <w:t>Climate Change and Social Vulnerability in the United States: A Focus on Six Impacts.</w:t>
      </w:r>
      <w:r w:rsidRPr="009461B9">
        <w:rPr>
          <w:sz w:val="24"/>
          <w:szCs w:val="24"/>
        </w:rPr>
        <w:t xml:space="preserve"> 2021.</w:t>
      </w:r>
      <w:r>
        <w:rPr>
          <w:sz w:val="24"/>
          <w:szCs w:val="24"/>
        </w:rPr>
        <w:t xml:space="preserve"> </w:t>
      </w:r>
      <w:r w:rsidRPr="009461B9">
        <w:rPr>
          <w:sz w:val="24"/>
          <w:szCs w:val="24"/>
        </w:rPr>
        <w:t>U.S. Environmental Protection Agency, EPA 430-R-21-003.</w:t>
      </w:r>
    </w:p>
    <w:p w14:paraId="19811E55" w14:textId="40901A4F" w:rsidR="00F56BFB" w:rsidRPr="009461B9" w:rsidRDefault="00F56BFB" w:rsidP="009461B9">
      <w:pPr>
        <w:rPr>
          <w:sz w:val="24"/>
          <w:szCs w:val="24"/>
        </w:rPr>
      </w:pPr>
      <w:r w:rsidRPr="009461B9">
        <w:rPr>
          <w:sz w:val="24"/>
          <w:szCs w:val="24"/>
        </w:rPr>
        <w:t xml:space="preserve">“Climate Vulnerability Analysis.” </w:t>
      </w:r>
      <w:proofErr w:type="spellStart"/>
      <w:r w:rsidR="00FE4F2B" w:rsidRPr="009461B9">
        <w:rPr>
          <w:sz w:val="24"/>
          <w:szCs w:val="24"/>
        </w:rPr>
        <w:t>Seleeke</w:t>
      </w:r>
      <w:proofErr w:type="spellEnd"/>
      <w:r w:rsidR="00FE4F2B" w:rsidRPr="009461B9">
        <w:rPr>
          <w:sz w:val="24"/>
          <w:szCs w:val="24"/>
        </w:rPr>
        <w:t xml:space="preserve"> </w:t>
      </w:r>
      <w:proofErr w:type="spellStart"/>
      <w:r w:rsidR="00FE4F2B" w:rsidRPr="009461B9">
        <w:rPr>
          <w:sz w:val="24"/>
          <w:szCs w:val="24"/>
        </w:rPr>
        <w:t>Flingai</w:t>
      </w:r>
      <w:proofErr w:type="spellEnd"/>
      <w:r w:rsidR="00FE4F2B" w:rsidRPr="009461B9">
        <w:rPr>
          <w:sz w:val="24"/>
          <w:szCs w:val="24"/>
        </w:rPr>
        <w:t xml:space="preserve"> and Caitlin Spence</w:t>
      </w:r>
      <w:r w:rsidR="00FE4F2B" w:rsidRPr="009461B9">
        <w:rPr>
          <w:sz w:val="24"/>
          <w:szCs w:val="24"/>
        </w:rPr>
        <w:t xml:space="preserve">. 2019. </w:t>
      </w:r>
      <w:r w:rsidRPr="009461B9">
        <w:rPr>
          <w:sz w:val="24"/>
          <w:szCs w:val="24"/>
        </w:rPr>
        <w:t>Accessed December 1</w:t>
      </w:r>
      <w:r w:rsidR="00FE4F2B" w:rsidRPr="009461B9">
        <w:rPr>
          <w:sz w:val="24"/>
          <w:szCs w:val="24"/>
        </w:rPr>
        <w:t>6</w:t>
      </w:r>
      <w:r w:rsidRPr="009461B9">
        <w:rPr>
          <w:sz w:val="24"/>
          <w:szCs w:val="24"/>
        </w:rPr>
        <w:t xml:space="preserve">, 2021. </w:t>
      </w:r>
      <w:r w:rsidR="00FE4F2B" w:rsidRPr="009461B9">
        <w:rPr>
          <w:sz w:val="24"/>
          <w:szCs w:val="24"/>
        </w:rPr>
        <w:t>https://climate-vulnerability.mapc.org/</w:t>
      </w:r>
      <w:r w:rsidRPr="009461B9">
        <w:rPr>
          <w:sz w:val="24"/>
          <w:szCs w:val="24"/>
        </w:rPr>
        <w:t>.</w:t>
      </w:r>
    </w:p>
    <w:p w14:paraId="1DF3479A" w14:textId="5A76D5DD" w:rsidR="001C2482" w:rsidRPr="009461B9" w:rsidRDefault="001C2482" w:rsidP="009461B9">
      <w:pPr>
        <w:rPr>
          <w:sz w:val="24"/>
          <w:szCs w:val="24"/>
        </w:rPr>
      </w:pPr>
      <w:proofErr w:type="spellStart"/>
      <w:r w:rsidRPr="009461B9">
        <w:rPr>
          <w:sz w:val="24"/>
          <w:szCs w:val="24"/>
        </w:rPr>
        <w:t>Kelling</w:t>
      </w:r>
      <w:proofErr w:type="spellEnd"/>
      <w:r w:rsidRPr="009461B9">
        <w:rPr>
          <w:sz w:val="24"/>
          <w:szCs w:val="24"/>
        </w:rPr>
        <w:t>, George L. 1999. Broken windows and police discretion. Washington, DC: U.S. Dept. of Justice, Office of Justice Programs, National Institute of Justice.</w:t>
      </w:r>
    </w:p>
    <w:p w14:paraId="56A99F30" w14:textId="77777777" w:rsidR="009461B9" w:rsidRPr="009461B9" w:rsidRDefault="009461B9" w:rsidP="009461B9">
      <w:pPr>
        <w:rPr>
          <w:sz w:val="24"/>
          <w:szCs w:val="24"/>
        </w:rPr>
      </w:pPr>
      <w:r w:rsidRPr="009461B9">
        <w:rPr>
          <w:sz w:val="24"/>
          <w:szCs w:val="24"/>
        </w:rPr>
        <w:t xml:space="preserve">“Looking at the Age of Buildings in Boston with Statistical Tests”. </w:t>
      </w:r>
      <w:proofErr w:type="spellStart"/>
      <w:r w:rsidRPr="009461B9">
        <w:rPr>
          <w:sz w:val="24"/>
          <w:szCs w:val="24"/>
        </w:rPr>
        <w:t>Jtpollak</w:t>
      </w:r>
      <w:proofErr w:type="spellEnd"/>
      <w:r w:rsidRPr="009461B9">
        <w:rPr>
          <w:sz w:val="24"/>
          <w:szCs w:val="24"/>
        </w:rPr>
        <w:t xml:space="preserve">. 2015. Accessed October 17, 2021. https://sppua5262.wordpress.com/2015/12/01/looking-at-the-age-of-buildings-in-boston-with-statistical-tests/. </w:t>
      </w:r>
    </w:p>
    <w:p w14:paraId="55FBE1E8" w14:textId="31B7C627" w:rsidR="001C2482" w:rsidRPr="009461B9" w:rsidRDefault="001C2482" w:rsidP="009461B9">
      <w:pPr>
        <w:rPr>
          <w:sz w:val="24"/>
          <w:szCs w:val="24"/>
        </w:rPr>
      </w:pPr>
    </w:p>
    <w:sectPr w:rsidR="001C2482" w:rsidRPr="009461B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72B6" w14:textId="77777777" w:rsidR="00D64C95" w:rsidRDefault="00D64C95" w:rsidP="00DE4951">
      <w:pPr>
        <w:spacing w:after="0" w:line="240" w:lineRule="auto"/>
      </w:pPr>
      <w:r>
        <w:separator/>
      </w:r>
    </w:p>
  </w:endnote>
  <w:endnote w:type="continuationSeparator" w:id="0">
    <w:p w14:paraId="5B9C4CA4" w14:textId="77777777" w:rsidR="00D64C95" w:rsidRDefault="00D64C95" w:rsidP="00DE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06085"/>
      <w:docPartObj>
        <w:docPartGallery w:val="Page Numbers (Bottom of Page)"/>
        <w:docPartUnique/>
      </w:docPartObj>
    </w:sdtPr>
    <w:sdtEndPr>
      <w:rPr>
        <w:noProof/>
      </w:rPr>
    </w:sdtEndPr>
    <w:sdtContent>
      <w:p w14:paraId="44331C55" w14:textId="6D92E6D9" w:rsidR="00DE4951" w:rsidRDefault="00DE49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DA810" w14:textId="77777777" w:rsidR="00DE4951" w:rsidRDefault="00DE4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945D" w14:textId="77777777" w:rsidR="00D64C95" w:rsidRDefault="00D64C95" w:rsidP="00DE4951">
      <w:pPr>
        <w:spacing w:after="0" w:line="240" w:lineRule="auto"/>
      </w:pPr>
      <w:r>
        <w:separator/>
      </w:r>
    </w:p>
  </w:footnote>
  <w:footnote w:type="continuationSeparator" w:id="0">
    <w:p w14:paraId="3C2BE182" w14:textId="77777777" w:rsidR="00D64C95" w:rsidRDefault="00D64C95" w:rsidP="00DE4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66665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A10418D"/>
    <w:multiLevelType w:val="hybridMultilevel"/>
    <w:tmpl w:val="FEF00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5035C"/>
    <w:multiLevelType w:val="hybridMultilevel"/>
    <w:tmpl w:val="2B04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134F1"/>
    <w:multiLevelType w:val="hybridMultilevel"/>
    <w:tmpl w:val="7C28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03"/>
    <w:rsid w:val="0000616E"/>
    <w:rsid w:val="000140B7"/>
    <w:rsid w:val="00017568"/>
    <w:rsid w:val="00034C6C"/>
    <w:rsid w:val="00042FB6"/>
    <w:rsid w:val="0006781E"/>
    <w:rsid w:val="000800A3"/>
    <w:rsid w:val="000A7EA3"/>
    <w:rsid w:val="000D041F"/>
    <w:rsid w:val="00124F33"/>
    <w:rsid w:val="00142CA8"/>
    <w:rsid w:val="001768CD"/>
    <w:rsid w:val="00184421"/>
    <w:rsid w:val="001A39AC"/>
    <w:rsid w:val="001C2482"/>
    <w:rsid w:val="001F4F49"/>
    <w:rsid w:val="002174E3"/>
    <w:rsid w:val="00223E1B"/>
    <w:rsid w:val="00235B2E"/>
    <w:rsid w:val="0026427C"/>
    <w:rsid w:val="002B3930"/>
    <w:rsid w:val="002B717F"/>
    <w:rsid w:val="002F3A14"/>
    <w:rsid w:val="00316F8A"/>
    <w:rsid w:val="003172BA"/>
    <w:rsid w:val="00321B0F"/>
    <w:rsid w:val="003225ED"/>
    <w:rsid w:val="003843E2"/>
    <w:rsid w:val="003906F4"/>
    <w:rsid w:val="003B0078"/>
    <w:rsid w:val="003B71F2"/>
    <w:rsid w:val="003C1F2A"/>
    <w:rsid w:val="0040131D"/>
    <w:rsid w:val="00407BC4"/>
    <w:rsid w:val="00413CA9"/>
    <w:rsid w:val="00442283"/>
    <w:rsid w:val="00444953"/>
    <w:rsid w:val="004470A0"/>
    <w:rsid w:val="00452949"/>
    <w:rsid w:val="004742C0"/>
    <w:rsid w:val="004E21B7"/>
    <w:rsid w:val="004F1E9B"/>
    <w:rsid w:val="004F680D"/>
    <w:rsid w:val="005075B9"/>
    <w:rsid w:val="00511B03"/>
    <w:rsid w:val="005306B0"/>
    <w:rsid w:val="00534983"/>
    <w:rsid w:val="00536368"/>
    <w:rsid w:val="00557539"/>
    <w:rsid w:val="00597891"/>
    <w:rsid w:val="005E34AD"/>
    <w:rsid w:val="005F0C2B"/>
    <w:rsid w:val="00612C4F"/>
    <w:rsid w:val="00613EA1"/>
    <w:rsid w:val="00654767"/>
    <w:rsid w:val="00684C93"/>
    <w:rsid w:val="006F2B8A"/>
    <w:rsid w:val="006F3408"/>
    <w:rsid w:val="006F7D03"/>
    <w:rsid w:val="007054B5"/>
    <w:rsid w:val="00740CBA"/>
    <w:rsid w:val="007C4CA0"/>
    <w:rsid w:val="00833442"/>
    <w:rsid w:val="00857448"/>
    <w:rsid w:val="00860554"/>
    <w:rsid w:val="0086694E"/>
    <w:rsid w:val="00883A5E"/>
    <w:rsid w:val="008E5778"/>
    <w:rsid w:val="008E7945"/>
    <w:rsid w:val="00903DC0"/>
    <w:rsid w:val="009134CA"/>
    <w:rsid w:val="009461B9"/>
    <w:rsid w:val="00984E81"/>
    <w:rsid w:val="009A264F"/>
    <w:rsid w:val="009A320B"/>
    <w:rsid w:val="009A4D66"/>
    <w:rsid w:val="00A054B2"/>
    <w:rsid w:val="00A141B0"/>
    <w:rsid w:val="00A3379F"/>
    <w:rsid w:val="00A53DFD"/>
    <w:rsid w:val="00A5714F"/>
    <w:rsid w:val="00A87D51"/>
    <w:rsid w:val="00AA0782"/>
    <w:rsid w:val="00AB06DA"/>
    <w:rsid w:val="00AB07BB"/>
    <w:rsid w:val="00AC782B"/>
    <w:rsid w:val="00AF7E95"/>
    <w:rsid w:val="00B01101"/>
    <w:rsid w:val="00B02EA6"/>
    <w:rsid w:val="00B20FDF"/>
    <w:rsid w:val="00B34118"/>
    <w:rsid w:val="00B4330D"/>
    <w:rsid w:val="00B81028"/>
    <w:rsid w:val="00B85AF6"/>
    <w:rsid w:val="00BA13AF"/>
    <w:rsid w:val="00BC7244"/>
    <w:rsid w:val="00BC7931"/>
    <w:rsid w:val="00BC7C5E"/>
    <w:rsid w:val="00BD5D58"/>
    <w:rsid w:val="00C00128"/>
    <w:rsid w:val="00C2284C"/>
    <w:rsid w:val="00C43F05"/>
    <w:rsid w:val="00C525A8"/>
    <w:rsid w:val="00C537D0"/>
    <w:rsid w:val="00CA2844"/>
    <w:rsid w:val="00CB6357"/>
    <w:rsid w:val="00CC2794"/>
    <w:rsid w:val="00CC43A1"/>
    <w:rsid w:val="00CC7435"/>
    <w:rsid w:val="00CF7DDE"/>
    <w:rsid w:val="00D114FF"/>
    <w:rsid w:val="00D31AF6"/>
    <w:rsid w:val="00D353F2"/>
    <w:rsid w:val="00D43F06"/>
    <w:rsid w:val="00D4494C"/>
    <w:rsid w:val="00D64C95"/>
    <w:rsid w:val="00D65487"/>
    <w:rsid w:val="00D96510"/>
    <w:rsid w:val="00DA0704"/>
    <w:rsid w:val="00DB38CE"/>
    <w:rsid w:val="00DB3A0A"/>
    <w:rsid w:val="00DC5738"/>
    <w:rsid w:val="00DE4951"/>
    <w:rsid w:val="00DF352C"/>
    <w:rsid w:val="00DF6562"/>
    <w:rsid w:val="00E35323"/>
    <w:rsid w:val="00E674FC"/>
    <w:rsid w:val="00EA7A44"/>
    <w:rsid w:val="00F30466"/>
    <w:rsid w:val="00F56BFB"/>
    <w:rsid w:val="00F93E28"/>
    <w:rsid w:val="00FB7A8D"/>
    <w:rsid w:val="00FE4F2B"/>
    <w:rsid w:val="00FE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1DF3"/>
  <w15:chartTrackingRefBased/>
  <w15:docId w15:val="{B5D01CDC-1C73-4DB1-8447-18D6F228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40131D"/>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40131D"/>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357"/>
    <w:pPr>
      <w:ind w:left="720"/>
      <w:contextualSpacing/>
    </w:pPr>
  </w:style>
  <w:style w:type="character" w:styleId="Hyperlink">
    <w:name w:val="Hyperlink"/>
    <w:basedOn w:val="DefaultParagraphFont"/>
    <w:uiPriority w:val="99"/>
    <w:unhideWhenUsed/>
    <w:rsid w:val="001A39AC"/>
    <w:rPr>
      <w:color w:val="0000FF"/>
      <w:u w:val="single"/>
    </w:rPr>
  </w:style>
  <w:style w:type="character" w:customStyle="1" w:styleId="Heading3Char">
    <w:name w:val="Heading 3 Char"/>
    <w:basedOn w:val="DefaultParagraphFont"/>
    <w:link w:val="Heading3"/>
    <w:uiPriority w:val="9"/>
    <w:rsid w:val="0040131D"/>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40131D"/>
    <w:rPr>
      <w:rFonts w:asciiTheme="majorHAnsi" w:eastAsiaTheme="majorEastAsia" w:hAnsiTheme="majorHAnsi" w:cstheme="majorBidi"/>
      <w:bCs/>
      <w:i/>
      <w:color w:val="4472C4" w:themeColor="accent1"/>
      <w:sz w:val="24"/>
      <w:szCs w:val="24"/>
    </w:rPr>
  </w:style>
  <w:style w:type="paragraph" w:styleId="BodyText">
    <w:name w:val="Body Text"/>
    <w:basedOn w:val="Normal"/>
    <w:link w:val="BodyTextChar"/>
    <w:qFormat/>
    <w:rsid w:val="0040131D"/>
    <w:pPr>
      <w:spacing w:before="180" w:after="180" w:line="240" w:lineRule="auto"/>
    </w:pPr>
    <w:rPr>
      <w:sz w:val="24"/>
      <w:szCs w:val="24"/>
    </w:rPr>
  </w:style>
  <w:style w:type="character" w:customStyle="1" w:styleId="BodyTextChar">
    <w:name w:val="Body Text Char"/>
    <w:basedOn w:val="DefaultParagraphFont"/>
    <w:link w:val="BodyText"/>
    <w:rsid w:val="0040131D"/>
    <w:rPr>
      <w:sz w:val="24"/>
      <w:szCs w:val="24"/>
    </w:rPr>
  </w:style>
  <w:style w:type="paragraph" w:customStyle="1" w:styleId="FirstParagraph">
    <w:name w:val="First Paragraph"/>
    <w:basedOn w:val="BodyText"/>
    <w:next w:val="BodyText"/>
    <w:qFormat/>
    <w:rsid w:val="0040131D"/>
  </w:style>
  <w:style w:type="paragraph" w:customStyle="1" w:styleId="Compact">
    <w:name w:val="Compact"/>
    <w:basedOn w:val="BodyText"/>
    <w:qFormat/>
    <w:rsid w:val="0040131D"/>
    <w:pPr>
      <w:spacing w:before="36" w:after="36"/>
    </w:pPr>
  </w:style>
  <w:style w:type="character" w:styleId="PlaceholderText">
    <w:name w:val="Placeholder Text"/>
    <w:basedOn w:val="DefaultParagraphFont"/>
    <w:uiPriority w:val="99"/>
    <w:semiHidden/>
    <w:rsid w:val="0040131D"/>
    <w:rPr>
      <w:color w:val="808080"/>
    </w:rPr>
  </w:style>
  <w:style w:type="character" w:styleId="UnresolvedMention">
    <w:name w:val="Unresolved Mention"/>
    <w:basedOn w:val="DefaultParagraphFont"/>
    <w:uiPriority w:val="99"/>
    <w:semiHidden/>
    <w:unhideWhenUsed/>
    <w:rsid w:val="00FE4F2B"/>
    <w:rPr>
      <w:color w:val="605E5C"/>
      <w:shd w:val="clear" w:color="auto" w:fill="E1DFDD"/>
    </w:rPr>
  </w:style>
  <w:style w:type="character" w:customStyle="1" w:styleId="Heading1Char">
    <w:name w:val="Heading 1 Char"/>
    <w:basedOn w:val="DefaultParagraphFont"/>
    <w:link w:val="Heading1"/>
    <w:uiPriority w:val="9"/>
    <w:rsid w:val="007054B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E4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951"/>
  </w:style>
  <w:style w:type="paragraph" w:styleId="Footer">
    <w:name w:val="footer"/>
    <w:basedOn w:val="Normal"/>
    <w:link w:val="FooterChar"/>
    <w:uiPriority w:val="99"/>
    <w:unhideWhenUsed/>
    <w:rsid w:val="00DE4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954708">
      <w:bodyDiv w:val="1"/>
      <w:marLeft w:val="0"/>
      <w:marRight w:val="0"/>
      <w:marTop w:val="0"/>
      <w:marBottom w:val="0"/>
      <w:divBdr>
        <w:top w:val="none" w:sz="0" w:space="0" w:color="auto"/>
        <w:left w:val="none" w:sz="0" w:space="0" w:color="auto"/>
        <w:bottom w:val="none" w:sz="0" w:space="0" w:color="auto"/>
        <w:right w:val="none" w:sz="0" w:space="0" w:color="auto"/>
      </w:divBdr>
    </w:div>
    <w:div w:id="1780903596">
      <w:bodyDiv w:val="1"/>
      <w:marLeft w:val="0"/>
      <w:marRight w:val="0"/>
      <w:marTop w:val="0"/>
      <w:marBottom w:val="0"/>
      <w:divBdr>
        <w:top w:val="none" w:sz="0" w:space="0" w:color="auto"/>
        <w:left w:val="none" w:sz="0" w:space="0" w:color="auto"/>
        <w:bottom w:val="none" w:sz="0" w:space="0" w:color="auto"/>
        <w:right w:val="none" w:sz="0" w:space="0" w:color="auto"/>
      </w:divBdr>
    </w:div>
    <w:div w:id="179374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972FF-B393-43FE-A931-8DF3D656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17</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Miller</dc:creator>
  <cp:keywords/>
  <dc:description/>
  <cp:lastModifiedBy>Justin Miller</cp:lastModifiedBy>
  <cp:revision>63</cp:revision>
  <dcterms:created xsi:type="dcterms:W3CDTF">2021-12-12T21:45:00Z</dcterms:created>
  <dcterms:modified xsi:type="dcterms:W3CDTF">2021-12-17T01:56:00Z</dcterms:modified>
</cp:coreProperties>
</file>