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3B44C" w14:textId="77777777" w:rsidR="0088436C" w:rsidRDefault="00393C15">
      <w:pPr>
        <w:pStyle w:val="Title"/>
        <w:jc w:val="both"/>
        <w:rPr>
          <w:rFonts w:ascii="Times New Roman" w:eastAsia="Times New Roman" w:hAnsi="Times New Roman" w:cs="Times New Roman"/>
        </w:rPr>
      </w:pPr>
      <w:bookmarkStart w:id="0" w:name="_7v5th3gozqoh" w:colFirst="0" w:colLast="0"/>
      <w:bookmarkEnd w:id="0"/>
      <w:r>
        <w:rPr>
          <w:rFonts w:ascii="Times New Roman" w:eastAsia="Times New Roman" w:hAnsi="Times New Roman" w:cs="Times New Roman"/>
          <w:noProof/>
        </w:rPr>
        <w:drawing>
          <wp:inline distT="114300" distB="114300" distL="114300" distR="114300" wp14:anchorId="4AE3B63D" wp14:editId="4AE3B63E">
            <wp:extent cx="5731200" cy="3556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1200" cy="3556000"/>
                    </a:xfrm>
                    <a:prstGeom prst="rect">
                      <a:avLst/>
                    </a:prstGeom>
                    <a:ln/>
                  </pic:spPr>
                </pic:pic>
              </a:graphicData>
            </a:graphic>
          </wp:inline>
        </w:drawing>
      </w:r>
    </w:p>
    <w:p w14:paraId="4AE3B44D" w14:textId="37B1295A" w:rsidR="0088436C" w:rsidRDefault="00393C15">
      <w:pPr>
        <w:pStyle w:val="Title"/>
        <w:jc w:val="center"/>
        <w:rPr>
          <w:rFonts w:ascii="Times New Roman" w:eastAsia="Times New Roman" w:hAnsi="Times New Roman" w:cs="Times New Roman"/>
        </w:rPr>
      </w:pPr>
      <w:bookmarkStart w:id="1" w:name="_k6smoqwb5uyb" w:colFirst="0" w:colLast="0"/>
      <w:bookmarkEnd w:id="1"/>
      <w:r>
        <w:rPr>
          <w:rFonts w:ascii="Times New Roman" w:eastAsia="Times New Roman" w:hAnsi="Times New Roman" w:cs="Times New Roman"/>
          <w:b/>
          <w:sz w:val="48"/>
          <w:szCs w:val="48"/>
        </w:rPr>
        <w:t>BT4016</w:t>
      </w:r>
      <w:r>
        <w:rPr>
          <w:rFonts w:ascii="Times New Roman" w:eastAsia="Times New Roman" w:hAnsi="Times New Roman" w:cs="Times New Roman"/>
          <w:b/>
          <w:sz w:val="48"/>
          <w:szCs w:val="48"/>
        </w:rPr>
        <w:br/>
      </w:r>
      <w:r w:rsidR="003D3E1C">
        <w:rPr>
          <w:rFonts w:ascii="Times New Roman" w:eastAsia="Times New Roman" w:hAnsi="Times New Roman" w:cs="Times New Roman"/>
          <w:b/>
          <w:sz w:val="48"/>
          <w:szCs w:val="48"/>
        </w:rPr>
        <w:t>Final</w:t>
      </w:r>
      <w:r>
        <w:rPr>
          <w:rFonts w:ascii="Times New Roman" w:eastAsia="Times New Roman" w:hAnsi="Times New Roman" w:cs="Times New Roman"/>
          <w:b/>
          <w:sz w:val="48"/>
          <w:szCs w:val="48"/>
        </w:rPr>
        <w:t xml:space="preserve"> Report</w:t>
      </w:r>
    </w:p>
    <w:p w14:paraId="4AE3B44E" w14:textId="77777777" w:rsidR="0088436C" w:rsidRDefault="00393C15">
      <w:pPr>
        <w:pStyle w:val="Subtitle"/>
        <w:jc w:val="center"/>
        <w:rPr>
          <w:rFonts w:ascii="Times New Roman" w:eastAsia="Times New Roman" w:hAnsi="Times New Roman" w:cs="Times New Roman"/>
        </w:rPr>
      </w:pPr>
      <w:bookmarkStart w:id="2" w:name="_urrwtxnksdm9" w:colFirst="0" w:colLast="0"/>
      <w:bookmarkEnd w:id="2"/>
      <w:r>
        <w:rPr>
          <w:rFonts w:ascii="Times New Roman" w:eastAsia="Times New Roman" w:hAnsi="Times New Roman" w:cs="Times New Roman"/>
        </w:rPr>
        <w:t>AY21/22 Semester 1</w:t>
      </w:r>
    </w:p>
    <w:p w14:paraId="4AE3B44F" w14:textId="77777777" w:rsidR="0088436C" w:rsidRDefault="00393C15">
      <w:pPr>
        <w:pStyle w:val="Subtitle"/>
        <w:spacing w:line="240" w:lineRule="auto"/>
        <w:jc w:val="center"/>
        <w:rPr>
          <w:rFonts w:ascii="Times New Roman" w:eastAsia="Times New Roman" w:hAnsi="Times New Roman" w:cs="Times New Roman"/>
        </w:rPr>
      </w:pPr>
      <w:bookmarkStart w:id="3" w:name="_c014277k47zp" w:colFirst="0" w:colLast="0"/>
      <w:bookmarkEnd w:id="3"/>
      <w:r>
        <w:rPr>
          <w:rFonts w:ascii="Times New Roman" w:eastAsia="Times New Roman" w:hAnsi="Times New Roman" w:cs="Times New Roman"/>
        </w:rPr>
        <w:t>Group 21</w:t>
      </w:r>
      <w:r>
        <w:rPr>
          <w:rFonts w:ascii="Times New Roman" w:eastAsia="Times New Roman" w:hAnsi="Times New Roman" w:cs="Times New Roman"/>
        </w:rPr>
        <w:br/>
      </w:r>
      <w:r>
        <w:rPr>
          <w:rFonts w:ascii="Times New Roman" w:eastAsia="Times New Roman" w:hAnsi="Times New Roman" w:cs="Times New Roman"/>
        </w:rPr>
        <w:br/>
        <w:t>Dylan See Keane Loong A0183045J</w:t>
      </w:r>
      <w:r>
        <w:rPr>
          <w:rFonts w:ascii="Times New Roman" w:eastAsia="Times New Roman" w:hAnsi="Times New Roman" w:cs="Times New Roman"/>
        </w:rPr>
        <w:br/>
        <w:t>Justin Julius Chu Qijie A0183794M</w:t>
      </w:r>
      <w:r>
        <w:rPr>
          <w:rFonts w:ascii="Times New Roman" w:eastAsia="Times New Roman" w:hAnsi="Times New Roman" w:cs="Times New Roman"/>
        </w:rPr>
        <w:br/>
        <w:t>Mohamad Nurhakiem Bin Mohamd Rasid A0190241R</w:t>
      </w:r>
      <w:r>
        <w:rPr>
          <w:rFonts w:ascii="Times New Roman" w:eastAsia="Times New Roman" w:hAnsi="Times New Roman" w:cs="Times New Roman"/>
        </w:rPr>
        <w:br/>
      </w:r>
      <w:proofErr w:type="spellStart"/>
      <w:r>
        <w:rPr>
          <w:rFonts w:ascii="Times New Roman" w:eastAsia="Times New Roman" w:hAnsi="Times New Roman" w:cs="Times New Roman"/>
        </w:rPr>
        <w:t>Oon</w:t>
      </w:r>
      <w:proofErr w:type="spellEnd"/>
      <w:r>
        <w:rPr>
          <w:rFonts w:ascii="Times New Roman" w:eastAsia="Times New Roman" w:hAnsi="Times New Roman" w:cs="Times New Roman"/>
        </w:rPr>
        <w:t xml:space="preserve"> Kei Zee Casey A0171354J</w:t>
      </w:r>
    </w:p>
    <w:p w14:paraId="4AE3B450" w14:textId="77777777" w:rsidR="0088436C" w:rsidRDefault="0088436C"/>
    <w:p w14:paraId="4AE3B451" w14:textId="77777777" w:rsidR="0088436C" w:rsidRDefault="0088436C"/>
    <w:p w14:paraId="4AE3B452" w14:textId="77777777" w:rsidR="0088436C" w:rsidRDefault="0088436C"/>
    <w:p w14:paraId="4AE3B453" w14:textId="77777777" w:rsidR="0088436C" w:rsidRDefault="0088436C"/>
    <w:p w14:paraId="4AE3B454" w14:textId="77777777" w:rsidR="0088436C" w:rsidRDefault="0088436C"/>
    <w:p w14:paraId="4AE3B455" w14:textId="77777777" w:rsidR="0088436C" w:rsidRDefault="0088436C"/>
    <w:p w14:paraId="4AE3B456" w14:textId="77777777" w:rsidR="0088436C" w:rsidRDefault="0088436C"/>
    <w:p w14:paraId="4AE3B457" w14:textId="77777777" w:rsidR="0088436C" w:rsidRDefault="0088436C"/>
    <w:p w14:paraId="4AE3B458" w14:textId="77777777" w:rsidR="0088436C" w:rsidRDefault="0088436C"/>
    <w:p w14:paraId="4AE3B459" w14:textId="77777777" w:rsidR="0088436C" w:rsidRDefault="0088436C"/>
    <w:p w14:paraId="4AE3B45A" w14:textId="77777777" w:rsidR="0088436C" w:rsidRDefault="0088436C"/>
    <w:p w14:paraId="4AE3B45B" w14:textId="77777777" w:rsidR="0088436C" w:rsidRDefault="0088436C"/>
    <w:p w14:paraId="4AE3B45C" w14:textId="77777777" w:rsidR="0088436C" w:rsidRDefault="00393C15">
      <w:pPr>
        <w:pStyle w:val="Heading3"/>
      </w:pPr>
      <w:bookmarkStart w:id="4" w:name="_d1zbejdhrq3a" w:colFirst="0" w:colLast="0"/>
      <w:bookmarkEnd w:id="4"/>
      <w:r>
        <w:rPr>
          <w:b/>
          <w:color w:val="000000"/>
        </w:rPr>
        <w:lastRenderedPageBreak/>
        <w:t>1</w:t>
      </w:r>
    </w:p>
    <w:p w14:paraId="4AE3B45D" w14:textId="77777777" w:rsidR="0088436C" w:rsidRDefault="00393C15">
      <w:r>
        <w:t>For our four portfolios, our optimal portfolios with subjective adjustments did the best, followed by our optimal portfolio without adjustments, our best portfolio, and our worst portfolio. The standard deviation of our portfolios also follows the same ord</w:t>
      </w:r>
      <w:r>
        <w:t>er. The return and standard deviation of our optimal portfolios did significantly better than the actual mutual funds, as we increased the weight heavily on stocks that did well in 2021, such as NVDA which more than doubled its price. The higher YTD return</w:t>
      </w:r>
      <w:r>
        <w:t xml:space="preserve">s inevitably led to a higher standard deviation for our optimal portfolios. For the return in October 2021, the portfolio with optimal adjustments and optimal portfolio came in first and second respectively. However, </w:t>
      </w:r>
      <w:proofErr w:type="gramStart"/>
      <w:r>
        <w:t>The</w:t>
      </w:r>
      <w:proofErr w:type="gramEnd"/>
      <w:r>
        <w:t xml:space="preserve"> return of our worst portfolio, BFOC</w:t>
      </w:r>
      <w:r>
        <w:t>X, in October 2021 was better than that of our best portfolio (FELAX). This was because BFOCX had dipped to an all-time low in May 2021, and only rose back to its original price again in October 2021.</w:t>
      </w:r>
    </w:p>
    <w:p w14:paraId="4AE3B45E" w14:textId="77777777" w:rsidR="0088436C" w:rsidRDefault="0088436C"/>
    <w:p w14:paraId="4AE3B45F" w14:textId="77777777" w:rsidR="0088436C" w:rsidRDefault="00393C15">
      <w:r>
        <w:t>Comparing the YTD return of our best portfolio and our</w:t>
      </w:r>
      <w:r>
        <w:t xml:space="preserve"> adjusted portfolios, the adjustments </w:t>
      </w:r>
      <w:proofErr w:type="gramStart"/>
      <w:r>
        <w:t>definitely did</w:t>
      </w:r>
      <w:proofErr w:type="gramEnd"/>
      <w:r>
        <w:t xml:space="preserve"> help us to increase our returns. Many of the stocks that we analysed to perform better had their weights drastically increased, just below the threshold, while many stocks that we analysed to perform poo</w:t>
      </w:r>
      <w:r>
        <w:t xml:space="preserve">rly were dropped from the portfolio entirely. </w:t>
      </w:r>
    </w:p>
    <w:p w14:paraId="4AE3B460" w14:textId="77777777" w:rsidR="0088436C" w:rsidRDefault="0088436C"/>
    <w:p w14:paraId="4AE3B461" w14:textId="77777777" w:rsidR="0088436C" w:rsidRDefault="00393C15">
      <w:r>
        <w:t xml:space="preserve"> Another reason why the returns might seem so large as compared to the original FELAX portfolio was that in calculating the returns, the stock prices from 2020 (from mid-term report) of the </w:t>
      </w:r>
      <w:proofErr w:type="gramStart"/>
      <w:r>
        <w:t>project</w:t>
      </w:r>
      <w:proofErr w:type="gramEnd"/>
      <w:r>
        <w:t xml:space="preserve"> were used.</w:t>
      </w:r>
      <w:r>
        <w:t xml:space="preserve"> </w:t>
      </w:r>
      <w:proofErr w:type="gramStart"/>
      <w:r>
        <w:t>Meaning, these stocks</w:t>
      </w:r>
      <w:proofErr w:type="gramEnd"/>
      <w:r>
        <w:t xml:space="preserve"> were purchased much cheaper, and in a larger quantity when we adjusted the portfolio for 2020. </w:t>
      </w:r>
    </w:p>
    <w:p w14:paraId="4AE3B462" w14:textId="77777777" w:rsidR="0088436C" w:rsidRDefault="0088436C"/>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88436C" w14:paraId="4AE3B467" w14:textId="77777777">
        <w:tc>
          <w:tcPr>
            <w:tcW w:w="2257" w:type="dxa"/>
            <w:shd w:val="clear" w:color="auto" w:fill="auto"/>
            <w:tcMar>
              <w:top w:w="100" w:type="dxa"/>
              <w:left w:w="100" w:type="dxa"/>
              <w:bottom w:w="100" w:type="dxa"/>
              <w:right w:w="100" w:type="dxa"/>
            </w:tcMar>
          </w:tcPr>
          <w:p w14:paraId="4AE3B463" w14:textId="77777777" w:rsidR="0088436C" w:rsidRDefault="00393C15">
            <w:pPr>
              <w:widowControl w:val="0"/>
              <w:pBdr>
                <w:top w:val="nil"/>
                <w:left w:val="nil"/>
                <w:bottom w:val="nil"/>
                <w:right w:val="nil"/>
                <w:between w:val="nil"/>
              </w:pBdr>
              <w:spacing w:line="240" w:lineRule="auto"/>
            </w:pPr>
            <w:r>
              <w:t>Portfolio</w:t>
            </w:r>
          </w:p>
        </w:tc>
        <w:tc>
          <w:tcPr>
            <w:tcW w:w="2257" w:type="dxa"/>
            <w:shd w:val="clear" w:color="auto" w:fill="auto"/>
            <w:tcMar>
              <w:top w:w="100" w:type="dxa"/>
              <w:left w:w="100" w:type="dxa"/>
              <w:bottom w:w="100" w:type="dxa"/>
              <w:right w:w="100" w:type="dxa"/>
            </w:tcMar>
          </w:tcPr>
          <w:p w14:paraId="4AE3B464" w14:textId="77777777" w:rsidR="0088436C" w:rsidRDefault="00393C15">
            <w:pPr>
              <w:widowControl w:val="0"/>
              <w:pBdr>
                <w:top w:val="nil"/>
                <w:left w:val="nil"/>
                <w:bottom w:val="nil"/>
                <w:right w:val="nil"/>
                <w:between w:val="nil"/>
              </w:pBdr>
              <w:spacing w:line="240" w:lineRule="auto"/>
            </w:pPr>
            <w:r>
              <w:t>YTD Return</w:t>
            </w:r>
          </w:p>
        </w:tc>
        <w:tc>
          <w:tcPr>
            <w:tcW w:w="2257" w:type="dxa"/>
            <w:shd w:val="clear" w:color="auto" w:fill="auto"/>
            <w:tcMar>
              <w:top w:w="100" w:type="dxa"/>
              <w:left w:w="100" w:type="dxa"/>
              <w:bottom w:w="100" w:type="dxa"/>
              <w:right w:w="100" w:type="dxa"/>
            </w:tcMar>
          </w:tcPr>
          <w:p w14:paraId="4AE3B465" w14:textId="77777777" w:rsidR="0088436C" w:rsidRDefault="00393C15">
            <w:pPr>
              <w:widowControl w:val="0"/>
              <w:pBdr>
                <w:top w:val="nil"/>
                <w:left w:val="nil"/>
                <w:bottom w:val="nil"/>
                <w:right w:val="nil"/>
                <w:between w:val="nil"/>
              </w:pBdr>
              <w:spacing w:line="240" w:lineRule="auto"/>
            </w:pPr>
            <w:r>
              <w:t>Standard Deviation</w:t>
            </w:r>
          </w:p>
        </w:tc>
        <w:tc>
          <w:tcPr>
            <w:tcW w:w="2257" w:type="dxa"/>
            <w:shd w:val="clear" w:color="auto" w:fill="auto"/>
            <w:tcMar>
              <w:top w:w="100" w:type="dxa"/>
              <w:left w:w="100" w:type="dxa"/>
              <w:bottom w:w="100" w:type="dxa"/>
              <w:right w:w="100" w:type="dxa"/>
            </w:tcMar>
          </w:tcPr>
          <w:p w14:paraId="4AE3B466" w14:textId="77777777" w:rsidR="0088436C" w:rsidRDefault="00393C15">
            <w:pPr>
              <w:widowControl w:val="0"/>
              <w:pBdr>
                <w:top w:val="nil"/>
                <w:left w:val="nil"/>
                <w:bottom w:val="nil"/>
                <w:right w:val="nil"/>
                <w:between w:val="nil"/>
              </w:pBdr>
              <w:spacing w:line="240" w:lineRule="auto"/>
            </w:pPr>
            <w:r>
              <w:t>Oct 2021 Return</w:t>
            </w:r>
          </w:p>
        </w:tc>
      </w:tr>
      <w:tr w:rsidR="0088436C" w14:paraId="4AE3B46F" w14:textId="77777777">
        <w:tc>
          <w:tcPr>
            <w:tcW w:w="2257" w:type="dxa"/>
            <w:shd w:val="clear" w:color="auto" w:fill="auto"/>
            <w:tcMar>
              <w:top w:w="100" w:type="dxa"/>
              <w:left w:w="100" w:type="dxa"/>
              <w:bottom w:w="100" w:type="dxa"/>
              <w:right w:w="100" w:type="dxa"/>
            </w:tcMar>
          </w:tcPr>
          <w:p w14:paraId="4AE3B468" w14:textId="77777777" w:rsidR="0088436C" w:rsidRDefault="00393C15">
            <w:pPr>
              <w:widowControl w:val="0"/>
              <w:pBdr>
                <w:top w:val="nil"/>
                <w:left w:val="nil"/>
                <w:bottom w:val="nil"/>
                <w:right w:val="nil"/>
                <w:between w:val="nil"/>
              </w:pBdr>
              <w:spacing w:line="240" w:lineRule="auto"/>
            </w:pPr>
            <w:r>
              <w:t>Best (FELAX)</w:t>
            </w:r>
          </w:p>
        </w:tc>
        <w:tc>
          <w:tcPr>
            <w:tcW w:w="2257" w:type="dxa"/>
            <w:shd w:val="clear" w:color="auto" w:fill="auto"/>
            <w:tcMar>
              <w:top w:w="100" w:type="dxa"/>
              <w:left w:w="100" w:type="dxa"/>
              <w:bottom w:w="100" w:type="dxa"/>
              <w:right w:w="100" w:type="dxa"/>
            </w:tcMar>
          </w:tcPr>
          <w:p w14:paraId="4AE3B469" w14:textId="77777777" w:rsidR="0088436C" w:rsidRDefault="00393C15">
            <w:pPr>
              <w:widowControl w:val="0"/>
              <w:spacing w:line="240" w:lineRule="auto"/>
              <w:rPr>
                <w:sz w:val="21"/>
                <w:szCs w:val="21"/>
                <w:highlight w:val="white"/>
              </w:rPr>
            </w:pPr>
            <w:r>
              <w:rPr>
                <w:sz w:val="21"/>
                <w:szCs w:val="21"/>
                <w:highlight w:val="white"/>
              </w:rPr>
              <w:t>93772739</w:t>
            </w:r>
          </w:p>
          <w:p w14:paraId="4AE3B46A" w14:textId="77777777" w:rsidR="0088436C" w:rsidRDefault="0088436C">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4AE3B46B" w14:textId="77777777" w:rsidR="0088436C" w:rsidRDefault="00393C15">
            <w:pPr>
              <w:widowControl w:val="0"/>
              <w:spacing w:line="240" w:lineRule="auto"/>
              <w:rPr>
                <w:sz w:val="21"/>
                <w:szCs w:val="21"/>
                <w:highlight w:val="white"/>
              </w:rPr>
            </w:pPr>
            <w:r>
              <w:rPr>
                <w:sz w:val="21"/>
                <w:szCs w:val="21"/>
                <w:highlight w:val="white"/>
              </w:rPr>
              <w:t>23296553</w:t>
            </w:r>
          </w:p>
          <w:p w14:paraId="4AE3B46C" w14:textId="77777777" w:rsidR="0088436C" w:rsidRDefault="0088436C">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4AE3B46D" w14:textId="77777777" w:rsidR="0088436C" w:rsidRDefault="00393C15">
            <w:pPr>
              <w:widowControl w:val="0"/>
              <w:spacing w:line="240" w:lineRule="auto"/>
              <w:rPr>
                <w:sz w:val="21"/>
                <w:szCs w:val="21"/>
                <w:highlight w:val="white"/>
              </w:rPr>
            </w:pPr>
            <w:r>
              <w:rPr>
                <w:sz w:val="21"/>
                <w:szCs w:val="21"/>
                <w:highlight w:val="white"/>
              </w:rPr>
              <w:t>31781319</w:t>
            </w:r>
          </w:p>
          <w:p w14:paraId="4AE3B46E" w14:textId="77777777" w:rsidR="0088436C" w:rsidRDefault="0088436C">
            <w:pPr>
              <w:widowControl w:val="0"/>
              <w:pBdr>
                <w:top w:val="nil"/>
                <w:left w:val="nil"/>
                <w:bottom w:val="nil"/>
                <w:right w:val="nil"/>
                <w:between w:val="nil"/>
              </w:pBdr>
              <w:spacing w:line="240" w:lineRule="auto"/>
            </w:pPr>
          </w:p>
        </w:tc>
      </w:tr>
      <w:tr w:rsidR="0088436C" w14:paraId="4AE3B477" w14:textId="77777777">
        <w:tc>
          <w:tcPr>
            <w:tcW w:w="2257" w:type="dxa"/>
            <w:shd w:val="clear" w:color="auto" w:fill="auto"/>
            <w:tcMar>
              <w:top w:w="100" w:type="dxa"/>
              <w:left w:w="100" w:type="dxa"/>
              <w:bottom w:w="100" w:type="dxa"/>
              <w:right w:w="100" w:type="dxa"/>
            </w:tcMar>
          </w:tcPr>
          <w:p w14:paraId="4AE3B470" w14:textId="77777777" w:rsidR="0088436C" w:rsidRDefault="00393C15">
            <w:pPr>
              <w:widowControl w:val="0"/>
              <w:pBdr>
                <w:top w:val="nil"/>
                <w:left w:val="nil"/>
                <w:bottom w:val="nil"/>
                <w:right w:val="nil"/>
                <w:between w:val="nil"/>
              </w:pBdr>
              <w:spacing w:line="240" w:lineRule="auto"/>
            </w:pPr>
            <w:r>
              <w:t>Worst (BFOCX)</w:t>
            </w:r>
          </w:p>
        </w:tc>
        <w:tc>
          <w:tcPr>
            <w:tcW w:w="2257" w:type="dxa"/>
            <w:shd w:val="clear" w:color="auto" w:fill="auto"/>
            <w:tcMar>
              <w:top w:w="100" w:type="dxa"/>
              <w:left w:w="100" w:type="dxa"/>
              <w:bottom w:w="100" w:type="dxa"/>
              <w:right w:w="100" w:type="dxa"/>
            </w:tcMar>
          </w:tcPr>
          <w:p w14:paraId="4AE3B471" w14:textId="77777777" w:rsidR="0088436C" w:rsidRDefault="00393C15">
            <w:pPr>
              <w:widowControl w:val="0"/>
              <w:spacing w:line="240" w:lineRule="auto"/>
              <w:rPr>
                <w:sz w:val="21"/>
                <w:szCs w:val="21"/>
                <w:highlight w:val="white"/>
              </w:rPr>
            </w:pPr>
            <w:r>
              <w:rPr>
                <w:sz w:val="21"/>
                <w:szCs w:val="21"/>
                <w:highlight w:val="white"/>
              </w:rPr>
              <w:t>33904436</w:t>
            </w:r>
          </w:p>
          <w:p w14:paraId="4AE3B472" w14:textId="77777777" w:rsidR="0088436C" w:rsidRDefault="0088436C">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4AE3B473" w14:textId="77777777" w:rsidR="0088436C" w:rsidRDefault="00393C15">
            <w:pPr>
              <w:widowControl w:val="0"/>
              <w:spacing w:line="240" w:lineRule="auto"/>
              <w:rPr>
                <w:sz w:val="21"/>
                <w:szCs w:val="21"/>
                <w:highlight w:val="white"/>
              </w:rPr>
            </w:pPr>
            <w:r>
              <w:rPr>
                <w:sz w:val="21"/>
                <w:szCs w:val="21"/>
                <w:highlight w:val="white"/>
              </w:rPr>
              <w:t>17206881</w:t>
            </w:r>
          </w:p>
          <w:p w14:paraId="4AE3B474" w14:textId="77777777" w:rsidR="0088436C" w:rsidRDefault="0088436C">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4AE3B475" w14:textId="77777777" w:rsidR="0088436C" w:rsidRDefault="00393C15">
            <w:pPr>
              <w:widowControl w:val="0"/>
              <w:spacing w:line="240" w:lineRule="auto"/>
              <w:rPr>
                <w:sz w:val="21"/>
                <w:szCs w:val="21"/>
                <w:highlight w:val="white"/>
              </w:rPr>
            </w:pPr>
            <w:r>
              <w:rPr>
                <w:sz w:val="21"/>
                <w:szCs w:val="21"/>
                <w:highlight w:val="white"/>
              </w:rPr>
              <w:t>38111112</w:t>
            </w:r>
          </w:p>
          <w:p w14:paraId="4AE3B476" w14:textId="77777777" w:rsidR="0088436C" w:rsidRDefault="0088436C">
            <w:pPr>
              <w:widowControl w:val="0"/>
              <w:pBdr>
                <w:top w:val="nil"/>
                <w:left w:val="nil"/>
                <w:bottom w:val="nil"/>
                <w:right w:val="nil"/>
                <w:between w:val="nil"/>
              </w:pBdr>
              <w:spacing w:line="240" w:lineRule="auto"/>
            </w:pPr>
          </w:p>
        </w:tc>
      </w:tr>
      <w:tr w:rsidR="0088436C" w14:paraId="4AE3B485" w14:textId="77777777">
        <w:tc>
          <w:tcPr>
            <w:tcW w:w="2257" w:type="dxa"/>
            <w:shd w:val="clear" w:color="auto" w:fill="auto"/>
            <w:tcMar>
              <w:top w:w="100" w:type="dxa"/>
              <w:left w:w="100" w:type="dxa"/>
              <w:bottom w:w="100" w:type="dxa"/>
              <w:right w:w="100" w:type="dxa"/>
            </w:tcMar>
          </w:tcPr>
          <w:p w14:paraId="4AE3B478" w14:textId="77777777" w:rsidR="0088436C" w:rsidRDefault="00393C15">
            <w:pPr>
              <w:widowControl w:val="0"/>
              <w:pBdr>
                <w:top w:val="nil"/>
                <w:left w:val="nil"/>
                <w:bottom w:val="nil"/>
                <w:right w:val="nil"/>
                <w:between w:val="nil"/>
              </w:pBdr>
              <w:spacing w:line="240" w:lineRule="auto"/>
            </w:pPr>
            <w:r>
              <w:t xml:space="preserve">Optimal (FELAX) </w:t>
            </w:r>
          </w:p>
        </w:tc>
        <w:tc>
          <w:tcPr>
            <w:tcW w:w="2257" w:type="dxa"/>
            <w:shd w:val="clear" w:color="auto" w:fill="auto"/>
            <w:tcMar>
              <w:top w:w="100" w:type="dxa"/>
              <w:left w:w="100" w:type="dxa"/>
              <w:bottom w:w="100" w:type="dxa"/>
              <w:right w:w="100" w:type="dxa"/>
            </w:tcMar>
          </w:tcPr>
          <w:p w14:paraId="4AE3B479" w14:textId="77777777" w:rsidR="0088436C" w:rsidRDefault="00393C15">
            <w:pPr>
              <w:widowControl w:val="0"/>
              <w:spacing w:line="240" w:lineRule="auto"/>
              <w:rPr>
                <w:sz w:val="21"/>
                <w:szCs w:val="21"/>
                <w:highlight w:val="white"/>
              </w:rPr>
            </w:pPr>
            <w:r>
              <w:rPr>
                <w:sz w:val="21"/>
                <w:szCs w:val="21"/>
                <w:highlight w:val="white"/>
              </w:rPr>
              <w:t>144661057</w:t>
            </w:r>
          </w:p>
          <w:p w14:paraId="4AE3B47A" w14:textId="77777777" w:rsidR="0088436C" w:rsidRDefault="0088436C">
            <w:pPr>
              <w:widowControl w:val="0"/>
              <w:spacing w:line="240" w:lineRule="auto"/>
              <w:rPr>
                <w:sz w:val="21"/>
                <w:szCs w:val="21"/>
                <w:highlight w:val="white"/>
              </w:rPr>
            </w:pPr>
          </w:p>
          <w:p w14:paraId="4AE3B47B" w14:textId="77777777" w:rsidR="0088436C" w:rsidRDefault="0088436C">
            <w:pPr>
              <w:widowControl w:val="0"/>
              <w:spacing w:line="240" w:lineRule="auto"/>
              <w:rPr>
                <w:sz w:val="21"/>
                <w:szCs w:val="21"/>
                <w:highlight w:val="white"/>
              </w:rPr>
            </w:pPr>
          </w:p>
          <w:p w14:paraId="4AE3B47C" w14:textId="77777777" w:rsidR="0088436C" w:rsidRDefault="0088436C">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4AE3B47D" w14:textId="77777777" w:rsidR="0088436C" w:rsidRDefault="00393C15">
            <w:pPr>
              <w:widowControl w:val="0"/>
              <w:spacing w:line="240" w:lineRule="auto"/>
              <w:rPr>
                <w:sz w:val="21"/>
                <w:szCs w:val="21"/>
                <w:highlight w:val="white"/>
              </w:rPr>
            </w:pPr>
            <w:r>
              <w:rPr>
                <w:sz w:val="21"/>
                <w:szCs w:val="21"/>
                <w:highlight w:val="white"/>
              </w:rPr>
              <w:t>27592050</w:t>
            </w:r>
          </w:p>
          <w:p w14:paraId="4AE3B47E" w14:textId="77777777" w:rsidR="0088436C" w:rsidRDefault="0088436C">
            <w:pPr>
              <w:widowControl w:val="0"/>
              <w:spacing w:line="240" w:lineRule="auto"/>
              <w:rPr>
                <w:sz w:val="21"/>
                <w:szCs w:val="21"/>
                <w:highlight w:val="white"/>
              </w:rPr>
            </w:pPr>
          </w:p>
          <w:p w14:paraId="4AE3B47F" w14:textId="77777777" w:rsidR="0088436C" w:rsidRDefault="0088436C">
            <w:pPr>
              <w:widowControl w:val="0"/>
              <w:spacing w:line="240" w:lineRule="auto"/>
              <w:rPr>
                <w:sz w:val="21"/>
                <w:szCs w:val="21"/>
                <w:highlight w:val="white"/>
              </w:rPr>
            </w:pPr>
          </w:p>
          <w:p w14:paraId="4AE3B480" w14:textId="77777777" w:rsidR="0088436C" w:rsidRDefault="0088436C">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4AE3B481" w14:textId="77777777" w:rsidR="0088436C" w:rsidRDefault="00393C15">
            <w:pPr>
              <w:widowControl w:val="0"/>
              <w:spacing w:line="240" w:lineRule="auto"/>
              <w:rPr>
                <w:sz w:val="21"/>
                <w:szCs w:val="21"/>
                <w:highlight w:val="white"/>
              </w:rPr>
            </w:pPr>
            <w:r>
              <w:rPr>
                <w:sz w:val="21"/>
                <w:szCs w:val="21"/>
                <w:highlight w:val="white"/>
              </w:rPr>
              <w:t>68370087</w:t>
            </w:r>
          </w:p>
          <w:p w14:paraId="4AE3B482" w14:textId="77777777" w:rsidR="0088436C" w:rsidRDefault="0088436C">
            <w:pPr>
              <w:widowControl w:val="0"/>
              <w:spacing w:line="240" w:lineRule="auto"/>
              <w:rPr>
                <w:sz w:val="21"/>
                <w:szCs w:val="21"/>
                <w:highlight w:val="white"/>
              </w:rPr>
            </w:pPr>
          </w:p>
          <w:p w14:paraId="4AE3B483" w14:textId="77777777" w:rsidR="0088436C" w:rsidRDefault="0088436C">
            <w:pPr>
              <w:widowControl w:val="0"/>
              <w:spacing w:line="240" w:lineRule="auto"/>
              <w:rPr>
                <w:sz w:val="21"/>
                <w:szCs w:val="21"/>
                <w:highlight w:val="white"/>
              </w:rPr>
            </w:pPr>
          </w:p>
          <w:p w14:paraId="4AE3B484" w14:textId="77777777" w:rsidR="0088436C" w:rsidRDefault="0088436C">
            <w:pPr>
              <w:widowControl w:val="0"/>
              <w:pBdr>
                <w:top w:val="nil"/>
                <w:left w:val="nil"/>
                <w:bottom w:val="nil"/>
                <w:right w:val="nil"/>
                <w:between w:val="nil"/>
              </w:pBdr>
              <w:spacing w:line="240" w:lineRule="auto"/>
            </w:pPr>
          </w:p>
        </w:tc>
      </w:tr>
      <w:tr w:rsidR="0088436C" w14:paraId="4AE3B494" w14:textId="77777777">
        <w:tc>
          <w:tcPr>
            <w:tcW w:w="2257" w:type="dxa"/>
            <w:shd w:val="clear" w:color="auto" w:fill="auto"/>
            <w:tcMar>
              <w:top w:w="100" w:type="dxa"/>
              <w:left w:w="100" w:type="dxa"/>
              <w:bottom w:w="100" w:type="dxa"/>
              <w:right w:w="100" w:type="dxa"/>
            </w:tcMar>
          </w:tcPr>
          <w:p w14:paraId="4AE3B486" w14:textId="77777777" w:rsidR="0088436C" w:rsidRDefault="00393C15">
            <w:pPr>
              <w:widowControl w:val="0"/>
              <w:pBdr>
                <w:top w:val="nil"/>
                <w:left w:val="nil"/>
                <w:bottom w:val="nil"/>
                <w:right w:val="nil"/>
                <w:between w:val="nil"/>
              </w:pBdr>
              <w:spacing w:line="240" w:lineRule="auto"/>
            </w:pPr>
            <w:r>
              <w:t>Optimal + Adjustments (FELAX)</w:t>
            </w:r>
          </w:p>
        </w:tc>
        <w:tc>
          <w:tcPr>
            <w:tcW w:w="2257" w:type="dxa"/>
            <w:shd w:val="clear" w:color="auto" w:fill="auto"/>
            <w:tcMar>
              <w:top w:w="100" w:type="dxa"/>
              <w:left w:w="100" w:type="dxa"/>
              <w:bottom w:w="100" w:type="dxa"/>
              <w:right w:w="100" w:type="dxa"/>
            </w:tcMar>
          </w:tcPr>
          <w:p w14:paraId="4AE3B487" w14:textId="77777777" w:rsidR="0088436C" w:rsidRDefault="00393C15">
            <w:pPr>
              <w:widowControl w:val="0"/>
              <w:spacing w:line="240" w:lineRule="auto"/>
              <w:rPr>
                <w:sz w:val="21"/>
                <w:szCs w:val="21"/>
                <w:highlight w:val="white"/>
              </w:rPr>
            </w:pPr>
            <w:r>
              <w:rPr>
                <w:sz w:val="21"/>
                <w:szCs w:val="21"/>
                <w:highlight w:val="white"/>
              </w:rPr>
              <w:t>224194511</w:t>
            </w:r>
          </w:p>
          <w:p w14:paraId="4AE3B488" w14:textId="77777777" w:rsidR="0088436C" w:rsidRDefault="0088436C">
            <w:pPr>
              <w:widowControl w:val="0"/>
              <w:spacing w:line="240" w:lineRule="auto"/>
              <w:rPr>
                <w:sz w:val="21"/>
                <w:szCs w:val="21"/>
                <w:highlight w:val="white"/>
              </w:rPr>
            </w:pPr>
          </w:p>
          <w:p w14:paraId="4AE3B489" w14:textId="77777777" w:rsidR="0088436C" w:rsidRDefault="0088436C">
            <w:pPr>
              <w:widowControl w:val="0"/>
              <w:spacing w:line="240" w:lineRule="auto"/>
              <w:rPr>
                <w:sz w:val="21"/>
                <w:szCs w:val="21"/>
                <w:highlight w:val="white"/>
              </w:rPr>
            </w:pPr>
          </w:p>
          <w:p w14:paraId="4AE3B48A" w14:textId="77777777" w:rsidR="0088436C" w:rsidRDefault="0088436C">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4AE3B48B" w14:textId="77777777" w:rsidR="0088436C" w:rsidRDefault="00393C15">
            <w:pPr>
              <w:widowControl w:val="0"/>
              <w:spacing w:line="240" w:lineRule="auto"/>
              <w:rPr>
                <w:sz w:val="21"/>
                <w:szCs w:val="21"/>
                <w:highlight w:val="white"/>
              </w:rPr>
            </w:pPr>
            <w:r>
              <w:rPr>
                <w:sz w:val="21"/>
                <w:szCs w:val="21"/>
                <w:highlight w:val="white"/>
              </w:rPr>
              <w:t>49089542</w:t>
            </w:r>
          </w:p>
          <w:p w14:paraId="4AE3B48C" w14:textId="77777777" w:rsidR="0088436C" w:rsidRDefault="0088436C">
            <w:pPr>
              <w:widowControl w:val="0"/>
              <w:spacing w:line="240" w:lineRule="auto"/>
              <w:rPr>
                <w:sz w:val="21"/>
                <w:szCs w:val="21"/>
                <w:highlight w:val="white"/>
              </w:rPr>
            </w:pPr>
          </w:p>
          <w:p w14:paraId="4AE3B48D" w14:textId="77777777" w:rsidR="0088436C" w:rsidRDefault="0088436C">
            <w:pPr>
              <w:widowControl w:val="0"/>
              <w:spacing w:line="240" w:lineRule="auto"/>
              <w:rPr>
                <w:sz w:val="21"/>
                <w:szCs w:val="21"/>
                <w:highlight w:val="white"/>
              </w:rPr>
            </w:pPr>
          </w:p>
          <w:p w14:paraId="4AE3B48E" w14:textId="77777777" w:rsidR="0088436C" w:rsidRDefault="0088436C">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4AE3B48F" w14:textId="77777777" w:rsidR="0088436C" w:rsidRDefault="00393C15">
            <w:pPr>
              <w:widowControl w:val="0"/>
              <w:spacing w:line="240" w:lineRule="auto"/>
              <w:rPr>
                <w:sz w:val="21"/>
                <w:szCs w:val="21"/>
                <w:highlight w:val="white"/>
              </w:rPr>
            </w:pPr>
            <w:r>
              <w:rPr>
                <w:sz w:val="21"/>
                <w:szCs w:val="21"/>
                <w:highlight w:val="white"/>
              </w:rPr>
              <w:t>94941764</w:t>
            </w:r>
          </w:p>
          <w:p w14:paraId="4AE3B490" w14:textId="77777777" w:rsidR="0088436C" w:rsidRDefault="0088436C">
            <w:pPr>
              <w:widowControl w:val="0"/>
              <w:spacing w:line="240" w:lineRule="auto"/>
              <w:rPr>
                <w:sz w:val="21"/>
                <w:szCs w:val="21"/>
                <w:highlight w:val="white"/>
              </w:rPr>
            </w:pPr>
          </w:p>
          <w:p w14:paraId="4AE3B491" w14:textId="77777777" w:rsidR="0088436C" w:rsidRDefault="0088436C">
            <w:pPr>
              <w:widowControl w:val="0"/>
              <w:spacing w:line="240" w:lineRule="auto"/>
              <w:rPr>
                <w:sz w:val="21"/>
                <w:szCs w:val="21"/>
                <w:highlight w:val="white"/>
              </w:rPr>
            </w:pPr>
          </w:p>
          <w:p w14:paraId="4AE3B492" w14:textId="77777777" w:rsidR="0088436C" w:rsidRDefault="0088436C">
            <w:pPr>
              <w:widowControl w:val="0"/>
              <w:spacing w:line="240" w:lineRule="auto"/>
              <w:rPr>
                <w:sz w:val="21"/>
                <w:szCs w:val="21"/>
                <w:highlight w:val="white"/>
              </w:rPr>
            </w:pPr>
          </w:p>
          <w:p w14:paraId="4AE3B493" w14:textId="77777777" w:rsidR="0088436C" w:rsidRDefault="0088436C">
            <w:pPr>
              <w:widowControl w:val="0"/>
              <w:pBdr>
                <w:top w:val="nil"/>
                <w:left w:val="nil"/>
                <w:bottom w:val="nil"/>
                <w:right w:val="nil"/>
                <w:between w:val="nil"/>
              </w:pBdr>
              <w:spacing w:line="240" w:lineRule="auto"/>
            </w:pPr>
          </w:p>
        </w:tc>
      </w:tr>
    </w:tbl>
    <w:p w14:paraId="4AE3B495" w14:textId="77777777" w:rsidR="0088436C" w:rsidRDefault="0088436C"/>
    <w:p w14:paraId="4AE3B496" w14:textId="77777777" w:rsidR="0088436C" w:rsidRDefault="0088436C"/>
    <w:p w14:paraId="4AE3B497" w14:textId="77777777" w:rsidR="0088436C" w:rsidRDefault="0088436C"/>
    <w:p w14:paraId="4AE3B498" w14:textId="77777777" w:rsidR="0088436C" w:rsidRDefault="0088436C"/>
    <w:p w14:paraId="4AE3B499" w14:textId="77777777" w:rsidR="0088436C" w:rsidRDefault="0088436C"/>
    <w:p w14:paraId="4AE3B49A" w14:textId="77777777" w:rsidR="0088436C" w:rsidRDefault="0088436C"/>
    <w:p w14:paraId="4AE3B49B" w14:textId="77777777" w:rsidR="0088436C" w:rsidRDefault="0088436C"/>
    <w:p w14:paraId="4AE3B49C" w14:textId="77777777" w:rsidR="0088436C" w:rsidRDefault="0088436C"/>
    <w:p w14:paraId="4AE3B49D" w14:textId="77777777" w:rsidR="0088436C" w:rsidRDefault="0088436C"/>
    <w:p w14:paraId="4AE3B49E" w14:textId="77777777" w:rsidR="0088436C" w:rsidRDefault="0088436C"/>
    <w:p w14:paraId="4AE3B49F" w14:textId="77777777" w:rsidR="0088436C" w:rsidRDefault="0088436C"/>
    <w:p w14:paraId="4AE3B4A0" w14:textId="77777777" w:rsidR="0088436C" w:rsidRDefault="0088436C"/>
    <w:p w14:paraId="4AE3B4A1" w14:textId="77777777" w:rsidR="0088436C" w:rsidRDefault="00393C15">
      <w:pPr>
        <w:pStyle w:val="Heading3"/>
      </w:pPr>
      <w:bookmarkStart w:id="5" w:name="_mtxsr18q175w" w:colFirst="0" w:colLast="0"/>
      <w:bookmarkEnd w:id="5"/>
      <w:r>
        <w:rPr>
          <w:b/>
          <w:color w:val="000000"/>
        </w:rPr>
        <w:t>2</w:t>
      </w:r>
    </w:p>
    <w:tbl>
      <w:tblPr>
        <w:tblStyle w:val="a0"/>
        <w:tblW w:w="8640" w:type="dxa"/>
        <w:tblBorders>
          <w:top w:val="nil"/>
          <w:left w:val="nil"/>
          <w:bottom w:val="nil"/>
          <w:right w:val="nil"/>
          <w:insideH w:val="nil"/>
          <w:insideV w:val="nil"/>
        </w:tblBorders>
        <w:tblLayout w:type="fixed"/>
        <w:tblLook w:val="0600" w:firstRow="0" w:lastRow="0" w:firstColumn="0" w:lastColumn="0" w:noHBand="1" w:noVBand="1"/>
      </w:tblPr>
      <w:tblGrid>
        <w:gridCol w:w="2790"/>
        <w:gridCol w:w="960"/>
        <w:gridCol w:w="2445"/>
        <w:gridCol w:w="2445"/>
      </w:tblGrid>
      <w:tr w:rsidR="0088436C" w14:paraId="4AE3B4A7" w14:textId="77777777">
        <w:trPr>
          <w:trHeight w:val="300"/>
        </w:trPr>
        <w:tc>
          <w:tcPr>
            <w:tcW w:w="27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A2" w14:textId="77777777" w:rsidR="0088436C" w:rsidRDefault="00393C15">
            <w:pPr>
              <w:widowControl w:val="0"/>
              <w:rPr>
                <w:rFonts w:ascii="Calibri" w:eastAsia="Calibri" w:hAnsi="Calibri" w:cs="Calibri"/>
              </w:rPr>
            </w:pPr>
            <w:r>
              <w:rPr>
                <w:rFonts w:ascii="Calibri" w:eastAsia="Calibri" w:hAnsi="Calibri" w:cs="Calibri"/>
              </w:rPr>
              <w:t>Security Name (Arranged in order of decreasing weight)</w:t>
            </w:r>
          </w:p>
          <w:p w14:paraId="4AE3B4A3" w14:textId="77777777" w:rsidR="0088436C" w:rsidRDefault="0088436C">
            <w:pPr>
              <w:widowControl w:val="0"/>
              <w:rPr>
                <w:rFonts w:ascii="Calibri" w:eastAsia="Calibri" w:hAnsi="Calibri" w:cs="Calibri"/>
              </w:rPr>
            </w:pP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A4" w14:textId="77777777" w:rsidR="0088436C" w:rsidRDefault="00393C15">
            <w:pPr>
              <w:widowControl w:val="0"/>
              <w:rPr>
                <w:rFonts w:ascii="Calibri" w:eastAsia="Calibri" w:hAnsi="Calibri" w:cs="Calibri"/>
              </w:rPr>
            </w:pPr>
            <w:r>
              <w:rPr>
                <w:rFonts w:ascii="Calibri" w:eastAsia="Calibri" w:hAnsi="Calibri" w:cs="Calibri"/>
              </w:rPr>
              <w:t>ticker</w:t>
            </w:r>
          </w:p>
        </w:tc>
        <w:tc>
          <w:tcPr>
            <w:tcW w:w="2445" w:type="dxa"/>
            <w:tcBorders>
              <w:top w:val="single" w:sz="6" w:space="0" w:color="CCCCCC"/>
              <w:left w:val="single" w:sz="6" w:space="0" w:color="CCCCCC"/>
              <w:bottom w:val="single" w:sz="6" w:space="0" w:color="CCCCCC"/>
              <w:right w:val="single" w:sz="6" w:space="0" w:color="000000"/>
            </w:tcBorders>
            <w:tcMar>
              <w:top w:w="0" w:type="dxa"/>
              <w:left w:w="0" w:type="dxa"/>
              <w:bottom w:w="0" w:type="dxa"/>
              <w:right w:w="0" w:type="dxa"/>
            </w:tcMar>
            <w:vAlign w:val="bottom"/>
          </w:tcPr>
          <w:p w14:paraId="4AE3B4A5" w14:textId="77777777" w:rsidR="0088436C" w:rsidRDefault="00393C15">
            <w:pPr>
              <w:widowControl w:val="0"/>
              <w:rPr>
                <w:rFonts w:ascii="Calibri" w:eastAsia="Calibri" w:hAnsi="Calibri" w:cs="Calibri"/>
              </w:rPr>
            </w:pPr>
            <w:r>
              <w:rPr>
                <w:rFonts w:ascii="Calibri" w:eastAsia="Calibri" w:hAnsi="Calibri" w:cs="Calibri"/>
              </w:rPr>
              <w:t>Weightage rank change (negative = decreased, NA= newly added)</w:t>
            </w:r>
          </w:p>
        </w:tc>
        <w:tc>
          <w:tcPr>
            <w:tcW w:w="2445" w:type="dxa"/>
            <w:tcBorders>
              <w:top w:val="single" w:sz="6" w:space="0" w:color="CCCCCC"/>
              <w:left w:val="single" w:sz="6" w:space="0" w:color="CCCCCC"/>
              <w:bottom w:val="single" w:sz="6" w:space="0" w:color="CCCCCC"/>
              <w:right w:val="single" w:sz="6" w:space="0" w:color="000000"/>
            </w:tcBorders>
            <w:tcMar>
              <w:top w:w="0" w:type="dxa"/>
              <w:left w:w="0" w:type="dxa"/>
              <w:bottom w:w="0" w:type="dxa"/>
              <w:right w:w="0" w:type="dxa"/>
            </w:tcMar>
            <w:vAlign w:val="bottom"/>
          </w:tcPr>
          <w:p w14:paraId="4AE3B4A6" w14:textId="77777777" w:rsidR="0088436C" w:rsidRDefault="00393C15">
            <w:pPr>
              <w:widowControl w:val="0"/>
              <w:rPr>
                <w:rFonts w:ascii="Calibri" w:eastAsia="Calibri" w:hAnsi="Calibri" w:cs="Calibri"/>
              </w:rPr>
            </w:pPr>
            <w:r>
              <w:rPr>
                <w:rFonts w:ascii="Calibri" w:eastAsia="Calibri" w:hAnsi="Calibri" w:cs="Calibri"/>
              </w:rPr>
              <w:t>Price change in 2021 mar compared to 2020 oct (%)</w:t>
            </w:r>
          </w:p>
        </w:tc>
      </w:tr>
      <w:tr w:rsidR="0088436C" w14:paraId="4AE3B4AC" w14:textId="77777777">
        <w:trPr>
          <w:trHeight w:val="300"/>
        </w:trPr>
        <w:tc>
          <w:tcPr>
            <w:tcW w:w="27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A8" w14:textId="77777777" w:rsidR="0088436C" w:rsidRDefault="00393C15">
            <w:pPr>
              <w:widowControl w:val="0"/>
              <w:rPr>
                <w:rFonts w:ascii="Calibri" w:eastAsia="Calibri" w:hAnsi="Calibri" w:cs="Calibri"/>
              </w:rPr>
            </w:pPr>
            <w:r>
              <w:rPr>
                <w:rFonts w:ascii="Calibri" w:eastAsia="Calibri" w:hAnsi="Calibri" w:cs="Calibri"/>
              </w:rPr>
              <w:t>NVIDIA CORP</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A9" w14:textId="77777777" w:rsidR="0088436C" w:rsidRDefault="00393C15">
            <w:pPr>
              <w:widowControl w:val="0"/>
              <w:rPr>
                <w:rFonts w:ascii="Calibri" w:eastAsia="Calibri" w:hAnsi="Calibri" w:cs="Calibri"/>
              </w:rPr>
            </w:pPr>
            <w:r>
              <w:rPr>
                <w:rFonts w:ascii="Calibri" w:eastAsia="Calibri" w:hAnsi="Calibri" w:cs="Calibri"/>
              </w:rPr>
              <w:t>NVDA</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AA" w14:textId="77777777" w:rsidR="0088436C" w:rsidRDefault="00393C15">
            <w:pPr>
              <w:widowControl w:val="0"/>
              <w:jc w:val="right"/>
              <w:rPr>
                <w:rFonts w:ascii="Calibri" w:eastAsia="Calibri" w:hAnsi="Calibri" w:cs="Calibri"/>
              </w:rPr>
            </w:pPr>
            <w:r>
              <w:rPr>
                <w:rFonts w:ascii="Calibri" w:eastAsia="Calibri" w:hAnsi="Calibri" w:cs="Calibri"/>
              </w:rPr>
              <w:t>0</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AB" w14:textId="77777777" w:rsidR="0088436C" w:rsidRDefault="00393C15">
            <w:pPr>
              <w:widowControl w:val="0"/>
              <w:jc w:val="right"/>
              <w:rPr>
                <w:rFonts w:ascii="Calibri" w:eastAsia="Calibri" w:hAnsi="Calibri" w:cs="Calibri"/>
              </w:rPr>
            </w:pPr>
            <w:r>
              <w:rPr>
                <w:rFonts w:ascii="Calibri" w:eastAsia="Calibri" w:hAnsi="Calibri" w:cs="Calibri"/>
              </w:rPr>
              <w:t>6.496329982</w:t>
            </w:r>
          </w:p>
        </w:tc>
      </w:tr>
      <w:tr w:rsidR="0088436C" w14:paraId="4AE3B4B1" w14:textId="77777777">
        <w:tc>
          <w:tcPr>
            <w:tcW w:w="27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AD" w14:textId="77777777" w:rsidR="0088436C" w:rsidRDefault="00393C15">
            <w:pPr>
              <w:widowControl w:val="0"/>
              <w:rPr>
                <w:rFonts w:ascii="Calibri" w:eastAsia="Calibri" w:hAnsi="Calibri" w:cs="Calibri"/>
              </w:rPr>
            </w:pPr>
            <w:r>
              <w:rPr>
                <w:rFonts w:ascii="Calibri" w:eastAsia="Calibri" w:hAnsi="Calibri" w:cs="Calibri"/>
              </w:rPr>
              <w:t>MICRON TECHNOLOGY INC</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AE" w14:textId="77777777" w:rsidR="0088436C" w:rsidRDefault="00393C15">
            <w:pPr>
              <w:widowControl w:val="0"/>
              <w:rPr>
                <w:rFonts w:ascii="Calibri" w:eastAsia="Calibri" w:hAnsi="Calibri" w:cs="Calibri"/>
                <w:highlight w:val="white"/>
              </w:rPr>
            </w:pPr>
            <w:r>
              <w:rPr>
                <w:rFonts w:ascii="Calibri" w:eastAsia="Calibri" w:hAnsi="Calibri" w:cs="Calibri"/>
                <w:highlight w:val="white"/>
              </w:rPr>
              <w:t>MU</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AF" w14:textId="77777777" w:rsidR="0088436C" w:rsidRDefault="00393C15">
            <w:pPr>
              <w:widowControl w:val="0"/>
              <w:jc w:val="right"/>
              <w:rPr>
                <w:rFonts w:ascii="Calibri" w:eastAsia="Calibri" w:hAnsi="Calibri" w:cs="Calibri"/>
                <w:highlight w:val="white"/>
              </w:rPr>
            </w:pPr>
            <w:r>
              <w:rPr>
                <w:rFonts w:ascii="Calibri" w:eastAsia="Calibri" w:hAnsi="Calibri" w:cs="Calibri"/>
                <w:highlight w:val="white"/>
              </w:rPr>
              <w:t>7</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B0" w14:textId="77777777" w:rsidR="0088436C" w:rsidRDefault="00393C15">
            <w:pPr>
              <w:widowControl w:val="0"/>
              <w:jc w:val="right"/>
              <w:rPr>
                <w:rFonts w:ascii="Calibri" w:eastAsia="Calibri" w:hAnsi="Calibri" w:cs="Calibri"/>
                <w:highlight w:val="white"/>
              </w:rPr>
            </w:pPr>
            <w:r>
              <w:rPr>
                <w:rFonts w:ascii="Calibri" w:eastAsia="Calibri" w:hAnsi="Calibri" w:cs="Calibri"/>
                <w:highlight w:val="white"/>
              </w:rPr>
              <w:t>75.22844656</w:t>
            </w:r>
          </w:p>
        </w:tc>
      </w:tr>
      <w:tr w:rsidR="0088436C" w14:paraId="4AE3B4B6" w14:textId="77777777">
        <w:trPr>
          <w:trHeight w:val="375"/>
        </w:trPr>
        <w:tc>
          <w:tcPr>
            <w:tcW w:w="27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B2" w14:textId="77777777" w:rsidR="0088436C" w:rsidRDefault="00393C15">
            <w:pPr>
              <w:widowControl w:val="0"/>
              <w:rPr>
                <w:rFonts w:ascii="Calibri" w:eastAsia="Calibri" w:hAnsi="Calibri" w:cs="Calibri"/>
              </w:rPr>
            </w:pPr>
            <w:r>
              <w:rPr>
                <w:rFonts w:ascii="Calibri" w:eastAsia="Calibri" w:hAnsi="Calibri" w:cs="Calibri"/>
              </w:rPr>
              <w:t>N X P SEMICONDUCTORS N V</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B3" w14:textId="77777777" w:rsidR="0088436C" w:rsidRDefault="00393C15">
            <w:pPr>
              <w:widowControl w:val="0"/>
              <w:rPr>
                <w:rFonts w:ascii="Calibri" w:eastAsia="Calibri" w:hAnsi="Calibri" w:cs="Calibri"/>
                <w:highlight w:val="white"/>
              </w:rPr>
            </w:pPr>
            <w:r>
              <w:rPr>
                <w:rFonts w:ascii="Calibri" w:eastAsia="Calibri" w:hAnsi="Calibri" w:cs="Calibri"/>
                <w:highlight w:val="white"/>
              </w:rPr>
              <w:t>NXPI</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B4" w14:textId="77777777" w:rsidR="0088436C" w:rsidRDefault="00393C15">
            <w:pPr>
              <w:widowControl w:val="0"/>
              <w:jc w:val="right"/>
              <w:rPr>
                <w:rFonts w:ascii="Calibri" w:eastAsia="Calibri" w:hAnsi="Calibri" w:cs="Calibri"/>
                <w:highlight w:val="white"/>
              </w:rPr>
            </w:pPr>
            <w:r>
              <w:rPr>
                <w:rFonts w:ascii="Calibri" w:eastAsia="Calibri" w:hAnsi="Calibri" w:cs="Calibri"/>
                <w:highlight w:val="white"/>
              </w:rPr>
              <w:t>1</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B5" w14:textId="77777777" w:rsidR="0088436C" w:rsidRDefault="00393C15">
            <w:pPr>
              <w:widowControl w:val="0"/>
              <w:jc w:val="right"/>
              <w:rPr>
                <w:rFonts w:ascii="Calibri" w:eastAsia="Calibri" w:hAnsi="Calibri" w:cs="Calibri"/>
                <w:highlight w:val="white"/>
              </w:rPr>
            </w:pPr>
            <w:r>
              <w:rPr>
                <w:rFonts w:ascii="Calibri" w:eastAsia="Calibri" w:hAnsi="Calibri" w:cs="Calibri"/>
                <w:highlight w:val="white"/>
              </w:rPr>
              <w:t>49.00828893</w:t>
            </w:r>
          </w:p>
        </w:tc>
      </w:tr>
      <w:tr w:rsidR="0088436C" w14:paraId="4AE3B4BB" w14:textId="77777777">
        <w:trPr>
          <w:trHeight w:val="240"/>
        </w:trPr>
        <w:tc>
          <w:tcPr>
            <w:tcW w:w="27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B7" w14:textId="77777777" w:rsidR="0088436C" w:rsidRDefault="00393C15">
            <w:pPr>
              <w:widowControl w:val="0"/>
              <w:rPr>
                <w:rFonts w:ascii="Calibri" w:eastAsia="Calibri" w:hAnsi="Calibri" w:cs="Calibri"/>
                <w:shd w:val="clear" w:color="auto" w:fill="FF9900"/>
              </w:rPr>
            </w:pPr>
            <w:r>
              <w:rPr>
                <w:rFonts w:ascii="Calibri" w:eastAsia="Calibri" w:hAnsi="Calibri" w:cs="Calibri"/>
                <w:shd w:val="clear" w:color="auto" w:fill="FF9900"/>
              </w:rPr>
              <w:t>LAM RESH CORP</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B8" w14:textId="77777777" w:rsidR="0088436C" w:rsidRDefault="00393C15">
            <w:pPr>
              <w:widowControl w:val="0"/>
              <w:rPr>
                <w:rFonts w:ascii="Calibri" w:eastAsia="Calibri" w:hAnsi="Calibri" w:cs="Calibri"/>
                <w:highlight w:val="white"/>
              </w:rPr>
            </w:pPr>
            <w:r>
              <w:rPr>
                <w:rFonts w:ascii="Calibri" w:eastAsia="Calibri" w:hAnsi="Calibri" w:cs="Calibri"/>
                <w:highlight w:val="white"/>
              </w:rPr>
              <w:t>LRCX</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B9" w14:textId="77777777" w:rsidR="0088436C" w:rsidRDefault="00393C15">
            <w:pPr>
              <w:widowControl w:val="0"/>
              <w:jc w:val="right"/>
              <w:rPr>
                <w:rFonts w:ascii="Calibri" w:eastAsia="Calibri" w:hAnsi="Calibri" w:cs="Calibri"/>
                <w:highlight w:val="white"/>
              </w:rPr>
            </w:pPr>
            <w:r>
              <w:rPr>
                <w:rFonts w:ascii="Calibri" w:eastAsia="Calibri" w:hAnsi="Calibri" w:cs="Calibri"/>
                <w:highlight w:val="white"/>
              </w:rPr>
              <w:t>6</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BA" w14:textId="77777777" w:rsidR="0088436C" w:rsidRDefault="00393C15">
            <w:pPr>
              <w:widowControl w:val="0"/>
              <w:jc w:val="right"/>
              <w:rPr>
                <w:rFonts w:ascii="Calibri" w:eastAsia="Calibri" w:hAnsi="Calibri" w:cs="Calibri"/>
                <w:highlight w:val="white"/>
              </w:rPr>
            </w:pPr>
            <w:r>
              <w:rPr>
                <w:rFonts w:ascii="Calibri" w:eastAsia="Calibri" w:hAnsi="Calibri" w:cs="Calibri"/>
                <w:highlight w:val="white"/>
              </w:rPr>
              <w:t>74.00608045</w:t>
            </w:r>
          </w:p>
        </w:tc>
      </w:tr>
      <w:tr w:rsidR="0088436C" w14:paraId="4AE3B4C0" w14:textId="77777777">
        <w:trPr>
          <w:trHeight w:val="300"/>
        </w:trPr>
        <w:tc>
          <w:tcPr>
            <w:tcW w:w="27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BC" w14:textId="77777777" w:rsidR="0088436C" w:rsidRDefault="00393C15">
            <w:pPr>
              <w:widowControl w:val="0"/>
              <w:rPr>
                <w:rFonts w:ascii="Calibri" w:eastAsia="Calibri" w:hAnsi="Calibri" w:cs="Calibri"/>
              </w:rPr>
            </w:pPr>
            <w:r>
              <w:rPr>
                <w:rFonts w:ascii="Calibri" w:eastAsia="Calibri" w:hAnsi="Calibri" w:cs="Calibri"/>
              </w:rPr>
              <w:t>INTEL CORP</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BD" w14:textId="77777777" w:rsidR="0088436C" w:rsidRDefault="00393C15">
            <w:pPr>
              <w:widowControl w:val="0"/>
              <w:rPr>
                <w:rFonts w:ascii="Calibri" w:eastAsia="Calibri" w:hAnsi="Calibri" w:cs="Calibri"/>
                <w:highlight w:val="white"/>
              </w:rPr>
            </w:pPr>
            <w:r>
              <w:rPr>
                <w:rFonts w:ascii="Calibri" w:eastAsia="Calibri" w:hAnsi="Calibri" w:cs="Calibri"/>
                <w:highlight w:val="white"/>
              </w:rPr>
              <w:t>INTC</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BE" w14:textId="77777777" w:rsidR="0088436C" w:rsidRDefault="00393C15">
            <w:pPr>
              <w:widowControl w:val="0"/>
              <w:jc w:val="right"/>
              <w:rPr>
                <w:rFonts w:ascii="Calibri" w:eastAsia="Calibri" w:hAnsi="Calibri" w:cs="Calibri"/>
                <w:highlight w:val="white"/>
              </w:rPr>
            </w:pPr>
            <w:r>
              <w:rPr>
                <w:rFonts w:ascii="Calibri" w:eastAsia="Calibri" w:hAnsi="Calibri" w:cs="Calibri"/>
                <w:highlight w:val="white"/>
              </w:rPr>
              <w:t>-2</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BF" w14:textId="77777777" w:rsidR="0088436C" w:rsidRDefault="00393C15">
            <w:pPr>
              <w:widowControl w:val="0"/>
              <w:jc w:val="right"/>
              <w:rPr>
                <w:rFonts w:ascii="Calibri" w:eastAsia="Calibri" w:hAnsi="Calibri" w:cs="Calibri"/>
                <w:highlight w:val="white"/>
              </w:rPr>
            </w:pPr>
            <w:r>
              <w:rPr>
                <w:rFonts w:ascii="Calibri" w:eastAsia="Calibri" w:hAnsi="Calibri" w:cs="Calibri"/>
                <w:highlight w:val="white"/>
              </w:rPr>
              <w:t>44.53477868</w:t>
            </w:r>
          </w:p>
        </w:tc>
      </w:tr>
      <w:tr w:rsidR="0088436C" w14:paraId="4AE3B4C5" w14:textId="77777777">
        <w:trPr>
          <w:trHeight w:val="195"/>
        </w:trPr>
        <w:tc>
          <w:tcPr>
            <w:tcW w:w="27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C1" w14:textId="77777777" w:rsidR="0088436C" w:rsidRDefault="00393C15">
            <w:pPr>
              <w:widowControl w:val="0"/>
              <w:rPr>
                <w:rFonts w:ascii="Calibri" w:eastAsia="Calibri" w:hAnsi="Calibri" w:cs="Calibri"/>
              </w:rPr>
            </w:pPr>
            <w:r>
              <w:rPr>
                <w:rFonts w:ascii="Calibri" w:eastAsia="Calibri" w:hAnsi="Calibri" w:cs="Calibri"/>
              </w:rPr>
              <w:t>ON SEMICONDUCTOR CORP</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C2" w14:textId="77777777" w:rsidR="0088436C" w:rsidRDefault="00393C15">
            <w:pPr>
              <w:widowControl w:val="0"/>
              <w:rPr>
                <w:rFonts w:ascii="Calibri" w:eastAsia="Calibri" w:hAnsi="Calibri" w:cs="Calibri"/>
                <w:highlight w:val="white"/>
              </w:rPr>
            </w:pPr>
            <w:r>
              <w:rPr>
                <w:rFonts w:ascii="Calibri" w:eastAsia="Calibri" w:hAnsi="Calibri" w:cs="Calibri"/>
                <w:highlight w:val="white"/>
              </w:rPr>
              <w:t>ON</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C3" w14:textId="77777777" w:rsidR="0088436C" w:rsidRDefault="00393C15">
            <w:pPr>
              <w:widowControl w:val="0"/>
              <w:jc w:val="right"/>
              <w:rPr>
                <w:rFonts w:ascii="Calibri" w:eastAsia="Calibri" w:hAnsi="Calibri" w:cs="Calibri"/>
                <w:highlight w:val="white"/>
              </w:rPr>
            </w:pPr>
            <w:r>
              <w:rPr>
                <w:rFonts w:ascii="Calibri" w:eastAsia="Calibri" w:hAnsi="Calibri" w:cs="Calibri"/>
                <w:highlight w:val="white"/>
              </w:rPr>
              <w:t>5</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C4" w14:textId="77777777" w:rsidR="0088436C" w:rsidRDefault="00393C15">
            <w:pPr>
              <w:widowControl w:val="0"/>
              <w:jc w:val="right"/>
              <w:rPr>
                <w:rFonts w:ascii="Calibri" w:eastAsia="Calibri" w:hAnsi="Calibri" w:cs="Calibri"/>
                <w:highlight w:val="white"/>
              </w:rPr>
            </w:pPr>
            <w:r>
              <w:rPr>
                <w:rFonts w:ascii="Calibri" w:eastAsia="Calibri" w:hAnsi="Calibri" w:cs="Calibri"/>
                <w:highlight w:val="white"/>
              </w:rPr>
              <w:t>65.84296532</w:t>
            </w:r>
          </w:p>
        </w:tc>
      </w:tr>
      <w:tr w:rsidR="0088436C" w14:paraId="4AE3B4CA" w14:textId="77777777">
        <w:trPr>
          <w:trHeight w:val="300"/>
        </w:trPr>
        <w:tc>
          <w:tcPr>
            <w:tcW w:w="27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C6" w14:textId="77777777" w:rsidR="0088436C" w:rsidRDefault="00393C15">
            <w:pPr>
              <w:widowControl w:val="0"/>
              <w:rPr>
                <w:rFonts w:ascii="Calibri" w:eastAsia="Calibri" w:hAnsi="Calibri" w:cs="Calibri"/>
              </w:rPr>
            </w:pPr>
            <w:r>
              <w:rPr>
                <w:rFonts w:ascii="Calibri" w:eastAsia="Calibri" w:hAnsi="Calibri" w:cs="Calibri"/>
              </w:rPr>
              <w:t>MICROCHIP TECHNOLOGY INC</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C7" w14:textId="77777777" w:rsidR="0088436C" w:rsidRDefault="00393C15">
            <w:pPr>
              <w:widowControl w:val="0"/>
              <w:rPr>
                <w:rFonts w:ascii="Calibri" w:eastAsia="Calibri" w:hAnsi="Calibri" w:cs="Calibri"/>
                <w:highlight w:val="white"/>
              </w:rPr>
            </w:pPr>
            <w:r>
              <w:rPr>
                <w:rFonts w:ascii="Calibri" w:eastAsia="Calibri" w:hAnsi="Calibri" w:cs="Calibri"/>
                <w:highlight w:val="white"/>
              </w:rPr>
              <w:t>MCHP</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C8" w14:textId="77777777" w:rsidR="0088436C" w:rsidRDefault="00393C15">
            <w:pPr>
              <w:widowControl w:val="0"/>
              <w:jc w:val="right"/>
              <w:rPr>
                <w:rFonts w:ascii="Calibri" w:eastAsia="Calibri" w:hAnsi="Calibri" w:cs="Calibri"/>
                <w:highlight w:val="white"/>
              </w:rPr>
            </w:pPr>
            <w:r>
              <w:rPr>
                <w:rFonts w:ascii="Calibri" w:eastAsia="Calibri" w:hAnsi="Calibri" w:cs="Calibri"/>
                <w:highlight w:val="white"/>
              </w:rPr>
              <w:t>1</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C9" w14:textId="77777777" w:rsidR="0088436C" w:rsidRDefault="00393C15">
            <w:pPr>
              <w:widowControl w:val="0"/>
              <w:jc w:val="right"/>
              <w:rPr>
                <w:rFonts w:ascii="Calibri" w:eastAsia="Calibri" w:hAnsi="Calibri" w:cs="Calibri"/>
                <w:highlight w:val="white"/>
              </w:rPr>
            </w:pPr>
            <w:r>
              <w:rPr>
                <w:rFonts w:ascii="Calibri" w:eastAsia="Calibri" w:hAnsi="Calibri" w:cs="Calibri"/>
                <w:highlight w:val="white"/>
              </w:rPr>
              <w:t>47.71602589</w:t>
            </w:r>
          </w:p>
        </w:tc>
      </w:tr>
      <w:tr w:rsidR="0088436C" w14:paraId="4AE3B4CF" w14:textId="77777777">
        <w:tc>
          <w:tcPr>
            <w:tcW w:w="27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CB" w14:textId="77777777" w:rsidR="0088436C" w:rsidRDefault="00393C15">
            <w:pPr>
              <w:widowControl w:val="0"/>
              <w:rPr>
                <w:rFonts w:ascii="Calibri" w:eastAsia="Calibri" w:hAnsi="Calibri" w:cs="Calibri"/>
              </w:rPr>
            </w:pPr>
            <w:r>
              <w:rPr>
                <w:rFonts w:ascii="Calibri" w:eastAsia="Calibri" w:hAnsi="Calibri" w:cs="Calibri"/>
              </w:rPr>
              <w:t>QUALCOMM INC</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CC" w14:textId="77777777" w:rsidR="0088436C" w:rsidRDefault="00393C15">
            <w:pPr>
              <w:widowControl w:val="0"/>
              <w:rPr>
                <w:rFonts w:ascii="Calibri" w:eastAsia="Calibri" w:hAnsi="Calibri" w:cs="Calibri"/>
                <w:highlight w:val="white"/>
              </w:rPr>
            </w:pPr>
            <w:r>
              <w:rPr>
                <w:rFonts w:ascii="Calibri" w:eastAsia="Calibri" w:hAnsi="Calibri" w:cs="Calibri"/>
                <w:highlight w:val="white"/>
              </w:rPr>
              <w:t>QCOM</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CD" w14:textId="77777777" w:rsidR="0088436C" w:rsidRDefault="00393C15">
            <w:pPr>
              <w:widowControl w:val="0"/>
              <w:jc w:val="right"/>
              <w:rPr>
                <w:rFonts w:ascii="Calibri" w:eastAsia="Calibri" w:hAnsi="Calibri" w:cs="Calibri"/>
                <w:highlight w:val="white"/>
              </w:rPr>
            </w:pPr>
            <w:r>
              <w:rPr>
                <w:rFonts w:ascii="Calibri" w:eastAsia="Calibri" w:hAnsi="Calibri" w:cs="Calibri"/>
                <w:highlight w:val="white"/>
              </w:rPr>
              <w:t>-6</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CE" w14:textId="77777777" w:rsidR="0088436C" w:rsidRDefault="00393C15">
            <w:pPr>
              <w:widowControl w:val="0"/>
              <w:jc w:val="right"/>
              <w:rPr>
                <w:rFonts w:ascii="Calibri" w:eastAsia="Calibri" w:hAnsi="Calibri" w:cs="Calibri"/>
                <w:highlight w:val="white"/>
              </w:rPr>
            </w:pPr>
            <w:r>
              <w:rPr>
                <w:rFonts w:ascii="Calibri" w:eastAsia="Calibri" w:hAnsi="Calibri" w:cs="Calibri"/>
                <w:highlight w:val="white"/>
              </w:rPr>
              <w:t>7.482166018</w:t>
            </w:r>
          </w:p>
        </w:tc>
      </w:tr>
      <w:tr w:rsidR="0088436C" w14:paraId="4AE3B4D4" w14:textId="77777777">
        <w:trPr>
          <w:trHeight w:val="242"/>
        </w:trPr>
        <w:tc>
          <w:tcPr>
            <w:tcW w:w="27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D0" w14:textId="77777777" w:rsidR="0088436C" w:rsidRDefault="00393C15">
            <w:pPr>
              <w:widowControl w:val="0"/>
              <w:rPr>
                <w:rFonts w:ascii="Calibri" w:eastAsia="Calibri" w:hAnsi="Calibri" w:cs="Calibri"/>
              </w:rPr>
            </w:pPr>
            <w:r>
              <w:rPr>
                <w:rFonts w:ascii="Calibri" w:eastAsia="Calibri" w:hAnsi="Calibri" w:cs="Calibri"/>
              </w:rPr>
              <w:t>MARVELL TECHNOLOGY GROUP LTD</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D1" w14:textId="77777777" w:rsidR="0088436C" w:rsidRDefault="00393C15">
            <w:pPr>
              <w:widowControl w:val="0"/>
              <w:rPr>
                <w:rFonts w:ascii="Calibri" w:eastAsia="Calibri" w:hAnsi="Calibri" w:cs="Calibri"/>
                <w:highlight w:val="white"/>
              </w:rPr>
            </w:pPr>
            <w:r>
              <w:rPr>
                <w:rFonts w:ascii="Calibri" w:eastAsia="Calibri" w:hAnsi="Calibri" w:cs="Calibri"/>
                <w:highlight w:val="white"/>
              </w:rPr>
              <w:t>MRVL</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D2" w14:textId="77777777" w:rsidR="0088436C" w:rsidRDefault="00393C15">
            <w:pPr>
              <w:widowControl w:val="0"/>
              <w:jc w:val="right"/>
              <w:rPr>
                <w:rFonts w:ascii="Calibri" w:eastAsia="Calibri" w:hAnsi="Calibri" w:cs="Calibri"/>
                <w:highlight w:val="white"/>
              </w:rPr>
            </w:pPr>
            <w:r>
              <w:rPr>
                <w:rFonts w:ascii="Calibri" w:eastAsia="Calibri" w:hAnsi="Calibri" w:cs="Calibri"/>
                <w:highlight w:val="white"/>
              </w:rPr>
              <w:t>-3</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D3" w14:textId="77777777" w:rsidR="0088436C" w:rsidRDefault="00393C15">
            <w:pPr>
              <w:widowControl w:val="0"/>
              <w:jc w:val="right"/>
              <w:rPr>
                <w:rFonts w:ascii="Calibri" w:eastAsia="Calibri" w:hAnsi="Calibri" w:cs="Calibri"/>
                <w:highlight w:val="white"/>
              </w:rPr>
            </w:pPr>
            <w:r>
              <w:rPr>
                <w:rFonts w:ascii="Calibri" w:eastAsia="Calibri" w:hAnsi="Calibri" w:cs="Calibri"/>
                <w:highlight w:val="white"/>
              </w:rPr>
              <w:t>30.5785124</w:t>
            </w:r>
          </w:p>
        </w:tc>
      </w:tr>
      <w:tr w:rsidR="0088436C" w14:paraId="4AE3B4D9" w14:textId="77777777">
        <w:trPr>
          <w:trHeight w:val="555"/>
        </w:trPr>
        <w:tc>
          <w:tcPr>
            <w:tcW w:w="27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D5" w14:textId="77777777" w:rsidR="0088436C" w:rsidRDefault="00393C15">
            <w:pPr>
              <w:widowControl w:val="0"/>
              <w:rPr>
                <w:rFonts w:ascii="Calibri" w:eastAsia="Calibri" w:hAnsi="Calibri" w:cs="Calibri"/>
              </w:rPr>
            </w:pPr>
            <w:r>
              <w:rPr>
                <w:rFonts w:ascii="Calibri" w:eastAsia="Calibri" w:hAnsi="Calibri" w:cs="Calibri"/>
              </w:rPr>
              <w:t>BROADCOM INC</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D6" w14:textId="77777777" w:rsidR="0088436C" w:rsidRDefault="00393C15">
            <w:pPr>
              <w:widowControl w:val="0"/>
              <w:rPr>
                <w:rFonts w:ascii="Calibri" w:eastAsia="Calibri" w:hAnsi="Calibri" w:cs="Calibri"/>
                <w:highlight w:val="white"/>
              </w:rPr>
            </w:pPr>
            <w:r>
              <w:rPr>
                <w:rFonts w:ascii="Calibri" w:eastAsia="Calibri" w:hAnsi="Calibri" w:cs="Calibri"/>
                <w:highlight w:val="white"/>
              </w:rPr>
              <w:t>AVGO</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D7" w14:textId="77777777" w:rsidR="0088436C" w:rsidRDefault="00393C15">
            <w:pPr>
              <w:widowControl w:val="0"/>
              <w:jc w:val="right"/>
              <w:rPr>
                <w:rFonts w:ascii="Calibri" w:eastAsia="Calibri" w:hAnsi="Calibri" w:cs="Calibri"/>
                <w:highlight w:val="white"/>
              </w:rPr>
            </w:pPr>
            <w:r>
              <w:rPr>
                <w:rFonts w:ascii="Calibri" w:eastAsia="Calibri" w:hAnsi="Calibri" w:cs="Calibri"/>
                <w:highlight w:val="white"/>
              </w:rPr>
              <w:t>-5</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D8" w14:textId="77777777" w:rsidR="0088436C" w:rsidRDefault="00393C15">
            <w:pPr>
              <w:widowControl w:val="0"/>
              <w:jc w:val="right"/>
              <w:rPr>
                <w:rFonts w:ascii="Calibri" w:eastAsia="Calibri" w:hAnsi="Calibri" w:cs="Calibri"/>
                <w:highlight w:val="white"/>
              </w:rPr>
            </w:pPr>
            <w:r>
              <w:rPr>
                <w:rFonts w:ascii="Calibri" w:eastAsia="Calibri" w:hAnsi="Calibri" w:cs="Calibri"/>
                <w:highlight w:val="white"/>
              </w:rPr>
              <w:t>32.61447816</w:t>
            </w:r>
          </w:p>
        </w:tc>
      </w:tr>
      <w:tr w:rsidR="0088436C" w14:paraId="4AE3B4DE" w14:textId="77777777">
        <w:tc>
          <w:tcPr>
            <w:tcW w:w="27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DA" w14:textId="77777777" w:rsidR="0088436C" w:rsidRDefault="00393C15">
            <w:pPr>
              <w:widowControl w:val="0"/>
              <w:rPr>
                <w:rFonts w:ascii="Calibri" w:eastAsia="Calibri" w:hAnsi="Calibri" w:cs="Calibri"/>
              </w:rPr>
            </w:pPr>
            <w:r>
              <w:rPr>
                <w:rFonts w:ascii="Calibri" w:eastAsia="Calibri" w:hAnsi="Calibri" w:cs="Calibri"/>
              </w:rPr>
              <w:t>TEXAS INSTRUMENTS INC</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DB" w14:textId="77777777" w:rsidR="0088436C" w:rsidRDefault="00393C15">
            <w:pPr>
              <w:widowControl w:val="0"/>
              <w:rPr>
                <w:rFonts w:ascii="Calibri" w:eastAsia="Calibri" w:hAnsi="Calibri" w:cs="Calibri"/>
                <w:highlight w:val="white"/>
              </w:rPr>
            </w:pPr>
            <w:r>
              <w:rPr>
                <w:rFonts w:ascii="Calibri" w:eastAsia="Calibri" w:hAnsi="Calibri" w:cs="Calibri"/>
                <w:highlight w:val="white"/>
              </w:rPr>
              <w:t>TXN</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DC" w14:textId="77777777" w:rsidR="0088436C" w:rsidRDefault="00393C15">
            <w:pPr>
              <w:widowControl w:val="0"/>
              <w:jc w:val="right"/>
              <w:rPr>
                <w:rFonts w:ascii="Calibri" w:eastAsia="Calibri" w:hAnsi="Calibri" w:cs="Calibri"/>
                <w:highlight w:val="white"/>
              </w:rPr>
            </w:pPr>
            <w:r>
              <w:rPr>
                <w:rFonts w:ascii="Calibri" w:eastAsia="Calibri" w:hAnsi="Calibri" w:cs="Calibri"/>
                <w:highlight w:val="white"/>
              </w:rPr>
              <w:t>2</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DD" w14:textId="77777777" w:rsidR="0088436C" w:rsidRDefault="00393C15">
            <w:pPr>
              <w:widowControl w:val="0"/>
              <w:jc w:val="right"/>
              <w:rPr>
                <w:rFonts w:ascii="Calibri" w:eastAsia="Calibri" w:hAnsi="Calibri" w:cs="Calibri"/>
                <w:highlight w:val="white"/>
              </w:rPr>
            </w:pPr>
            <w:r>
              <w:rPr>
                <w:rFonts w:ascii="Calibri" w:eastAsia="Calibri" w:hAnsi="Calibri" w:cs="Calibri"/>
                <w:highlight w:val="white"/>
              </w:rPr>
              <w:t>30.70751781</w:t>
            </w:r>
          </w:p>
        </w:tc>
      </w:tr>
      <w:tr w:rsidR="0088436C" w14:paraId="4AE3B4E3" w14:textId="77777777">
        <w:trPr>
          <w:trHeight w:val="555"/>
        </w:trPr>
        <w:tc>
          <w:tcPr>
            <w:tcW w:w="27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DF" w14:textId="77777777" w:rsidR="0088436C" w:rsidRDefault="00393C15">
            <w:pPr>
              <w:widowControl w:val="0"/>
              <w:rPr>
                <w:rFonts w:ascii="Calibri" w:eastAsia="Calibri" w:hAnsi="Calibri" w:cs="Calibri"/>
              </w:rPr>
            </w:pPr>
            <w:r>
              <w:rPr>
                <w:rFonts w:ascii="Calibri" w:eastAsia="Calibri" w:hAnsi="Calibri" w:cs="Calibri"/>
              </w:rPr>
              <w:t>Fidelity Cash Central Fund</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E0" w14:textId="77777777" w:rsidR="0088436C" w:rsidRDefault="00393C15">
            <w:pPr>
              <w:widowControl w:val="0"/>
              <w:rPr>
                <w:rFonts w:ascii="Calibri" w:eastAsia="Calibri" w:hAnsi="Calibri" w:cs="Calibri"/>
                <w:highlight w:val="white"/>
              </w:rPr>
            </w:pPr>
            <w:r>
              <w:rPr>
                <w:rFonts w:ascii="Calibri" w:eastAsia="Calibri" w:hAnsi="Calibri" w:cs="Calibri"/>
                <w:highlight w:val="white"/>
              </w:rPr>
              <w:t>LP4020</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E1" w14:textId="77777777" w:rsidR="0088436C" w:rsidRDefault="00393C15">
            <w:pPr>
              <w:widowControl w:val="0"/>
              <w:jc w:val="right"/>
              <w:rPr>
                <w:rFonts w:ascii="Calibri" w:eastAsia="Calibri" w:hAnsi="Calibri" w:cs="Calibri"/>
                <w:highlight w:val="white"/>
              </w:rPr>
            </w:pPr>
            <w:r>
              <w:rPr>
                <w:rFonts w:ascii="Calibri" w:eastAsia="Calibri" w:hAnsi="Calibri" w:cs="Calibri"/>
                <w:highlight w:val="white"/>
              </w:rPr>
              <w:t>15</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E2" w14:textId="77777777" w:rsidR="0088436C" w:rsidRDefault="00393C15">
            <w:pPr>
              <w:widowControl w:val="0"/>
              <w:jc w:val="right"/>
              <w:rPr>
                <w:rFonts w:ascii="Calibri" w:eastAsia="Calibri" w:hAnsi="Calibri" w:cs="Calibri"/>
                <w:highlight w:val="white"/>
              </w:rPr>
            </w:pPr>
            <w:r>
              <w:rPr>
                <w:rFonts w:ascii="Calibri" w:eastAsia="Calibri" w:hAnsi="Calibri" w:cs="Calibri"/>
                <w:highlight w:val="white"/>
              </w:rPr>
              <w:t>-0.00000006552513644</w:t>
            </w:r>
          </w:p>
        </w:tc>
      </w:tr>
      <w:tr w:rsidR="0088436C" w14:paraId="4AE3B4E8" w14:textId="77777777">
        <w:tc>
          <w:tcPr>
            <w:tcW w:w="27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E4" w14:textId="77777777" w:rsidR="0088436C" w:rsidRDefault="00393C15">
            <w:pPr>
              <w:widowControl w:val="0"/>
              <w:rPr>
                <w:rFonts w:ascii="Calibri" w:eastAsia="Calibri" w:hAnsi="Calibri" w:cs="Calibri"/>
                <w:shd w:val="clear" w:color="auto" w:fill="CCCCCC"/>
              </w:rPr>
            </w:pPr>
            <w:r>
              <w:rPr>
                <w:rFonts w:ascii="Calibri" w:eastAsia="Calibri" w:hAnsi="Calibri" w:cs="Calibri"/>
                <w:shd w:val="clear" w:color="auto" w:fill="CCCCCC"/>
              </w:rPr>
              <w:t>ADVANCED MICRO DEVICES INC</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E5" w14:textId="77777777" w:rsidR="0088436C" w:rsidRDefault="00393C15">
            <w:pPr>
              <w:widowControl w:val="0"/>
              <w:rPr>
                <w:rFonts w:ascii="Calibri" w:eastAsia="Calibri" w:hAnsi="Calibri" w:cs="Calibri"/>
                <w:highlight w:val="white"/>
              </w:rPr>
            </w:pPr>
            <w:r>
              <w:rPr>
                <w:rFonts w:ascii="Calibri" w:eastAsia="Calibri" w:hAnsi="Calibri" w:cs="Calibri"/>
                <w:highlight w:val="white"/>
              </w:rPr>
              <w:t>AMD</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E6" w14:textId="77777777" w:rsidR="0088436C" w:rsidRDefault="00393C15">
            <w:pPr>
              <w:widowControl w:val="0"/>
              <w:jc w:val="right"/>
              <w:rPr>
                <w:rFonts w:ascii="Calibri" w:eastAsia="Calibri" w:hAnsi="Calibri" w:cs="Calibri"/>
                <w:highlight w:val="white"/>
              </w:rPr>
            </w:pPr>
            <w:r>
              <w:rPr>
                <w:rFonts w:ascii="Calibri" w:eastAsia="Calibri" w:hAnsi="Calibri" w:cs="Calibri"/>
                <w:highlight w:val="white"/>
              </w:rPr>
              <w:t>-1</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E7" w14:textId="77777777" w:rsidR="0088436C" w:rsidRDefault="00393C15">
            <w:pPr>
              <w:widowControl w:val="0"/>
              <w:jc w:val="right"/>
              <w:rPr>
                <w:rFonts w:ascii="Calibri" w:eastAsia="Calibri" w:hAnsi="Calibri" w:cs="Calibri"/>
                <w:highlight w:val="white"/>
              </w:rPr>
            </w:pPr>
            <w:r>
              <w:rPr>
                <w:rFonts w:ascii="Calibri" w:eastAsia="Calibri" w:hAnsi="Calibri" w:cs="Calibri"/>
                <w:highlight w:val="white"/>
              </w:rPr>
              <w:t>4.263514411</w:t>
            </w:r>
          </w:p>
        </w:tc>
      </w:tr>
      <w:tr w:rsidR="0088436C" w14:paraId="4AE3B4ED" w14:textId="77777777">
        <w:tc>
          <w:tcPr>
            <w:tcW w:w="27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E9" w14:textId="77777777" w:rsidR="0088436C" w:rsidRDefault="00393C15">
            <w:pPr>
              <w:widowControl w:val="0"/>
              <w:rPr>
                <w:rFonts w:ascii="Calibri" w:eastAsia="Calibri" w:hAnsi="Calibri" w:cs="Calibri"/>
                <w:shd w:val="clear" w:color="auto" w:fill="FF9900"/>
              </w:rPr>
            </w:pPr>
            <w:r>
              <w:rPr>
                <w:rFonts w:ascii="Calibri" w:eastAsia="Calibri" w:hAnsi="Calibri" w:cs="Calibri"/>
                <w:shd w:val="clear" w:color="auto" w:fill="FF9900"/>
              </w:rPr>
              <w:t>APPLIED MATERIALS INC</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EA" w14:textId="77777777" w:rsidR="0088436C" w:rsidRDefault="00393C15">
            <w:pPr>
              <w:widowControl w:val="0"/>
              <w:rPr>
                <w:rFonts w:ascii="Calibri" w:eastAsia="Calibri" w:hAnsi="Calibri" w:cs="Calibri"/>
                <w:highlight w:val="white"/>
              </w:rPr>
            </w:pPr>
            <w:r>
              <w:rPr>
                <w:rFonts w:ascii="Calibri" w:eastAsia="Calibri" w:hAnsi="Calibri" w:cs="Calibri"/>
                <w:highlight w:val="white"/>
              </w:rPr>
              <w:t>AMAT</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EB" w14:textId="77777777" w:rsidR="0088436C" w:rsidRDefault="00393C15">
            <w:pPr>
              <w:widowControl w:val="0"/>
              <w:jc w:val="right"/>
              <w:rPr>
                <w:rFonts w:ascii="Calibri" w:eastAsia="Calibri" w:hAnsi="Calibri" w:cs="Calibri"/>
                <w:highlight w:val="white"/>
              </w:rPr>
            </w:pPr>
            <w:r>
              <w:rPr>
                <w:rFonts w:ascii="Calibri" w:eastAsia="Calibri" w:hAnsi="Calibri" w:cs="Calibri"/>
                <w:highlight w:val="white"/>
              </w:rPr>
              <w:t>7</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EC" w14:textId="77777777" w:rsidR="0088436C" w:rsidRDefault="00393C15">
            <w:pPr>
              <w:widowControl w:val="0"/>
              <w:jc w:val="right"/>
              <w:rPr>
                <w:rFonts w:ascii="Calibri" w:eastAsia="Calibri" w:hAnsi="Calibri" w:cs="Calibri"/>
                <w:highlight w:val="white"/>
              </w:rPr>
            </w:pPr>
            <w:r>
              <w:rPr>
                <w:rFonts w:ascii="Calibri" w:eastAsia="Calibri" w:hAnsi="Calibri" w:cs="Calibri"/>
                <w:highlight w:val="white"/>
              </w:rPr>
              <w:t>125.5613709</w:t>
            </w:r>
          </w:p>
        </w:tc>
      </w:tr>
      <w:tr w:rsidR="0088436C" w14:paraId="4AE3B4F2" w14:textId="77777777">
        <w:trPr>
          <w:trHeight w:val="300"/>
        </w:trPr>
        <w:tc>
          <w:tcPr>
            <w:tcW w:w="27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EE" w14:textId="77777777" w:rsidR="0088436C" w:rsidRDefault="00393C15">
            <w:pPr>
              <w:widowControl w:val="0"/>
              <w:rPr>
                <w:rFonts w:ascii="Calibri" w:eastAsia="Calibri" w:hAnsi="Calibri" w:cs="Calibri"/>
                <w:shd w:val="clear" w:color="auto" w:fill="FF9900"/>
              </w:rPr>
            </w:pPr>
            <w:r>
              <w:rPr>
                <w:rFonts w:ascii="Calibri" w:eastAsia="Calibri" w:hAnsi="Calibri" w:cs="Calibri"/>
                <w:shd w:val="clear" w:color="auto" w:fill="FF9900"/>
              </w:rPr>
              <w:t>TERADYNE INC</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EF" w14:textId="77777777" w:rsidR="0088436C" w:rsidRDefault="00393C15">
            <w:pPr>
              <w:widowControl w:val="0"/>
              <w:rPr>
                <w:rFonts w:ascii="Calibri" w:eastAsia="Calibri" w:hAnsi="Calibri" w:cs="Calibri"/>
                <w:highlight w:val="white"/>
              </w:rPr>
            </w:pPr>
            <w:r>
              <w:rPr>
                <w:rFonts w:ascii="Calibri" w:eastAsia="Calibri" w:hAnsi="Calibri" w:cs="Calibri"/>
                <w:highlight w:val="white"/>
              </w:rPr>
              <w:t>TER</w:t>
            </w:r>
          </w:p>
        </w:tc>
        <w:tc>
          <w:tcPr>
            <w:tcW w:w="2445"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4AE3B4F0" w14:textId="77777777" w:rsidR="0088436C" w:rsidRDefault="00393C15">
            <w:pPr>
              <w:widowControl w:val="0"/>
              <w:rPr>
                <w:rFonts w:ascii="Calibri" w:eastAsia="Calibri" w:hAnsi="Calibri" w:cs="Calibri"/>
                <w:highlight w:val="white"/>
              </w:rPr>
            </w:pPr>
            <w:r>
              <w:rPr>
                <w:rFonts w:ascii="Calibri" w:eastAsia="Calibri" w:hAnsi="Calibri" w:cs="Calibri"/>
                <w:highlight w:val="white"/>
              </w:rPr>
              <w:t>NA</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F1" w14:textId="77777777" w:rsidR="0088436C" w:rsidRDefault="00393C15">
            <w:pPr>
              <w:widowControl w:val="0"/>
              <w:jc w:val="center"/>
              <w:rPr>
                <w:rFonts w:ascii="Calibri" w:eastAsia="Calibri" w:hAnsi="Calibri" w:cs="Calibri"/>
                <w:highlight w:val="white"/>
              </w:rPr>
            </w:pPr>
            <w:r>
              <w:rPr>
                <w:rFonts w:ascii="Calibri" w:eastAsia="Calibri" w:hAnsi="Calibri" w:cs="Calibri"/>
                <w:highlight w:val="white"/>
              </w:rPr>
              <w:t>#N/A</w:t>
            </w:r>
          </w:p>
        </w:tc>
      </w:tr>
      <w:tr w:rsidR="0088436C" w14:paraId="4AE3B4F7" w14:textId="77777777">
        <w:tc>
          <w:tcPr>
            <w:tcW w:w="27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F3" w14:textId="77777777" w:rsidR="0088436C" w:rsidRDefault="00393C15">
            <w:pPr>
              <w:widowControl w:val="0"/>
              <w:rPr>
                <w:rFonts w:ascii="Calibri" w:eastAsia="Calibri" w:hAnsi="Calibri" w:cs="Calibri"/>
              </w:rPr>
            </w:pPr>
            <w:r>
              <w:rPr>
                <w:rFonts w:ascii="Calibri" w:eastAsia="Calibri" w:hAnsi="Calibri" w:cs="Calibri"/>
              </w:rPr>
              <w:t>CIRRUS LOGIC INC</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F4" w14:textId="77777777" w:rsidR="0088436C" w:rsidRDefault="00393C15">
            <w:pPr>
              <w:widowControl w:val="0"/>
              <w:rPr>
                <w:rFonts w:ascii="Calibri" w:eastAsia="Calibri" w:hAnsi="Calibri" w:cs="Calibri"/>
                <w:highlight w:val="white"/>
              </w:rPr>
            </w:pPr>
            <w:r>
              <w:rPr>
                <w:rFonts w:ascii="Calibri" w:eastAsia="Calibri" w:hAnsi="Calibri" w:cs="Calibri"/>
                <w:highlight w:val="white"/>
              </w:rPr>
              <w:t>CRUS</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F5" w14:textId="77777777" w:rsidR="0088436C" w:rsidRDefault="00393C15">
            <w:pPr>
              <w:widowControl w:val="0"/>
              <w:jc w:val="right"/>
              <w:rPr>
                <w:rFonts w:ascii="Calibri" w:eastAsia="Calibri" w:hAnsi="Calibri" w:cs="Calibri"/>
                <w:highlight w:val="white"/>
              </w:rPr>
            </w:pPr>
            <w:r>
              <w:rPr>
                <w:rFonts w:ascii="Calibri" w:eastAsia="Calibri" w:hAnsi="Calibri" w:cs="Calibri"/>
                <w:highlight w:val="white"/>
              </w:rPr>
              <w:t>-2</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F6" w14:textId="77777777" w:rsidR="0088436C" w:rsidRDefault="00393C15">
            <w:pPr>
              <w:widowControl w:val="0"/>
              <w:jc w:val="right"/>
              <w:rPr>
                <w:rFonts w:ascii="Calibri" w:eastAsia="Calibri" w:hAnsi="Calibri" w:cs="Calibri"/>
                <w:highlight w:val="white"/>
              </w:rPr>
            </w:pPr>
            <w:r>
              <w:rPr>
                <w:rFonts w:ascii="Calibri" w:eastAsia="Calibri" w:hAnsi="Calibri" w:cs="Calibri"/>
                <w:highlight w:val="white"/>
              </w:rPr>
              <w:t>23.11601568</w:t>
            </w:r>
          </w:p>
        </w:tc>
      </w:tr>
      <w:tr w:rsidR="0088436C" w14:paraId="4AE3B4FC" w14:textId="77777777">
        <w:trPr>
          <w:trHeight w:val="300"/>
        </w:trPr>
        <w:tc>
          <w:tcPr>
            <w:tcW w:w="27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F8" w14:textId="77777777" w:rsidR="0088436C" w:rsidRDefault="00393C15">
            <w:pPr>
              <w:widowControl w:val="0"/>
              <w:rPr>
                <w:rFonts w:ascii="Calibri" w:eastAsia="Calibri" w:hAnsi="Calibri" w:cs="Calibri"/>
                <w:shd w:val="clear" w:color="auto" w:fill="FF9900"/>
              </w:rPr>
            </w:pPr>
            <w:r>
              <w:rPr>
                <w:rFonts w:ascii="Calibri" w:eastAsia="Calibri" w:hAnsi="Calibri" w:cs="Calibri"/>
                <w:shd w:val="clear" w:color="auto" w:fill="FF9900"/>
              </w:rPr>
              <w:t>K L A CORP</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F9" w14:textId="77777777" w:rsidR="0088436C" w:rsidRDefault="00393C15">
            <w:pPr>
              <w:widowControl w:val="0"/>
              <w:rPr>
                <w:rFonts w:ascii="Calibri" w:eastAsia="Calibri" w:hAnsi="Calibri" w:cs="Calibri"/>
                <w:highlight w:val="white"/>
              </w:rPr>
            </w:pPr>
            <w:r>
              <w:rPr>
                <w:rFonts w:ascii="Calibri" w:eastAsia="Calibri" w:hAnsi="Calibri" w:cs="Calibri"/>
                <w:highlight w:val="white"/>
              </w:rPr>
              <w:t>KLAC</w:t>
            </w:r>
          </w:p>
        </w:tc>
        <w:tc>
          <w:tcPr>
            <w:tcW w:w="2445"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4AE3B4FA" w14:textId="77777777" w:rsidR="0088436C" w:rsidRDefault="00393C15">
            <w:pPr>
              <w:widowControl w:val="0"/>
              <w:rPr>
                <w:rFonts w:ascii="Calibri" w:eastAsia="Calibri" w:hAnsi="Calibri" w:cs="Calibri"/>
                <w:highlight w:val="white"/>
              </w:rPr>
            </w:pPr>
            <w:r>
              <w:rPr>
                <w:rFonts w:ascii="Calibri" w:eastAsia="Calibri" w:hAnsi="Calibri" w:cs="Calibri"/>
                <w:highlight w:val="white"/>
              </w:rPr>
              <w:t>NA</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FB" w14:textId="77777777" w:rsidR="0088436C" w:rsidRDefault="00393C15">
            <w:pPr>
              <w:widowControl w:val="0"/>
              <w:jc w:val="center"/>
              <w:rPr>
                <w:rFonts w:ascii="Calibri" w:eastAsia="Calibri" w:hAnsi="Calibri" w:cs="Calibri"/>
                <w:highlight w:val="white"/>
              </w:rPr>
            </w:pPr>
            <w:r>
              <w:rPr>
                <w:rFonts w:ascii="Calibri" w:eastAsia="Calibri" w:hAnsi="Calibri" w:cs="Calibri"/>
                <w:highlight w:val="white"/>
              </w:rPr>
              <w:t>#N/A</w:t>
            </w:r>
          </w:p>
        </w:tc>
      </w:tr>
      <w:tr w:rsidR="0088436C" w14:paraId="4AE3B501" w14:textId="77777777">
        <w:tc>
          <w:tcPr>
            <w:tcW w:w="27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FD" w14:textId="77777777" w:rsidR="0088436C" w:rsidRDefault="00393C15">
            <w:pPr>
              <w:widowControl w:val="0"/>
              <w:rPr>
                <w:rFonts w:ascii="Calibri" w:eastAsia="Calibri" w:hAnsi="Calibri" w:cs="Calibri"/>
              </w:rPr>
            </w:pPr>
            <w:r>
              <w:rPr>
                <w:rFonts w:ascii="Calibri" w:eastAsia="Calibri" w:hAnsi="Calibri" w:cs="Calibri"/>
              </w:rPr>
              <w:t>CADENCE DESIGN SYSTEMS INC</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4FE" w14:textId="77777777" w:rsidR="0088436C" w:rsidRDefault="00393C15">
            <w:pPr>
              <w:widowControl w:val="0"/>
              <w:rPr>
                <w:rFonts w:ascii="Calibri" w:eastAsia="Calibri" w:hAnsi="Calibri" w:cs="Calibri"/>
                <w:highlight w:val="white"/>
              </w:rPr>
            </w:pPr>
            <w:r>
              <w:rPr>
                <w:rFonts w:ascii="Calibri" w:eastAsia="Calibri" w:hAnsi="Calibri" w:cs="Calibri"/>
                <w:highlight w:val="white"/>
              </w:rPr>
              <w:t>CDNS</w:t>
            </w:r>
          </w:p>
        </w:tc>
        <w:tc>
          <w:tcPr>
            <w:tcW w:w="2445"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4AE3B4FF" w14:textId="77777777" w:rsidR="0088436C" w:rsidRDefault="00393C15">
            <w:pPr>
              <w:widowControl w:val="0"/>
              <w:rPr>
                <w:rFonts w:ascii="Calibri" w:eastAsia="Calibri" w:hAnsi="Calibri" w:cs="Calibri"/>
                <w:highlight w:val="white"/>
              </w:rPr>
            </w:pPr>
            <w:r>
              <w:rPr>
                <w:rFonts w:ascii="Calibri" w:eastAsia="Calibri" w:hAnsi="Calibri" w:cs="Calibri"/>
                <w:highlight w:val="white"/>
              </w:rPr>
              <w:t>NA</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00" w14:textId="77777777" w:rsidR="0088436C" w:rsidRDefault="00393C15">
            <w:pPr>
              <w:widowControl w:val="0"/>
              <w:jc w:val="center"/>
              <w:rPr>
                <w:rFonts w:ascii="Calibri" w:eastAsia="Calibri" w:hAnsi="Calibri" w:cs="Calibri"/>
                <w:highlight w:val="white"/>
              </w:rPr>
            </w:pPr>
            <w:r>
              <w:rPr>
                <w:rFonts w:ascii="Calibri" w:eastAsia="Calibri" w:hAnsi="Calibri" w:cs="Calibri"/>
                <w:highlight w:val="white"/>
              </w:rPr>
              <w:t>#N/A</w:t>
            </w:r>
          </w:p>
        </w:tc>
      </w:tr>
      <w:tr w:rsidR="0088436C" w14:paraId="4AE3B506" w14:textId="77777777">
        <w:trPr>
          <w:trHeight w:val="300"/>
        </w:trPr>
        <w:tc>
          <w:tcPr>
            <w:tcW w:w="27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02" w14:textId="77777777" w:rsidR="0088436C" w:rsidRDefault="00393C15">
            <w:pPr>
              <w:widowControl w:val="0"/>
              <w:rPr>
                <w:rFonts w:ascii="Calibri" w:eastAsia="Calibri" w:hAnsi="Calibri" w:cs="Calibri"/>
              </w:rPr>
            </w:pPr>
            <w:r>
              <w:rPr>
                <w:rFonts w:ascii="Calibri" w:eastAsia="Calibri" w:hAnsi="Calibri" w:cs="Calibri"/>
              </w:rPr>
              <w:t>INPHI CORP</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03" w14:textId="77777777" w:rsidR="0088436C" w:rsidRDefault="00393C15">
            <w:pPr>
              <w:widowControl w:val="0"/>
              <w:rPr>
                <w:rFonts w:ascii="Calibri" w:eastAsia="Calibri" w:hAnsi="Calibri" w:cs="Calibri"/>
                <w:highlight w:val="white"/>
              </w:rPr>
            </w:pPr>
            <w:r>
              <w:rPr>
                <w:rFonts w:ascii="Calibri" w:eastAsia="Calibri" w:hAnsi="Calibri" w:cs="Calibri"/>
                <w:highlight w:val="white"/>
              </w:rPr>
              <w:t>IPHI</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04" w14:textId="77777777" w:rsidR="0088436C" w:rsidRDefault="00393C15">
            <w:pPr>
              <w:widowControl w:val="0"/>
              <w:jc w:val="right"/>
              <w:rPr>
                <w:rFonts w:ascii="Calibri" w:eastAsia="Calibri" w:hAnsi="Calibri" w:cs="Calibri"/>
                <w:highlight w:val="white"/>
              </w:rPr>
            </w:pPr>
            <w:r>
              <w:rPr>
                <w:rFonts w:ascii="Calibri" w:eastAsia="Calibri" w:hAnsi="Calibri" w:cs="Calibri"/>
                <w:highlight w:val="white"/>
              </w:rPr>
              <w:t>-3</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05" w14:textId="77777777" w:rsidR="0088436C" w:rsidRDefault="00393C15">
            <w:pPr>
              <w:widowControl w:val="0"/>
              <w:jc w:val="right"/>
              <w:rPr>
                <w:rFonts w:ascii="Calibri" w:eastAsia="Calibri" w:hAnsi="Calibri" w:cs="Calibri"/>
                <w:highlight w:val="white"/>
              </w:rPr>
            </w:pPr>
            <w:r>
              <w:rPr>
                <w:rFonts w:ascii="Calibri" w:eastAsia="Calibri" w:hAnsi="Calibri" w:cs="Calibri"/>
                <w:highlight w:val="white"/>
              </w:rPr>
              <w:t>27.65455066</w:t>
            </w:r>
          </w:p>
        </w:tc>
      </w:tr>
      <w:tr w:rsidR="0088436C" w14:paraId="4AE3B50B" w14:textId="77777777">
        <w:trPr>
          <w:trHeight w:val="300"/>
        </w:trPr>
        <w:tc>
          <w:tcPr>
            <w:tcW w:w="27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07" w14:textId="77777777" w:rsidR="0088436C" w:rsidRDefault="00393C15">
            <w:pPr>
              <w:widowControl w:val="0"/>
              <w:rPr>
                <w:rFonts w:ascii="Calibri" w:eastAsia="Calibri" w:hAnsi="Calibri" w:cs="Calibri"/>
              </w:rPr>
            </w:pPr>
            <w:r>
              <w:rPr>
                <w:rFonts w:ascii="Calibri" w:eastAsia="Calibri" w:hAnsi="Calibri" w:cs="Calibri"/>
              </w:rPr>
              <w:t>JABIL INC</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08" w14:textId="77777777" w:rsidR="0088436C" w:rsidRDefault="00393C15">
            <w:pPr>
              <w:widowControl w:val="0"/>
              <w:rPr>
                <w:rFonts w:ascii="Calibri" w:eastAsia="Calibri" w:hAnsi="Calibri" w:cs="Calibri"/>
                <w:highlight w:val="white"/>
              </w:rPr>
            </w:pPr>
            <w:r>
              <w:rPr>
                <w:rFonts w:ascii="Calibri" w:eastAsia="Calibri" w:hAnsi="Calibri" w:cs="Calibri"/>
                <w:highlight w:val="white"/>
              </w:rPr>
              <w:t>JBL</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09" w14:textId="77777777" w:rsidR="0088436C" w:rsidRDefault="00393C15">
            <w:pPr>
              <w:widowControl w:val="0"/>
              <w:jc w:val="right"/>
              <w:rPr>
                <w:rFonts w:ascii="Calibri" w:eastAsia="Calibri" w:hAnsi="Calibri" w:cs="Calibri"/>
                <w:highlight w:val="white"/>
              </w:rPr>
            </w:pPr>
            <w:r>
              <w:rPr>
                <w:rFonts w:ascii="Calibri" w:eastAsia="Calibri" w:hAnsi="Calibri" w:cs="Calibri"/>
                <w:highlight w:val="white"/>
              </w:rPr>
              <w:t>-1</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0A" w14:textId="77777777" w:rsidR="0088436C" w:rsidRDefault="00393C15">
            <w:pPr>
              <w:widowControl w:val="0"/>
              <w:jc w:val="right"/>
              <w:rPr>
                <w:rFonts w:ascii="Calibri" w:eastAsia="Calibri" w:hAnsi="Calibri" w:cs="Calibri"/>
                <w:highlight w:val="white"/>
              </w:rPr>
            </w:pPr>
            <w:r>
              <w:rPr>
                <w:rFonts w:ascii="Calibri" w:eastAsia="Calibri" w:hAnsi="Calibri" w:cs="Calibri"/>
                <w:highlight w:val="white"/>
              </w:rPr>
              <w:t>57.3928787</w:t>
            </w:r>
          </w:p>
        </w:tc>
      </w:tr>
      <w:tr w:rsidR="0088436C" w14:paraId="4AE3B510" w14:textId="77777777">
        <w:trPr>
          <w:trHeight w:val="300"/>
        </w:trPr>
        <w:tc>
          <w:tcPr>
            <w:tcW w:w="27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0C" w14:textId="77777777" w:rsidR="0088436C" w:rsidRDefault="00393C15">
            <w:pPr>
              <w:widowControl w:val="0"/>
              <w:rPr>
                <w:rFonts w:ascii="Calibri" w:eastAsia="Calibri" w:hAnsi="Calibri" w:cs="Calibri"/>
              </w:rPr>
            </w:pPr>
            <w:r>
              <w:rPr>
                <w:rFonts w:ascii="Calibri" w:eastAsia="Calibri" w:hAnsi="Calibri" w:cs="Calibri"/>
              </w:rPr>
              <w:t>XILINX INC</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0D" w14:textId="77777777" w:rsidR="0088436C" w:rsidRDefault="00393C15">
            <w:pPr>
              <w:widowControl w:val="0"/>
              <w:rPr>
                <w:rFonts w:ascii="Calibri" w:eastAsia="Calibri" w:hAnsi="Calibri" w:cs="Calibri"/>
                <w:highlight w:val="white"/>
              </w:rPr>
            </w:pPr>
            <w:r>
              <w:rPr>
                <w:rFonts w:ascii="Calibri" w:eastAsia="Calibri" w:hAnsi="Calibri" w:cs="Calibri"/>
                <w:highlight w:val="white"/>
              </w:rPr>
              <w:t>XLNX</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0E" w14:textId="77777777" w:rsidR="0088436C" w:rsidRDefault="00393C15">
            <w:pPr>
              <w:widowControl w:val="0"/>
              <w:jc w:val="right"/>
              <w:rPr>
                <w:rFonts w:ascii="Calibri" w:eastAsia="Calibri" w:hAnsi="Calibri" w:cs="Calibri"/>
                <w:highlight w:val="white"/>
              </w:rPr>
            </w:pPr>
            <w:r>
              <w:rPr>
                <w:rFonts w:ascii="Calibri" w:eastAsia="Calibri" w:hAnsi="Calibri" w:cs="Calibri"/>
                <w:highlight w:val="white"/>
              </w:rPr>
              <w:t>-14</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0F" w14:textId="77777777" w:rsidR="0088436C" w:rsidRDefault="00393C15">
            <w:pPr>
              <w:widowControl w:val="0"/>
              <w:jc w:val="right"/>
              <w:rPr>
                <w:rFonts w:ascii="Calibri" w:eastAsia="Calibri" w:hAnsi="Calibri" w:cs="Calibri"/>
                <w:highlight w:val="white"/>
              </w:rPr>
            </w:pPr>
            <w:r>
              <w:rPr>
                <w:rFonts w:ascii="Calibri" w:eastAsia="Calibri" w:hAnsi="Calibri" w:cs="Calibri"/>
                <w:highlight w:val="white"/>
              </w:rPr>
              <w:t>4.389586317</w:t>
            </w:r>
          </w:p>
        </w:tc>
      </w:tr>
      <w:tr w:rsidR="0088436C" w14:paraId="4AE3B515" w14:textId="77777777">
        <w:trPr>
          <w:trHeight w:val="242"/>
        </w:trPr>
        <w:tc>
          <w:tcPr>
            <w:tcW w:w="27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11" w14:textId="77777777" w:rsidR="0088436C" w:rsidRDefault="00393C15">
            <w:pPr>
              <w:widowControl w:val="0"/>
              <w:rPr>
                <w:rFonts w:ascii="Calibri" w:eastAsia="Calibri" w:hAnsi="Calibri" w:cs="Calibri"/>
                <w:shd w:val="clear" w:color="auto" w:fill="FF9900"/>
              </w:rPr>
            </w:pPr>
            <w:r>
              <w:rPr>
                <w:rFonts w:ascii="Calibri" w:eastAsia="Calibri" w:hAnsi="Calibri" w:cs="Calibri"/>
                <w:shd w:val="clear" w:color="auto" w:fill="FF9900"/>
              </w:rPr>
              <w:t>NOVA MEASURING INSTRUMENTS LTD</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12" w14:textId="77777777" w:rsidR="0088436C" w:rsidRDefault="00393C15">
            <w:pPr>
              <w:widowControl w:val="0"/>
              <w:rPr>
                <w:rFonts w:ascii="Calibri" w:eastAsia="Calibri" w:hAnsi="Calibri" w:cs="Calibri"/>
                <w:highlight w:val="white"/>
              </w:rPr>
            </w:pPr>
            <w:r>
              <w:rPr>
                <w:rFonts w:ascii="Calibri" w:eastAsia="Calibri" w:hAnsi="Calibri" w:cs="Calibri"/>
                <w:highlight w:val="white"/>
              </w:rPr>
              <w:t>NVMI</w:t>
            </w:r>
          </w:p>
        </w:tc>
        <w:tc>
          <w:tcPr>
            <w:tcW w:w="2445"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4AE3B513" w14:textId="77777777" w:rsidR="0088436C" w:rsidRDefault="00393C15">
            <w:pPr>
              <w:widowControl w:val="0"/>
              <w:rPr>
                <w:rFonts w:ascii="Calibri" w:eastAsia="Calibri" w:hAnsi="Calibri" w:cs="Calibri"/>
                <w:highlight w:val="white"/>
              </w:rPr>
            </w:pPr>
            <w:r>
              <w:rPr>
                <w:rFonts w:ascii="Calibri" w:eastAsia="Calibri" w:hAnsi="Calibri" w:cs="Calibri"/>
                <w:highlight w:val="white"/>
              </w:rPr>
              <w:t>NA</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14" w14:textId="77777777" w:rsidR="0088436C" w:rsidRDefault="00393C15">
            <w:pPr>
              <w:widowControl w:val="0"/>
              <w:jc w:val="center"/>
              <w:rPr>
                <w:rFonts w:ascii="Calibri" w:eastAsia="Calibri" w:hAnsi="Calibri" w:cs="Calibri"/>
                <w:highlight w:val="white"/>
              </w:rPr>
            </w:pPr>
            <w:r>
              <w:rPr>
                <w:rFonts w:ascii="Calibri" w:eastAsia="Calibri" w:hAnsi="Calibri" w:cs="Calibri"/>
                <w:highlight w:val="white"/>
              </w:rPr>
              <w:t>#N/A</w:t>
            </w:r>
          </w:p>
        </w:tc>
      </w:tr>
      <w:tr w:rsidR="0088436C" w14:paraId="4AE3B51A" w14:textId="77777777">
        <w:tc>
          <w:tcPr>
            <w:tcW w:w="27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16" w14:textId="77777777" w:rsidR="0088436C" w:rsidRDefault="00393C15">
            <w:pPr>
              <w:widowControl w:val="0"/>
              <w:rPr>
                <w:rFonts w:ascii="Calibri" w:eastAsia="Calibri" w:hAnsi="Calibri" w:cs="Calibri"/>
              </w:rPr>
            </w:pPr>
            <w:r>
              <w:rPr>
                <w:rFonts w:ascii="Calibri" w:eastAsia="Calibri" w:hAnsi="Calibri" w:cs="Calibri"/>
              </w:rPr>
              <w:t>ANALOG DEVICES INC</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17" w14:textId="77777777" w:rsidR="0088436C" w:rsidRDefault="00393C15">
            <w:pPr>
              <w:widowControl w:val="0"/>
              <w:rPr>
                <w:rFonts w:ascii="Calibri" w:eastAsia="Calibri" w:hAnsi="Calibri" w:cs="Calibri"/>
              </w:rPr>
            </w:pPr>
            <w:r>
              <w:rPr>
                <w:rFonts w:ascii="Calibri" w:eastAsia="Calibri" w:hAnsi="Calibri" w:cs="Calibri"/>
              </w:rPr>
              <w:t>ADI</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18" w14:textId="77777777" w:rsidR="0088436C" w:rsidRDefault="00393C15">
            <w:pPr>
              <w:widowControl w:val="0"/>
              <w:jc w:val="right"/>
              <w:rPr>
                <w:rFonts w:ascii="Calibri" w:eastAsia="Calibri" w:hAnsi="Calibri" w:cs="Calibri"/>
              </w:rPr>
            </w:pPr>
            <w:r>
              <w:rPr>
                <w:rFonts w:ascii="Calibri" w:eastAsia="Calibri" w:hAnsi="Calibri" w:cs="Calibri"/>
              </w:rPr>
              <w:t>-5</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19" w14:textId="77777777" w:rsidR="0088436C" w:rsidRDefault="00393C15">
            <w:pPr>
              <w:widowControl w:val="0"/>
              <w:jc w:val="right"/>
              <w:rPr>
                <w:rFonts w:ascii="Calibri" w:eastAsia="Calibri" w:hAnsi="Calibri" w:cs="Calibri"/>
              </w:rPr>
            </w:pPr>
            <w:r>
              <w:rPr>
                <w:rFonts w:ascii="Calibri" w:eastAsia="Calibri" w:hAnsi="Calibri" w:cs="Calibri"/>
              </w:rPr>
              <w:t>30.83607526</w:t>
            </w:r>
          </w:p>
        </w:tc>
      </w:tr>
      <w:tr w:rsidR="0088436C" w14:paraId="4AE3B51F" w14:textId="77777777">
        <w:trPr>
          <w:trHeight w:val="300"/>
        </w:trPr>
        <w:tc>
          <w:tcPr>
            <w:tcW w:w="27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1B" w14:textId="77777777" w:rsidR="0088436C" w:rsidRDefault="00393C15">
            <w:pPr>
              <w:widowControl w:val="0"/>
              <w:rPr>
                <w:rFonts w:ascii="Calibri" w:eastAsia="Calibri" w:hAnsi="Calibri" w:cs="Calibri"/>
              </w:rPr>
            </w:pPr>
            <w:r>
              <w:rPr>
                <w:rFonts w:ascii="Calibri" w:eastAsia="Calibri" w:hAnsi="Calibri" w:cs="Calibri"/>
              </w:rPr>
              <w:t>DIODES INC</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1C" w14:textId="77777777" w:rsidR="0088436C" w:rsidRDefault="00393C15">
            <w:pPr>
              <w:widowControl w:val="0"/>
              <w:rPr>
                <w:rFonts w:ascii="Calibri" w:eastAsia="Calibri" w:hAnsi="Calibri" w:cs="Calibri"/>
              </w:rPr>
            </w:pPr>
            <w:r>
              <w:rPr>
                <w:rFonts w:ascii="Calibri" w:eastAsia="Calibri" w:hAnsi="Calibri" w:cs="Calibri"/>
              </w:rPr>
              <w:t>DIOD</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1D" w14:textId="77777777" w:rsidR="0088436C" w:rsidRDefault="00393C15">
            <w:pPr>
              <w:widowControl w:val="0"/>
              <w:jc w:val="right"/>
              <w:rPr>
                <w:rFonts w:ascii="Calibri" w:eastAsia="Calibri" w:hAnsi="Calibri" w:cs="Calibri"/>
              </w:rPr>
            </w:pPr>
            <w:r>
              <w:rPr>
                <w:rFonts w:ascii="Calibri" w:eastAsia="Calibri" w:hAnsi="Calibri" w:cs="Calibri"/>
              </w:rPr>
              <w:t>-1</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1E" w14:textId="77777777" w:rsidR="0088436C" w:rsidRDefault="00393C15">
            <w:pPr>
              <w:widowControl w:val="0"/>
              <w:jc w:val="right"/>
              <w:rPr>
                <w:rFonts w:ascii="Calibri" w:eastAsia="Calibri" w:hAnsi="Calibri" w:cs="Calibri"/>
              </w:rPr>
            </w:pPr>
            <w:r>
              <w:rPr>
                <w:rFonts w:ascii="Calibri" w:eastAsia="Calibri" w:hAnsi="Calibri" w:cs="Calibri"/>
              </w:rPr>
              <w:t>38.05983054</w:t>
            </w:r>
          </w:p>
        </w:tc>
      </w:tr>
      <w:tr w:rsidR="0088436C" w14:paraId="4AE3B524" w14:textId="77777777">
        <w:tc>
          <w:tcPr>
            <w:tcW w:w="27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20" w14:textId="77777777" w:rsidR="0088436C" w:rsidRDefault="00393C15">
            <w:pPr>
              <w:widowControl w:val="0"/>
              <w:rPr>
                <w:rFonts w:ascii="Calibri" w:eastAsia="Calibri" w:hAnsi="Calibri" w:cs="Calibri"/>
              </w:rPr>
            </w:pPr>
            <w:r>
              <w:rPr>
                <w:rFonts w:ascii="Calibri" w:eastAsia="Calibri" w:hAnsi="Calibri" w:cs="Calibri"/>
              </w:rPr>
              <w:t>MACOM TECHNOLOGY SOLS HLDS INC</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21" w14:textId="77777777" w:rsidR="0088436C" w:rsidRDefault="00393C15">
            <w:pPr>
              <w:widowControl w:val="0"/>
              <w:rPr>
                <w:rFonts w:ascii="Calibri" w:eastAsia="Calibri" w:hAnsi="Calibri" w:cs="Calibri"/>
              </w:rPr>
            </w:pPr>
            <w:r>
              <w:rPr>
                <w:rFonts w:ascii="Calibri" w:eastAsia="Calibri" w:hAnsi="Calibri" w:cs="Calibri"/>
              </w:rPr>
              <w:t>MTSI</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22" w14:textId="77777777" w:rsidR="0088436C" w:rsidRDefault="00393C15">
            <w:pPr>
              <w:widowControl w:val="0"/>
              <w:jc w:val="right"/>
              <w:rPr>
                <w:rFonts w:ascii="Calibri" w:eastAsia="Calibri" w:hAnsi="Calibri" w:cs="Calibri"/>
              </w:rPr>
            </w:pPr>
            <w:r>
              <w:rPr>
                <w:rFonts w:ascii="Calibri" w:eastAsia="Calibri" w:hAnsi="Calibri" w:cs="Calibri"/>
              </w:rPr>
              <w:t>3</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23" w14:textId="77777777" w:rsidR="0088436C" w:rsidRDefault="00393C15">
            <w:pPr>
              <w:widowControl w:val="0"/>
              <w:jc w:val="right"/>
              <w:rPr>
                <w:rFonts w:ascii="Calibri" w:eastAsia="Calibri" w:hAnsi="Calibri" w:cs="Calibri"/>
              </w:rPr>
            </w:pPr>
            <w:r>
              <w:rPr>
                <w:rFonts w:ascii="Calibri" w:eastAsia="Calibri" w:hAnsi="Calibri" w:cs="Calibri"/>
              </w:rPr>
              <w:t>58.95890411</w:t>
            </w:r>
          </w:p>
        </w:tc>
      </w:tr>
      <w:tr w:rsidR="0088436C" w14:paraId="4AE3B529" w14:textId="77777777">
        <w:tc>
          <w:tcPr>
            <w:tcW w:w="27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25" w14:textId="77777777" w:rsidR="0088436C" w:rsidRDefault="00393C15">
            <w:pPr>
              <w:widowControl w:val="0"/>
              <w:rPr>
                <w:rFonts w:ascii="Calibri" w:eastAsia="Calibri" w:hAnsi="Calibri" w:cs="Calibri"/>
              </w:rPr>
            </w:pPr>
            <w:r>
              <w:rPr>
                <w:rFonts w:ascii="Calibri" w:eastAsia="Calibri" w:hAnsi="Calibri" w:cs="Calibri"/>
              </w:rPr>
              <w:t>ADVANCED ENERGY INDUSTRIES INC</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26" w14:textId="77777777" w:rsidR="0088436C" w:rsidRDefault="00393C15">
            <w:pPr>
              <w:widowControl w:val="0"/>
              <w:rPr>
                <w:rFonts w:ascii="Calibri" w:eastAsia="Calibri" w:hAnsi="Calibri" w:cs="Calibri"/>
              </w:rPr>
            </w:pPr>
            <w:r>
              <w:rPr>
                <w:rFonts w:ascii="Calibri" w:eastAsia="Calibri" w:hAnsi="Calibri" w:cs="Calibri"/>
              </w:rPr>
              <w:t>AEIS</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27" w14:textId="77777777" w:rsidR="0088436C" w:rsidRDefault="00393C15">
            <w:pPr>
              <w:widowControl w:val="0"/>
              <w:jc w:val="right"/>
              <w:rPr>
                <w:rFonts w:ascii="Calibri" w:eastAsia="Calibri" w:hAnsi="Calibri" w:cs="Calibri"/>
              </w:rPr>
            </w:pPr>
            <w:r>
              <w:rPr>
                <w:rFonts w:ascii="Calibri" w:eastAsia="Calibri" w:hAnsi="Calibri" w:cs="Calibri"/>
              </w:rPr>
              <w:t>0</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28" w14:textId="77777777" w:rsidR="0088436C" w:rsidRDefault="00393C15">
            <w:pPr>
              <w:widowControl w:val="0"/>
              <w:jc w:val="right"/>
              <w:rPr>
                <w:rFonts w:ascii="Calibri" w:eastAsia="Calibri" w:hAnsi="Calibri" w:cs="Calibri"/>
              </w:rPr>
            </w:pPr>
            <w:r>
              <w:rPr>
                <w:rFonts w:ascii="Calibri" w:eastAsia="Calibri" w:hAnsi="Calibri" w:cs="Calibri"/>
              </w:rPr>
              <w:t>61.80524678</w:t>
            </w:r>
          </w:p>
        </w:tc>
      </w:tr>
      <w:tr w:rsidR="0088436C" w14:paraId="4AE3B52E" w14:textId="77777777">
        <w:tc>
          <w:tcPr>
            <w:tcW w:w="27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2A" w14:textId="77777777" w:rsidR="0088436C" w:rsidRDefault="00393C15">
            <w:pPr>
              <w:widowControl w:val="0"/>
              <w:rPr>
                <w:rFonts w:ascii="Calibri" w:eastAsia="Calibri" w:hAnsi="Calibri" w:cs="Calibri"/>
              </w:rPr>
            </w:pPr>
            <w:r>
              <w:rPr>
                <w:rFonts w:ascii="Calibri" w:eastAsia="Calibri" w:hAnsi="Calibri" w:cs="Calibri"/>
              </w:rPr>
              <w:lastRenderedPageBreak/>
              <w:t>MONOLITHIC PWR SYS INC</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2B" w14:textId="77777777" w:rsidR="0088436C" w:rsidRDefault="00393C15">
            <w:pPr>
              <w:widowControl w:val="0"/>
              <w:rPr>
                <w:rFonts w:ascii="Calibri" w:eastAsia="Calibri" w:hAnsi="Calibri" w:cs="Calibri"/>
              </w:rPr>
            </w:pPr>
            <w:r>
              <w:rPr>
                <w:rFonts w:ascii="Calibri" w:eastAsia="Calibri" w:hAnsi="Calibri" w:cs="Calibri"/>
              </w:rPr>
              <w:t>MPWR</w:t>
            </w:r>
          </w:p>
        </w:tc>
        <w:tc>
          <w:tcPr>
            <w:tcW w:w="2445"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4AE3B52C" w14:textId="77777777" w:rsidR="0088436C" w:rsidRDefault="00393C15">
            <w:pPr>
              <w:widowControl w:val="0"/>
              <w:rPr>
                <w:rFonts w:ascii="Calibri" w:eastAsia="Calibri" w:hAnsi="Calibri" w:cs="Calibri"/>
              </w:rPr>
            </w:pPr>
            <w:r>
              <w:rPr>
                <w:rFonts w:ascii="Calibri" w:eastAsia="Calibri" w:hAnsi="Calibri" w:cs="Calibri"/>
              </w:rPr>
              <w:t>NA</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2D" w14:textId="77777777" w:rsidR="0088436C" w:rsidRDefault="00393C15">
            <w:pPr>
              <w:widowControl w:val="0"/>
              <w:jc w:val="center"/>
              <w:rPr>
                <w:rFonts w:ascii="Calibri" w:eastAsia="Calibri" w:hAnsi="Calibri" w:cs="Calibri"/>
              </w:rPr>
            </w:pPr>
            <w:r>
              <w:rPr>
                <w:rFonts w:ascii="Calibri" w:eastAsia="Calibri" w:hAnsi="Calibri" w:cs="Calibri"/>
              </w:rPr>
              <w:t>#N/A</w:t>
            </w:r>
          </w:p>
        </w:tc>
      </w:tr>
      <w:tr w:rsidR="0088436C" w14:paraId="4AE3B533" w14:textId="77777777">
        <w:trPr>
          <w:trHeight w:val="150"/>
        </w:trPr>
        <w:tc>
          <w:tcPr>
            <w:tcW w:w="27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2F" w14:textId="77777777" w:rsidR="0088436C" w:rsidRDefault="00393C15">
            <w:pPr>
              <w:widowControl w:val="0"/>
              <w:rPr>
                <w:rFonts w:ascii="Calibri" w:eastAsia="Calibri" w:hAnsi="Calibri" w:cs="Calibri"/>
              </w:rPr>
            </w:pPr>
            <w:r>
              <w:rPr>
                <w:rFonts w:ascii="Calibri" w:eastAsia="Calibri" w:hAnsi="Calibri" w:cs="Calibri"/>
              </w:rPr>
              <w:t>Samsung Electronics Co Ltd ORD</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30" w14:textId="77777777" w:rsidR="0088436C" w:rsidRDefault="00393C15">
            <w:pPr>
              <w:widowControl w:val="0"/>
              <w:rPr>
                <w:rFonts w:ascii="Calibri" w:eastAsia="Calibri" w:hAnsi="Calibri" w:cs="Calibri"/>
              </w:rPr>
            </w:pPr>
            <w:r>
              <w:rPr>
                <w:rFonts w:ascii="Calibri" w:eastAsia="Calibri" w:hAnsi="Calibri" w:cs="Calibri"/>
              </w:rPr>
              <w:t>005930</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31" w14:textId="77777777" w:rsidR="0088436C" w:rsidRDefault="00393C15">
            <w:pPr>
              <w:widowControl w:val="0"/>
              <w:jc w:val="right"/>
              <w:rPr>
                <w:rFonts w:ascii="Calibri" w:eastAsia="Calibri" w:hAnsi="Calibri" w:cs="Calibri"/>
              </w:rPr>
            </w:pPr>
            <w:r>
              <w:rPr>
                <w:rFonts w:ascii="Calibri" w:eastAsia="Calibri" w:hAnsi="Calibri" w:cs="Calibri"/>
              </w:rPr>
              <w:t>4</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32" w14:textId="77777777" w:rsidR="0088436C" w:rsidRDefault="00393C15">
            <w:pPr>
              <w:widowControl w:val="0"/>
              <w:jc w:val="right"/>
              <w:rPr>
                <w:rFonts w:ascii="Calibri" w:eastAsia="Calibri" w:hAnsi="Calibri" w:cs="Calibri"/>
              </w:rPr>
            </w:pPr>
            <w:r>
              <w:rPr>
                <w:rFonts w:ascii="Calibri" w:eastAsia="Calibri" w:hAnsi="Calibri" w:cs="Calibri"/>
              </w:rPr>
              <w:t>44.77966707</w:t>
            </w:r>
          </w:p>
        </w:tc>
      </w:tr>
      <w:tr w:rsidR="0088436C" w14:paraId="4AE3B538" w14:textId="77777777">
        <w:trPr>
          <w:trHeight w:val="300"/>
        </w:trPr>
        <w:tc>
          <w:tcPr>
            <w:tcW w:w="27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34" w14:textId="77777777" w:rsidR="0088436C" w:rsidRDefault="00393C15">
            <w:pPr>
              <w:widowControl w:val="0"/>
              <w:rPr>
                <w:rFonts w:ascii="Calibri" w:eastAsia="Calibri" w:hAnsi="Calibri" w:cs="Calibri"/>
              </w:rPr>
            </w:pPr>
            <w:r>
              <w:rPr>
                <w:rFonts w:ascii="Calibri" w:eastAsia="Calibri" w:hAnsi="Calibri" w:cs="Calibri"/>
              </w:rPr>
              <w:t>FLEX LTD</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35" w14:textId="77777777" w:rsidR="0088436C" w:rsidRDefault="00393C15">
            <w:pPr>
              <w:widowControl w:val="0"/>
              <w:rPr>
                <w:rFonts w:ascii="Calibri" w:eastAsia="Calibri" w:hAnsi="Calibri" w:cs="Calibri"/>
              </w:rPr>
            </w:pPr>
            <w:r>
              <w:rPr>
                <w:rFonts w:ascii="Calibri" w:eastAsia="Calibri" w:hAnsi="Calibri" w:cs="Calibri"/>
              </w:rPr>
              <w:t>FLEX</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36" w14:textId="77777777" w:rsidR="0088436C" w:rsidRDefault="00393C15">
            <w:pPr>
              <w:widowControl w:val="0"/>
              <w:jc w:val="right"/>
              <w:rPr>
                <w:rFonts w:ascii="Calibri" w:eastAsia="Calibri" w:hAnsi="Calibri" w:cs="Calibri"/>
              </w:rPr>
            </w:pPr>
            <w:r>
              <w:rPr>
                <w:rFonts w:ascii="Calibri" w:eastAsia="Calibri" w:hAnsi="Calibri" w:cs="Calibri"/>
              </w:rPr>
              <w:t>-5</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37" w14:textId="77777777" w:rsidR="0088436C" w:rsidRDefault="00393C15">
            <w:pPr>
              <w:widowControl w:val="0"/>
              <w:jc w:val="right"/>
              <w:rPr>
                <w:rFonts w:ascii="Calibri" w:eastAsia="Calibri" w:hAnsi="Calibri" w:cs="Calibri"/>
              </w:rPr>
            </w:pPr>
            <w:r>
              <w:rPr>
                <w:rFonts w:ascii="Calibri" w:eastAsia="Calibri" w:hAnsi="Calibri" w:cs="Calibri"/>
              </w:rPr>
              <w:t>29.39929329</w:t>
            </w:r>
          </w:p>
        </w:tc>
      </w:tr>
      <w:tr w:rsidR="0088436C" w14:paraId="4AE3B53D" w14:textId="77777777">
        <w:trPr>
          <w:trHeight w:val="300"/>
        </w:trPr>
        <w:tc>
          <w:tcPr>
            <w:tcW w:w="27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39" w14:textId="77777777" w:rsidR="0088436C" w:rsidRDefault="00393C15">
            <w:pPr>
              <w:widowControl w:val="0"/>
              <w:rPr>
                <w:rFonts w:ascii="Calibri" w:eastAsia="Calibri" w:hAnsi="Calibri" w:cs="Calibri"/>
              </w:rPr>
            </w:pPr>
            <w:r>
              <w:rPr>
                <w:rFonts w:ascii="Calibri" w:eastAsia="Calibri" w:hAnsi="Calibri" w:cs="Calibri"/>
              </w:rPr>
              <w:t>SYNAPTICS INC</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3A" w14:textId="77777777" w:rsidR="0088436C" w:rsidRDefault="00393C15">
            <w:pPr>
              <w:widowControl w:val="0"/>
              <w:rPr>
                <w:rFonts w:ascii="Calibri" w:eastAsia="Calibri" w:hAnsi="Calibri" w:cs="Calibri"/>
              </w:rPr>
            </w:pPr>
            <w:r>
              <w:rPr>
                <w:rFonts w:ascii="Calibri" w:eastAsia="Calibri" w:hAnsi="Calibri" w:cs="Calibri"/>
              </w:rPr>
              <w:t>SYNA</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3B" w14:textId="77777777" w:rsidR="0088436C" w:rsidRDefault="00393C15">
            <w:pPr>
              <w:widowControl w:val="0"/>
              <w:jc w:val="right"/>
              <w:rPr>
                <w:rFonts w:ascii="Calibri" w:eastAsia="Calibri" w:hAnsi="Calibri" w:cs="Calibri"/>
              </w:rPr>
            </w:pPr>
            <w:r>
              <w:rPr>
                <w:rFonts w:ascii="Calibri" w:eastAsia="Calibri" w:hAnsi="Calibri" w:cs="Calibri"/>
              </w:rPr>
              <w:t>1</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3C" w14:textId="77777777" w:rsidR="0088436C" w:rsidRDefault="00393C15">
            <w:pPr>
              <w:widowControl w:val="0"/>
              <w:jc w:val="right"/>
              <w:rPr>
                <w:rFonts w:ascii="Calibri" w:eastAsia="Calibri" w:hAnsi="Calibri" w:cs="Calibri"/>
              </w:rPr>
            </w:pPr>
            <w:r>
              <w:rPr>
                <w:rFonts w:ascii="Calibri" w:eastAsia="Calibri" w:hAnsi="Calibri" w:cs="Calibri"/>
              </w:rPr>
              <w:t>76.62710317</w:t>
            </w:r>
          </w:p>
        </w:tc>
      </w:tr>
      <w:tr w:rsidR="0088436C" w14:paraId="4AE3B542" w14:textId="77777777">
        <w:tc>
          <w:tcPr>
            <w:tcW w:w="27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3E" w14:textId="77777777" w:rsidR="0088436C" w:rsidRDefault="00393C15">
            <w:pPr>
              <w:widowControl w:val="0"/>
              <w:rPr>
                <w:rFonts w:ascii="Calibri" w:eastAsia="Calibri" w:hAnsi="Calibri" w:cs="Calibri"/>
              </w:rPr>
            </w:pPr>
            <w:r>
              <w:rPr>
                <w:rFonts w:ascii="Calibri" w:eastAsia="Calibri" w:hAnsi="Calibri" w:cs="Calibri"/>
              </w:rPr>
              <w:t>ARRAY TECHNOLOGIES INC</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3F" w14:textId="77777777" w:rsidR="0088436C" w:rsidRDefault="00393C15">
            <w:pPr>
              <w:widowControl w:val="0"/>
              <w:rPr>
                <w:rFonts w:ascii="Calibri" w:eastAsia="Calibri" w:hAnsi="Calibri" w:cs="Calibri"/>
              </w:rPr>
            </w:pPr>
            <w:r>
              <w:rPr>
                <w:rFonts w:ascii="Calibri" w:eastAsia="Calibri" w:hAnsi="Calibri" w:cs="Calibri"/>
              </w:rPr>
              <w:t>ARRY</w:t>
            </w:r>
          </w:p>
        </w:tc>
        <w:tc>
          <w:tcPr>
            <w:tcW w:w="2445" w:type="dxa"/>
            <w:tcBorders>
              <w:top w:val="single" w:sz="6" w:space="0" w:color="CCCCCC"/>
              <w:left w:val="single" w:sz="6" w:space="0" w:color="CCCCCC"/>
              <w:bottom w:val="single" w:sz="6" w:space="0" w:color="CCCCCC"/>
              <w:right w:val="single" w:sz="6" w:space="0" w:color="CCCCCC"/>
            </w:tcBorders>
            <w:tcMar>
              <w:top w:w="0" w:type="dxa"/>
              <w:left w:w="0" w:type="dxa"/>
              <w:bottom w:w="0" w:type="dxa"/>
              <w:right w:w="0" w:type="dxa"/>
            </w:tcMar>
            <w:vAlign w:val="bottom"/>
          </w:tcPr>
          <w:p w14:paraId="4AE3B540" w14:textId="77777777" w:rsidR="0088436C" w:rsidRDefault="00393C15">
            <w:pPr>
              <w:widowControl w:val="0"/>
              <w:rPr>
                <w:rFonts w:ascii="Calibri" w:eastAsia="Calibri" w:hAnsi="Calibri" w:cs="Calibri"/>
              </w:rPr>
            </w:pPr>
            <w:r>
              <w:rPr>
                <w:rFonts w:ascii="Calibri" w:eastAsia="Calibri" w:hAnsi="Calibri" w:cs="Calibri"/>
              </w:rPr>
              <w:t>NA</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41" w14:textId="77777777" w:rsidR="0088436C" w:rsidRDefault="00393C15">
            <w:pPr>
              <w:widowControl w:val="0"/>
              <w:jc w:val="center"/>
              <w:rPr>
                <w:rFonts w:ascii="Calibri" w:eastAsia="Calibri" w:hAnsi="Calibri" w:cs="Calibri"/>
              </w:rPr>
            </w:pPr>
            <w:r>
              <w:rPr>
                <w:rFonts w:ascii="Calibri" w:eastAsia="Calibri" w:hAnsi="Calibri" w:cs="Calibri"/>
              </w:rPr>
              <w:t>#N/A</w:t>
            </w:r>
          </w:p>
        </w:tc>
      </w:tr>
      <w:tr w:rsidR="0088436C" w14:paraId="4AE3B547" w14:textId="77777777">
        <w:tc>
          <w:tcPr>
            <w:tcW w:w="27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43" w14:textId="77777777" w:rsidR="0088436C" w:rsidRDefault="00393C15">
            <w:pPr>
              <w:widowControl w:val="0"/>
              <w:rPr>
                <w:rFonts w:ascii="Calibri" w:eastAsia="Calibri" w:hAnsi="Calibri" w:cs="Calibri"/>
              </w:rPr>
            </w:pPr>
            <w:r>
              <w:rPr>
                <w:rFonts w:ascii="Calibri" w:eastAsia="Calibri" w:hAnsi="Calibri" w:cs="Calibri"/>
              </w:rPr>
              <w:t>MAXLINEAR INC</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44" w14:textId="77777777" w:rsidR="0088436C" w:rsidRDefault="00393C15">
            <w:pPr>
              <w:widowControl w:val="0"/>
              <w:rPr>
                <w:rFonts w:ascii="Calibri" w:eastAsia="Calibri" w:hAnsi="Calibri" w:cs="Calibri"/>
              </w:rPr>
            </w:pPr>
            <w:r>
              <w:rPr>
                <w:rFonts w:ascii="Calibri" w:eastAsia="Calibri" w:hAnsi="Calibri" w:cs="Calibri"/>
              </w:rPr>
              <w:t>MXL</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45" w14:textId="77777777" w:rsidR="0088436C" w:rsidRDefault="00393C15">
            <w:pPr>
              <w:widowControl w:val="0"/>
              <w:jc w:val="right"/>
              <w:rPr>
                <w:rFonts w:ascii="Calibri" w:eastAsia="Calibri" w:hAnsi="Calibri" w:cs="Calibri"/>
              </w:rPr>
            </w:pPr>
            <w:r>
              <w:rPr>
                <w:rFonts w:ascii="Calibri" w:eastAsia="Calibri" w:hAnsi="Calibri" w:cs="Calibri"/>
              </w:rPr>
              <w:t>-2</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46" w14:textId="77777777" w:rsidR="0088436C" w:rsidRDefault="00393C15">
            <w:pPr>
              <w:widowControl w:val="0"/>
              <w:jc w:val="right"/>
              <w:rPr>
                <w:rFonts w:ascii="Calibri" w:eastAsia="Calibri" w:hAnsi="Calibri" w:cs="Calibri"/>
              </w:rPr>
            </w:pPr>
            <w:r>
              <w:rPr>
                <w:rFonts w:ascii="Calibri" w:eastAsia="Calibri" w:hAnsi="Calibri" w:cs="Calibri"/>
              </w:rPr>
              <w:t>28.89561271</w:t>
            </w:r>
          </w:p>
        </w:tc>
      </w:tr>
      <w:tr w:rsidR="0088436C" w14:paraId="4AE3B54C" w14:textId="77777777">
        <w:tc>
          <w:tcPr>
            <w:tcW w:w="27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48" w14:textId="77777777" w:rsidR="0088436C" w:rsidRDefault="00393C15">
            <w:pPr>
              <w:widowControl w:val="0"/>
              <w:rPr>
                <w:rFonts w:ascii="Calibri" w:eastAsia="Calibri" w:hAnsi="Calibri" w:cs="Calibri"/>
              </w:rPr>
            </w:pPr>
            <w:r>
              <w:rPr>
                <w:rFonts w:ascii="Calibri" w:eastAsia="Calibri" w:hAnsi="Calibri" w:cs="Calibri"/>
              </w:rPr>
              <w:t>ALPHA &amp; OMEGA SEMICONDUCTOR LTD</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49" w14:textId="77777777" w:rsidR="0088436C" w:rsidRDefault="00393C15">
            <w:pPr>
              <w:widowControl w:val="0"/>
              <w:rPr>
                <w:rFonts w:ascii="Calibri" w:eastAsia="Calibri" w:hAnsi="Calibri" w:cs="Calibri"/>
              </w:rPr>
            </w:pPr>
            <w:r>
              <w:rPr>
                <w:rFonts w:ascii="Calibri" w:eastAsia="Calibri" w:hAnsi="Calibri" w:cs="Calibri"/>
              </w:rPr>
              <w:t>AOSL</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4A" w14:textId="77777777" w:rsidR="0088436C" w:rsidRDefault="00393C15">
            <w:pPr>
              <w:widowControl w:val="0"/>
              <w:jc w:val="right"/>
              <w:rPr>
                <w:rFonts w:ascii="Calibri" w:eastAsia="Calibri" w:hAnsi="Calibri" w:cs="Calibri"/>
              </w:rPr>
            </w:pPr>
            <w:r>
              <w:rPr>
                <w:rFonts w:ascii="Calibri" w:eastAsia="Calibri" w:hAnsi="Calibri" w:cs="Calibri"/>
              </w:rPr>
              <w:t>1</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4B" w14:textId="77777777" w:rsidR="0088436C" w:rsidRDefault="00393C15">
            <w:pPr>
              <w:widowControl w:val="0"/>
              <w:jc w:val="right"/>
              <w:rPr>
                <w:rFonts w:ascii="Calibri" w:eastAsia="Calibri" w:hAnsi="Calibri" w:cs="Calibri"/>
              </w:rPr>
            </w:pPr>
            <w:r>
              <w:rPr>
                <w:rFonts w:ascii="Calibri" w:eastAsia="Calibri" w:hAnsi="Calibri" w:cs="Calibri"/>
              </w:rPr>
              <w:t>106.1790668</w:t>
            </w:r>
          </w:p>
        </w:tc>
      </w:tr>
      <w:tr w:rsidR="0088436C" w14:paraId="4AE3B551" w14:textId="77777777">
        <w:trPr>
          <w:trHeight w:val="165"/>
        </w:trPr>
        <w:tc>
          <w:tcPr>
            <w:tcW w:w="27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4D" w14:textId="77777777" w:rsidR="0088436C" w:rsidRDefault="00393C15">
            <w:pPr>
              <w:widowControl w:val="0"/>
              <w:rPr>
                <w:rFonts w:ascii="Calibri" w:eastAsia="Calibri" w:hAnsi="Calibri" w:cs="Calibri"/>
              </w:rPr>
            </w:pPr>
            <w:r>
              <w:rPr>
                <w:rFonts w:ascii="Calibri" w:eastAsia="Calibri" w:hAnsi="Calibri" w:cs="Calibri"/>
              </w:rPr>
              <w:t>SMART GLOBAL HOLDINGS INC</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4E" w14:textId="77777777" w:rsidR="0088436C" w:rsidRDefault="00393C15">
            <w:pPr>
              <w:widowControl w:val="0"/>
              <w:rPr>
                <w:rFonts w:ascii="Calibri" w:eastAsia="Calibri" w:hAnsi="Calibri" w:cs="Calibri"/>
              </w:rPr>
            </w:pPr>
            <w:r>
              <w:rPr>
                <w:rFonts w:ascii="Calibri" w:eastAsia="Calibri" w:hAnsi="Calibri" w:cs="Calibri"/>
              </w:rPr>
              <w:t>SGH</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4F" w14:textId="77777777" w:rsidR="0088436C" w:rsidRDefault="00393C15">
            <w:pPr>
              <w:widowControl w:val="0"/>
              <w:jc w:val="right"/>
              <w:rPr>
                <w:rFonts w:ascii="Calibri" w:eastAsia="Calibri" w:hAnsi="Calibri" w:cs="Calibri"/>
              </w:rPr>
            </w:pPr>
            <w:r>
              <w:rPr>
                <w:rFonts w:ascii="Calibri" w:eastAsia="Calibri" w:hAnsi="Calibri" w:cs="Calibri"/>
              </w:rPr>
              <w:t>-1</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50" w14:textId="77777777" w:rsidR="0088436C" w:rsidRDefault="00393C15">
            <w:pPr>
              <w:widowControl w:val="0"/>
              <w:jc w:val="right"/>
              <w:rPr>
                <w:rFonts w:ascii="Calibri" w:eastAsia="Calibri" w:hAnsi="Calibri" w:cs="Calibri"/>
              </w:rPr>
            </w:pPr>
            <w:r>
              <w:rPr>
                <w:rFonts w:ascii="Calibri" w:eastAsia="Calibri" w:hAnsi="Calibri" w:cs="Calibri"/>
              </w:rPr>
              <w:t>74.38423645</w:t>
            </w:r>
          </w:p>
        </w:tc>
      </w:tr>
      <w:tr w:rsidR="0088436C" w14:paraId="4AE3B556" w14:textId="77777777">
        <w:trPr>
          <w:trHeight w:val="285"/>
        </w:trPr>
        <w:tc>
          <w:tcPr>
            <w:tcW w:w="27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52" w14:textId="77777777" w:rsidR="0088436C" w:rsidRDefault="00393C15">
            <w:pPr>
              <w:widowControl w:val="0"/>
              <w:rPr>
                <w:rFonts w:ascii="Calibri" w:eastAsia="Calibri" w:hAnsi="Calibri" w:cs="Calibri"/>
              </w:rPr>
            </w:pPr>
            <w:r>
              <w:rPr>
                <w:rFonts w:ascii="Calibri" w:eastAsia="Calibri" w:hAnsi="Calibri" w:cs="Calibri"/>
              </w:rPr>
              <w:t>UNIVERSAL DISPLAY CORP</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53" w14:textId="77777777" w:rsidR="0088436C" w:rsidRDefault="00393C15">
            <w:pPr>
              <w:widowControl w:val="0"/>
              <w:rPr>
                <w:rFonts w:ascii="Calibri" w:eastAsia="Calibri" w:hAnsi="Calibri" w:cs="Calibri"/>
              </w:rPr>
            </w:pPr>
            <w:r>
              <w:rPr>
                <w:rFonts w:ascii="Calibri" w:eastAsia="Calibri" w:hAnsi="Calibri" w:cs="Calibri"/>
              </w:rPr>
              <w:t>OLED</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54" w14:textId="77777777" w:rsidR="0088436C" w:rsidRDefault="00393C15">
            <w:pPr>
              <w:widowControl w:val="0"/>
              <w:jc w:val="right"/>
              <w:rPr>
                <w:rFonts w:ascii="Calibri" w:eastAsia="Calibri" w:hAnsi="Calibri" w:cs="Calibri"/>
              </w:rPr>
            </w:pPr>
            <w:r>
              <w:rPr>
                <w:rFonts w:ascii="Calibri" w:eastAsia="Calibri" w:hAnsi="Calibri" w:cs="Calibri"/>
              </w:rPr>
              <w:t>-15</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55" w14:textId="77777777" w:rsidR="0088436C" w:rsidRDefault="00393C15">
            <w:pPr>
              <w:widowControl w:val="0"/>
              <w:jc w:val="right"/>
              <w:rPr>
                <w:rFonts w:ascii="Calibri" w:eastAsia="Calibri" w:hAnsi="Calibri" w:cs="Calibri"/>
              </w:rPr>
            </w:pPr>
            <w:r>
              <w:rPr>
                <w:rFonts w:ascii="Calibri" w:eastAsia="Calibri" w:hAnsi="Calibri" w:cs="Calibri"/>
              </w:rPr>
              <w:t>19.39387827</w:t>
            </w:r>
          </w:p>
        </w:tc>
      </w:tr>
      <w:tr w:rsidR="0088436C" w14:paraId="4AE3B55B" w14:textId="77777777">
        <w:trPr>
          <w:trHeight w:val="15"/>
        </w:trPr>
        <w:tc>
          <w:tcPr>
            <w:tcW w:w="27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57" w14:textId="77777777" w:rsidR="0088436C" w:rsidRDefault="00393C15">
            <w:pPr>
              <w:widowControl w:val="0"/>
              <w:rPr>
                <w:rFonts w:ascii="Calibri" w:eastAsia="Calibri" w:hAnsi="Calibri" w:cs="Calibri"/>
                <w:highlight w:val="cyan"/>
              </w:rPr>
            </w:pPr>
            <w:r>
              <w:rPr>
                <w:rFonts w:ascii="Calibri" w:eastAsia="Calibri" w:hAnsi="Calibri" w:cs="Calibri"/>
                <w:highlight w:val="cyan"/>
              </w:rPr>
              <w:t>ENPHASE ENERGY INC</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58" w14:textId="77777777" w:rsidR="0088436C" w:rsidRDefault="00393C15">
            <w:pPr>
              <w:widowControl w:val="0"/>
              <w:rPr>
                <w:rFonts w:ascii="Calibri" w:eastAsia="Calibri" w:hAnsi="Calibri" w:cs="Calibri"/>
                <w:highlight w:val="white"/>
              </w:rPr>
            </w:pPr>
            <w:r>
              <w:rPr>
                <w:rFonts w:ascii="Calibri" w:eastAsia="Calibri" w:hAnsi="Calibri" w:cs="Calibri"/>
                <w:highlight w:val="white"/>
              </w:rPr>
              <w:t>ENPH</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59" w14:textId="77777777" w:rsidR="0088436C" w:rsidRDefault="00393C15">
            <w:pPr>
              <w:widowControl w:val="0"/>
              <w:jc w:val="right"/>
              <w:rPr>
                <w:rFonts w:ascii="Calibri" w:eastAsia="Calibri" w:hAnsi="Calibri" w:cs="Calibri"/>
                <w:highlight w:val="white"/>
              </w:rPr>
            </w:pPr>
            <w:r>
              <w:rPr>
                <w:rFonts w:ascii="Calibri" w:eastAsia="Calibri" w:hAnsi="Calibri" w:cs="Calibri"/>
                <w:highlight w:val="white"/>
              </w:rPr>
              <w:t>-21</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5A" w14:textId="77777777" w:rsidR="0088436C" w:rsidRDefault="00393C15">
            <w:pPr>
              <w:widowControl w:val="0"/>
              <w:jc w:val="right"/>
              <w:rPr>
                <w:rFonts w:ascii="Calibri" w:eastAsia="Calibri" w:hAnsi="Calibri" w:cs="Calibri"/>
                <w:highlight w:val="white"/>
              </w:rPr>
            </w:pPr>
            <w:r>
              <w:rPr>
                <w:rFonts w:ascii="Calibri" w:eastAsia="Calibri" w:hAnsi="Calibri" w:cs="Calibri"/>
                <w:highlight w:val="white"/>
              </w:rPr>
              <w:t>65.3175655</w:t>
            </w:r>
          </w:p>
        </w:tc>
      </w:tr>
      <w:tr w:rsidR="0088436C" w14:paraId="4AE3B560" w14:textId="77777777">
        <w:trPr>
          <w:trHeight w:val="225"/>
        </w:trPr>
        <w:tc>
          <w:tcPr>
            <w:tcW w:w="27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5C" w14:textId="77777777" w:rsidR="0088436C" w:rsidRDefault="00393C15">
            <w:pPr>
              <w:widowControl w:val="0"/>
              <w:rPr>
                <w:rFonts w:ascii="Calibri" w:eastAsia="Calibri" w:hAnsi="Calibri" w:cs="Calibri"/>
              </w:rPr>
            </w:pPr>
            <w:r>
              <w:rPr>
                <w:rFonts w:ascii="Calibri" w:eastAsia="Calibri" w:hAnsi="Calibri" w:cs="Calibri"/>
              </w:rPr>
              <w:t>A S E TECHNOLOGY HLDG CO LTD</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5D" w14:textId="77777777" w:rsidR="0088436C" w:rsidRDefault="00393C15">
            <w:pPr>
              <w:widowControl w:val="0"/>
              <w:rPr>
                <w:rFonts w:ascii="Calibri" w:eastAsia="Calibri" w:hAnsi="Calibri" w:cs="Calibri"/>
                <w:highlight w:val="white"/>
              </w:rPr>
            </w:pPr>
            <w:r>
              <w:rPr>
                <w:rFonts w:ascii="Calibri" w:eastAsia="Calibri" w:hAnsi="Calibri" w:cs="Calibri"/>
                <w:highlight w:val="white"/>
              </w:rPr>
              <w:t>ASX</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5E" w14:textId="77777777" w:rsidR="0088436C" w:rsidRDefault="00393C15">
            <w:pPr>
              <w:widowControl w:val="0"/>
              <w:jc w:val="right"/>
              <w:rPr>
                <w:rFonts w:ascii="Calibri" w:eastAsia="Calibri" w:hAnsi="Calibri" w:cs="Calibri"/>
                <w:highlight w:val="white"/>
              </w:rPr>
            </w:pPr>
            <w:r>
              <w:rPr>
                <w:rFonts w:ascii="Calibri" w:eastAsia="Calibri" w:hAnsi="Calibri" w:cs="Calibri"/>
                <w:highlight w:val="white"/>
              </w:rPr>
              <w:t>-1</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5F" w14:textId="77777777" w:rsidR="0088436C" w:rsidRDefault="00393C15">
            <w:pPr>
              <w:widowControl w:val="0"/>
              <w:jc w:val="right"/>
              <w:rPr>
                <w:rFonts w:ascii="Calibri" w:eastAsia="Calibri" w:hAnsi="Calibri" w:cs="Calibri"/>
                <w:highlight w:val="white"/>
              </w:rPr>
            </w:pPr>
            <w:r>
              <w:rPr>
                <w:rFonts w:ascii="Calibri" w:eastAsia="Calibri" w:hAnsi="Calibri" w:cs="Calibri"/>
                <w:highlight w:val="white"/>
              </w:rPr>
              <w:t>68.49015317</w:t>
            </w:r>
          </w:p>
        </w:tc>
      </w:tr>
      <w:tr w:rsidR="0088436C" w14:paraId="4AE3B565" w14:textId="77777777">
        <w:trPr>
          <w:trHeight w:val="240"/>
        </w:trPr>
        <w:tc>
          <w:tcPr>
            <w:tcW w:w="27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61" w14:textId="77777777" w:rsidR="0088436C" w:rsidRDefault="00393C15">
            <w:pPr>
              <w:widowControl w:val="0"/>
              <w:rPr>
                <w:rFonts w:ascii="Calibri" w:eastAsia="Calibri" w:hAnsi="Calibri" w:cs="Calibri"/>
              </w:rPr>
            </w:pPr>
            <w:r>
              <w:rPr>
                <w:rFonts w:ascii="Calibri" w:eastAsia="Calibri" w:hAnsi="Calibri" w:cs="Calibri"/>
              </w:rPr>
              <w:t>SKYWORKS SOLUTIONS INC</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62" w14:textId="77777777" w:rsidR="0088436C" w:rsidRDefault="00393C15">
            <w:pPr>
              <w:widowControl w:val="0"/>
              <w:rPr>
                <w:rFonts w:ascii="Calibri" w:eastAsia="Calibri" w:hAnsi="Calibri" w:cs="Calibri"/>
              </w:rPr>
            </w:pPr>
            <w:r>
              <w:rPr>
                <w:rFonts w:ascii="Calibri" w:eastAsia="Calibri" w:hAnsi="Calibri" w:cs="Calibri"/>
              </w:rPr>
              <w:t>SWKS</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63" w14:textId="77777777" w:rsidR="0088436C" w:rsidRDefault="00393C15">
            <w:pPr>
              <w:widowControl w:val="0"/>
              <w:jc w:val="right"/>
              <w:rPr>
                <w:rFonts w:ascii="Calibri" w:eastAsia="Calibri" w:hAnsi="Calibri" w:cs="Calibri"/>
              </w:rPr>
            </w:pPr>
            <w:r>
              <w:rPr>
                <w:rFonts w:ascii="Calibri" w:eastAsia="Calibri" w:hAnsi="Calibri" w:cs="Calibri"/>
              </w:rPr>
              <w:t>-3</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64" w14:textId="77777777" w:rsidR="0088436C" w:rsidRDefault="00393C15">
            <w:pPr>
              <w:widowControl w:val="0"/>
              <w:jc w:val="right"/>
              <w:rPr>
                <w:rFonts w:ascii="Calibri" w:eastAsia="Calibri" w:hAnsi="Calibri" w:cs="Calibri"/>
              </w:rPr>
            </w:pPr>
            <w:r>
              <w:rPr>
                <w:rFonts w:ascii="Calibri" w:eastAsia="Calibri" w:hAnsi="Calibri" w:cs="Calibri"/>
              </w:rPr>
              <w:t>29.86057046</w:t>
            </w:r>
          </w:p>
        </w:tc>
      </w:tr>
      <w:tr w:rsidR="0088436C" w14:paraId="4AE3B56A" w14:textId="77777777">
        <w:trPr>
          <w:trHeight w:val="180"/>
        </w:trPr>
        <w:tc>
          <w:tcPr>
            <w:tcW w:w="27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66" w14:textId="77777777" w:rsidR="0088436C" w:rsidRDefault="00393C15">
            <w:pPr>
              <w:widowControl w:val="0"/>
              <w:rPr>
                <w:rFonts w:ascii="Calibri" w:eastAsia="Calibri" w:hAnsi="Calibri" w:cs="Calibri"/>
              </w:rPr>
            </w:pPr>
            <w:r>
              <w:rPr>
                <w:rFonts w:ascii="Calibri" w:eastAsia="Calibri" w:hAnsi="Calibri" w:cs="Calibri"/>
              </w:rPr>
              <w:t>TTM TECHNOLOGIES INC</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67" w14:textId="77777777" w:rsidR="0088436C" w:rsidRDefault="00393C15">
            <w:pPr>
              <w:widowControl w:val="0"/>
              <w:rPr>
                <w:rFonts w:ascii="Calibri" w:eastAsia="Calibri" w:hAnsi="Calibri" w:cs="Calibri"/>
              </w:rPr>
            </w:pPr>
            <w:r>
              <w:rPr>
                <w:rFonts w:ascii="Calibri" w:eastAsia="Calibri" w:hAnsi="Calibri" w:cs="Calibri"/>
              </w:rPr>
              <w:t>TTMI</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68" w14:textId="77777777" w:rsidR="0088436C" w:rsidRDefault="00393C15">
            <w:pPr>
              <w:widowControl w:val="0"/>
              <w:jc w:val="right"/>
              <w:rPr>
                <w:rFonts w:ascii="Calibri" w:eastAsia="Calibri" w:hAnsi="Calibri" w:cs="Calibri"/>
              </w:rPr>
            </w:pPr>
            <w:r>
              <w:rPr>
                <w:rFonts w:ascii="Calibri" w:eastAsia="Calibri" w:hAnsi="Calibri" w:cs="Calibri"/>
              </w:rPr>
              <w:t>-17</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69" w14:textId="77777777" w:rsidR="0088436C" w:rsidRDefault="00393C15">
            <w:pPr>
              <w:widowControl w:val="0"/>
              <w:jc w:val="right"/>
              <w:rPr>
                <w:rFonts w:ascii="Calibri" w:eastAsia="Calibri" w:hAnsi="Calibri" w:cs="Calibri"/>
              </w:rPr>
            </w:pPr>
            <w:r>
              <w:rPr>
                <w:rFonts w:ascii="Calibri" w:eastAsia="Calibri" w:hAnsi="Calibri" w:cs="Calibri"/>
              </w:rPr>
              <w:t>22.15669756</w:t>
            </w:r>
          </w:p>
        </w:tc>
      </w:tr>
      <w:tr w:rsidR="0088436C" w14:paraId="4AE3B56F" w14:textId="77777777">
        <w:trPr>
          <w:trHeight w:val="300"/>
        </w:trPr>
        <w:tc>
          <w:tcPr>
            <w:tcW w:w="279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4AE3B56B" w14:textId="77777777" w:rsidR="0088436C" w:rsidRDefault="00393C15">
            <w:pPr>
              <w:widowControl w:val="0"/>
              <w:rPr>
                <w:rFonts w:ascii="Calibri" w:eastAsia="Calibri" w:hAnsi="Calibri" w:cs="Calibri"/>
              </w:rPr>
            </w:pPr>
            <w:r>
              <w:rPr>
                <w:rFonts w:ascii="Calibri" w:eastAsia="Calibri" w:hAnsi="Calibri" w:cs="Calibri"/>
              </w:rPr>
              <w:t>Diamond Foundry Inc PFD P/P</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6C" w14:textId="77777777" w:rsidR="0088436C" w:rsidRDefault="0088436C">
            <w:pPr>
              <w:widowControl w:val="0"/>
              <w:rPr>
                <w:rFonts w:ascii="Calibri" w:eastAsia="Calibri" w:hAnsi="Calibri" w:cs="Calibri"/>
              </w:rPr>
            </w:pP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6D" w14:textId="77777777" w:rsidR="0088436C" w:rsidRDefault="0088436C">
            <w:pPr>
              <w:widowControl w:val="0"/>
              <w:rPr>
                <w:rFonts w:ascii="Calibri" w:eastAsia="Calibri" w:hAnsi="Calibri" w:cs="Calibri"/>
              </w:rPr>
            </w:pP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6E" w14:textId="77777777" w:rsidR="0088436C" w:rsidRDefault="00393C15">
            <w:pPr>
              <w:widowControl w:val="0"/>
              <w:jc w:val="center"/>
              <w:rPr>
                <w:rFonts w:ascii="Calibri" w:eastAsia="Calibri" w:hAnsi="Calibri" w:cs="Calibri"/>
              </w:rPr>
            </w:pPr>
            <w:r>
              <w:rPr>
                <w:rFonts w:ascii="Calibri" w:eastAsia="Calibri" w:hAnsi="Calibri" w:cs="Calibri"/>
              </w:rPr>
              <w:t>#N/A</w:t>
            </w:r>
          </w:p>
        </w:tc>
      </w:tr>
      <w:tr w:rsidR="0088436C" w14:paraId="4AE3B574" w14:textId="77777777">
        <w:tc>
          <w:tcPr>
            <w:tcW w:w="27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70" w14:textId="77777777" w:rsidR="0088436C" w:rsidRDefault="00393C15">
            <w:pPr>
              <w:widowControl w:val="0"/>
              <w:rPr>
                <w:rFonts w:ascii="Calibri" w:eastAsia="Calibri" w:hAnsi="Calibri" w:cs="Calibri"/>
              </w:rPr>
            </w:pPr>
            <w:r>
              <w:rPr>
                <w:rFonts w:ascii="Calibri" w:eastAsia="Calibri" w:hAnsi="Calibri" w:cs="Calibri"/>
              </w:rPr>
              <w:t>Smart Global Holdings Inc 2.25% 15-FEB-2026</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71" w14:textId="77777777" w:rsidR="0088436C" w:rsidRDefault="00393C15">
            <w:pPr>
              <w:widowControl w:val="0"/>
              <w:rPr>
                <w:rFonts w:ascii="Calibri" w:eastAsia="Calibri" w:hAnsi="Calibri" w:cs="Calibri"/>
              </w:rPr>
            </w:pPr>
            <w:r>
              <w:rPr>
                <w:rFonts w:ascii="Calibri" w:eastAsia="Calibri" w:hAnsi="Calibri" w:cs="Calibri"/>
              </w:rPr>
              <w:t>83205Y</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72" w14:textId="77777777" w:rsidR="0088436C" w:rsidRDefault="00393C15">
            <w:pPr>
              <w:widowControl w:val="0"/>
              <w:jc w:val="right"/>
              <w:rPr>
                <w:rFonts w:ascii="Calibri" w:eastAsia="Calibri" w:hAnsi="Calibri" w:cs="Calibri"/>
              </w:rPr>
            </w:pPr>
            <w:r>
              <w:rPr>
                <w:rFonts w:ascii="Calibri" w:eastAsia="Calibri" w:hAnsi="Calibri" w:cs="Calibri"/>
              </w:rPr>
              <w:t>-2</w:t>
            </w:r>
          </w:p>
        </w:tc>
        <w:tc>
          <w:tcPr>
            <w:tcW w:w="24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E3B573" w14:textId="77777777" w:rsidR="0088436C" w:rsidRDefault="00393C15">
            <w:pPr>
              <w:widowControl w:val="0"/>
              <w:jc w:val="right"/>
              <w:rPr>
                <w:rFonts w:ascii="Calibri" w:eastAsia="Calibri" w:hAnsi="Calibri" w:cs="Calibri"/>
              </w:rPr>
            </w:pPr>
            <w:r>
              <w:rPr>
                <w:rFonts w:ascii="Calibri" w:eastAsia="Calibri" w:hAnsi="Calibri" w:cs="Calibri"/>
              </w:rPr>
              <w:t>45.11529145</w:t>
            </w:r>
          </w:p>
        </w:tc>
      </w:tr>
    </w:tbl>
    <w:p w14:paraId="4AE3B575" w14:textId="77777777" w:rsidR="0088436C" w:rsidRDefault="0088436C"/>
    <w:p w14:paraId="4AE3B576" w14:textId="77777777" w:rsidR="0088436C" w:rsidRDefault="00393C15">
      <w:r>
        <w:t xml:space="preserve">positive 7 in priority means the weight increased over 7 other </w:t>
      </w:r>
      <w:proofErr w:type="gramStart"/>
      <w:r>
        <w:t>stock</w:t>
      </w:r>
      <w:proofErr w:type="gramEnd"/>
    </w:p>
    <w:p w14:paraId="4AE3B577" w14:textId="77777777" w:rsidR="0088436C" w:rsidRDefault="0088436C"/>
    <w:p w14:paraId="4AE3B578" w14:textId="77777777" w:rsidR="0088436C" w:rsidRDefault="0088436C"/>
    <w:p w14:paraId="4AE3B579" w14:textId="77777777" w:rsidR="0088436C" w:rsidRDefault="0088436C">
      <w:pPr>
        <w:shd w:val="clear" w:color="auto" w:fill="FFFFFF"/>
        <w:spacing w:before="240" w:after="240"/>
        <w:jc w:val="both"/>
      </w:pPr>
    </w:p>
    <w:p w14:paraId="4AE3B57A" w14:textId="77777777" w:rsidR="0088436C" w:rsidRDefault="00393C15">
      <w:pPr>
        <w:shd w:val="clear" w:color="auto" w:fill="FFFFFF"/>
        <w:spacing w:before="240" w:after="240"/>
        <w:jc w:val="both"/>
        <w:rPr>
          <w:rFonts w:ascii="Times New Roman" w:eastAsia="Times New Roman" w:hAnsi="Times New Roman" w:cs="Times New Roman"/>
        </w:rPr>
      </w:pPr>
      <w:r>
        <w:t>Portfolio manager: Adam Benjamin</w:t>
      </w:r>
    </w:p>
    <w:p w14:paraId="4AE3B57B" w14:textId="77777777" w:rsidR="0088436C" w:rsidRDefault="00393C15">
      <w:pPr>
        <w:shd w:val="clear" w:color="auto" w:fill="FFFFFF"/>
        <w:spacing w:before="240" w:after="240"/>
        <w:jc w:val="both"/>
      </w:pPr>
      <w:r>
        <w:t>Versus the MSCI industry index, stock selection in the semiconductors group was the primary reason for the fund's outperformance. Picks in semiconducto</w:t>
      </w:r>
      <w:r>
        <w:t>r equipment helped to a lesser extent.</w:t>
      </w:r>
    </w:p>
    <w:p w14:paraId="4AE3B57C" w14:textId="77777777" w:rsidR="0088436C" w:rsidRDefault="00393C15">
      <w:pPr>
        <w:shd w:val="clear" w:color="auto" w:fill="FFFFFF"/>
        <w:spacing w:before="240" w:after="240"/>
        <w:jc w:val="both"/>
        <w:rPr>
          <w:rFonts w:ascii="Times New Roman" w:eastAsia="Times New Roman" w:hAnsi="Times New Roman" w:cs="Times New Roman"/>
        </w:rPr>
      </w:pPr>
      <w:r>
        <w:t xml:space="preserve">Chip-related stocks got an additional boost from the early-January passage of the National </w:t>
      </w:r>
      <w:proofErr w:type="spellStart"/>
      <w:r>
        <w:t>Defense</w:t>
      </w:r>
      <w:proofErr w:type="spellEnd"/>
      <w:r>
        <w:t xml:space="preserve"> Authorization Act, which included authorization – but not actual funding – of federal incentives to promote semiconduc</w:t>
      </w:r>
      <w:r>
        <w:t xml:space="preserve">tor manufacturing and federal investments in chip research via the CHIPS for America legislation embedded in the broader </w:t>
      </w:r>
      <w:proofErr w:type="spellStart"/>
      <w:r>
        <w:t>defense</w:t>
      </w:r>
      <w:proofErr w:type="spellEnd"/>
      <w:r>
        <w:t xml:space="preserve"> act.</w:t>
      </w:r>
    </w:p>
    <w:p w14:paraId="4AE3B57D" w14:textId="77777777" w:rsidR="0088436C" w:rsidRDefault="00393C15">
      <w:pPr>
        <w:shd w:val="clear" w:color="auto" w:fill="FFFFFF"/>
        <w:spacing w:before="240" w:after="240"/>
        <w:jc w:val="both"/>
        <w:rPr>
          <w:rFonts w:ascii="Times New Roman" w:eastAsia="Times New Roman" w:hAnsi="Times New Roman" w:cs="Times New Roman"/>
        </w:rPr>
      </w:pPr>
      <w:r>
        <w:t xml:space="preserve">The biggest change was that Adam decided to lessen the fund's underweighting in semiconductor equipment and take down its </w:t>
      </w:r>
      <w:r>
        <w:t xml:space="preserve">non-index exposure to electronic manufacturing services. This is because of the recent global shortage of semiconductors, as well as concerns regarding the significant reliance on Taiwan for foundry capacity and the previously mentioned CHIPS legislation, </w:t>
      </w:r>
      <w:r>
        <w:t xml:space="preserve">are all pointing to the likelihood of a significant increase in production capacity in the U.S., </w:t>
      </w:r>
      <w:proofErr w:type="gramStart"/>
      <w:r>
        <w:t>Europe</w:t>
      </w:r>
      <w:proofErr w:type="gramEnd"/>
      <w:r>
        <w:t xml:space="preserve"> and Asia, driving the need for more semiconductor capital equipment. Thus, he decided to open new positions in </w:t>
      </w:r>
      <w:r>
        <w:rPr>
          <w:shd w:val="clear" w:color="auto" w:fill="FF9900"/>
        </w:rPr>
        <w:t>Teradyne</w:t>
      </w:r>
      <w:r>
        <w:t xml:space="preserve">, </w:t>
      </w:r>
      <w:r>
        <w:rPr>
          <w:shd w:val="clear" w:color="auto" w:fill="FF9900"/>
        </w:rPr>
        <w:t>Nova Measuring Instruments</w:t>
      </w:r>
      <w:r>
        <w:t xml:space="preserve"> and </w:t>
      </w:r>
      <w:r>
        <w:rPr>
          <w:shd w:val="clear" w:color="auto" w:fill="FF9900"/>
        </w:rPr>
        <w:t>KLA</w:t>
      </w:r>
      <w:r>
        <w:t xml:space="preserve">, and added to stakes in </w:t>
      </w:r>
      <w:r>
        <w:rPr>
          <w:shd w:val="clear" w:color="auto" w:fill="FF9900"/>
        </w:rPr>
        <w:t>Lam Research</w:t>
      </w:r>
      <w:r>
        <w:t xml:space="preserve"> and </w:t>
      </w:r>
      <w:r>
        <w:rPr>
          <w:shd w:val="clear" w:color="auto" w:fill="FF9900"/>
        </w:rPr>
        <w:t>Applied Materials</w:t>
      </w:r>
      <w:r>
        <w:t>.</w:t>
      </w:r>
    </w:p>
    <w:p w14:paraId="4AE3B57E" w14:textId="77777777" w:rsidR="0088436C" w:rsidRDefault="00393C15">
      <w:pPr>
        <w:shd w:val="clear" w:color="auto" w:fill="FFFFFF"/>
        <w:spacing w:before="240" w:after="240"/>
        <w:jc w:val="both"/>
      </w:pPr>
      <w:r>
        <w:lastRenderedPageBreak/>
        <w:t xml:space="preserve">There was success with a previous overweighting in </w:t>
      </w:r>
      <w:r>
        <w:rPr>
          <w:highlight w:val="cyan"/>
        </w:rPr>
        <w:t>Enphase Energy</w:t>
      </w:r>
      <w:r>
        <w:t>. The company designs and manufactures software</w:t>
      </w:r>
      <w:r>
        <w:rPr>
          <w:rFonts w:ascii="Calibri" w:eastAsia="Calibri" w:hAnsi="Calibri" w:cs="Calibri"/>
          <w:sz w:val="24"/>
          <w:szCs w:val="24"/>
        </w:rPr>
        <w:t>-</w:t>
      </w:r>
      <w:r>
        <w:t>driven home energy solutions that span solar generation, home energy storage, and web-based monitoring and control. The fund's position had increased greatly amid a strong rally in solar stocks, aided by Joe Biden's victory in the November 3 presidential e</w:t>
      </w:r>
      <w:r>
        <w:t xml:space="preserve">lection. Biden is a strong advocate of alternative energy. Adam considerably reduced this position as the stock advanced. </w:t>
      </w:r>
    </w:p>
    <w:p w14:paraId="4AE3B57F" w14:textId="77777777" w:rsidR="0088436C" w:rsidRDefault="00393C15">
      <w:pPr>
        <w:shd w:val="clear" w:color="auto" w:fill="FFFFFF"/>
        <w:spacing w:before="240" w:after="240"/>
        <w:jc w:val="both"/>
      </w:pPr>
      <w:r>
        <w:t xml:space="preserve"> </w:t>
      </w:r>
    </w:p>
    <w:p w14:paraId="4AE3B580" w14:textId="77777777" w:rsidR="0088436C" w:rsidRDefault="00393C15">
      <w:pPr>
        <w:shd w:val="clear" w:color="auto" w:fill="FFFFFF"/>
        <w:spacing w:before="240" w:after="240"/>
        <w:jc w:val="both"/>
      </w:pPr>
      <w:r>
        <w:t>Underweighting semiconductor equipment, by far the stronger of the two primary MSCI index groups, detracted, as did exposure to sev</w:t>
      </w:r>
      <w:r>
        <w:t>eral non-index groups, such as electrical components &amp; equipment, technology hardware, storage &amp; peripherals, and electronic manufacturing services. The fund's small cash position also hurt in a strongly advancing market. Among individual holdings, a meani</w:t>
      </w:r>
      <w:r>
        <w:t>ngful underweighting in Applied Materials made this semiconductor equipment manufacturer the largest relative detractor, as it advanced roughly 125% during the period. The stock was another beneficiary of Joe Biden's success in the 2020 presidential electi</w:t>
      </w:r>
      <w:r>
        <w:t>on, as most investors believed he would have a more tempered stance toward China, which could help chip equipment sales to that country. The fund did have exposure to this theme through other holdings, but unfortunately, as a group, they mostly underperfor</w:t>
      </w:r>
      <w:r>
        <w:t xml:space="preserve">med Applied Materials. Underweighting PC chipmaker </w:t>
      </w:r>
      <w:r>
        <w:rPr>
          <w:shd w:val="clear" w:color="auto" w:fill="B7B7B7"/>
        </w:rPr>
        <w:t>Advanced Micro Devices</w:t>
      </w:r>
      <w:r>
        <w:t xml:space="preserve"> also worked against the fund. Demand for PCs was strong during the depths of the pandemic, as people bought additional computers to accommodate working and learning from home. </w:t>
      </w:r>
    </w:p>
    <w:p w14:paraId="4AE3B581" w14:textId="77777777" w:rsidR="0088436C" w:rsidRDefault="00393C15">
      <w:pPr>
        <w:shd w:val="clear" w:color="auto" w:fill="FFFFFF"/>
        <w:spacing w:before="240" w:after="240"/>
        <w:jc w:val="both"/>
      </w:pPr>
      <w:r>
        <w:t>Risk-</w:t>
      </w:r>
      <w:r>
        <w:t xml:space="preserve">Return of Portfolio vs </w:t>
      </w:r>
      <w:proofErr w:type="gramStart"/>
      <w:r>
        <w:t>New</w:t>
      </w:r>
      <w:proofErr w:type="gramEnd"/>
      <w:r>
        <w:t xml:space="preserve"> portfolio:</w:t>
      </w:r>
    </w:p>
    <w:p w14:paraId="4AE3B582" w14:textId="77777777" w:rsidR="0088436C" w:rsidRDefault="00393C15">
      <w:pPr>
        <w:shd w:val="clear" w:color="auto" w:fill="FFFFFF"/>
        <w:spacing w:before="240" w:after="240"/>
        <w:jc w:val="both"/>
      </w:pPr>
      <w:r>
        <w:t xml:space="preserve">To calculate the risk-return of the new portfolio and original portfolio of FELAX, we used the </w:t>
      </w:r>
      <w:proofErr w:type="spellStart"/>
      <w:r>
        <w:t>sharpe</w:t>
      </w:r>
      <w:proofErr w:type="spellEnd"/>
      <w:r>
        <w:t xml:space="preserve"> ratio, which was calculated here by taking the (percentage returns - risk-free rate)/ percentage standard deviation.</w:t>
      </w:r>
    </w:p>
    <w:p w14:paraId="4AE3B583" w14:textId="77777777" w:rsidR="0088436C" w:rsidRDefault="00393C15">
      <w:pPr>
        <w:shd w:val="clear" w:color="auto" w:fill="FFFFFF"/>
        <w:spacing w:before="240" w:after="240"/>
        <w:jc w:val="both"/>
      </w:pPr>
      <w:r>
        <w:t xml:space="preserve">Original FELAX Sharpe Ratio for 1 Jan 2021- 31 Oct 2021: </w:t>
      </w:r>
      <w:r>
        <w:rPr>
          <w:sz w:val="21"/>
          <w:szCs w:val="21"/>
          <w:highlight w:val="white"/>
        </w:rPr>
        <w:t>3.329</w:t>
      </w:r>
    </w:p>
    <w:p w14:paraId="4AE3B584" w14:textId="77777777" w:rsidR="0088436C" w:rsidRDefault="00393C15">
      <w:pPr>
        <w:shd w:val="clear" w:color="auto" w:fill="FFFFFF"/>
        <w:spacing w:before="240" w:after="240"/>
        <w:jc w:val="both"/>
        <w:rPr>
          <w:sz w:val="21"/>
          <w:szCs w:val="21"/>
          <w:highlight w:val="white"/>
        </w:rPr>
      </w:pPr>
      <w:r>
        <w:t xml:space="preserve">New Portfolio Sharpe Ratio for 1 Jan 2021- 31 Oct 2021: </w:t>
      </w:r>
      <w:r>
        <w:rPr>
          <w:sz w:val="21"/>
          <w:szCs w:val="21"/>
          <w:highlight w:val="white"/>
        </w:rPr>
        <w:t>4.310</w:t>
      </w:r>
    </w:p>
    <w:p w14:paraId="4AE3B585" w14:textId="77777777" w:rsidR="0088436C" w:rsidRDefault="0088436C">
      <w:pPr>
        <w:shd w:val="clear" w:color="auto" w:fill="FFFFFF"/>
        <w:spacing w:before="240" w:after="240"/>
        <w:jc w:val="both"/>
      </w:pPr>
    </w:p>
    <w:p w14:paraId="4AE3B586" w14:textId="77777777" w:rsidR="0088436C" w:rsidRDefault="0088436C">
      <w:pPr>
        <w:shd w:val="clear" w:color="auto" w:fill="FFFFFF"/>
        <w:spacing w:before="240" w:after="240"/>
        <w:jc w:val="both"/>
      </w:pPr>
    </w:p>
    <w:p w14:paraId="4AE3B587" w14:textId="77777777" w:rsidR="0088436C" w:rsidRDefault="00393C15">
      <w:r>
        <w:br w:type="page"/>
      </w:r>
    </w:p>
    <w:p w14:paraId="4AE3B588" w14:textId="77777777" w:rsidR="0088436C" w:rsidRDefault="00393C15">
      <w:pPr>
        <w:pStyle w:val="Heading3"/>
        <w:rPr>
          <w:b/>
          <w:color w:val="000000"/>
        </w:rPr>
      </w:pPr>
      <w:bookmarkStart w:id="6" w:name="_2w4fx2k9lnsp" w:colFirst="0" w:colLast="0"/>
      <w:bookmarkEnd w:id="6"/>
      <w:r>
        <w:rPr>
          <w:b/>
          <w:color w:val="000000"/>
        </w:rPr>
        <w:lastRenderedPageBreak/>
        <w:t>3 Hedging by Options</w:t>
      </w:r>
    </w:p>
    <w:p w14:paraId="4AE3B589" w14:textId="77777777" w:rsidR="0088436C" w:rsidRDefault="00393C15">
      <w:pPr>
        <w:pStyle w:val="Heading4"/>
        <w:rPr>
          <w:b/>
          <w:color w:val="000000"/>
        </w:rPr>
      </w:pPr>
      <w:bookmarkStart w:id="7" w:name="_720v76pw3rl" w:colFirst="0" w:colLast="0"/>
      <w:bookmarkEnd w:id="7"/>
      <w:r>
        <w:rPr>
          <w:b/>
          <w:color w:val="000000"/>
        </w:rPr>
        <w:t>3.1 Highest Downside Risk: QCOM</w:t>
      </w:r>
    </w:p>
    <w:p w14:paraId="4AE3B58A" w14:textId="77777777" w:rsidR="0088436C" w:rsidRDefault="00393C15">
      <w:pPr>
        <w:spacing w:before="240" w:after="240"/>
      </w:pPr>
      <w:r>
        <w:t>From the perspective of 18</w:t>
      </w:r>
      <w:r>
        <w:rPr>
          <w:vertAlign w:val="superscript"/>
        </w:rPr>
        <w:t>th</w:t>
      </w:r>
      <w:r>
        <w:t xml:space="preserve"> October:</w:t>
      </w:r>
    </w:p>
    <w:p w14:paraId="4AE3B58B" w14:textId="77777777" w:rsidR="0088436C" w:rsidRDefault="00393C15">
      <w:pPr>
        <w:spacing w:before="240" w:after="240"/>
      </w:pPr>
      <w:r>
        <w:t>The stock price of</w:t>
      </w:r>
      <w:r>
        <w:rPr>
          <w:b/>
        </w:rPr>
        <w:t xml:space="preserve"> </w:t>
      </w:r>
      <w:r>
        <w:t xml:space="preserve">Qualcomm Inc. had a strong 2020 and reached its 52-week high of $168 in early-2021, but has since dropped from that level, bleeding to a bottom of $122 in 12-Oct with an almost 17% drop between September and mid-October. We suspect that </w:t>
      </w:r>
      <w:r>
        <w:t xml:space="preserve">this was due to the announcement in mid-September 2021 that Qualcomm’s </w:t>
      </w:r>
      <w:proofErr w:type="spellStart"/>
      <w:r>
        <w:t>mmWave</w:t>
      </w:r>
      <w:proofErr w:type="spellEnd"/>
      <w:r>
        <w:t xml:space="preserve"> technology was not included in non-US </w:t>
      </w:r>
      <w:proofErr w:type="spellStart"/>
      <w:r>
        <w:t>iphone</w:t>
      </w:r>
      <w:proofErr w:type="spellEnd"/>
      <w:r>
        <w:t xml:space="preserve"> 13 models, which drove down prices given that Apple contributed to over 10% of </w:t>
      </w:r>
      <w:proofErr w:type="spellStart"/>
      <w:r>
        <w:t>it’s</w:t>
      </w:r>
      <w:proofErr w:type="spellEnd"/>
      <w:r>
        <w:t xml:space="preserve"> revenue for the past 3 fiscal years.</w:t>
      </w:r>
    </w:p>
    <w:p w14:paraId="4AE3B58C" w14:textId="77777777" w:rsidR="0088436C" w:rsidRDefault="00393C15">
      <w:pPr>
        <w:spacing w:before="240" w:after="240"/>
      </w:pPr>
      <w:r>
        <w:t>Qualcomm ear</w:t>
      </w:r>
      <w:r>
        <w:t>ned 63% of its core QCT segment revenue from handsets. This heavy reliance on the smartphone industry and Apple is worrying. The handset industry is a mature market with mid-single digit growth at best.</w:t>
      </w:r>
    </w:p>
    <w:p w14:paraId="4AE3B58D" w14:textId="77777777" w:rsidR="0088436C" w:rsidRDefault="00393C15">
      <w:pPr>
        <w:spacing w:before="240" w:after="240"/>
      </w:pPr>
      <w:r>
        <w:t>The Q3 End July earnings report showed continued stag</w:t>
      </w:r>
      <w:r>
        <w:t>nation in earning per share at $1.90 compared to $2.17 in its Q1 February earnings report.</w:t>
      </w:r>
    </w:p>
    <w:p w14:paraId="4AE3B58E" w14:textId="77777777" w:rsidR="0088436C" w:rsidRDefault="00393C15">
      <w:pPr>
        <w:spacing w:before="240" w:after="240"/>
      </w:pPr>
      <w:r>
        <w:t xml:space="preserve">Qualcomm’s key risks are slower than expected growth in the handset industry and a longer than expected time to diversify into non </w:t>
      </w:r>
      <w:proofErr w:type="gramStart"/>
      <w:r>
        <w:t>mobile-industries</w:t>
      </w:r>
      <w:proofErr w:type="gramEnd"/>
      <w:r>
        <w:t>.</w:t>
      </w:r>
    </w:p>
    <w:p w14:paraId="4AE3B58F" w14:textId="77777777" w:rsidR="0088436C" w:rsidRDefault="00393C15">
      <w:pPr>
        <w:spacing w:before="240" w:after="240"/>
      </w:pPr>
      <w:r>
        <w:t>The next earnin</w:t>
      </w:r>
      <w:r>
        <w:t>gs report is due on the 3 November, options expiry on 5</w:t>
      </w:r>
      <w:r>
        <w:rPr>
          <w:vertAlign w:val="superscript"/>
        </w:rPr>
        <w:t>th</w:t>
      </w:r>
      <w:r>
        <w:t xml:space="preserve"> November. The uncertainty in the future of Qualcomm, along with its relatively poor year to date performance compared to its competitors like Nvidia and AMD, give us reason to believe that the upcom</w:t>
      </w:r>
      <w:r>
        <w:t>ing Q4 earnings report might be a buy the rumour, sell the news event which could lead to further capitulation. As such we decide to buy protective puts to hedge against the possible downside risk.</w:t>
      </w:r>
    </w:p>
    <w:p w14:paraId="4AE3B590" w14:textId="77777777" w:rsidR="0088436C" w:rsidRDefault="00393C1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1"/>
        <w:tblW w:w="8880" w:type="dxa"/>
        <w:tblBorders>
          <w:top w:val="nil"/>
          <w:left w:val="nil"/>
          <w:bottom w:val="nil"/>
          <w:right w:val="nil"/>
          <w:insideH w:val="nil"/>
          <w:insideV w:val="nil"/>
        </w:tblBorders>
        <w:tblLayout w:type="fixed"/>
        <w:tblLook w:val="0600" w:firstRow="0" w:lastRow="0" w:firstColumn="0" w:lastColumn="0" w:noHBand="1" w:noVBand="1"/>
      </w:tblPr>
      <w:tblGrid>
        <w:gridCol w:w="1290"/>
        <w:gridCol w:w="1530"/>
        <w:gridCol w:w="2235"/>
        <w:gridCol w:w="1485"/>
        <w:gridCol w:w="2340"/>
      </w:tblGrid>
      <w:tr w:rsidR="0088436C" w14:paraId="4AE3B596" w14:textId="77777777">
        <w:trPr>
          <w:trHeight w:val="795"/>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E3B591" w14:textId="77777777" w:rsidR="0088436C" w:rsidRDefault="00393C1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18/October</w:t>
            </w:r>
          </w:p>
        </w:tc>
        <w:tc>
          <w:tcPr>
            <w:tcW w:w="15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E3B592" w14:textId="77777777" w:rsidR="0088436C" w:rsidRDefault="00393C15">
            <w:pPr>
              <w:spacing w:before="240"/>
              <w:jc w:val="center"/>
            </w:pPr>
            <w:r>
              <w:t>Exercise Price</w:t>
            </w:r>
          </w:p>
        </w:tc>
        <w:tc>
          <w:tcPr>
            <w:tcW w:w="2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E3B593" w14:textId="77777777" w:rsidR="0088436C" w:rsidRDefault="00393C15">
            <w:pPr>
              <w:spacing w:before="240"/>
              <w:jc w:val="center"/>
            </w:pPr>
            <w:r>
              <w:t>Implied Volatility (annual)</w:t>
            </w:r>
          </w:p>
        </w:tc>
        <w:tc>
          <w:tcPr>
            <w:tcW w:w="14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E3B594" w14:textId="77777777" w:rsidR="0088436C" w:rsidRDefault="00393C15">
            <w:pPr>
              <w:spacing w:before="240"/>
              <w:jc w:val="center"/>
            </w:pPr>
            <w:r>
              <w:t>Daily Volatility</w:t>
            </w:r>
          </w:p>
        </w:tc>
        <w:tc>
          <w:tcPr>
            <w:tcW w:w="23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E3B595" w14:textId="77777777" w:rsidR="0088436C" w:rsidRDefault="00393C15">
            <w:pPr>
              <w:spacing w:before="240"/>
              <w:jc w:val="center"/>
            </w:pPr>
            <w:r>
              <w:t>Sample Volatility (18 days)</w:t>
            </w:r>
          </w:p>
        </w:tc>
      </w:tr>
      <w:tr w:rsidR="0088436C" w14:paraId="4AE3B59C" w14:textId="77777777">
        <w:trPr>
          <w:trHeight w:val="510"/>
        </w:trPr>
        <w:tc>
          <w:tcPr>
            <w:tcW w:w="1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E3B597" w14:textId="77777777" w:rsidR="0088436C" w:rsidRDefault="00393C15">
            <w:pPr>
              <w:spacing w:before="240"/>
              <w:jc w:val="center"/>
            </w:pPr>
            <w:r>
              <w:t>ATM Puts</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4AE3B598" w14:textId="77777777" w:rsidR="0088436C" w:rsidRDefault="00393C15">
            <w:pPr>
              <w:spacing w:before="240"/>
              <w:jc w:val="center"/>
            </w:pPr>
            <w:r>
              <w:t>130</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tcPr>
          <w:p w14:paraId="4AE3B599" w14:textId="77777777" w:rsidR="0088436C" w:rsidRDefault="00393C15">
            <w:pPr>
              <w:spacing w:before="240"/>
              <w:jc w:val="center"/>
            </w:pPr>
            <w:r>
              <w:t>36.65%</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4AE3B59A" w14:textId="77777777" w:rsidR="0088436C" w:rsidRDefault="00393C15">
            <w:pPr>
              <w:spacing w:before="240"/>
              <w:jc w:val="center"/>
            </w:pPr>
            <w:r>
              <w:t>2.308%</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4AE3B59B" w14:textId="77777777" w:rsidR="0088436C" w:rsidRDefault="00393C15">
            <w:pPr>
              <w:spacing w:before="240"/>
              <w:jc w:val="center"/>
            </w:pPr>
            <w:r>
              <w:t>9.792%</w:t>
            </w:r>
          </w:p>
        </w:tc>
      </w:tr>
    </w:tbl>
    <w:p w14:paraId="4AE3B59D" w14:textId="77777777" w:rsidR="0088436C" w:rsidRDefault="00393C1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2"/>
        <w:tblW w:w="8490" w:type="dxa"/>
        <w:tblBorders>
          <w:top w:val="nil"/>
          <w:left w:val="nil"/>
          <w:bottom w:val="nil"/>
          <w:right w:val="nil"/>
          <w:insideH w:val="nil"/>
          <w:insideV w:val="nil"/>
        </w:tblBorders>
        <w:tblLayout w:type="fixed"/>
        <w:tblLook w:val="0600" w:firstRow="0" w:lastRow="0" w:firstColumn="0" w:lastColumn="0" w:noHBand="1" w:noVBand="1"/>
      </w:tblPr>
      <w:tblGrid>
        <w:gridCol w:w="7395"/>
        <w:gridCol w:w="1095"/>
      </w:tblGrid>
      <w:tr w:rsidR="0088436C" w14:paraId="4AE3B5A0" w14:textId="77777777">
        <w:trPr>
          <w:trHeight w:val="510"/>
        </w:trPr>
        <w:tc>
          <w:tcPr>
            <w:tcW w:w="7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E3B59E" w14:textId="77777777" w:rsidR="0088436C" w:rsidRDefault="00393C15">
            <w:pPr>
              <w:spacing w:before="240"/>
              <w:jc w:val="center"/>
            </w:pPr>
            <w:r>
              <w:t>Number of Shares of QCOM in Portfolio</w:t>
            </w:r>
          </w:p>
        </w:tc>
        <w:tc>
          <w:tcPr>
            <w:tcW w:w="1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E3B59F" w14:textId="77777777" w:rsidR="0088436C" w:rsidRDefault="00393C15">
            <w:pPr>
              <w:spacing w:before="240"/>
              <w:jc w:val="center"/>
            </w:pPr>
            <w:r>
              <w:t>210726</w:t>
            </w:r>
          </w:p>
        </w:tc>
      </w:tr>
      <w:tr w:rsidR="0088436C" w14:paraId="4AE3B5A3" w14:textId="77777777">
        <w:trPr>
          <w:trHeight w:val="510"/>
        </w:trPr>
        <w:tc>
          <w:tcPr>
            <w:tcW w:w="7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E3B5A1" w14:textId="77777777" w:rsidR="0088436C" w:rsidRDefault="00393C15">
            <w:pPr>
              <w:spacing w:before="240"/>
              <w:jc w:val="center"/>
            </w:pPr>
            <w:r>
              <w:t>QCOM Adjusted Close (on 18/10/21)</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4AE3B5A2" w14:textId="77777777" w:rsidR="0088436C" w:rsidRDefault="00393C15">
            <w:pPr>
              <w:spacing w:before="240"/>
              <w:jc w:val="center"/>
            </w:pPr>
            <w:r>
              <w:t>$130.12</w:t>
            </w:r>
          </w:p>
        </w:tc>
      </w:tr>
      <w:tr w:rsidR="0088436C" w14:paraId="4AE3B5A6" w14:textId="77777777">
        <w:trPr>
          <w:trHeight w:val="510"/>
        </w:trPr>
        <w:tc>
          <w:tcPr>
            <w:tcW w:w="7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E3B5A4" w14:textId="77777777" w:rsidR="0088436C" w:rsidRDefault="00393C15">
            <w:pPr>
              <w:spacing w:before="240"/>
              <w:jc w:val="center"/>
            </w:pPr>
            <w:r>
              <w:t>-1 Standard Deviation of Return from the Current Stock Price (Puts)</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4AE3B5A5" w14:textId="77777777" w:rsidR="0088436C" w:rsidRDefault="00393C15">
            <w:pPr>
              <w:spacing w:before="240"/>
              <w:jc w:val="center"/>
            </w:pPr>
            <w:r>
              <w:t>$117.37</w:t>
            </w:r>
          </w:p>
        </w:tc>
      </w:tr>
    </w:tbl>
    <w:p w14:paraId="4AE3B5A7" w14:textId="77777777" w:rsidR="0088436C" w:rsidRDefault="00393C1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AE3B5A8" w14:textId="77777777" w:rsidR="0088436C" w:rsidRDefault="00393C15">
      <w:pPr>
        <w:spacing w:before="240"/>
      </w:pPr>
      <w:r>
        <w:lastRenderedPageBreak/>
        <w:t>Based on our estimates of sample volatility from the implied volatility of ITM options, we have decided to purchase these options on 18 October 2021 that expire on 5 November 20</w:t>
      </w:r>
      <w:r>
        <w:t>21.</w:t>
      </w:r>
    </w:p>
    <w:p w14:paraId="4AE3B5A9" w14:textId="77777777" w:rsidR="0088436C" w:rsidRDefault="00393C1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3"/>
        <w:tblW w:w="3270" w:type="dxa"/>
        <w:tblBorders>
          <w:top w:val="nil"/>
          <w:left w:val="nil"/>
          <w:bottom w:val="nil"/>
          <w:right w:val="nil"/>
          <w:insideH w:val="nil"/>
          <w:insideV w:val="nil"/>
        </w:tblBorders>
        <w:tblLayout w:type="fixed"/>
        <w:tblLook w:val="0600" w:firstRow="0" w:lastRow="0" w:firstColumn="0" w:lastColumn="0" w:noHBand="1" w:noVBand="1"/>
      </w:tblPr>
      <w:tblGrid>
        <w:gridCol w:w="690"/>
        <w:gridCol w:w="1755"/>
        <w:gridCol w:w="825"/>
      </w:tblGrid>
      <w:tr w:rsidR="0088436C" w14:paraId="4AE3B5AD" w14:textId="77777777">
        <w:trPr>
          <w:trHeight w:val="510"/>
        </w:trPr>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E3B5AA" w14:textId="77777777" w:rsidR="0088436C" w:rsidRDefault="0088436C"/>
        </w:tc>
        <w:tc>
          <w:tcPr>
            <w:tcW w:w="17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E3B5AB" w14:textId="77777777" w:rsidR="0088436C" w:rsidRDefault="00393C15">
            <w:pPr>
              <w:spacing w:before="240"/>
              <w:jc w:val="center"/>
            </w:pPr>
            <w:r>
              <w:t>Exercise Price</w:t>
            </w:r>
          </w:p>
        </w:tc>
        <w:tc>
          <w:tcPr>
            <w:tcW w:w="8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E3B5AC" w14:textId="77777777" w:rsidR="0088436C" w:rsidRDefault="00393C15">
            <w:pPr>
              <w:spacing w:before="240"/>
              <w:jc w:val="center"/>
            </w:pPr>
            <w:r>
              <w:t>Cost</w:t>
            </w:r>
          </w:p>
        </w:tc>
      </w:tr>
      <w:tr w:rsidR="0088436C" w14:paraId="4AE3B5B1" w14:textId="77777777">
        <w:trPr>
          <w:trHeight w:val="510"/>
        </w:trPr>
        <w:tc>
          <w:tcPr>
            <w:tcW w:w="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E3B5AE" w14:textId="77777777" w:rsidR="0088436C" w:rsidRDefault="00393C15">
            <w:pPr>
              <w:spacing w:before="240"/>
              <w:jc w:val="center"/>
            </w:pPr>
            <w:r>
              <w:t>Puts</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14:paraId="4AE3B5AF" w14:textId="77777777" w:rsidR="0088436C" w:rsidRDefault="00393C15">
            <w:pPr>
              <w:spacing w:before="240"/>
              <w:jc w:val="center"/>
            </w:pPr>
            <w:r>
              <w:t>$117</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tcPr>
          <w:p w14:paraId="4AE3B5B0" w14:textId="77777777" w:rsidR="0088436C" w:rsidRDefault="00393C15">
            <w:pPr>
              <w:spacing w:before="240"/>
              <w:jc w:val="center"/>
            </w:pPr>
            <w:r>
              <w:t>$0.5</w:t>
            </w:r>
          </w:p>
        </w:tc>
      </w:tr>
    </w:tbl>
    <w:p w14:paraId="4AE3B5B2" w14:textId="77777777" w:rsidR="0088436C" w:rsidRDefault="00393C1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AE3B5B3" w14:textId="77777777" w:rsidR="0088436C" w:rsidRDefault="00393C15">
      <w:pPr>
        <w:spacing w:before="240"/>
      </w:pPr>
      <w:r>
        <w:t>During the sample period from 18 October 2021 to 5 November 2021,</w:t>
      </w:r>
    </w:p>
    <w:p w14:paraId="4AE3B5B4" w14:textId="77777777" w:rsidR="0088436C" w:rsidRDefault="00393C1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4"/>
        <w:tblW w:w="4710" w:type="dxa"/>
        <w:tblBorders>
          <w:top w:val="nil"/>
          <w:left w:val="nil"/>
          <w:bottom w:val="nil"/>
          <w:right w:val="nil"/>
          <w:insideH w:val="nil"/>
          <w:insideV w:val="nil"/>
        </w:tblBorders>
        <w:tblLayout w:type="fixed"/>
        <w:tblLook w:val="0600" w:firstRow="0" w:lastRow="0" w:firstColumn="0" w:lastColumn="0" w:noHBand="1" w:noVBand="1"/>
      </w:tblPr>
      <w:tblGrid>
        <w:gridCol w:w="1425"/>
        <w:gridCol w:w="1950"/>
        <w:gridCol w:w="1335"/>
      </w:tblGrid>
      <w:tr w:rsidR="0088436C" w14:paraId="4AE3B5B8" w14:textId="77777777">
        <w:trPr>
          <w:trHeight w:val="510"/>
        </w:trPr>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E3B5B5" w14:textId="77777777" w:rsidR="0088436C" w:rsidRDefault="00393C15">
            <w:pPr>
              <w:spacing w:before="240"/>
              <w:jc w:val="center"/>
            </w:pPr>
            <w:r>
              <w:t>Date</w:t>
            </w:r>
          </w:p>
        </w:tc>
        <w:tc>
          <w:tcPr>
            <w:tcW w:w="19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E3B5B6" w14:textId="77777777" w:rsidR="0088436C" w:rsidRDefault="00393C15">
            <w:pPr>
              <w:spacing w:before="240"/>
              <w:jc w:val="center"/>
            </w:pPr>
            <w:r>
              <w:t xml:space="preserve">QCOM </w:t>
            </w:r>
            <w:proofErr w:type="spellStart"/>
            <w:r>
              <w:t>Adj</w:t>
            </w:r>
            <w:proofErr w:type="spellEnd"/>
            <w:r>
              <w:t xml:space="preserve"> Close</w:t>
            </w:r>
          </w:p>
        </w:tc>
        <w:tc>
          <w:tcPr>
            <w:tcW w:w="13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E3B5B7" w14:textId="77777777" w:rsidR="0088436C" w:rsidRDefault="00393C15">
            <w:pPr>
              <w:spacing w:before="240"/>
              <w:jc w:val="center"/>
            </w:pPr>
            <w:r>
              <w:t>% Change</w:t>
            </w:r>
          </w:p>
        </w:tc>
      </w:tr>
      <w:tr w:rsidR="0088436C" w14:paraId="4AE3B5BC" w14:textId="77777777">
        <w:trPr>
          <w:trHeight w:val="510"/>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E3B5B9" w14:textId="77777777" w:rsidR="0088436C" w:rsidRDefault="00393C15">
            <w:pPr>
              <w:spacing w:before="240"/>
              <w:jc w:val="center"/>
            </w:pPr>
            <w:r>
              <w:t>18/10/2021</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4AE3B5BA" w14:textId="77777777" w:rsidR="0088436C" w:rsidRDefault="00393C15">
            <w:pPr>
              <w:spacing w:before="240"/>
              <w:jc w:val="center"/>
            </w:pPr>
            <w:r>
              <w:t>$130.12</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4AE3B5BB" w14:textId="77777777" w:rsidR="0088436C" w:rsidRDefault="00393C15">
            <w:pPr>
              <w:spacing w:before="240"/>
              <w:jc w:val="center"/>
            </w:pPr>
            <w:r>
              <w:t>-</w:t>
            </w:r>
          </w:p>
        </w:tc>
      </w:tr>
      <w:tr w:rsidR="0088436C" w14:paraId="4AE3B5C0" w14:textId="77777777">
        <w:trPr>
          <w:trHeight w:val="510"/>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E3B5BD" w14:textId="77777777" w:rsidR="0088436C" w:rsidRDefault="00393C15">
            <w:pPr>
              <w:spacing w:before="240"/>
              <w:jc w:val="center"/>
            </w:pPr>
            <w:r>
              <w:t>5/11/2021</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4AE3B5BE" w14:textId="77777777" w:rsidR="0088436C" w:rsidRDefault="00393C15">
            <w:pPr>
              <w:spacing w:before="240"/>
              <w:jc w:val="center"/>
            </w:pPr>
            <w:r>
              <w:t>$163.03</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4AE3B5BF" w14:textId="77777777" w:rsidR="0088436C" w:rsidRDefault="00393C15">
            <w:pPr>
              <w:spacing w:before="240"/>
              <w:jc w:val="center"/>
            </w:pPr>
            <w:r>
              <w:t>25.29%</w:t>
            </w:r>
          </w:p>
        </w:tc>
      </w:tr>
    </w:tbl>
    <w:p w14:paraId="4AE3B5C1" w14:textId="77777777" w:rsidR="0088436C" w:rsidRDefault="00393C15">
      <w:pPr>
        <w:spacing w:before="240" w:after="240"/>
      </w:pPr>
      <w:r>
        <w:t>Profits without protective put = 0.2529*(130.12*210726) = $6,934,443.82</w:t>
      </w:r>
    </w:p>
    <w:p w14:paraId="4AE3B5C2" w14:textId="77777777" w:rsidR="0088436C" w:rsidRDefault="00393C15">
      <w:pPr>
        <w:spacing w:before="240" w:after="240"/>
      </w:pPr>
      <w:r>
        <w:t>Profits with protective put = 0.2529*(130.12*210726) - (0.54*210726) = $6,820,641.77</w:t>
      </w:r>
    </w:p>
    <w:p w14:paraId="4AE3B5C3" w14:textId="77777777" w:rsidR="0088436C" w:rsidRDefault="00393C15">
      <w:pPr>
        <w:spacing w:before="240" w:after="240"/>
      </w:pPr>
      <w:r>
        <w:t>From November 5</w:t>
      </w:r>
      <w:r>
        <w:rPr>
          <w:vertAlign w:val="superscript"/>
        </w:rPr>
        <w:t>th</w:t>
      </w:r>
      <w:r>
        <w:t xml:space="preserve"> perspective:</w:t>
      </w:r>
    </w:p>
    <w:p w14:paraId="4AE3B5C4" w14:textId="77777777" w:rsidR="0088436C" w:rsidRDefault="00393C15">
      <w:pPr>
        <w:spacing w:before="240" w:after="240"/>
      </w:pPr>
      <w:r>
        <w:t xml:space="preserve">QCOM </w:t>
      </w:r>
      <w:proofErr w:type="gramStart"/>
      <w:r>
        <w:t>closed up</w:t>
      </w:r>
      <w:proofErr w:type="gramEnd"/>
      <w:r>
        <w:t xml:space="preserve"> almost 25.29% in our sample period as investors conti</w:t>
      </w:r>
      <w:r>
        <w:t>nued to rally after the company’s strong Q4 earnings report on 3rd November that exceeded expectations with Earnings per share jumping up to $2.55 from the Q3’s $1.92. This rally was likely also spurred by strong optimism by Qualcomm CEO Cristiano Amon tha</w:t>
      </w:r>
      <w:r>
        <w:t xml:space="preserve">t it expects </w:t>
      </w:r>
      <w:proofErr w:type="spellStart"/>
      <w:proofErr w:type="gramStart"/>
      <w:r>
        <w:t>it’s</w:t>
      </w:r>
      <w:proofErr w:type="spellEnd"/>
      <w:proofErr w:type="gramEnd"/>
      <w:r>
        <w:t xml:space="preserve"> semiconductor supply issues to be materially better by December, especially compared to its rivals like Intel which predicts shortages will last through 2023 or AMD which says chip supply challenges will persist until </w:t>
      </w:r>
      <w:proofErr w:type="spellStart"/>
      <w:r>
        <w:t>mid 2022</w:t>
      </w:r>
      <w:proofErr w:type="spellEnd"/>
      <w:r>
        <w:t xml:space="preserve">. </w:t>
      </w:r>
    </w:p>
    <w:p w14:paraId="4AE3B5C5" w14:textId="77777777" w:rsidR="0088436C" w:rsidRDefault="00393C15">
      <w:pPr>
        <w:spacing w:before="240" w:after="240"/>
      </w:pPr>
      <w:r>
        <w:t xml:space="preserve">This was </w:t>
      </w:r>
      <w:r>
        <w:t>a gamble by Qualcomm that paid off when in early 2021 it decided to direct resources to manufacturing their own processors and expanding their ability to source from multiple suppliers; This is in contrast to companies like Apple which relies on one suppli</w:t>
      </w:r>
      <w:r>
        <w:t>er - TSMC for its own SOC’s.</w:t>
      </w:r>
    </w:p>
    <w:p w14:paraId="4AE3B5C6" w14:textId="77777777" w:rsidR="0088436C" w:rsidRDefault="00393C15">
      <w:pPr>
        <w:pStyle w:val="Heading4"/>
        <w:rPr>
          <w:b/>
          <w:color w:val="000000"/>
        </w:rPr>
      </w:pPr>
      <w:bookmarkStart w:id="8" w:name="_ubvw1u7116su" w:colFirst="0" w:colLast="0"/>
      <w:bookmarkEnd w:id="8"/>
      <w:r>
        <w:rPr>
          <w:b/>
          <w:color w:val="000000"/>
        </w:rPr>
        <w:t>3.2 Most Uncertain Stock: NVDA</w:t>
      </w:r>
    </w:p>
    <w:p w14:paraId="4AE3B5C7" w14:textId="77777777" w:rsidR="0088436C" w:rsidRDefault="00393C15">
      <w:r>
        <w:t>We expect NVDA to be the stock with the highest volatility (uncertainty) in October 2021.</w:t>
      </w:r>
    </w:p>
    <w:p w14:paraId="4AE3B5C8" w14:textId="77777777" w:rsidR="0088436C" w:rsidRDefault="00393C15">
      <w:r>
        <w:t>There is a possibility of a strong bullish trend in the price of NVDA with high upward volatility in October 2021 given the strong positive sentiment as we approach the Q3 earnings announcement. In August 2021, NVIDIA revenue was reported to be up 68% from</w:t>
      </w:r>
      <w:r>
        <w:t xml:space="preserve"> a year </w:t>
      </w:r>
      <w:r>
        <w:lastRenderedPageBreak/>
        <w:t xml:space="preserve">ago, strongly driven by gaming and data </w:t>
      </w:r>
      <w:proofErr w:type="spellStart"/>
      <w:r>
        <w:t>center</w:t>
      </w:r>
      <w:proofErr w:type="spellEnd"/>
      <w:r>
        <w:t xml:space="preserve"> revenue which saw an annual increase of 85% and 35% respectively. Earnings per diluted share was also up 24% from the previous quarter. In addition, NVIDIA continues to innovate and upgrade its product</w:t>
      </w:r>
      <w:r>
        <w:t>s as they introduced new and better performing GPUs and AI software and interfaces in the same quarter, further building positive sentiment.</w:t>
      </w:r>
    </w:p>
    <w:p w14:paraId="4AE3B5C9" w14:textId="77777777" w:rsidR="0088436C" w:rsidRDefault="0088436C"/>
    <w:p w14:paraId="4AE3B5CA" w14:textId="77777777" w:rsidR="0088436C" w:rsidRDefault="00393C15">
      <w:r>
        <w:t>Furthermore, the high demand for advanced chips in trending applications such as AI and cloud computing along with</w:t>
      </w:r>
      <w:r>
        <w:t xml:space="preserve"> the increased digitization and transition towards 5G due to COVID-19 has </w:t>
      </w:r>
      <w:proofErr w:type="spellStart"/>
      <w:r>
        <w:t>fueled</w:t>
      </w:r>
      <w:proofErr w:type="spellEnd"/>
      <w:r>
        <w:t xml:space="preserve"> revenue for NVIDIA’s various enterprise hardware and software. As the industry races to revolutionize, the demand for more cutting-edge and better performing chips may continu</w:t>
      </w:r>
      <w:r>
        <w:t>e for a long time to come, possibly stimulating NVIDIA’s further growth and expansion in the long run.</w:t>
      </w:r>
    </w:p>
    <w:p w14:paraId="4AE3B5CB" w14:textId="77777777" w:rsidR="0088436C" w:rsidRDefault="0088436C"/>
    <w:p w14:paraId="4AE3B5CC" w14:textId="77777777" w:rsidR="0088436C" w:rsidRDefault="00393C15">
      <w:r>
        <w:t>However, NVDA continued to trade around its 1-year high in the first few weeks of September and dropped 12% in the last week of September giving us reason to expect high volatility in the upcoming weeks and a strong trend reversal is still a possibility. T</w:t>
      </w:r>
      <w:r>
        <w:t>his uncertainty and volatility leads us to implement an options straddle and purchase one put and one call for each stock of NVDA in our portfolio with the exercise price one standard deviation from the current stock price that expires on 5 November.</w:t>
      </w:r>
    </w:p>
    <w:p w14:paraId="4AE3B5CD" w14:textId="77777777" w:rsidR="0088436C" w:rsidRDefault="0088436C"/>
    <w:p w14:paraId="4AE3B5CE" w14:textId="77777777" w:rsidR="0088436C" w:rsidRDefault="00393C15">
      <w:pPr>
        <w:spacing w:before="300" w:line="16" w:lineRule="auto"/>
      </w:pPr>
      <w:r>
        <w:t>As o</w:t>
      </w:r>
      <w:r>
        <w:t>f 18 October 2021,</w:t>
      </w:r>
    </w:p>
    <w:p w14:paraId="4AE3B5CF" w14:textId="77777777" w:rsidR="0088436C" w:rsidRDefault="0088436C"/>
    <w:tbl>
      <w:tblPr>
        <w:tblStyle w:val="a5"/>
        <w:tblW w:w="8940"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875"/>
        <w:gridCol w:w="1875"/>
        <w:gridCol w:w="1875"/>
        <w:gridCol w:w="1875"/>
      </w:tblGrid>
      <w:tr w:rsidR="0088436C" w14:paraId="4AE3B5D5" w14:textId="77777777">
        <w:tc>
          <w:tcPr>
            <w:tcW w:w="1440" w:type="dxa"/>
            <w:shd w:val="clear" w:color="auto" w:fill="auto"/>
            <w:tcMar>
              <w:top w:w="100" w:type="dxa"/>
              <w:left w:w="100" w:type="dxa"/>
              <w:bottom w:w="100" w:type="dxa"/>
              <w:right w:w="100" w:type="dxa"/>
            </w:tcMar>
          </w:tcPr>
          <w:p w14:paraId="4AE3B5D0" w14:textId="77777777" w:rsidR="0088436C" w:rsidRDefault="0088436C">
            <w:pPr>
              <w:widowControl w:val="0"/>
              <w:pBdr>
                <w:top w:val="nil"/>
                <w:left w:val="nil"/>
                <w:bottom w:val="nil"/>
                <w:right w:val="nil"/>
                <w:between w:val="nil"/>
              </w:pBdr>
              <w:spacing w:line="240" w:lineRule="auto"/>
              <w:jc w:val="center"/>
            </w:pPr>
          </w:p>
        </w:tc>
        <w:tc>
          <w:tcPr>
            <w:tcW w:w="1875" w:type="dxa"/>
            <w:shd w:val="clear" w:color="auto" w:fill="auto"/>
            <w:tcMar>
              <w:top w:w="100" w:type="dxa"/>
              <w:left w:w="100" w:type="dxa"/>
              <w:bottom w:w="100" w:type="dxa"/>
              <w:right w:w="100" w:type="dxa"/>
            </w:tcMar>
          </w:tcPr>
          <w:p w14:paraId="4AE3B5D1" w14:textId="77777777" w:rsidR="0088436C" w:rsidRDefault="00393C15">
            <w:pPr>
              <w:widowControl w:val="0"/>
              <w:pBdr>
                <w:top w:val="nil"/>
                <w:left w:val="nil"/>
                <w:bottom w:val="nil"/>
                <w:right w:val="nil"/>
                <w:between w:val="nil"/>
              </w:pBdr>
              <w:spacing w:line="240" w:lineRule="auto"/>
              <w:jc w:val="center"/>
            </w:pPr>
            <w:r>
              <w:t>Exercise Price</w:t>
            </w:r>
          </w:p>
        </w:tc>
        <w:tc>
          <w:tcPr>
            <w:tcW w:w="1875" w:type="dxa"/>
            <w:shd w:val="clear" w:color="auto" w:fill="auto"/>
            <w:tcMar>
              <w:top w:w="100" w:type="dxa"/>
              <w:left w:w="100" w:type="dxa"/>
              <w:bottom w:w="100" w:type="dxa"/>
              <w:right w:w="100" w:type="dxa"/>
            </w:tcMar>
          </w:tcPr>
          <w:p w14:paraId="4AE3B5D2" w14:textId="77777777" w:rsidR="0088436C" w:rsidRDefault="00393C15">
            <w:pPr>
              <w:widowControl w:val="0"/>
              <w:pBdr>
                <w:top w:val="nil"/>
                <w:left w:val="nil"/>
                <w:bottom w:val="nil"/>
                <w:right w:val="nil"/>
                <w:between w:val="nil"/>
              </w:pBdr>
              <w:spacing w:line="240" w:lineRule="auto"/>
              <w:jc w:val="center"/>
            </w:pPr>
            <w:r>
              <w:t>Implied Volatility (annual)</w:t>
            </w:r>
          </w:p>
        </w:tc>
        <w:tc>
          <w:tcPr>
            <w:tcW w:w="1875" w:type="dxa"/>
            <w:shd w:val="clear" w:color="auto" w:fill="auto"/>
            <w:tcMar>
              <w:top w:w="100" w:type="dxa"/>
              <w:left w:w="100" w:type="dxa"/>
              <w:bottom w:w="100" w:type="dxa"/>
              <w:right w:w="100" w:type="dxa"/>
            </w:tcMar>
          </w:tcPr>
          <w:p w14:paraId="4AE3B5D3" w14:textId="77777777" w:rsidR="0088436C" w:rsidRDefault="00393C15">
            <w:pPr>
              <w:widowControl w:val="0"/>
              <w:pBdr>
                <w:top w:val="nil"/>
                <w:left w:val="nil"/>
                <w:bottom w:val="nil"/>
                <w:right w:val="nil"/>
                <w:between w:val="nil"/>
              </w:pBdr>
              <w:spacing w:line="240" w:lineRule="auto"/>
              <w:jc w:val="center"/>
            </w:pPr>
            <w:r>
              <w:t>Daily Volatility</w:t>
            </w:r>
          </w:p>
        </w:tc>
        <w:tc>
          <w:tcPr>
            <w:tcW w:w="1875" w:type="dxa"/>
            <w:shd w:val="clear" w:color="auto" w:fill="auto"/>
            <w:tcMar>
              <w:top w:w="100" w:type="dxa"/>
              <w:left w:w="100" w:type="dxa"/>
              <w:bottom w:w="100" w:type="dxa"/>
              <w:right w:w="100" w:type="dxa"/>
            </w:tcMar>
          </w:tcPr>
          <w:p w14:paraId="4AE3B5D4" w14:textId="77777777" w:rsidR="0088436C" w:rsidRDefault="00393C15">
            <w:pPr>
              <w:widowControl w:val="0"/>
              <w:pBdr>
                <w:top w:val="nil"/>
                <w:left w:val="nil"/>
                <w:bottom w:val="nil"/>
                <w:right w:val="nil"/>
                <w:between w:val="nil"/>
              </w:pBdr>
              <w:spacing w:line="240" w:lineRule="auto"/>
              <w:jc w:val="center"/>
            </w:pPr>
            <w:r>
              <w:t>Sample Volatility (18 days)</w:t>
            </w:r>
          </w:p>
        </w:tc>
      </w:tr>
      <w:tr w:rsidR="0088436C" w14:paraId="4AE3B5DB" w14:textId="77777777">
        <w:tc>
          <w:tcPr>
            <w:tcW w:w="1440" w:type="dxa"/>
            <w:shd w:val="clear" w:color="auto" w:fill="auto"/>
            <w:tcMar>
              <w:top w:w="100" w:type="dxa"/>
              <w:left w:w="100" w:type="dxa"/>
              <w:bottom w:w="100" w:type="dxa"/>
              <w:right w:w="100" w:type="dxa"/>
            </w:tcMar>
          </w:tcPr>
          <w:p w14:paraId="4AE3B5D6" w14:textId="77777777" w:rsidR="0088436C" w:rsidRDefault="00393C15">
            <w:pPr>
              <w:widowControl w:val="0"/>
              <w:pBdr>
                <w:top w:val="nil"/>
                <w:left w:val="nil"/>
                <w:bottom w:val="nil"/>
                <w:right w:val="nil"/>
                <w:between w:val="nil"/>
              </w:pBdr>
              <w:spacing w:line="240" w:lineRule="auto"/>
              <w:jc w:val="center"/>
            </w:pPr>
            <w:r>
              <w:t>ATM Calls</w:t>
            </w:r>
          </w:p>
        </w:tc>
        <w:tc>
          <w:tcPr>
            <w:tcW w:w="1875" w:type="dxa"/>
            <w:shd w:val="clear" w:color="auto" w:fill="auto"/>
            <w:tcMar>
              <w:top w:w="100" w:type="dxa"/>
              <w:left w:w="100" w:type="dxa"/>
              <w:bottom w:w="100" w:type="dxa"/>
              <w:right w:w="100" w:type="dxa"/>
            </w:tcMar>
          </w:tcPr>
          <w:p w14:paraId="4AE3B5D7" w14:textId="77777777" w:rsidR="0088436C" w:rsidRDefault="00393C15">
            <w:pPr>
              <w:widowControl w:val="0"/>
              <w:pBdr>
                <w:top w:val="nil"/>
                <w:left w:val="nil"/>
                <w:bottom w:val="nil"/>
                <w:right w:val="nil"/>
                <w:between w:val="nil"/>
              </w:pBdr>
              <w:spacing w:line="240" w:lineRule="auto"/>
              <w:jc w:val="center"/>
            </w:pPr>
            <w:r>
              <w:t>225</w:t>
            </w:r>
          </w:p>
        </w:tc>
        <w:tc>
          <w:tcPr>
            <w:tcW w:w="1875" w:type="dxa"/>
            <w:shd w:val="clear" w:color="auto" w:fill="auto"/>
            <w:tcMar>
              <w:top w:w="100" w:type="dxa"/>
              <w:left w:w="100" w:type="dxa"/>
              <w:bottom w:w="100" w:type="dxa"/>
              <w:right w:w="100" w:type="dxa"/>
            </w:tcMar>
          </w:tcPr>
          <w:p w14:paraId="4AE3B5D8" w14:textId="77777777" w:rsidR="0088436C" w:rsidRDefault="00393C15">
            <w:pPr>
              <w:widowControl w:val="0"/>
              <w:pBdr>
                <w:top w:val="nil"/>
                <w:left w:val="nil"/>
                <w:bottom w:val="nil"/>
                <w:right w:val="nil"/>
                <w:between w:val="nil"/>
              </w:pBdr>
              <w:spacing w:line="240" w:lineRule="auto"/>
              <w:jc w:val="center"/>
            </w:pPr>
            <w:r>
              <w:t>32.83%</w:t>
            </w:r>
          </w:p>
        </w:tc>
        <w:tc>
          <w:tcPr>
            <w:tcW w:w="1875" w:type="dxa"/>
            <w:shd w:val="clear" w:color="auto" w:fill="auto"/>
            <w:tcMar>
              <w:top w:w="100" w:type="dxa"/>
              <w:left w:w="100" w:type="dxa"/>
              <w:bottom w:w="100" w:type="dxa"/>
              <w:right w:w="100" w:type="dxa"/>
            </w:tcMar>
          </w:tcPr>
          <w:p w14:paraId="4AE3B5D9" w14:textId="77777777" w:rsidR="0088436C" w:rsidRDefault="00393C15">
            <w:pPr>
              <w:widowControl w:val="0"/>
              <w:pBdr>
                <w:top w:val="nil"/>
                <w:left w:val="nil"/>
                <w:bottom w:val="nil"/>
                <w:right w:val="nil"/>
                <w:between w:val="nil"/>
              </w:pBdr>
              <w:spacing w:line="240" w:lineRule="auto"/>
              <w:jc w:val="center"/>
            </w:pPr>
            <w:r>
              <w:t>2.07%</w:t>
            </w:r>
          </w:p>
        </w:tc>
        <w:tc>
          <w:tcPr>
            <w:tcW w:w="1875" w:type="dxa"/>
            <w:shd w:val="clear" w:color="auto" w:fill="auto"/>
            <w:tcMar>
              <w:top w:w="100" w:type="dxa"/>
              <w:left w:w="100" w:type="dxa"/>
              <w:bottom w:w="100" w:type="dxa"/>
              <w:right w:w="100" w:type="dxa"/>
            </w:tcMar>
          </w:tcPr>
          <w:p w14:paraId="4AE3B5DA" w14:textId="77777777" w:rsidR="0088436C" w:rsidRDefault="00393C15">
            <w:pPr>
              <w:widowControl w:val="0"/>
              <w:pBdr>
                <w:top w:val="nil"/>
                <w:left w:val="nil"/>
                <w:bottom w:val="nil"/>
                <w:right w:val="nil"/>
                <w:between w:val="nil"/>
              </w:pBdr>
              <w:spacing w:line="240" w:lineRule="auto"/>
              <w:jc w:val="center"/>
            </w:pPr>
            <w:r>
              <w:t>8.77%</w:t>
            </w:r>
          </w:p>
        </w:tc>
      </w:tr>
      <w:tr w:rsidR="0088436C" w14:paraId="4AE3B5E1" w14:textId="77777777">
        <w:tc>
          <w:tcPr>
            <w:tcW w:w="1440" w:type="dxa"/>
            <w:shd w:val="clear" w:color="auto" w:fill="auto"/>
            <w:tcMar>
              <w:top w:w="100" w:type="dxa"/>
              <w:left w:w="100" w:type="dxa"/>
              <w:bottom w:w="100" w:type="dxa"/>
              <w:right w:w="100" w:type="dxa"/>
            </w:tcMar>
          </w:tcPr>
          <w:p w14:paraId="4AE3B5DC" w14:textId="77777777" w:rsidR="0088436C" w:rsidRDefault="00393C15">
            <w:pPr>
              <w:widowControl w:val="0"/>
              <w:pBdr>
                <w:top w:val="nil"/>
                <w:left w:val="nil"/>
                <w:bottom w:val="nil"/>
                <w:right w:val="nil"/>
                <w:between w:val="nil"/>
              </w:pBdr>
              <w:spacing w:line="240" w:lineRule="auto"/>
              <w:jc w:val="center"/>
            </w:pPr>
            <w:r>
              <w:t>ATM Puts</w:t>
            </w:r>
          </w:p>
        </w:tc>
        <w:tc>
          <w:tcPr>
            <w:tcW w:w="1875" w:type="dxa"/>
            <w:shd w:val="clear" w:color="auto" w:fill="auto"/>
            <w:tcMar>
              <w:top w:w="100" w:type="dxa"/>
              <w:left w:w="100" w:type="dxa"/>
              <w:bottom w:w="100" w:type="dxa"/>
              <w:right w:w="100" w:type="dxa"/>
            </w:tcMar>
          </w:tcPr>
          <w:p w14:paraId="4AE3B5DD" w14:textId="77777777" w:rsidR="0088436C" w:rsidRDefault="00393C15">
            <w:pPr>
              <w:widowControl w:val="0"/>
              <w:pBdr>
                <w:top w:val="nil"/>
                <w:left w:val="nil"/>
                <w:bottom w:val="nil"/>
                <w:right w:val="nil"/>
                <w:between w:val="nil"/>
              </w:pBdr>
              <w:spacing w:line="240" w:lineRule="auto"/>
              <w:jc w:val="center"/>
            </w:pPr>
            <w:r>
              <w:t>220</w:t>
            </w:r>
          </w:p>
        </w:tc>
        <w:tc>
          <w:tcPr>
            <w:tcW w:w="1875" w:type="dxa"/>
            <w:shd w:val="clear" w:color="auto" w:fill="auto"/>
            <w:tcMar>
              <w:top w:w="100" w:type="dxa"/>
              <w:left w:w="100" w:type="dxa"/>
              <w:bottom w:w="100" w:type="dxa"/>
              <w:right w:w="100" w:type="dxa"/>
            </w:tcMar>
          </w:tcPr>
          <w:p w14:paraId="4AE3B5DE" w14:textId="77777777" w:rsidR="0088436C" w:rsidRDefault="00393C15">
            <w:pPr>
              <w:widowControl w:val="0"/>
              <w:pBdr>
                <w:top w:val="nil"/>
                <w:left w:val="nil"/>
                <w:bottom w:val="nil"/>
                <w:right w:val="nil"/>
                <w:between w:val="nil"/>
              </w:pBdr>
              <w:spacing w:line="240" w:lineRule="auto"/>
              <w:jc w:val="center"/>
            </w:pPr>
            <w:r>
              <w:t>31.38%</w:t>
            </w:r>
          </w:p>
        </w:tc>
        <w:tc>
          <w:tcPr>
            <w:tcW w:w="1875" w:type="dxa"/>
            <w:shd w:val="clear" w:color="auto" w:fill="auto"/>
            <w:tcMar>
              <w:top w:w="100" w:type="dxa"/>
              <w:left w:w="100" w:type="dxa"/>
              <w:bottom w:w="100" w:type="dxa"/>
              <w:right w:w="100" w:type="dxa"/>
            </w:tcMar>
          </w:tcPr>
          <w:p w14:paraId="4AE3B5DF" w14:textId="77777777" w:rsidR="0088436C" w:rsidRDefault="00393C15">
            <w:pPr>
              <w:widowControl w:val="0"/>
              <w:pBdr>
                <w:top w:val="nil"/>
                <w:left w:val="nil"/>
                <w:bottom w:val="nil"/>
                <w:right w:val="nil"/>
                <w:between w:val="nil"/>
              </w:pBdr>
              <w:spacing w:line="240" w:lineRule="auto"/>
              <w:jc w:val="center"/>
            </w:pPr>
            <w:r>
              <w:t>1.98%</w:t>
            </w:r>
          </w:p>
        </w:tc>
        <w:tc>
          <w:tcPr>
            <w:tcW w:w="1875" w:type="dxa"/>
            <w:shd w:val="clear" w:color="auto" w:fill="auto"/>
            <w:tcMar>
              <w:top w:w="100" w:type="dxa"/>
              <w:left w:w="100" w:type="dxa"/>
              <w:bottom w:w="100" w:type="dxa"/>
              <w:right w:w="100" w:type="dxa"/>
            </w:tcMar>
          </w:tcPr>
          <w:p w14:paraId="4AE3B5E0" w14:textId="77777777" w:rsidR="0088436C" w:rsidRDefault="00393C15">
            <w:pPr>
              <w:widowControl w:val="0"/>
              <w:pBdr>
                <w:top w:val="nil"/>
                <w:left w:val="nil"/>
                <w:bottom w:val="nil"/>
                <w:right w:val="nil"/>
                <w:between w:val="nil"/>
              </w:pBdr>
              <w:spacing w:line="240" w:lineRule="auto"/>
              <w:jc w:val="center"/>
            </w:pPr>
            <w:r>
              <w:t>8.37%</w:t>
            </w:r>
          </w:p>
        </w:tc>
      </w:tr>
    </w:tbl>
    <w:p w14:paraId="4AE3B5E2" w14:textId="77777777" w:rsidR="0088436C" w:rsidRDefault="00393C15">
      <w:r>
        <w:tab/>
      </w:r>
      <w:r>
        <w:t>*Exact ATM options unavailable. Approximated using slightly ITM options.</w:t>
      </w:r>
    </w:p>
    <w:p w14:paraId="4AE3B5E3" w14:textId="77777777" w:rsidR="0088436C" w:rsidRDefault="0088436C"/>
    <w:tbl>
      <w:tblPr>
        <w:tblStyle w:val="a6"/>
        <w:tblW w:w="7230" w:type="dxa"/>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2355"/>
      </w:tblGrid>
      <w:tr w:rsidR="0088436C" w14:paraId="4AE3B5E6" w14:textId="77777777">
        <w:tc>
          <w:tcPr>
            <w:tcW w:w="4875" w:type="dxa"/>
            <w:shd w:val="clear" w:color="auto" w:fill="auto"/>
            <w:tcMar>
              <w:top w:w="100" w:type="dxa"/>
              <w:left w:w="100" w:type="dxa"/>
              <w:bottom w:w="100" w:type="dxa"/>
              <w:right w:w="100" w:type="dxa"/>
            </w:tcMar>
          </w:tcPr>
          <w:p w14:paraId="4AE3B5E4" w14:textId="77777777" w:rsidR="0088436C" w:rsidRDefault="00393C15">
            <w:pPr>
              <w:widowControl w:val="0"/>
              <w:pBdr>
                <w:top w:val="nil"/>
                <w:left w:val="nil"/>
                <w:bottom w:val="nil"/>
                <w:right w:val="nil"/>
                <w:between w:val="nil"/>
              </w:pBdr>
              <w:spacing w:line="240" w:lineRule="auto"/>
              <w:jc w:val="center"/>
            </w:pPr>
            <w:proofErr w:type="spellStart"/>
            <w:r>
              <w:t>Num</w:t>
            </w:r>
            <w:proofErr w:type="spellEnd"/>
            <w:r>
              <w:t xml:space="preserve"> Shares of NVDA in Portfolio</w:t>
            </w:r>
          </w:p>
        </w:tc>
        <w:tc>
          <w:tcPr>
            <w:tcW w:w="2355" w:type="dxa"/>
            <w:shd w:val="clear" w:color="auto" w:fill="auto"/>
            <w:tcMar>
              <w:top w:w="100" w:type="dxa"/>
              <w:left w:w="100" w:type="dxa"/>
              <w:bottom w:w="100" w:type="dxa"/>
              <w:right w:w="100" w:type="dxa"/>
            </w:tcMar>
          </w:tcPr>
          <w:p w14:paraId="4AE3B5E5" w14:textId="77777777" w:rsidR="0088436C" w:rsidRDefault="00393C15">
            <w:pPr>
              <w:widowControl w:val="0"/>
              <w:pBdr>
                <w:top w:val="nil"/>
                <w:left w:val="nil"/>
                <w:bottom w:val="nil"/>
                <w:right w:val="nil"/>
                <w:between w:val="nil"/>
              </w:pBdr>
              <w:spacing w:line="240" w:lineRule="auto"/>
              <w:jc w:val="center"/>
            </w:pPr>
            <w:r>
              <w:t>174023</w:t>
            </w:r>
          </w:p>
        </w:tc>
      </w:tr>
      <w:tr w:rsidR="0088436C" w14:paraId="4AE3B5E9" w14:textId="77777777">
        <w:tc>
          <w:tcPr>
            <w:tcW w:w="4875" w:type="dxa"/>
            <w:shd w:val="clear" w:color="auto" w:fill="auto"/>
            <w:tcMar>
              <w:top w:w="100" w:type="dxa"/>
              <w:left w:w="100" w:type="dxa"/>
              <w:bottom w:w="100" w:type="dxa"/>
              <w:right w:w="100" w:type="dxa"/>
            </w:tcMar>
          </w:tcPr>
          <w:p w14:paraId="4AE3B5E7" w14:textId="77777777" w:rsidR="0088436C" w:rsidRDefault="00393C15">
            <w:pPr>
              <w:widowControl w:val="0"/>
              <w:pBdr>
                <w:top w:val="nil"/>
                <w:left w:val="nil"/>
                <w:bottom w:val="nil"/>
                <w:right w:val="nil"/>
                <w:between w:val="nil"/>
              </w:pBdr>
              <w:spacing w:line="240" w:lineRule="auto"/>
              <w:jc w:val="center"/>
            </w:pPr>
            <w:r>
              <w:t>NVDA Adjusted Close (on 18/10/21)</w:t>
            </w:r>
          </w:p>
        </w:tc>
        <w:tc>
          <w:tcPr>
            <w:tcW w:w="2355" w:type="dxa"/>
            <w:shd w:val="clear" w:color="auto" w:fill="auto"/>
            <w:tcMar>
              <w:top w:w="100" w:type="dxa"/>
              <w:left w:w="100" w:type="dxa"/>
              <w:bottom w:w="100" w:type="dxa"/>
              <w:right w:w="100" w:type="dxa"/>
            </w:tcMar>
          </w:tcPr>
          <w:p w14:paraId="4AE3B5E8" w14:textId="77777777" w:rsidR="0088436C" w:rsidRDefault="00393C15">
            <w:pPr>
              <w:widowControl w:val="0"/>
              <w:pBdr>
                <w:top w:val="nil"/>
                <w:left w:val="nil"/>
                <w:bottom w:val="nil"/>
                <w:right w:val="nil"/>
                <w:between w:val="nil"/>
              </w:pBdr>
              <w:spacing w:line="240" w:lineRule="auto"/>
              <w:jc w:val="center"/>
            </w:pPr>
            <w:r>
              <w:t>$222.22</w:t>
            </w:r>
          </w:p>
        </w:tc>
      </w:tr>
      <w:tr w:rsidR="0088436C" w14:paraId="4AE3B5EC" w14:textId="77777777">
        <w:tc>
          <w:tcPr>
            <w:tcW w:w="4875" w:type="dxa"/>
            <w:shd w:val="clear" w:color="auto" w:fill="auto"/>
            <w:tcMar>
              <w:top w:w="100" w:type="dxa"/>
              <w:left w:w="100" w:type="dxa"/>
              <w:bottom w:w="100" w:type="dxa"/>
              <w:right w:w="100" w:type="dxa"/>
            </w:tcMar>
          </w:tcPr>
          <w:p w14:paraId="4AE3B5EA" w14:textId="77777777" w:rsidR="0088436C" w:rsidRDefault="00393C15">
            <w:pPr>
              <w:widowControl w:val="0"/>
              <w:pBdr>
                <w:top w:val="nil"/>
                <w:left w:val="nil"/>
                <w:bottom w:val="nil"/>
                <w:right w:val="nil"/>
                <w:between w:val="nil"/>
              </w:pBdr>
              <w:spacing w:line="240" w:lineRule="auto"/>
              <w:jc w:val="center"/>
            </w:pPr>
            <w:r>
              <w:t>+1 Standard Deviation of Return from the Current Stock Price (Calls)</w:t>
            </w:r>
          </w:p>
        </w:tc>
        <w:tc>
          <w:tcPr>
            <w:tcW w:w="2355" w:type="dxa"/>
            <w:shd w:val="clear" w:color="auto" w:fill="auto"/>
            <w:tcMar>
              <w:top w:w="100" w:type="dxa"/>
              <w:left w:w="100" w:type="dxa"/>
              <w:bottom w:w="100" w:type="dxa"/>
              <w:right w:w="100" w:type="dxa"/>
            </w:tcMar>
          </w:tcPr>
          <w:p w14:paraId="4AE3B5EB" w14:textId="77777777" w:rsidR="0088436C" w:rsidRDefault="00393C15">
            <w:pPr>
              <w:widowControl w:val="0"/>
              <w:pBdr>
                <w:top w:val="nil"/>
                <w:left w:val="nil"/>
                <w:bottom w:val="nil"/>
                <w:right w:val="nil"/>
                <w:between w:val="nil"/>
              </w:pBdr>
              <w:spacing w:line="240" w:lineRule="auto"/>
              <w:jc w:val="center"/>
            </w:pPr>
            <w:r>
              <w:t>$241.70</w:t>
            </w:r>
          </w:p>
        </w:tc>
      </w:tr>
      <w:tr w:rsidR="0088436C" w14:paraId="4AE3B5EF" w14:textId="77777777">
        <w:tc>
          <w:tcPr>
            <w:tcW w:w="4875" w:type="dxa"/>
            <w:shd w:val="clear" w:color="auto" w:fill="auto"/>
            <w:tcMar>
              <w:top w:w="100" w:type="dxa"/>
              <w:left w:w="100" w:type="dxa"/>
              <w:bottom w:w="100" w:type="dxa"/>
              <w:right w:w="100" w:type="dxa"/>
            </w:tcMar>
          </w:tcPr>
          <w:p w14:paraId="4AE3B5ED" w14:textId="77777777" w:rsidR="0088436C" w:rsidRDefault="00393C15">
            <w:pPr>
              <w:widowControl w:val="0"/>
              <w:pBdr>
                <w:top w:val="nil"/>
                <w:left w:val="nil"/>
                <w:bottom w:val="nil"/>
                <w:right w:val="nil"/>
                <w:between w:val="nil"/>
              </w:pBdr>
              <w:spacing w:line="240" w:lineRule="auto"/>
              <w:jc w:val="center"/>
            </w:pPr>
            <w:r>
              <w:t>-1 Standard Deviation of Return from the Current Stock Price (Puts)</w:t>
            </w:r>
          </w:p>
        </w:tc>
        <w:tc>
          <w:tcPr>
            <w:tcW w:w="2355" w:type="dxa"/>
            <w:shd w:val="clear" w:color="auto" w:fill="auto"/>
            <w:tcMar>
              <w:top w:w="100" w:type="dxa"/>
              <w:left w:w="100" w:type="dxa"/>
              <w:bottom w:w="100" w:type="dxa"/>
              <w:right w:w="100" w:type="dxa"/>
            </w:tcMar>
          </w:tcPr>
          <w:p w14:paraId="4AE3B5EE" w14:textId="77777777" w:rsidR="0088436C" w:rsidRDefault="00393C15">
            <w:pPr>
              <w:widowControl w:val="0"/>
              <w:pBdr>
                <w:top w:val="nil"/>
                <w:left w:val="nil"/>
                <w:bottom w:val="nil"/>
                <w:right w:val="nil"/>
                <w:between w:val="nil"/>
              </w:pBdr>
              <w:spacing w:line="240" w:lineRule="auto"/>
              <w:jc w:val="center"/>
            </w:pPr>
            <w:r>
              <w:t>$203.62</w:t>
            </w:r>
          </w:p>
        </w:tc>
      </w:tr>
    </w:tbl>
    <w:p w14:paraId="4AE3B5F0" w14:textId="77777777" w:rsidR="0088436C" w:rsidRDefault="0088436C"/>
    <w:p w14:paraId="4AE3B5F1" w14:textId="77777777" w:rsidR="0088436C" w:rsidRDefault="00393C15">
      <w:r>
        <w:t>Based on our estimates of sample volatility from the implied volatility of ITM options, we have deci</w:t>
      </w:r>
      <w:r>
        <w:t>ded to purchase these options on 18 October 2021 that expire on 5 November 2021.</w:t>
      </w:r>
    </w:p>
    <w:p w14:paraId="4AE3B5F2" w14:textId="77777777" w:rsidR="0088436C" w:rsidRDefault="0088436C"/>
    <w:tbl>
      <w:tblPr>
        <w:tblStyle w:val="a7"/>
        <w:tblW w:w="5184" w:type="dxa"/>
        <w:tblInd w:w="1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8"/>
        <w:gridCol w:w="1728"/>
        <w:gridCol w:w="1728"/>
      </w:tblGrid>
      <w:tr w:rsidR="0088436C" w14:paraId="4AE3B5F6" w14:textId="77777777">
        <w:trPr>
          <w:trHeight w:val="325"/>
        </w:trPr>
        <w:tc>
          <w:tcPr>
            <w:tcW w:w="1727" w:type="dxa"/>
            <w:shd w:val="clear" w:color="auto" w:fill="auto"/>
            <w:tcMar>
              <w:top w:w="100" w:type="dxa"/>
              <w:left w:w="100" w:type="dxa"/>
              <w:bottom w:w="100" w:type="dxa"/>
              <w:right w:w="100" w:type="dxa"/>
            </w:tcMar>
          </w:tcPr>
          <w:p w14:paraId="4AE3B5F3" w14:textId="77777777" w:rsidR="0088436C" w:rsidRDefault="0088436C">
            <w:pPr>
              <w:widowControl w:val="0"/>
              <w:pBdr>
                <w:top w:val="nil"/>
                <w:left w:val="nil"/>
                <w:bottom w:val="nil"/>
                <w:right w:val="nil"/>
                <w:between w:val="nil"/>
              </w:pBdr>
              <w:spacing w:line="240" w:lineRule="auto"/>
            </w:pPr>
          </w:p>
        </w:tc>
        <w:tc>
          <w:tcPr>
            <w:tcW w:w="1727" w:type="dxa"/>
            <w:shd w:val="clear" w:color="auto" w:fill="auto"/>
            <w:tcMar>
              <w:top w:w="100" w:type="dxa"/>
              <w:left w:w="100" w:type="dxa"/>
              <w:bottom w:w="100" w:type="dxa"/>
              <w:right w:w="100" w:type="dxa"/>
            </w:tcMar>
          </w:tcPr>
          <w:p w14:paraId="4AE3B5F4" w14:textId="77777777" w:rsidR="0088436C" w:rsidRDefault="00393C15">
            <w:pPr>
              <w:widowControl w:val="0"/>
              <w:pBdr>
                <w:top w:val="nil"/>
                <w:left w:val="nil"/>
                <w:bottom w:val="nil"/>
                <w:right w:val="nil"/>
                <w:between w:val="nil"/>
              </w:pBdr>
              <w:spacing w:line="240" w:lineRule="auto"/>
              <w:jc w:val="center"/>
            </w:pPr>
            <w:r>
              <w:t>Exercise Price</w:t>
            </w:r>
          </w:p>
        </w:tc>
        <w:tc>
          <w:tcPr>
            <w:tcW w:w="1727" w:type="dxa"/>
            <w:shd w:val="clear" w:color="auto" w:fill="auto"/>
            <w:tcMar>
              <w:top w:w="100" w:type="dxa"/>
              <w:left w:w="100" w:type="dxa"/>
              <w:bottom w:w="100" w:type="dxa"/>
              <w:right w:w="100" w:type="dxa"/>
            </w:tcMar>
          </w:tcPr>
          <w:p w14:paraId="4AE3B5F5" w14:textId="77777777" w:rsidR="0088436C" w:rsidRDefault="00393C15">
            <w:pPr>
              <w:widowControl w:val="0"/>
              <w:pBdr>
                <w:top w:val="nil"/>
                <w:left w:val="nil"/>
                <w:bottom w:val="nil"/>
                <w:right w:val="nil"/>
                <w:between w:val="nil"/>
              </w:pBdr>
              <w:spacing w:line="240" w:lineRule="auto"/>
              <w:jc w:val="center"/>
            </w:pPr>
            <w:r>
              <w:t>Cost</w:t>
            </w:r>
          </w:p>
        </w:tc>
      </w:tr>
      <w:tr w:rsidR="0088436C" w14:paraId="4AE3B5FA" w14:textId="77777777">
        <w:tc>
          <w:tcPr>
            <w:tcW w:w="1727" w:type="dxa"/>
            <w:shd w:val="clear" w:color="auto" w:fill="auto"/>
            <w:tcMar>
              <w:top w:w="100" w:type="dxa"/>
              <w:left w:w="100" w:type="dxa"/>
              <w:bottom w:w="100" w:type="dxa"/>
              <w:right w:w="100" w:type="dxa"/>
            </w:tcMar>
          </w:tcPr>
          <w:p w14:paraId="4AE3B5F7" w14:textId="77777777" w:rsidR="0088436C" w:rsidRDefault="00393C15">
            <w:pPr>
              <w:widowControl w:val="0"/>
              <w:pBdr>
                <w:top w:val="nil"/>
                <w:left w:val="nil"/>
                <w:bottom w:val="nil"/>
                <w:right w:val="nil"/>
                <w:between w:val="nil"/>
              </w:pBdr>
              <w:spacing w:line="240" w:lineRule="auto"/>
              <w:jc w:val="center"/>
            </w:pPr>
            <w:r>
              <w:t>Calls</w:t>
            </w:r>
          </w:p>
        </w:tc>
        <w:tc>
          <w:tcPr>
            <w:tcW w:w="1727" w:type="dxa"/>
            <w:shd w:val="clear" w:color="auto" w:fill="auto"/>
            <w:tcMar>
              <w:top w:w="100" w:type="dxa"/>
              <w:left w:w="100" w:type="dxa"/>
              <w:bottom w:w="100" w:type="dxa"/>
              <w:right w:w="100" w:type="dxa"/>
            </w:tcMar>
          </w:tcPr>
          <w:p w14:paraId="4AE3B5F8" w14:textId="77777777" w:rsidR="0088436C" w:rsidRDefault="00393C15">
            <w:pPr>
              <w:widowControl w:val="0"/>
              <w:pBdr>
                <w:top w:val="nil"/>
                <w:left w:val="nil"/>
                <w:bottom w:val="nil"/>
                <w:right w:val="nil"/>
                <w:between w:val="nil"/>
              </w:pBdr>
              <w:spacing w:line="240" w:lineRule="auto"/>
              <w:jc w:val="center"/>
            </w:pPr>
            <w:r>
              <w:t>$240</w:t>
            </w:r>
          </w:p>
        </w:tc>
        <w:tc>
          <w:tcPr>
            <w:tcW w:w="1727" w:type="dxa"/>
            <w:shd w:val="clear" w:color="auto" w:fill="auto"/>
            <w:tcMar>
              <w:top w:w="100" w:type="dxa"/>
              <w:left w:w="100" w:type="dxa"/>
              <w:bottom w:w="100" w:type="dxa"/>
              <w:right w:w="100" w:type="dxa"/>
            </w:tcMar>
          </w:tcPr>
          <w:p w14:paraId="4AE3B5F9" w14:textId="77777777" w:rsidR="0088436C" w:rsidRDefault="00393C15">
            <w:pPr>
              <w:widowControl w:val="0"/>
              <w:pBdr>
                <w:top w:val="nil"/>
                <w:left w:val="nil"/>
                <w:bottom w:val="nil"/>
                <w:right w:val="nil"/>
                <w:between w:val="nil"/>
              </w:pBdr>
              <w:spacing w:line="240" w:lineRule="auto"/>
              <w:jc w:val="center"/>
            </w:pPr>
            <w:r>
              <w:t>$1.23</w:t>
            </w:r>
          </w:p>
        </w:tc>
      </w:tr>
      <w:tr w:rsidR="0088436C" w14:paraId="4AE3B5FE" w14:textId="77777777">
        <w:tc>
          <w:tcPr>
            <w:tcW w:w="1727" w:type="dxa"/>
            <w:shd w:val="clear" w:color="auto" w:fill="auto"/>
            <w:tcMar>
              <w:top w:w="100" w:type="dxa"/>
              <w:left w:w="100" w:type="dxa"/>
              <w:bottom w:w="100" w:type="dxa"/>
              <w:right w:w="100" w:type="dxa"/>
            </w:tcMar>
          </w:tcPr>
          <w:p w14:paraId="4AE3B5FB" w14:textId="77777777" w:rsidR="0088436C" w:rsidRDefault="00393C15">
            <w:pPr>
              <w:widowControl w:val="0"/>
              <w:pBdr>
                <w:top w:val="nil"/>
                <w:left w:val="nil"/>
                <w:bottom w:val="nil"/>
                <w:right w:val="nil"/>
                <w:between w:val="nil"/>
              </w:pBdr>
              <w:spacing w:line="240" w:lineRule="auto"/>
              <w:jc w:val="center"/>
            </w:pPr>
            <w:r>
              <w:lastRenderedPageBreak/>
              <w:t>Puts</w:t>
            </w:r>
          </w:p>
        </w:tc>
        <w:tc>
          <w:tcPr>
            <w:tcW w:w="1727" w:type="dxa"/>
            <w:shd w:val="clear" w:color="auto" w:fill="auto"/>
            <w:tcMar>
              <w:top w:w="100" w:type="dxa"/>
              <w:left w:w="100" w:type="dxa"/>
              <w:bottom w:w="100" w:type="dxa"/>
              <w:right w:w="100" w:type="dxa"/>
            </w:tcMar>
          </w:tcPr>
          <w:p w14:paraId="4AE3B5FC" w14:textId="77777777" w:rsidR="0088436C" w:rsidRDefault="00393C15">
            <w:pPr>
              <w:widowControl w:val="0"/>
              <w:pBdr>
                <w:top w:val="nil"/>
                <w:left w:val="nil"/>
                <w:bottom w:val="nil"/>
                <w:right w:val="nil"/>
                <w:between w:val="nil"/>
              </w:pBdr>
              <w:spacing w:line="240" w:lineRule="auto"/>
              <w:jc w:val="center"/>
            </w:pPr>
            <w:r>
              <w:t>$205</w:t>
            </w:r>
          </w:p>
        </w:tc>
        <w:tc>
          <w:tcPr>
            <w:tcW w:w="1727" w:type="dxa"/>
            <w:shd w:val="clear" w:color="auto" w:fill="auto"/>
            <w:tcMar>
              <w:top w:w="100" w:type="dxa"/>
              <w:left w:w="100" w:type="dxa"/>
              <w:bottom w:w="100" w:type="dxa"/>
              <w:right w:w="100" w:type="dxa"/>
            </w:tcMar>
          </w:tcPr>
          <w:p w14:paraId="4AE3B5FD" w14:textId="77777777" w:rsidR="0088436C" w:rsidRDefault="00393C15">
            <w:pPr>
              <w:widowControl w:val="0"/>
              <w:pBdr>
                <w:top w:val="nil"/>
                <w:left w:val="nil"/>
                <w:bottom w:val="nil"/>
                <w:right w:val="nil"/>
                <w:between w:val="nil"/>
              </w:pBdr>
              <w:spacing w:line="240" w:lineRule="auto"/>
              <w:jc w:val="center"/>
            </w:pPr>
            <w:r>
              <w:t>$0.52</w:t>
            </w:r>
          </w:p>
        </w:tc>
      </w:tr>
    </w:tbl>
    <w:p w14:paraId="4AE3B5FF" w14:textId="77777777" w:rsidR="0088436C" w:rsidRDefault="0088436C"/>
    <w:p w14:paraId="4AE3B600" w14:textId="77777777" w:rsidR="0088436C" w:rsidRDefault="00393C15">
      <w:r>
        <w:t>During the sample period from 18 October 2021 to 5 November 2021,</w:t>
      </w:r>
    </w:p>
    <w:p w14:paraId="4AE3B601" w14:textId="77777777" w:rsidR="0088436C" w:rsidRDefault="0088436C"/>
    <w:tbl>
      <w:tblPr>
        <w:tblStyle w:val="a8"/>
        <w:tblW w:w="5184" w:type="dxa"/>
        <w:tblInd w:w="1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8"/>
        <w:gridCol w:w="1728"/>
        <w:gridCol w:w="1728"/>
      </w:tblGrid>
      <w:tr w:rsidR="0088436C" w14:paraId="4AE3B605" w14:textId="77777777">
        <w:trPr>
          <w:trHeight w:val="325"/>
        </w:trPr>
        <w:tc>
          <w:tcPr>
            <w:tcW w:w="1727" w:type="dxa"/>
            <w:shd w:val="clear" w:color="auto" w:fill="auto"/>
            <w:tcMar>
              <w:top w:w="100" w:type="dxa"/>
              <w:left w:w="100" w:type="dxa"/>
              <w:bottom w:w="100" w:type="dxa"/>
              <w:right w:w="100" w:type="dxa"/>
            </w:tcMar>
          </w:tcPr>
          <w:p w14:paraId="4AE3B602" w14:textId="77777777" w:rsidR="0088436C" w:rsidRDefault="00393C15">
            <w:pPr>
              <w:widowControl w:val="0"/>
              <w:spacing w:line="240" w:lineRule="auto"/>
              <w:jc w:val="center"/>
            </w:pPr>
            <w:r>
              <w:t>Date</w:t>
            </w:r>
          </w:p>
        </w:tc>
        <w:tc>
          <w:tcPr>
            <w:tcW w:w="1727" w:type="dxa"/>
            <w:shd w:val="clear" w:color="auto" w:fill="auto"/>
            <w:tcMar>
              <w:top w:w="100" w:type="dxa"/>
              <w:left w:w="100" w:type="dxa"/>
              <w:bottom w:w="100" w:type="dxa"/>
              <w:right w:w="100" w:type="dxa"/>
            </w:tcMar>
          </w:tcPr>
          <w:p w14:paraId="4AE3B603" w14:textId="77777777" w:rsidR="0088436C" w:rsidRDefault="00393C15">
            <w:pPr>
              <w:widowControl w:val="0"/>
              <w:spacing w:line="240" w:lineRule="auto"/>
              <w:jc w:val="center"/>
            </w:pPr>
            <w:r>
              <w:t xml:space="preserve">NVDA </w:t>
            </w:r>
            <w:proofErr w:type="spellStart"/>
            <w:r>
              <w:t>Adj</w:t>
            </w:r>
            <w:proofErr w:type="spellEnd"/>
            <w:r>
              <w:t xml:space="preserve"> Close</w:t>
            </w:r>
          </w:p>
        </w:tc>
        <w:tc>
          <w:tcPr>
            <w:tcW w:w="1727" w:type="dxa"/>
            <w:shd w:val="clear" w:color="auto" w:fill="auto"/>
            <w:tcMar>
              <w:top w:w="100" w:type="dxa"/>
              <w:left w:w="100" w:type="dxa"/>
              <w:bottom w:w="100" w:type="dxa"/>
              <w:right w:w="100" w:type="dxa"/>
            </w:tcMar>
          </w:tcPr>
          <w:p w14:paraId="4AE3B604" w14:textId="77777777" w:rsidR="0088436C" w:rsidRDefault="00393C15">
            <w:pPr>
              <w:widowControl w:val="0"/>
              <w:spacing w:line="240" w:lineRule="auto"/>
              <w:jc w:val="center"/>
            </w:pPr>
            <w:r>
              <w:t>% Change</w:t>
            </w:r>
          </w:p>
        </w:tc>
      </w:tr>
      <w:tr w:rsidR="0088436C" w14:paraId="4AE3B609" w14:textId="77777777">
        <w:tc>
          <w:tcPr>
            <w:tcW w:w="1727" w:type="dxa"/>
            <w:shd w:val="clear" w:color="auto" w:fill="auto"/>
            <w:tcMar>
              <w:top w:w="100" w:type="dxa"/>
              <w:left w:w="100" w:type="dxa"/>
              <w:bottom w:w="100" w:type="dxa"/>
              <w:right w:w="100" w:type="dxa"/>
            </w:tcMar>
          </w:tcPr>
          <w:p w14:paraId="4AE3B606" w14:textId="77777777" w:rsidR="0088436C" w:rsidRDefault="00393C15">
            <w:pPr>
              <w:widowControl w:val="0"/>
              <w:spacing w:line="240" w:lineRule="auto"/>
              <w:jc w:val="center"/>
            </w:pPr>
            <w:r>
              <w:t>18/10/2021</w:t>
            </w:r>
          </w:p>
        </w:tc>
        <w:tc>
          <w:tcPr>
            <w:tcW w:w="1727" w:type="dxa"/>
            <w:shd w:val="clear" w:color="auto" w:fill="auto"/>
            <w:tcMar>
              <w:top w:w="100" w:type="dxa"/>
              <w:left w:w="100" w:type="dxa"/>
              <w:bottom w:w="100" w:type="dxa"/>
              <w:right w:w="100" w:type="dxa"/>
            </w:tcMar>
          </w:tcPr>
          <w:p w14:paraId="4AE3B607" w14:textId="77777777" w:rsidR="0088436C" w:rsidRDefault="00393C15">
            <w:pPr>
              <w:widowControl w:val="0"/>
              <w:spacing w:line="240" w:lineRule="auto"/>
              <w:jc w:val="center"/>
            </w:pPr>
            <w:r>
              <w:t>$222.22</w:t>
            </w:r>
          </w:p>
        </w:tc>
        <w:tc>
          <w:tcPr>
            <w:tcW w:w="1727" w:type="dxa"/>
            <w:shd w:val="clear" w:color="auto" w:fill="auto"/>
            <w:tcMar>
              <w:top w:w="100" w:type="dxa"/>
              <w:left w:w="100" w:type="dxa"/>
              <w:bottom w:w="100" w:type="dxa"/>
              <w:right w:w="100" w:type="dxa"/>
            </w:tcMar>
          </w:tcPr>
          <w:p w14:paraId="4AE3B608" w14:textId="77777777" w:rsidR="0088436C" w:rsidRDefault="00393C15">
            <w:pPr>
              <w:widowControl w:val="0"/>
              <w:spacing w:line="240" w:lineRule="auto"/>
              <w:jc w:val="center"/>
            </w:pPr>
            <w:r>
              <w:t>-</w:t>
            </w:r>
          </w:p>
        </w:tc>
      </w:tr>
      <w:tr w:rsidR="0088436C" w14:paraId="4AE3B60D" w14:textId="77777777">
        <w:tc>
          <w:tcPr>
            <w:tcW w:w="1727" w:type="dxa"/>
            <w:shd w:val="clear" w:color="auto" w:fill="auto"/>
            <w:tcMar>
              <w:top w:w="100" w:type="dxa"/>
              <w:left w:w="100" w:type="dxa"/>
              <w:bottom w:w="100" w:type="dxa"/>
              <w:right w:w="100" w:type="dxa"/>
            </w:tcMar>
          </w:tcPr>
          <w:p w14:paraId="4AE3B60A" w14:textId="77777777" w:rsidR="0088436C" w:rsidRDefault="00393C15">
            <w:pPr>
              <w:widowControl w:val="0"/>
              <w:spacing w:line="240" w:lineRule="auto"/>
              <w:jc w:val="center"/>
            </w:pPr>
            <w:r>
              <w:t>5/11/2021</w:t>
            </w:r>
          </w:p>
        </w:tc>
        <w:tc>
          <w:tcPr>
            <w:tcW w:w="1727" w:type="dxa"/>
            <w:shd w:val="clear" w:color="auto" w:fill="auto"/>
            <w:tcMar>
              <w:top w:w="100" w:type="dxa"/>
              <w:left w:w="100" w:type="dxa"/>
              <w:bottom w:w="100" w:type="dxa"/>
              <w:right w:w="100" w:type="dxa"/>
            </w:tcMar>
          </w:tcPr>
          <w:p w14:paraId="4AE3B60B" w14:textId="77777777" w:rsidR="0088436C" w:rsidRDefault="00393C15">
            <w:pPr>
              <w:widowControl w:val="0"/>
              <w:spacing w:line="240" w:lineRule="auto"/>
              <w:jc w:val="center"/>
            </w:pPr>
            <w:r>
              <w:t>$297.52</w:t>
            </w:r>
          </w:p>
        </w:tc>
        <w:tc>
          <w:tcPr>
            <w:tcW w:w="1727" w:type="dxa"/>
            <w:shd w:val="clear" w:color="auto" w:fill="auto"/>
            <w:tcMar>
              <w:top w:w="100" w:type="dxa"/>
              <w:left w:w="100" w:type="dxa"/>
              <w:bottom w:w="100" w:type="dxa"/>
              <w:right w:w="100" w:type="dxa"/>
            </w:tcMar>
          </w:tcPr>
          <w:p w14:paraId="4AE3B60C" w14:textId="77777777" w:rsidR="0088436C" w:rsidRDefault="00393C15">
            <w:pPr>
              <w:widowControl w:val="0"/>
              <w:spacing w:line="240" w:lineRule="auto"/>
              <w:jc w:val="center"/>
            </w:pPr>
            <w:r>
              <w:t>33.89%</w:t>
            </w:r>
          </w:p>
        </w:tc>
      </w:tr>
    </w:tbl>
    <w:p w14:paraId="4AE3B60E" w14:textId="77777777" w:rsidR="0088436C" w:rsidRDefault="0088436C"/>
    <w:p w14:paraId="4AE3B60F" w14:textId="77777777" w:rsidR="0088436C" w:rsidRDefault="00393C15">
      <w:r>
        <w:t xml:space="preserve">NVDA stock price rallied 33.89% during this sample period, showing that the upward trend has not lost momentum yet. A possible catalyst being Meta’s announcement to increase spending in data </w:t>
      </w:r>
      <w:proofErr w:type="spellStart"/>
      <w:r>
        <w:t>centers</w:t>
      </w:r>
      <w:proofErr w:type="spellEnd"/>
      <w:r>
        <w:t xml:space="preserve">, </w:t>
      </w:r>
      <w:proofErr w:type="gramStart"/>
      <w:r>
        <w:t>servers</w:t>
      </w:r>
      <w:proofErr w:type="gramEnd"/>
      <w:r>
        <w:t xml:space="preserve"> and network infrastructure, driving share prices</w:t>
      </w:r>
      <w:r>
        <w:t xml:space="preserve"> up 7% for the week. Meta also mentioned dedicating significant resources into developing the ‘Metaverse’ which would require augmented and virtual reality products and the chips that they run on. Such timely news seemed to keep the upward momentum going.</w:t>
      </w:r>
    </w:p>
    <w:p w14:paraId="4AE3B610" w14:textId="77777777" w:rsidR="0088436C" w:rsidRDefault="0088436C"/>
    <w:p w14:paraId="4AE3B611" w14:textId="77777777" w:rsidR="0088436C" w:rsidRDefault="00393C15">
      <w:r>
        <w:t>Without implementing the straddle, our holdings of NVDA would have gone up by 33.89% (</w:t>
      </w:r>
      <w:proofErr w:type="gramStart"/>
      <w:r>
        <w:t>i.e.</w:t>
      </w:r>
      <w:proofErr w:type="gramEnd"/>
      <w:r>
        <w:t xml:space="preserve"> dollar profit of $13,103,931.9) during this sample period. </w:t>
      </w:r>
    </w:p>
    <w:p w14:paraId="4AE3B612" w14:textId="77777777" w:rsidR="0088436C" w:rsidRDefault="0088436C"/>
    <w:p w14:paraId="4AE3B613" w14:textId="77777777" w:rsidR="0088436C" w:rsidRDefault="00393C15">
      <w:r>
        <w:t>With the straddle, our holdings of NVDA would have a dollar profit of $22,809,194.61 accounting for cos</w:t>
      </w:r>
      <w:r>
        <w:t>ts of purchasing the options and the profits of exercising the call options.</w:t>
      </w:r>
    </w:p>
    <w:p w14:paraId="4AE3B614" w14:textId="77777777" w:rsidR="0088436C" w:rsidRDefault="0088436C"/>
    <w:p w14:paraId="4AE3B615" w14:textId="77777777" w:rsidR="0088436C" w:rsidRDefault="00393C15">
      <w:r>
        <w:t>Profits = 13103931.9 – 174023(1.23 + 0.52) + 174023(297.52 – 240) = 22809194.61</w:t>
      </w:r>
    </w:p>
    <w:p w14:paraId="4AE3B616" w14:textId="77777777" w:rsidR="0088436C" w:rsidRDefault="0088436C"/>
    <w:p w14:paraId="4AE3B617" w14:textId="77777777" w:rsidR="0088436C" w:rsidRDefault="00393C15">
      <w:r>
        <w:t>Implementing the options straddle to hedge against uncertainty of NVDA stocks gave us a 74.1% inc</w:t>
      </w:r>
      <w:r>
        <w:t>rease in profits.</w:t>
      </w:r>
    </w:p>
    <w:p w14:paraId="4AE3B618" w14:textId="77777777" w:rsidR="0088436C" w:rsidRDefault="0088436C"/>
    <w:p w14:paraId="4AE3B619" w14:textId="77777777" w:rsidR="0088436C" w:rsidRDefault="0088436C"/>
    <w:p w14:paraId="4AE3B61A" w14:textId="77777777" w:rsidR="0088436C" w:rsidRDefault="0088436C"/>
    <w:p w14:paraId="4AE3B61B" w14:textId="77777777" w:rsidR="0088436C" w:rsidRDefault="0088436C"/>
    <w:p w14:paraId="4AE3B61C" w14:textId="77777777" w:rsidR="0088436C" w:rsidRDefault="0088436C"/>
    <w:p w14:paraId="4AE3B61D" w14:textId="77777777" w:rsidR="0088436C" w:rsidRDefault="0088436C"/>
    <w:p w14:paraId="4AE3B61E" w14:textId="77777777" w:rsidR="0088436C" w:rsidRDefault="0088436C"/>
    <w:p w14:paraId="4AE3B61F" w14:textId="77777777" w:rsidR="0088436C" w:rsidRDefault="0088436C"/>
    <w:p w14:paraId="4AE3B620" w14:textId="77777777" w:rsidR="0088436C" w:rsidRDefault="0088436C"/>
    <w:p w14:paraId="4AE3B621" w14:textId="77777777" w:rsidR="0088436C" w:rsidRDefault="0088436C"/>
    <w:p w14:paraId="4AE3B622" w14:textId="77777777" w:rsidR="0088436C" w:rsidRDefault="0088436C"/>
    <w:p w14:paraId="4AE3B623" w14:textId="77777777" w:rsidR="0088436C" w:rsidRDefault="0088436C"/>
    <w:p w14:paraId="4AE3B624" w14:textId="77777777" w:rsidR="0088436C" w:rsidRDefault="0088436C"/>
    <w:p w14:paraId="4AE3B625" w14:textId="77777777" w:rsidR="0088436C" w:rsidRDefault="0088436C"/>
    <w:p w14:paraId="4AE3B626" w14:textId="77777777" w:rsidR="0088436C" w:rsidRDefault="0088436C"/>
    <w:p w14:paraId="4AE3B627" w14:textId="77777777" w:rsidR="0088436C" w:rsidRDefault="0088436C"/>
    <w:p w14:paraId="4AE3B628" w14:textId="77777777" w:rsidR="0088436C" w:rsidRDefault="0088436C"/>
    <w:p w14:paraId="4AE3B629" w14:textId="77777777" w:rsidR="0088436C" w:rsidRDefault="0088436C"/>
    <w:p w14:paraId="4AE3B62A" w14:textId="77777777" w:rsidR="0088436C" w:rsidRDefault="0088436C"/>
    <w:p w14:paraId="4AE3B62B" w14:textId="77777777" w:rsidR="0088436C" w:rsidRDefault="00393C15">
      <w:pPr>
        <w:rPr>
          <w:b/>
          <w:u w:val="single"/>
        </w:rPr>
      </w:pPr>
      <w:r>
        <w:rPr>
          <w:b/>
          <w:u w:val="single"/>
        </w:rPr>
        <w:lastRenderedPageBreak/>
        <w:t xml:space="preserve">APPENDIX </w:t>
      </w:r>
    </w:p>
    <w:p w14:paraId="4AE3B62C" w14:textId="77777777" w:rsidR="0088436C" w:rsidRDefault="0088436C"/>
    <w:p w14:paraId="4AE3B62D" w14:textId="77777777" w:rsidR="0088436C" w:rsidRDefault="00393C15">
      <w:hyperlink r:id="rId5" w:anchor=":~:text=Second%2Dquarter%20revenue%20was%20a,percent%20from%20the%20previous%20quarter">
        <w:r>
          <w:rPr>
            <w:color w:val="1155CC"/>
            <w:u w:val="single"/>
          </w:rPr>
          <w:t>https://nvidianews.nvidia.com/news/nvidia-announ</w:t>
        </w:r>
        <w:r>
          <w:rPr>
            <w:color w:val="1155CC"/>
            <w:u w:val="single"/>
          </w:rPr>
          <w:t>ces-financial-results-for-second-quarter-fiscal-2022#:~:text=Second%2Dquarter%20revenue%20was%20a,percent%20from%20the%20previous%20quarter</w:t>
        </w:r>
      </w:hyperlink>
      <w:r>
        <w:t xml:space="preserve">. </w:t>
      </w:r>
    </w:p>
    <w:p w14:paraId="4AE3B62E" w14:textId="77777777" w:rsidR="0088436C" w:rsidRDefault="0088436C"/>
    <w:p w14:paraId="4AE3B62F" w14:textId="77777777" w:rsidR="0088436C" w:rsidRDefault="00393C15">
      <w:hyperlink r:id="rId6">
        <w:r>
          <w:rPr>
            <w:color w:val="1155CC"/>
            <w:u w:val="single"/>
          </w:rPr>
          <w:t>https://www.forbes.com/sites/greatspeculations/2021/09/30/semiconductor-stocks-that-stand-to-gain-through-the-chip-shortage-and-beyond/?sh=3f0df27c6dee</w:t>
        </w:r>
      </w:hyperlink>
      <w:r>
        <w:t xml:space="preserve"> </w:t>
      </w:r>
    </w:p>
    <w:p w14:paraId="4AE3B630" w14:textId="77777777" w:rsidR="0088436C" w:rsidRDefault="0088436C"/>
    <w:p w14:paraId="4AE3B631" w14:textId="77777777" w:rsidR="0088436C" w:rsidRDefault="00393C15">
      <w:hyperlink r:id="rId7">
        <w:r>
          <w:rPr>
            <w:color w:val="1155CC"/>
            <w:u w:val="single"/>
          </w:rPr>
          <w:t>https://www.nasdaq.com/articles/why-nvidia-stock-surged-23-in-october-2021-11-03</w:t>
        </w:r>
      </w:hyperlink>
      <w:r>
        <w:t xml:space="preserve"> </w:t>
      </w:r>
    </w:p>
    <w:p w14:paraId="4AE3B632" w14:textId="77777777" w:rsidR="0088436C" w:rsidRDefault="0088436C"/>
    <w:p w14:paraId="4AE3B633" w14:textId="77777777" w:rsidR="0088436C" w:rsidRDefault="00393C15">
      <w:hyperlink r:id="rId8">
        <w:r>
          <w:rPr>
            <w:color w:val="1155CC"/>
            <w:u w:val="single"/>
          </w:rPr>
          <w:t>https://institutional.fidelity.com/app/literature/item/RD_QAA_121.html?pos=R</w:t>
        </w:r>
      </w:hyperlink>
    </w:p>
    <w:p w14:paraId="4AE3B634" w14:textId="77777777" w:rsidR="0088436C" w:rsidRDefault="0088436C"/>
    <w:p w14:paraId="4AE3B635" w14:textId="77777777" w:rsidR="0088436C" w:rsidRDefault="0088436C"/>
    <w:p w14:paraId="4AE3B636" w14:textId="77777777" w:rsidR="0088436C" w:rsidRDefault="0088436C"/>
    <w:p w14:paraId="4AE3B637" w14:textId="77777777" w:rsidR="0088436C" w:rsidRDefault="0088436C"/>
    <w:p w14:paraId="4AE3B638" w14:textId="77777777" w:rsidR="0088436C" w:rsidRDefault="0088436C"/>
    <w:p w14:paraId="4AE3B639" w14:textId="77777777" w:rsidR="0088436C" w:rsidRDefault="0088436C"/>
    <w:p w14:paraId="4AE3B63A" w14:textId="77777777" w:rsidR="0088436C" w:rsidRDefault="0088436C"/>
    <w:p w14:paraId="4AE3B63B" w14:textId="77777777" w:rsidR="0088436C" w:rsidRDefault="00393C15">
      <w:pPr>
        <w:shd w:val="clear" w:color="auto" w:fill="FFFFFF"/>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                         </w:t>
      </w:r>
    </w:p>
    <w:p w14:paraId="4AE3B63C" w14:textId="77777777" w:rsidR="0088436C" w:rsidRDefault="0088436C"/>
    <w:sectPr w:rsidR="0088436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36C"/>
    <w:rsid w:val="00393C15"/>
    <w:rsid w:val="003D3E1C"/>
    <w:rsid w:val="0088436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3B44C"/>
  <w15:docId w15:val="{07AD51DA-8A89-4F7F-9221-8B8AC0CCD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nstitutional.fidelity.com/app/literature/item/RD_QAA_121.html?pos=R" TargetMode="External"/><Relationship Id="rId3" Type="http://schemas.openxmlformats.org/officeDocument/2006/relationships/webSettings" Target="webSettings.xml"/><Relationship Id="rId7" Type="http://schemas.openxmlformats.org/officeDocument/2006/relationships/hyperlink" Target="https://www.nasdaq.com/articles/why-nvidia-stock-surged-23-in-october-2021-11-0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orbes.com/sites/greatspeculations/2021/09/30/semiconductor-stocks-that-stand-to-gain-through-the-chip-shortage-and-beyond/?sh=3f0df27c6dee" TargetMode="External"/><Relationship Id="rId5" Type="http://schemas.openxmlformats.org/officeDocument/2006/relationships/hyperlink" Target="https://nvidianews.nvidia.com/news/nvidia-announces-financial-results-for-second-quarter-fiscal-2022"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2311</Words>
  <Characters>13174</Characters>
  <Application>Microsoft Office Word</Application>
  <DocSecurity>0</DocSecurity>
  <Lines>109</Lines>
  <Paragraphs>30</Paragraphs>
  <ScaleCrop>false</ScaleCrop>
  <Company/>
  <LinksUpToDate>false</LinksUpToDate>
  <CharactersWithSpaces>15455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Chu</dc:creator>
  <cp:lastModifiedBy>Justin Chu</cp:lastModifiedBy>
  <cp:revision>2</cp:revision>
  <dcterms:created xsi:type="dcterms:W3CDTF">2023-03-10T09:25:00Z</dcterms:created>
  <dcterms:modified xsi:type="dcterms:W3CDTF">2023-03-10T09:25:00Z</dcterms:modified>
</cp:coreProperties>
</file>