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E86E" w14:textId="72AACB7B" w:rsidR="00787768" w:rsidRDefault="00787768">
      <w:pPr>
        <w:rPr>
          <w:rFonts w:ascii="Arial" w:hAnsi="Arial" w:cs="Arial"/>
          <w:sz w:val="24"/>
          <w:szCs w:val="24"/>
        </w:rPr>
      </w:pPr>
      <w:r w:rsidRPr="00787768">
        <w:rPr>
          <w:rFonts w:ascii="Arial" w:hAnsi="Arial" w:cs="Arial"/>
          <w:b/>
          <w:sz w:val="24"/>
          <w:szCs w:val="24"/>
        </w:rPr>
        <w:t>Figure 1:</w:t>
      </w:r>
      <w:r w:rsidR="00C14356">
        <w:rPr>
          <w:rFonts w:ascii="Arial" w:hAnsi="Arial" w:cs="Arial"/>
          <w:b/>
          <w:sz w:val="24"/>
          <w:szCs w:val="24"/>
        </w:rPr>
        <w:t xml:space="preserve"> Factors</w:t>
      </w:r>
      <w:r w:rsidR="00A54FBB">
        <w:rPr>
          <w:rFonts w:ascii="Arial" w:hAnsi="Arial" w:cs="Arial"/>
          <w:b/>
          <w:sz w:val="24"/>
          <w:szCs w:val="24"/>
        </w:rPr>
        <w:t xml:space="preserve"> contributing to incidence of resistance mutations</w:t>
      </w:r>
    </w:p>
    <w:p w14:paraId="7B612827" w14:textId="1649444E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</w:t>
      </w:r>
      <w:r w:rsidR="00FA1F29">
        <w:rPr>
          <w:rFonts w:ascii="Arial" w:hAnsi="Arial" w:cs="Arial"/>
          <w:sz w:val="24"/>
          <w:szCs w:val="24"/>
        </w:rPr>
        <w:t xml:space="preserve">Factors affecting drug resistance evolutionary dynamics.  Without transmission, factors involved in cancer are </w:t>
      </w:r>
      <w:r w:rsidR="00B71AF5">
        <w:rPr>
          <w:rFonts w:ascii="Arial" w:hAnsi="Arial" w:cs="Arial"/>
          <w:sz w:val="24"/>
          <w:szCs w:val="24"/>
        </w:rPr>
        <w:t>limi</w:t>
      </w:r>
      <w:r w:rsidR="00FA1F29">
        <w:rPr>
          <w:rFonts w:ascii="Arial" w:hAnsi="Arial" w:cs="Arial"/>
          <w:sz w:val="24"/>
          <w:szCs w:val="24"/>
        </w:rPr>
        <w:t xml:space="preserve">ted to the host level.  </w:t>
      </w:r>
      <w:r w:rsidR="00FA1F29">
        <w:rPr>
          <w:rFonts w:ascii="Arial" w:hAnsi="Arial" w:cs="Arial"/>
          <w:b/>
          <w:sz w:val="24"/>
          <w:szCs w:val="24"/>
        </w:rPr>
        <w:t>(B)</w:t>
      </w:r>
      <w:r w:rsidR="00FA1F29">
        <w:rPr>
          <w:rFonts w:ascii="Arial" w:hAnsi="Arial" w:cs="Arial"/>
          <w:sz w:val="24"/>
          <w:szCs w:val="24"/>
        </w:rPr>
        <w:t xml:space="preserve"> ABL1 crystal structure.  Loss of E225-K247 salt bridge is associated with imatinib resistance.  </w:t>
      </w:r>
      <w:r w:rsidR="00FA1F29">
        <w:rPr>
          <w:rFonts w:ascii="Arial" w:hAnsi="Arial" w:cs="Arial"/>
          <w:b/>
          <w:sz w:val="24"/>
          <w:szCs w:val="24"/>
        </w:rPr>
        <w:t>(C)</w:t>
      </w:r>
      <w:r w:rsidR="00FA1F29">
        <w:rPr>
          <w:rFonts w:ascii="Arial" w:hAnsi="Arial" w:cs="Arial"/>
          <w:sz w:val="24"/>
          <w:szCs w:val="24"/>
        </w:rPr>
        <w:t xml:space="preserve"> Prevalence of E255K/V mutations in </w:t>
      </w:r>
      <w:r w:rsidR="00AB4EB6">
        <w:rPr>
          <w:rFonts w:ascii="Arial" w:hAnsi="Arial" w:cs="Arial"/>
          <w:sz w:val="24"/>
          <w:szCs w:val="24"/>
        </w:rPr>
        <w:t xml:space="preserve">imatinib </w:t>
      </w:r>
      <w:r w:rsidR="00FA1F29">
        <w:rPr>
          <w:rFonts w:ascii="Arial" w:hAnsi="Arial" w:cs="Arial"/>
          <w:sz w:val="24"/>
          <w:szCs w:val="24"/>
        </w:rPr>
        <w:t>clinical trials with well-characterized</w:t>
      </w:r>
      <w:r w:rsidR="00AB4EB6">
        <w:rPr>
          <w:rFonts w:ascii="Arial" w:hAnsi="Arial" w:cs="Arial"/>
          <w:sz w:val="24"/>
          <w:szCs w:val="24"/>
        </w:rPr>
        <w:t xml:space="preserve"> resistance mutation analysis. </w:t>
      </w:r>
      <w:r w:rsidR="00AB4EB6">
        <w:rPr>
          <w:rFonts w:ascii="Arial" w:hAnsi="Arial" w:cs="Arial"/>
          <w:b/>
          <w:sz w:val="24"/>
          <w:szCs w:val="24"/>
        </w:rPr>
        <w:t>(D)</w:t>
      </w:r>
      <w:r w:rsidR="00AB4EB6">
        <w:rPr>
          <w:rFonts w:ascii="Arial" w:hAnsi="Arial" w:cs="Arial"/>
          <w:sz w:val="24"/>
          <w:szCs w:val="24"/>
        </w:rPr>
        <w:t xml:space="preserve"> Imatinib IC50 curves for BCR-ABL infected BaF3 cells.  </w:t>
      </w:r>
      <w:r w:rsidR="00AB4EB6">
        <w:rPr>
          <w:rFonts w:ascii="Arial" w:hAnsi="Arial" w:cs="Arial"/>
          <w:b/>
          <w:sz w:val="24"/>
          <w:szCs w:val="24"/>
        </w:rPr>
        <w:t>(E)</w:t>
      </w:r>
      <w:r w:rsidR="00AB4EB6">
        <w:rPr>
          <w:rFonts w:ascii="Arial" w:hAnsi="Arial" w:cs="Arial"/>
          <w:sz w:val="24"/>
          <w:szCs w:val="24"/>
        </w:rPr>
        <w:t xml:space="preserve"> Relative growth rates of BCR-ABL BaF3 variants.  </w:t>
      </w:r>
      <w:r w:rsidR="00AB4EB6">
        <w:rPr>
          <w:rFonts w:ascii="Arial" w:hAnsi="Arial" w:cs="Arial"/>
          <w:b/>
          <w:sz w:val="24"/>
          <w:szCs w:val="24"/>
        </w:rPr>
        <w:t>(F)</w:t>
      </w:r>
      <w:r w:rsidR="00AB4EB6">
        <w:rPr>
          <w:rFonts w:ascii="Arial" w:hAnsi="Arial" w:cs="Arial"/>
          <w:sz w:val="24"/>
          <w:szCs w:val="24"/>
        </w:rPr>
        <w:t xml:space="preserve"> </w:t>
      </w:r>
      <w:r w:rsidR="00B71AF5">
        <w:rPr>
          <w:rFonts w:ascii="Arial" w:hAnsi="Arial" w:cs="Arial"/>
          <w:sz w:val="24"/>
          <w:szCs w:val="24"/>
        </w:rPr>
        <w:t xml:space="preserve"> Substitution-specific frequency of synonymous mutations in ABL1</w:t>
      </w:r>
      <w:r w:rsidR="00AB4EB6">
        <w:rPr>
          <w:rFonts w:ascii="Arial" w:hAnsi="Arial" w:cs="Arial"/>
          <w:sz w:val="24"/>
          <w:szCs w:val="24"/>
        </w:rPr>
        <w:t xml:space="preserve"> and codon</w:t>
      </w:r>
      <w:r w:rsidR="00B71AF5">
        <w:rPr>
          <w:rFonts w:ascii="Arial" w:hAnsi="Arial" w:cs="Arial"/>
          <w:sz w:val="24"/>
          <w:szCs w:val="24"/>
        </w:rPr>
        <w:t xml:space="preserve"> structure of E255.</w:t>
      </w:r>
    </w:p>
    <w:p w14:paraId="3029FEF2" w14:textId="56265331" w:rsidR="00787768" w:rsidRDefault="00787768">
      <w:pPr>
        <w:rPr>
          <w:rFonts w:ascii="Arial" w:hAnsi="Arial" w:cs="Arial"/>
          <w:sz w:val="24"/>
          <w:szCs w:val="24"/>
        </w:rPr>
      </w:pPr>
    </w:p>
    <w:p w14:paraId="1752715E" w14:textId="50D3F292" w:rsidR="00787768" w:rsidRDefault="00787768">
      <w:pPr>
        <w:rPr>
          <w:rFonts w:ascii="Arial" w:hAnsi="Arial" w:cs="Arial"/>
          <w:sz w:val="24"/>
          <w:szCs w:val="24"/>
        </w:rPr>
      </w:pPr>
    </w:p>
    <w:p w14:paraId="6E0DB98E" w14:textId="01C2A0C0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2:</w:t>
      </w:r>
      <w:r w:rsidR="00C14356">
        <w:rPr>
          <w:rFonts w:ascii="Arial" w:hAnsi="Arial" w:cs="Arial"/>
          <w:b/>
          <w:sz w:val="24"/>
          <w:szCs w:val="24"/>
        </w:rPr>
        <w:t xml:space="preserve"> Analytic solution of probability model for two resistance allele system</w:t>
      </w:r>
    </w:p>
    <w:p w14:paraId="4593440B" w14:textId="6DB18BE4" w:rsidR="00787768" w:rsidRPr="009764E4" w:rsidRDefault="00B71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Schematic of theoretical drug target gene with two potential resistance alleles.  Allele A is assigned a high fitness and low probability; Allele B is assigned a low fitness and high probability.  </w:t>
      </w:r>
      <w:r>
        <w:rPr>
          <w:rFonts w:ascii="Arial" w:hAnsi="Arial" w:cs="Arial"/>
          <w:b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 xml:space="preserve"> Expected general timeline for mutation and outgrowth for either allele given their assigned evolutionary profiles.</w:t>
      </w:r>
      <w:r w:rsidR="00C222CD">
        <w:rPr>
          <w:rFonts w:ascii="Arial" w:hAnsi="Arial" w:cs="Arial"/>
          <w:sz w:val="24"/>
          <w:szCs w:val="24"/>
        </w:rPr>
        <w:t xml:space="preserve">  In cases where both mutations occur, the first resistant clone to reach detection drives relapse.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 xml:space="preserve"> Phase plane of mutation rate and effective population size.  Color indicates whether Allele A (</w:t>
      </w:r>
      <w:r>
        <w:rPr>
          <w:rFonts w:ascii="Arial" w:hAnsi="Arial" w:cs="Arial"/>
          <w:b/>
          <w:color w:val="2E368F"/>
          <w:sz w:val="24"/>
          <w:szCs w:val="24"/>
        </w:rPr>
        <w:t>dark b</w:t>
      </w:r>
      <w:r w:rsidRPr="00B71AF5">
        <w:rPr>
          <w:rFonts w:ascii="Arial" w:hAnsi="Arial" w:cs="Arial"/>
          <w:b/>
          <w:color w:val="2E368F"/>
          <w:sz w:val="24"/>
          <w:szCs w:val="24"/>
        </w:rPr>
        <w:t>lue</w:t>
      </w:r>
      <w:r>
        <w:rPr>
          <w:rFonts w:ascii="Arial" w:hAnsi="Arial" w:cs="Arial"/>
          <w:sz w:val="24"/>
          <w:szCs w:val="24"/>
        </w:rPr>
        <w:t>) or Allele B (</w:t>
      </w:r>
      <w:r w:rsidRPr="00B71AF5">
        <w:rPr>
          <w:rFonts w:ascii="Arial" w:hAnsi="Arial" w:cs="Arial"/>
          <w:b/>
          <w:color w:val="EC2027"/>
          <w:sz w:val="24"/>
          <w:szCs w:val="24"/>
        </w:rPr>
        <w:t>red</w:t>
      </w:r>
      <w:r>
        <w:rPr>
          <w:rFonts w:ascii="Arial" w:hAnsi="Arial" w:cs="Arial"/>
          <w:sz w:val="24"/>
          <w:szCs w:val="24"/>
        </w:rPr>
        <w:t>) is more likely to drive relapse.  In regions where Allele B is more dominant, we expect mutation bias to be a primary evolutionary force.</w:t>
      </w:r>
      <w:r w:rsidR="009764E4">
        <w:rPr>
          <w:rFonts w:ascii="Arial" w:hAnsi="Arial" w:cs="Arial"/>
          <w:sz w:val="24"/>
          <w:szCs w:val="24"/>
        </w:rPr>
        <w:t xml:space="preserve">  </w:t>
      </w:r>
      <w:r w:rsidR="009764E4">
        <w:rPr>
          <w:rFonts w:ascii="Arial" w:hAnsi="Arial" w:cs="Arial"/>
          <w:b/>
          <w:sz w:val="24"/>
          <w:szCs w:val="24"/>
        </w:rPr>
        <w:t>(D)</w:t>
      </w:r>
      <w:r w:rsidR="009764E4">
        <w:rPr>
          <w:rFonts w:ascii="Arial" w:hAnsi="Arial" w:cs="Arial"/>
          <w:sz w:val="24"/>
          <w:szCs w:val="24"/>
        </w:rPr>
        <w:t xml:space="preserve"> Schematic of general leukemic cell population hierarchy.  Only mutations in leukemic stem cells can form stable resistance clones, effectively limiting the population size to 10</w:t>
      </w:r>
      <w:r w:rsidR="009764E4" w:rsidRPr="009764E4">
        <w:rPr>
          <w:rFonts w:ascii="Arial" w:hAnsi="Arial" w:cs="Arial"/>
          <w:sz w:val="24"/>
          <w:szCs w:val="24"/>
          <w:vertAlign w:val="superscript"/>
        </w:rPr>
        <w:t>5</w:t>
      </w:r>
      <w:r w:rsidR="009764E4">
        <w:rPr>
          <w:rFonts w:ascii="Arial" w:hAnsi="Arial" w:cs="Arial"/>
          <w:sz w:val="24"/>
          <w:szCs w:val="24"/>
        </w:rPr>
        <w:t>-10</w:t>
      </w:r>
      <w:r w:rsidR="009764E4" w:rsidRPr="009764E4">
        <w:rPr>
          <w:rFonts w:ascii="Arial" w:hAnsi="Arial" w:cs="Arial"/>
          <w:sz w:val="24"/>
          <w:szCs w:val="24"/>
          <w:vertAlign w:val="superscript"/>
        </w:rPr>
        <w:t>6</w:t>
      </w:r>
      <w:r w:rsidR="009764E4">
        <w:rPr>
          <w:rFonts w:ascii="Arial" w:hAnsi="Arial" w:cs="Arial"/>
          <w:sz w:val="24"/>
          <w:szCs w:val="24"/>
        </w:rPr>
        <w:t>.</w:t>
      </w:r>
    </w:p>
    <w:p w14:paraId="1DE0070A" w14:textId="367AD616" w:rsidR="00787768" w:rsidRDefault="00787768">
      <w:pPr>
        <w:rPr>
          <w:rFonts w:ascii="Arial" w:hAnsi="Arial" w:cs="Arial"/>
          <w:sz w:val="24"/>
          <w:szCs w:val="24"/>
        </w:rPr>
      </w:pPr>
    </w:p>
    <w:p w14:paraId="2173E076" w14:textId="7576D9DE" w:rsidR="00787768" w:rsidRDefault="00787768">
      <w:pPr>
        <w:rPr>
          <w:rFonts w:ascii="Arial" w:hAnsi="Arial" w:cs="Arial"/>
          <w:sz w:val="24"/>
          <w:szCs w:val="24"/>
        </w:rPr>
      </w:pPr>
    </w:p>
    <w:p w14:paraId="6B911308" w14:textId="73B39EEE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3:</w:t>
      </w:r>
      <w:r w:rsidR="00C14356">
        <w:rPr>
          <w:rFonts w:ascii="Arial" w:hAnsi="Arial" w:cs="Arial"/>
          <w:b/>
          <w:sz w:val="24"/>
          <w:szCs w:val="24"/>
        </w:rPr>
        <w:t xml:space="preserve"> Analysis of epidemiologic incidences of BCR-ABL mutations</w:t>
      </w:r>
    </w:p>
    <w:p w14:paraId="1715A0E1" w14:textId="0A020F12" w:rsidR="00787768" w:rsidRDefault="00C222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Crystal structure of ABL1 kinase domain and distribution of 19 most prevalent BCR-ABL resistance mutants.  These 19 variants account for approximately 95% of resistance mutations observed clinically.  </w:t>
      </w:r>
      <w:r>
        <w:rPr>
          <w:rFonts w:ascii="Arial" w:hAnsi="Arial" w:cs="Arial"/>
          <w:b/>
          <w:sz w:val="24"/>
          <w:szCs w:val="24"/>
        </w:rPr>
        <w:t xml:space="preserve">(B) </w:t>
      </w:r>
      <w:r w:rsidR="007A57F8">
        <w:rPr>
          <w:rFonts w:ascii="Arial" w:hAnsi="Arial" w:cs="Arial"/>
          <w:sz w:val="24"/>
          <w:szCs w:val="24"/>
        </w:rPr>
        <w:t xml:space="preserve">Drug-dose response assays underscore the range of drug resistance conferred by these mutations.  Each BCR-ABL BaF3 line was dosed with 11 serial dilutions of imatinib in triplicate.  </w:t>
      </w:r>
      <w:r w:rsidR="007A57F8">
        <w:rPr>
          <w:rFonts w:ascii="Arial" w:hAnsi="Arial" w:cs="Arial"/>
          <w:b/>
          <w:sz w:val="24"/>
          <w:szCs w:val="24"/>
        </w:rPr>
        <w:t xml:space="preserve">(C) </w:t>
      </w:r>
      <w:r w:rsidR="007A57F8">
        <w:rPr>
          <w:rFonts w:ascii="Arial" w:hAnsi="Arial" w:cs="Arial"/>
          <w:sz w:val="24"/>
          <w:szCs w:val="24"/>
        </w:rPr>
        <w:t xml:space="preserve">Statistical model of clinical mutation prevalence regressed on growth rates in the presence and absence of imatinib.  </w:t>
      </w:r>
      <w:r w:rsidR="007A57F8">
        <w:rPr>
          <w:rFonts w:ascii="Arial" w:hAnsi="Arial" w:cs="Arial"/>
          <w:b/>
          <w:sz w:val="24"/>
          <w:szCs w:val="24"/>
        </w:rPr>
        <w:t>(D)</w:t>
      </w:r>
      <w:r w:rsidR="007A57F8">
        <w:rPr>
          <w:rFonts w:ascii="Arial" w:hAnsi="Arial" w:cs="Arial"/>
          <w:sz w:val="24"/>
          <w:szCs w:val="24"/>
        </w:rPr>
        <w:t xml:space="preserve"> Evolutionary profiles of each resistance variant</w:t>
      </w:r>
      <w:r w:rsidR="00B90EAB">
        <w:rPr>
          <w:rFonts w:ascii="Arial" w:hAnsi="Arial" w:cs="Arial"/>
          <w:sz w:val="24"/>
          <w:szCs w:val="24"/>
        </w:rPr>
        <w:t xml:space="preserve">.  </w:t>
      </w:r>
      <w:r w:rsidR="00B90EAB">
        <w:rPr>
          <w:rFonts w:ascii="Arial" w:hAnsi="Arial" w:cs="Arial"/>
          <w:b/>
          <w:sz w:val="24"/>
          <w:szCs w:val="24"/>
        </w:rPr>
        <w:t>(E/F)</w:t>
      </w:r>
      <w:r w:rsidR="00B90EAB">
        <w:rPr>
          <w:rFonts w:ascii="Arial" w:hAnsi="Arial" w:cs="Arial"/>
          <w:sz w:val="24"/>
          <w:szCs w:val="24"/>
        </w:rPr>
        <w:t xml:space="preserve"> Statistical model of </w:t>
      </w:r>
      <w:r w:rsidR="00471472">
        <w:rPr>
          <w:rFonts w:ascii="Arial" w:hAnsi="Arial" w:cs="Arial"/>
          <w:sz w:val="24"/>
          <w:szCs w:val="24"/>
        </w:rPr>
        <w:t>clinical mutation prevalence regressed on growth rate in the presence of drug and mutational probability.</w:t>
      </w:r>
    </w:p>
    <w:p w14:paraId="5797FB83" w14:textId="7C98ADDF" w:rsidR="00787768" w:rsidRDefault="00787768">
      <w:pPr>
        <w:rPr>
          <w:rFonts w:ascii="Arial" w:hAnsi="Arial" w:cs="Arial"/>
          <w:sz w:val="24"/>
          <w:szCs w:val="24"/>
        </w:rPr>
      </w:pPr>
    </w:p>
    <w:p w14:paraId="085349B0" w14:textId="7E3E9A35" w:rsidR="00787768" w:rsidRDefault="00787768">
      <w:pPr>
        <w:rPr>
          <w:rFonts w:ascii="Arial" w:hAnsi="Arial" w:cs="Arial"/>
          <w:sz w:val="24"/>
          <w:szCs w:val="24"/>
        </w:rPr>
      </w:pPr>
    </w:p>
    <w:p w14:paraId="42AEE913" w14:textId="4D2A677F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4:</w:t>
      </w:r>
      <w:r w:rsidR="00C14356">
        <w:rPr>
          <w:rFonts w:ascii="Arial" w:hAnsi="Arial" w:cs="Arial"/>
          <w:b/>
          <w:sz w:val="24"/>
          <w:szCs w:val="24"/>
        </w:rPr>
        <w:t xml:space="preserve"> Stochastic model of CML evolutionary dynamics</w:t>
      </w:r>
    </w:p>
    <w:p w14:paraId="6C4388F4" w14:textId="332B1477" w:rsidR="00787768" w:rsidRPr="00471472" w:rsidRDefault="00471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Schematic of stochastic CML evolutionary dynamic model.  Leukemic stem cells alternate between proliferating (P-LSC) and quiescent state (Q-LSC).  P-LSC give rise to differentiated leukemic cells (DLC).  P-LSCs may also spawn a resistant subclone P-</w:t>
      </w:r>
      <w:proofErr w:type="spellStart"/>
      <w:r>
        <w:rPr>
          <w:rFonts w:ascii="Arial" w:hAnsi="Arial" w:cs="Arial"/>
          <w:sz w:val="24"/>
          <w:szCs w:val="24"/>
        </w:rPr>
        <w:t>LSC</w:t>
      </w:r>
      <w:r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when dividing.  The allele-specific mutational probability is given by </w:t>
      </w:r>
      <w:proofErr w:type="spellStart"/>
      <w:r w:rsidRPr="00471472">
        <w:rPr>
          <w:rFonts w:ascii="Arial" w:hAnsi="Arial" w:cs="Arial"/>
          <w:sz w:val="24"/>
          <w:szCs w:val="24"/>
        </w:rPr>
        <w:t>ρ</w:t>
      </w:r>
      <w:r w:rsidRPr="00471472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b/>
          <w:sz w:val="24"/>
          <w:szCs w:val="24"/>
        </w:rPr>
        <w:t xml:space="preserve">(B)  </w:t>
      </w:r>
      <w:r>
        <w:rPr>
          <w:rFonts w:ascii="Arial" w:hAnsi="Arial" w:cs="Arial"/>
          <w:sz w:val="24"/>
          <w:szCs w:val="24"/>
        </w:rPr>
        <w:t xml:space="preserve">Example stochastic simulation of model described in </w:t>
      </w:r>
      <w:r>
        <w:rPr>
          <w:rFonts w:ascii="Arial" w:hAnsi="Arial" w:cs="Arial"/>
          <w:b/>
          <w:sz w:val="24"/>
          <w:szCs w:val="24"/>
        </w:rPr>
        <w:t>3A</w:t>
      </w:r>
      <w:r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b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 xml:space="preserve"> Simulation results.  In the model without mutation bias (uniform </w:t>
      </w:r>
      <w:proofErr w:type="spellStart"/>
      <w:r w:rsidRPr="00471472">
        <w:rPr>
          <w:rFonts w:ascii="Arial" w:hAnsi="Arial" w:cs="Arial"/>
          <w:sz w:val="24"/>
          <w:szCs w:val="24"/>
        </w:rPr>
        <w:t>ρ</w:t>
      </w:r>
      <w:r w:rsidRPr="00471472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), the Pearson correlation between observed and predicted prevalences is 0.14.  In the model with mutation bias (allele-specific </w:t>
      </w:r>
      <w:proofErr w:type="spellStart"/>
      <w:r w:rsidRPr="00471472">
        <w:rPr>
          <w:rFonts w:ascii="Arial" w:hAnsi="Arial" w:cs="Arial"/>
          <w:sz w:val="24"/>
          <w:szCs w:val="24"/>
        </w:rPr>
        <w:t>ρ</w:t>
      </w:r>
      <w:r w:rsidRPr="00471472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</w:rPr>
        <w:t>), the Pearson correlation is 0.78.</w:t>
      </w:r>
    </w:p>
    <w:p w14:paraId="2C8EE1B2" w14:textId="00753EB6" w:rsidR="00787768" w:rsidRDefault="00787768">
      <w:pPr>
        <w:rPr>
          <w:rFonts w:ascii="Arial" w:hAnsi="Arial" w:cs="Arial"/>
          <w:sz w:val="24"/>
          <w:szCs w:val="24"/>
        </w:rPr>
      </w:pPr>
    </w:p>
    <w:p w14:paraId="2CF385D0" w14:textId="15615129" w:rsidR="00787768" w:rsidRDefault="00787768">
      <w:pPr>
        <w:rPr>
          <w:rFonts w:ascii="Arial" w:hAnsi="Arial" w:cs="Arial"/>
          <w:sz w:val="24"/>
          <w:szCs w:val="24"/>
        </w:rPr>
      </w:pPr>
    </w:p>
    <w:p w14:paraId="517353A5" w14:textId="2F9E5341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Figure 5:</w:t>
      </w:r>
      <w:r w:rsidR="00C14356">
        <w:rPr>
          <w:rFonts w:ascii="Arial" w:hAnsi="Arial" w:cs="Arial"/>
          <w:b/>
          <w:sz w:val="24"/>
          <w:szCs w:val="24"/>
        </w:rPr>
        <w:t xml:space="preserve"> Drug-specific mutational liability and resistance mutation incidence</w:t>
      </w:r>
    </w:p>
    <w:p w14:paraId="0EAB6CD0" w14:textId="24C9CD6E" w:rsidR="00787768" w:rsidRDefault="00471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</w:t>
      </w:r>
      <w:r w:rsidR="00425623">
        <w:rPr>
          <w:rFonts w:ascii="Arial" w:hAnsi="Arial" w:cs="Arial"/>
          <w:sz w:val="24"/>
          <w:szCs w:val="24"/>
        </w:rPr>
        <w:t xml:space="preserve">Power curves for nilotinib and dasatinib frontline clinical trials.  Labeled points indicate the power of the </w:t>
      </w:r>
      <w:proofErr w:type="spellStart"/>
      <w:r w:rsidR="00425623">
        <w:rPr>
          <w:rFonts w:ascii="Arial" w:hAnsi="Arial" w:cs="Arial"/>
          <w:sz w:val="24"/>
          <w:szCs w:val="24"/>
        </w:rPr>
        <w:t>ENESTnd</w:t>
      </w:r>
      <w:proofErr w:type="spellEnd"/>
      <w:r w:rsidR="00425623">
        <w:rPr>
          <w:rFonts w:ascii="Arial" w:hAnsi="Arial" w:cs="Arial"/>
          <w:sz w:val="24"/>
          <w:szCs w:val="24"/>
        </w:rPr>
        <w:t xml:space="preserve"> (frontline nilotinib; N=282 and 1-</w:t>
      </w:r>
      <w:r w:rsidR="00425623" w:rsidRPr="00425623">
        <w:rPr>
          <w:rFonts w:ascii="Arial" w:hAnsi="Arial" w:cs="Arial"/>
          <w:sz w:val="24"/>
          <w:szCs w:val="24"/>
        </w:rPr>
        <w:t>β</w:t>
      </w:r>
      <w:r w:rsidR="00425623">
        <w:rPr>
          <w:rFonts w:ascii="Arial" w:hAnsi="Arial" w:cs="Arial"/>
          <w:sz w:val="24"/>
          <w:szCs w:val="24"/>
        </w:rPr>
        <w:t xml:space="preserve">=0.43) and DASISION (frontline dasatinib; N=259 and </w:t>
      </w:r>
      <w:r w:rsidR="00425623">
        <w:rPr>
          <w:rFonts w:ascii="Arial" w:hAnsi="Arial" w:cs="Arial"/>
          <w:sz w:val="24"/>
          <w:szCs w:val="24"/>
        </w:rPr>
        <w:t>1-</w:t>
      </w:r>
      <w:r w:rsidR="00425623" w:rsidRPr="00425623">
        <w:rPr>
          <w:rFonts w:ascii="Arial" w:hAnsi="Arial" w:cs="Arial"/>
          <w:sz w:val="24"/>
          <w:szCs w:val="24"/>
        </w:rPr>
        <w:t>β</w:t>
      </w:r>
      <w:r w:rsidR="00425623">
        <w:rPr>
          <w:rFonts w:ascii="Arial" w:hAnsi="Arial" w:cs="Arial"/>
          <w:sz w:val="24"/>
          <w:szCs w:val="24"/>
        </w:rPr>
        <w:t xml:space="preserve">=0.54) phase 3 clinical trials.  Effect size was estimated from simulation results. </w:t>
      </w:r>
      <w:r w:rsidR="00425623">
        <w:rPr>
          <w:rFonts w:ascii="Arial" w:hAnsi="Arial" w:cs="Arial"/>
          <w:b/>
          <w:sz w:val="24"/>
          <w:szCs w:val="24"/>
        </w:rPr>
        <w:t>(B)</w:t>
      </w:r>
      <w:r w:rsidR="009B53D0">
        <w:rPr>
          <w:rFonts w:ascii="Arial" w:hAnsi="Arial" w:cs="Arial"/>
          <w:b/>
          <w:sz w:val="24"/>
          <w:szCs w:val="24"/>
        </w:rPr>
        <w:t xml:space="preserve"> </w:t>
      </w:r>
      <w:r w:rsidR="009B53D0">
        <w:rPr>
          <w:rFonts w:ascii="Arial" w:hAnsi="Arial" w:cs="Arial"/>
          <w:sz w:val="24"/>
          <w:szCs w:val="24"/>
        </w:rPr>
        <w:t xml:space="preserve">Resistance profiles for imatinib, nilotinib, and dasatinib.  </w:t>
      </w:r>
      <w:r w:rsidR="009B53D0">
        <w:rPr>
          <w:rFonts w:ascii="Arial" w:hAnsi="Arial" w:cs="Arial"/>
          <w:b/>
          <w:sz w:val="24"/>
          <w:szCs w:val="24"/>
        </w:rPr>
        <w:t>(C)</w:t>
      </w:r>
      <w:r w:rsidR="009B53D0">
        <w:rPr>
          <w:rFonts w:ascii="Arial" w:hAnsi="Arial" w:cs="Arial"/>
          <w:sz w:val="24"/>
          <w:szCs w:val="24"/>
        </w:rPr>
        <w:t xml:space="preserve"> Mutational liabilities (defined as the sum of conditional probabilities of resistance-conferring mutations) and predicted resistance frequencies for imatinib, nilotinib, and dasatinib.  </w:t>
      </w:r>
      <w:r w:rsidR="009B53D0">
        <w:rPr>
          <w:rFonts w:ascii="Arial" w:hAnsi="Arial" w:cs="Arial"/>
          <w:b/>
          <w:sz w:val="24"/>
          <w:szCs w:val="24"/>
        </w:rPr>
        <w:t>(D)</w:t>
      </w:r>
      <w:r w:rsidR="009B53D0">
        <w:rPr>
          <w:rFonts w:ascii="Arial" w:hAnsi="Arial" w:cs="Arial"/>
          <w:sz w:val="24"/>
          <w:szCs w:val="24"/>
        </w:rPr>
        <w:t xml:space="preserve"> Resistance profiles for hypothetical drug, maxitinib.  Maxitinib K1 targets the first through fifth most likely mutants; K2 targets the second through sixth most likely; and so on.  </w:t>
      </w:r>
      <w:r w:rsidR="009B53D0">
        <w:rPr>
          <w:rFonts w:ascii="Arial" w:hAnsi="Arial" w:cs="Arial"/>
          <w:b/>
          <w:sz w:val="24"/>
          <w:szCs w:val="24"/>
        </w:rPr>
        <w:t>(E)</w:t>
      </w:r>
      <w:r w:rsidR="009B53D0">
        <w:rPr>
          <w:rFonts w:ascii="Arial" w:hAnsi="Arial" w:cs="Arial"/>
          <w:sz w:val="24"/>
          <w:szCs w:val="24"/>
        </w:rPr>
        <w:t xml:space="preserve"> Maxitinib simulation results.</w:t>
      </w:r>
      <w:r w:rsidR="00C14356">
        <w:rPr>
          <w:rFonts w:ascii="Arial" w:hAnsi="Arial" w:cs="Arial"/>
          <w:sz w:val="24"/>
          <w:szCs w:val="24"/>
        </w:rPr>
        <w:t xml:space="preserve">  Orange bars represent the resistance incidence of each maxitinib chemotype relative to imatinib.  Green points indicate mutational liability.</w:t>
      </w:r>
    </w:p>
    <w:p w14:paraId="26EA4399" w14:textId="042FFD75" w:rsidR="00787768" w:rsidRDefault="00787768">
      <w:pPr>
        <w:rPr>
          <w:rFonts w:ascii="Arial" w:hAnsi="Arial" w:cs="Arial"/>
          <w:sz w:val="24"/>
          <w:szCs w:val="24"/>
        </w:rPr>
      </w:pPr>
    </w:p>
    <w:p w14:paraId="401B1FCF" w14:textId="6BA02BC7" w:rsidR="00787768" w:rsidRDefault="00787768">
      <w:pPr>
        <w:rPr>
          <w:rFonts w:ascii="Arial" w:hAnsi="Arial" w:cs="Arial"/>
          <w:sz w:val="24"/>
          <w:szCs w:val="24"/>
        </w:rPr>
      </w:pPr>
    </w:p>
    <w:p w14:paraId="7ABC5A7D" w14:textId="496A3518" w:rsidR="00787768" w:rsidRDefault="0078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6:</w:t>
      </w:r>
      <w:r w:rsidR="00C14356">
        <w:rPr>
          <w:rFonts w:ascii="Arial" w:hAnsi="Arial" w:cs="Arial"/>
          <w:b/>
          <w:sz w:val="24"/>
          <w:szCs w:val="24"/>
        </w:rPr>
        <w:t xml:space="preserve"> </w:t>
      </w:r>
      <w:r w:rsidR="00A54FBB">
        <w:rPr>
          <w:rFonts w:ascii="Arial" w:hAnsi="Arial" w:cs="Arial"/>
          <w:b/>
          <w:sz w:val="24"/>
          <w:szCs w:val="24"/>
        </w:rPr>
        <w:t>Cases of restricted heterogeneity</w:t>
      </w:r>
    </w:p>
    <w:p w14:paraId="32478D91" w14:textId="6AE5C440" w:rsidR="00787768" w:rsidRPr="005663A1" w:rsidRDefault="00C14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</w:t>
      </w:r>
      <w:r w:rsidR="00A54FBB">
        <w:rPr>
          <w:rFonts w:ascii="Arial" w:hAnsi="Arial" w:cs="Arial"/>
          <w:sz w:val="24"/>
          <w:szCs w:val="24"/>
        </w:rPr>
        <w:t xml:space="preserve">A spatially heterogeneous tumor with </w:t>
      </w:r>
      <w:r w:rsidR="00F52794">
        <w:rPr>
          <w:rFonts w:ascii="Arial" w:hAnsi="Arial" w:cs="Arial"/>
          <w:sz w:val="24"/>
          <w:szCs w:val="24"/>
        </w:rPr>
        <w:t>mitotically active cells in the periphery and a quiescent/necrotic core</w:t>
      </w:r>
      <w:r w:rsidR="00A54FBB">
        <w:rPr>
          <w:rFonts w:ascii="Arial" w:hAnsi="Arial" w:cs="Arial"/>
          <w:sz w:val="24"/>
          <w:szCs w:val="24"/>
        </w:rPr>
        <w:t>.  Th</w:t>
      </w:r>
      <w:r w:rsidR="00F52794">
        <w:rPr>
          <w:rFonts w:ascii="Arial" w:hAnsi="Arial" w:cs="Arial"/>
          <w:sz w:val="24"/>
          <w:szCs w:val="24"/>
        </w:rPr>
        <w:t>e</w:t>
      </w:r>
      <w:r w:rsidR="00A54FBB">
        <w:rPr>
          <w:rFonts w:ascii="Arial" w:hAnsi="Arial" w:cs="Arial"/>
          <w:sz w:val="24"/>
          <w:szCs w:val="24"/>
        </w:rPr>
        <w:t xml:space="preserve"> effective</w:t>
      </w:r>
      <w:r w:rsidR="00F52794">
        <w:rPr>
          <w:rFonts w:ascii="Arial" w:hAnsi="Arial" w:cs="Arial"/>
          <w:sz w:val="24"/>
          <w:szCs w:val="24"/>
        </w:rPr>
        <w:t xml:space="preserve"> is a</w:t>
      </w:r>
      <w:r w:rsidR="00A54FBB">
        <w:rPr>
          <w:rFonts w:ascii="Arial" w:hAnsi="Arial" w:cs="Arial"/>
          <w:sz w:val="24"/>
          <w:szCs w:val="24"/>
        </w:rPr>
        <w:t xml:space="preserve"> </w:t>
      </w:r>
      <w:r w:rsidR="005663A1">
        <w:rPr>
          <w:rFonts w:ascii="Arial" w:hAnsi="Arial" w:cs="Arial"/>
          <w:sz w:val="24"/>
          <w:szCs w:val="24"/>
        </w:rPr>
        <w:t>reduction</w:t>
      </w:r>
      <w:r w:rsidR="00F52794">
        <w:rPr>
          <w:rFonts w:ascii="Arial" w:hAnsi="Arial" w:cs="Arial"/>
          <w:sz w:val="24"/>
          <w:szCs w:val="24"/>
        </w:rPr>
        <w:t xml:space="preserve"> in</w:t>
      </w:r>
      <w:r w:rsidR="00A54FBB">
        <w:rPr>
          <w:rFonts w:ascii="Arial" w:hAnsi="Arial" w:cs="Arial"/>
          <w:sz w:val="24"/>
          <w:szCs w:val="24"/>
        </w:rPr>
        <w:t xml:space="preserve"> the number of cells able to spawn a resistant subclone.</w:t>
      </w:r>
      <w:r w:rsidR="00F52794">
        <w:rPr>
          <w:rFonts w:ascii="Arial" w:hAnsi="Arial" w:cs="Arial"/>
          <w:sz w:val="24"/>
          <w:szCs w:val="24"/>
        </w:rPr>
        <w:t xml:space="preserve">  </w:t>
      </w:r>
      <w:r w:rsidR="00F52794">
        <w:rPr>
          <w:rFonts w:ascii="Arial" w:hAnsi="Arial" w:cs="Arial"/>
          <w:b/>
          <w:sz w:val="24"/>
          <w:szCs w:val="24"/>
        </w:rPr>
        <w:t>(B)</w:t>
      </w:r>
      <w:r w:rsidR="00F52794">
        <w:rPr>
          <w:rFonts w:ascii="Arial" w:hAnsi="Arial" w:cs="Arial"/>
          <w:sz w:val="24"/>
          <w:szCs w:val="24"/>
        </w:rPr>
        <w:t xml:space="preserve"> Adjuvant </w:t>
      </w:r>
      <w:r w:rsidR="005663A1">
        <w:rPr>
          <w:rFonts w:ascii="Arial" w:hAnsi="Arial" w:cs="Arial"/>
          <w:sz w:val="24"/>
          <w:szCs w:val="24"/>
        </w:rPr>
        <w:t xml:space="preserve">therapy involves surgically debulking the tumor, restricting the effective population size.  </w:t>
      </w:r>
      <w:r w:rsidR="005663A1">
        <w:rPr>
          <w:rFonts w:ascii="Arial" w:hAnsi="Arial" w:cs="Arial"/>
          <w:b/>
          <w:sz w:val="24"/>
          <w:szCs w:val="24"/>
        </w:rPr>
        <w:t>(C)</w:t>
      </w:r>
      <w:r w:rsidR="005663A1">
        <w:rPr>
          <w:rFonts w:ascii="Arial" w:hAnsi="Arial" w:cs="Arial"/>
          <w:sz w:val="24"/>
          <w:szCs w:val="24"/>
        </w:rPr>
        <w:t xml:space="preserve"> In infectious disease, transmission bottlenecks constrain the number (and thus heterogeneity) of pathogens passed from one host to another.</w:t>
      </w:r>
      <w:bookmarkStart w:id="0" w:name="_GoBack"/>
      <w:bookmarkEnd w:id="0"/>
    </w:p>
    <w:p w14:paraId="1A08C5F4" w14:textId="5D9EE6CC" w:rsidR="00787768" w:rsidRDefault="00787768">
      <w:pPr>
        <w:rPr>
          <w:rFonts w:ascii="Arial" w:hAnsi="Arial" w:cs="Arial"/>
          <w:sz w:val="24"/>
          <w:szCs w:val="24"/>
        </w:rPr>
      </w:pPr>
    </w:p>
    <w:p w14:paraId="3409130D" w14:textId="77777777" w:rsidR="00787768" w:rsidRPr="00787768" w:rsidRDefault="00787768">
      <w:pPr>
        <w:rPr>
          <w:rFonts w:ascii="Arial" w:hAnsi="Arial" w:cs="Arial"/>
          <w:sz w:val="24"/>
          <w:szCs w:val="24"/>
        </w:rPr>
      </w:pPr>
    </w:p>
    <w:sectPr w:rsidR="00787768" w:rsidRPr="0078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D"/>
    <w:rsid w:val="000B3778"/>
    <w:rsid w:val="003A7620"/>
    <w:rsid w:val="00425623"/>
    <w:rsid w:val="00455ED7"/>
    <w:rsid w:val="00471472"/>
    <w:rsid w:val="005663A1"/>
    <w:rsid w:val="00603C58"/>
    <w:rsid w:val="00787768"/>
    <w:rsid w:val="007A57F8"/>
    <w:rsid w:val="00843DE1"/>
    <w:rsid w:val="009764E4"/>
    <w:rsid w:val="009B53D0"/>
    <w:rsid w:val="00A176DD"/>
    <w:rsid w:val="00A54FBB"/>
    <w:rsid w:val="00AB4EB6"/>
    <w:rsid w:val="00B56CFC"/>
    <w:rsid w:val="00B7156C"/>
    <w:rsid w:val="00B71AF5"/>
    <w:rsid w:val="00B90EAB"/>
    <w:rsid w:val="00C14356"/>
    <w:rsid w:val="00C222CD"/>
    <w:rsid w:val="00CF0A61"/>
    <w:rsid w:val="00F52794"/>
    <w:rsid w:val="00F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A1EB"/>
  <w15:chartTrackingRefBased/>
  <w15:docId w15:val="{43D557A3-AD4B-4B54-A076-89290F66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Leighow</dc:creator>
  <cp:keywords/>
  <dc:description/>
  <cp:lastModifiedBy>Scott Leighow</cp:lastModifiedBy>
  <cp:revision>9</cp:revision>
  <dcterms:created xsi:type="dcterms:W3CDTF">2019-02-07T15:10:00Z</dcterms:created>
  <dcterms:modified xsi:type="dcterms:W3CDTF">2019-02-07T17:42:00Z</dcterms:modified>
</cp:coreProperties>
</file>