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E90CDB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commentRangeStart w:id="1"/>
      <w:r w:rsidR="00567E29">
        <w:t xml:space="preserve">unique </w:t>
      </w:r>
      <w:commentRangeEnd w:id="1"/>
      <w:r w:rsidR="00567E29">
        <w:rPr>
          <w:rStyle w:val="CommentReference"/>
        </w:rPr>
        <w:commentReference w:id="1"/>
      </w:r>
      <w:r w:rsidRPr="002010DD">
        <w:t xml:space="preserve">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w:t>
      </w:r>
      <w:proofErr w:type="spellStart"/>
      <w:r w:rsidR="00F2455D">
        <w:t>eurythermic</w:t>
      </w:r>
      <w:proofErr w:type="spellEnd"/>
      <w:r w:rsidR="00F2455D">
        <w:t xml:space="preserve">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xml:space="preserve">, </w:t>
      </w:r>
      <w:proofErr w:type="spellStart"/>
      <w:r w:rsidR="007D14A5">
        <w:t>Raborn</w:t>
      </w:r>
      <w:proofErr w:type="spellEnd"/>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07FBB904"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3C43217"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commentRangeStart w:id="2"/>
      <w:commentRangeStart w:id="3"/>
      <w:r w:rsidR="00567E29">
        <w:rPr>
          <w:rFonts w:cs="Times New Roman"/>
        </w:rPr>
        <w:t xml:space="preserve"> </w:t>
      </w:r>
      <w:commentRangeEnd w:id="2"/>
      <w:r w:rsidR="00567E29">
        <w:rPr>
          <w:rStyle w:val="CommentReference"/>
        </w:rPr>
        <w:commentReference w:id="2"/>
      </w:r>
      <w:commentRangeEnd w:id="3"/>
      <w:r w:rsidR="00311548">
        <w:rPr>
          <w:rStyle w:val="CommentReference"/>
        </w:rPr>
        <w:commentReference w:id="3"/>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4F47CB30"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 xml:space="preserve">in </w:t>
      </w:r>
      <w:r w:rsidR="00ED2947">
        <w:rPr>
          <w:rFonts w:cs="Times New Roman"/>
        </w:rPr>
        <w:lastRenderedPageBreak/>
        <w:t>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5CD3997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ED64CF">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 xml:space="preserve">(Fechhelm et al. 1993, 1999; Thedinga et al. 2013; Streever et al. </w:t>
      </w:r>
      <w:r w:rsidRPr="00E82E25">
        <w:rPr>
          <w:noProof/>
        </w:rPr>
        <w:lastRenderedPageBreak/>
        <w:t>2016)</w:t>
      </w:r>
      <w:r>
        <w:fldChar w:fldCharType="end"/>
      </w:r>
      <w:r>
        <w:t xml:space="preserve">. </w:t>
      </w:r>
      <w:r w:rsidR="001A206B">
        <w:rPr>
          <w:rFonts w:cs="Times New Roman"/>
        </w:rPr>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4CF02FE" w:rsidR="00E16921" w:rsidRDefault="00ED2947" w:rsidP="007A6263">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and 3</w:t>
      </w:r>
      <w:r w:rsidR="0096177F">
        <w:rPr>
          <w:rFonts w:cs="Times New Roman"/>
        </w:rPr>
        <w:t xml:space="preserve">) </w:t>
      </w:r>
      <w:commentRangeStart w:id="4"/>
      <w:r w:rsidR="0096177F">
        <w:rPr>
          <w:rFonts w:cs="Times New Roman"/>
        </w:rPr>
        <w:t>temporal patterns in species richness and rare species presence</w:t>
      </w:r>
      <w:commentRangeEnd w:id="4"/>
      <w:r w:rsidR="0096177F">
        <w:rPr>
          <w:rStyle w:val="CommentReference"/>
        </w:rPr>
        <w:commentReference w:id="4"/>
      </w:r>
      <w:r w:rsidR="0096177F">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670BC2C4"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317A4D">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w:lastRenderedPageBreak/>
          <m:t>E</m:t>
        </m:r>
        <m:r>
          <w:rPr>
            <w:rFonts w:ascii="Cambria Math" w:hAnsi="Cambria Math" w:cs="Times New Roman"/>
          </w:rPr>
          <m:t>ast/</m:t>
        </m:r>
        <m:r>
          <w:rPr>
            <w:rFonts w:ascii="Cambria Math" w:hAnsi="Cambria Math" w:cs="Times New Roman"/>
          </w:rPr>
          <m:t>W</m:t>
        </m:r>
        <m:r>
          <w:rPr>
            <w:rFonts w:ascii="Cambria Math" w:hAnsi="Cambria Math" w:cs="Times New Roman"/>
          </w:rPr>
          <m:t>est Wind</m:t>
        </m:r>
        <m:r>
          <w:rPr>
            <w:rFonts w:ascii="Cambria Math" w:hAnsi="Cambria Math" w:cs="Times New Roman"/>
          </w:rPr>
          <m:t xml:space="preserve">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w:commentRangeStart w:id="5"/>
                <w:commentRangeStart w:id="6"/>
                <w:commentRangeEnd w:id="5"/>
                <w:commentRangeEnd w:id="6"/>
              </m:e>
            </m:d>
            <m:r>
              <w:rPr>
                <w:rFonts w:ascii="Cambria Math" w:hAnsi="Cambria Math" w:cs="Times New Roman"/>
              </w:rPr>
              <m:t>*r</m:t>
            </m:r>
          </m:e>
        </m:func>
      </m:oMath>
      <w:r w:rsidR="00A832C8">
        <w:rPr>
          <w:rFonts w:eastAsiaTheme="minorEastAsia" w:cs="Times New Roman"/>
        </w:rPr>
        <w:t>,</w:t>
      </w:r>
    </w:p>
    <w:p w14:paraId="7F28BB3E" w14:textId="2C3EFB92"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kilometers per hour, which resulted in positive values for easterly winds and negative values for westerly winds. </w:t>
      </w:r>
    </w:p>
    <w:p w14:paraId="51A6881B" w14:textId="70D1AD69" w:rsidR="00B70DA3" w:rsidRDefault="00B70DA3" w:rsidP="00B70DA3">
      <w:pPr>
        <w:pStyle w:val="Heading2"/>
      </w:pPr>
      <w:r>
        <w:t>Data Analys</w:t>
      </w:r>
      <w:r w:rsidR="001E442A">
        <w:t>e</w:t>
      </w:r>
      <w:r>
        <w:t>s</w:t>
      </w:r>
    </w:p>
    <w:p w14:paraId="4CBAE4D4" w14:textId="486C8A40"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D64CF">
        <w:rPr>
          <w:rFonts w:cs="Times New Roman"/>
        </w:rPr>
        <w:t>Fish abundance data were pooled and scaled by combined sampling effort for 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E21B59">
        <w:rPr>
          <w:rFonts w:cs="Times New Roman"/>
        </w:rPr>
        <w:t>Response variables for multivariate analyses were CPUE values for each species which were fourth-root transformed, while e</w:t>
      </w:r>
      <w:r w:rsidR="00E21B59" w:rsidRPr="00410501">
        <w:rPr>
          <w:rFonts w:cs="Times New Roman"/>
          <w:noProof/>
        </w:rPr>
        <w:t>xplanatory environmental variables were square-root transformed</w:t>
      </w:r>
      <w:r w:rsidR="00E21B59">
        <w:rPr>
          <w:rFonts w:cs="Times New Roman"/>
          <w:noProof/>
        </w:rPr>
        <w:t xml:space="preserve">. </w:t>
      </w:r>
      <w:r w:rsidR="00690324">
        <w:rPr>
          <w:rFonts w:cs="Times New Roman"/>
          <w:noProof/>
        </w:rPr>
        <w:t>All</w:t>
      </w:r>
      <w:r w:rsidR="00E21B59">
        <w:rPr>
          <w:rFonts w:cs="Times New Roman"/>
          <w:noProof/>
        </w:rPr>
        <w:t xml:space="preserve"> response and environmental variables were </w:t>
      </w:r>
      <w:r w:rsidR="00E21B59">
        <w:rPr>
          <w:rFonts w:cs="Times New Roman"/>
        </w:rPr>
        <w:t xml:space="preserve">standardized to the percent of the maximum transformed catch </w:t>
      </w:r>
      <w:r w:rsidR="00E21B59">
        <w:rPr>
          <w:rFonts w:cs="Times New Roman"/>
          <w:noProof/>
        </w:rPr>
        <w:t xml:space="preserve">or </w:t>
      </w:r>
      <w:r w:rsidR="00E21B59" w:rsidRPr="00410501">
        <w:rPr>
          <w:rFonts w:cs="Times New Roman"/>
          <w:noProof/>
        </w:rPr>
        <w:t>environmental variable.</w:t>
      </w:r>
      <w:r w:rsidR="00E21B59">
        <w:rPr>
          <w:rFonts w:cs="Times New Roman"/>
          <w:noProof/>
        </w:rPr>
        <w:t xml:space="preserve"> </w:t>
      </w:r>
      <w:r w:rsidR="00690324">
        <w:rPr>
          <w:rFonts w:cs="Times New Roman"/>
          <w:noProof/>
        </w:rPr>
        <w:t xml:space="preserve">The CPUE values for each species were transformed to mitigate the influence of large catches and standardized  to species maximums so that each species had the same weight in the analysis, regardless of the abundance.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fourth-root transformed </w:t>
      </w:r>
      <w:r w:rsidR="00690324">
        <w:rPr>
          <w:rFonts w:cs="Times New Roman"/>
        </w:rPr>
        <w:t xml:space="preserve">and standardized </w:t>
      </w:r>
      <w:r>
        <w:rPr>
          <w:rFonts w:cs="Times New Roman"/>
        </w:rPr>
        <w:t xml:space="preserve">CPUE data. The Bray-Curtis dissimilarity </w:t>
      </w:r>
      <w:r>
        <w:rPr>
          <w:rFonts w:cs="Times New Roman"/>
        </w:rPr>
        <w:lastRenderedPageBreak/>
        <w:t xml:space="preserve">matrix was then used to visualize differences among samples using an ordination, relate differences in species composition to environmental variables using Mantel correlations and model multivariate dispersion using permutation-based ANOVAs. </w:t>
      </w:r>
    </w:p>
    <w:p w14:paraId="6BB0A9EB" w14:textId="39EA924C"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w:t>
      </w:r>
      <w:proofErr w:type="spellStart"/>
      <w:r>
        <w:rPr>
          <w:rFonts w:cs="Times New Roman"/>
        </w:rPr>
        <w:t>nMDS</w:t>
      </w:r>
      <w:proofErr w:type="spellEnd"/>
      <w:r>
        <w:rPr>
          <w:rFonts w:cs="Times New Roman"/>
        </w:rPr>
        <w:t>)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w:t>
      </w:r>
      <w:commentRangeStart w:id="7"/>
      <w:commentRangeStart w:id="8"/>
      <w:r w:rsidR="00567004">
        <w:rPr>
          <w:rFonts w:cs="Times New Roman"/>
        </w:rPr>
        <w:t>a Mantel randomization test</w:t>
      </w:r>
      <w:commentRangeEnd w:id="7"/>
      <w:r w:rsidR="00567004">
        <w:rPr>
          <w:rStyle w:val="CommentReference"/>
        </w:rPr>
        <w:commentReference w:id="7"/>
      </w:r>
      <w:commentRangeEnd w:id="8"/>
      <w:r w:rsidR="00E118CB">
        <w:rPr>
          <w:rStyle w:val="CommentReference"/>
        </w:rPr>
        <w:commentReference w:id="8"/>
      </w:r>
      <w:r w:rsidR="00567004">
        <w:rPr>
          <w:rFonts w:cs="Times New Roman"/>
        </w:rPr>
        <w:t xml:space="preserve">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567004">
        <w:rPr>
          <w:rFonts w:cs="Times New Roman"/>
        </w:rPr>
        <w:t xml:space="preserve">. The relationship between environmental variables and </w:t>
      </w:r>
      <w:bookmarkStart w:id="9" w:name="_GoBack"/>
      <w:bookmarkEnd w:id="9"/>
      <w:r w:rsidR="00567004">
        <w:rPr>
          <w:rFonts w:cs="Times New Roman"/>
        </w:rPr>
        <w:t xml:space="preserve">dissimilarities in species composition was visualized and tested for significance using a linear regression of continuous variables and an ANOVA of factor variables on the ordination axes </w:t>
      </w:r>
      <w:commentRangeStart w:id="10"/>
      <w:commentRangeStart w:id="11"/>
      <w:r w:rsidR="00567004">
        <w:rPr>
          <w:rFonts w:cs="Times New Roman"/>
        </w:rPr>
        <w:t>MDS1 and MDS2</w:t>
      </w:r>
      <w:commentRangeEnd w:id="10"/>
      <w:r w:rsidR="00567004">
        <w:rPr>
          <w:rStyle w:val="CommentReference"/>
        </w:rPr>
        <w:commentReference w:id="10"/>
      </w:r>
      <w:commentRangeEnd w:id="11"/>
      <w:r w:rsidR="001B776D">
        <w:rPr>
          <w:rStyle w:val="CommentReference"/>
        </w:rPr>
        <w:commentReference w:id="11"/>
      </w:r>
      <w:r w:rsidR="00567004">
        <w:rPr>
          <w:rFonts w:cs="Times New Roman"/>
        </w:rPr>
        <w:t>. Similarity percentages (SIMPER) were calculated to determine which species contributed most to the average Bray-Curtis dissimilarities between years, stations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719A6C99" w:rsidR="00991426" w:rsidRDefault="00567004" w:rsidP="00DE7883">
      <w:pPr>
        <w:ind w:firstLine="540"/>
        <w:rPr>
          <w:rFonts w:eastAsiaTheme="minorEastAsia" w:cs="Times New Roman"/>
        </w:rPr>
      </w:pPr>
      <w:r>
        <w:rPr>
          <w:rFonts w:cs="Times New Roman"/>
        </w:rPr>
        <w:t xml:space="preserve">The most parsimonious model of partitioning variability in species composition (as quantified by Bray-Curtis distances) based on environmental variables was determined by </w:t>
      </w:r>
      <w:r>
        <w:rPr>
          <w:rFonts w:cs="Times New Roman"/>
        </w:rPr>
        <w:lastRenderedPageBreak/>
        <w:t xml:space="preserve">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Pr>
          <w:rFonts w:cs="Times New Roman"/>
        </w:rPr>
        <w:t xml:space="preserve">he full PERMANOVA model </w:t>
      </w:r>
      <w:bookmarkStart w:id="12"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12"/>
      <w:r>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 xml:space="preserve">East/West Wind </m:t>
        </m:r>
        <m:r>
          <w:rPr>
            <w:rFonts w:ascii="Cambria Math" w:eastAsiaTheme="minorEastAsia" w:hAnsi="Cambria Math" w:cs="Times New Roman"/>
          </w:rPr>
          <m:t>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w:t>
      </w:r>
      <w:r w:rsidR="0096177F">
        <w:t xml:space="preserve">15 </w:t>
      </w:r>
      <w:r w:rsidR="0096177F">
        <w:t>July, period 2 = 16–31</w:t>
      </w:r>
      <w:r w:rsidR="0096177F">
        <w:t xml:space="preserve"> </w:t>
      </w:r>
      <w:r w:rsidR="0096177F">
        <w:t>July, period 3 = 1–15</w:t>
      </w:r>
      <w:r w:rsidR="0096177F">
        <w:t xml:space="preserve"> </w:t>
      </w:r>
      <w:r w:rsidR="0096177F">
        <w:t>August, and period 4 = 16</w:t>
      </w:r>
      <w:r w:rsidR="0096177F">
        <w:t xml:space="preserve"> </w:t>
      </w:r>
      <w:r w:rsidR="0096177F">
        <w:t>August–end date)</w:t>
      </w:r>
      <w:r w:rsidR="0096177F">
        <w:t>,</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m:t>
        </m:r>
        <m:r>
          <w:rPr>
            <w:rFonts w:ascii="Cambria Math" w:eastAsiaTheme="minorEastAsia" w:hAnsi="Cambria Math" w:cs="Times New Roman"/>
          </w:rPr>
          <m:t>/</m:t>
        </m:r>
        <m:r>
          <w:rPr>
            <w:rFonts w:ascii="Cambria Math" w:eastAsiaTheme="minorEastAsia" w:hAnsi="Cambria Math" w:cs="Times New Roman"/>
          </w:rPr>
          <m:t xml:space="preserve">West Wind </m:t>
        </m:r>
        <m:r>
          <w:rPr>
            <w:rFonts w:ascii="Cambria Math" w:eastAsiaTheme="minorEastAsia" w:hAnsi="Cambria Math" w:cs="Times New Roman"/>
          </w:rPr>
          <m:t>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0CADB8E2"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w:t>
      </w:r>
      <w:proofErr w:type="spellStart"/>
      <w:r>
        <w:rPr>
          <w:rFonts w:cs="Times New Roman"/>
        </w:rPr>
        <w:t>nMDS</w:t>
      </w:r>
      <w:proofErr w:type="spellEnd"/>
      <w:r>
        <w:rPr>
          <w:rFonts w:cs="Times New Roman"/>
        </w:rPr>
        <w:t xml:space="preserve"> (</w:t>
      </w:r>
      <w:proofErr w:type="spellStart"/>
      <w:r>
        <w:rPr>
          <w:rFonts w:cs="Times New Roman"/>
        </w:rPr>
        <w:t>nMDS</w:t>
      </w:r>
      <w:proofErr w:type="spellEnd"/>
      <w:r>
        <w:rPr>
          <w:rFonts w:cs="Times New Roman"/>
        </w:rPr>
        <w:t xml:space="preserve"> axes scores) as response variables in several alternative model formulations. First, to test for trends over time, we modeled the </w:t>
      </w:r>
      <w:proofErr w:type="spellStart"/>
      <w:r>
        <w:rPr>
          <w:rFonts w:cs="Times New Roman"/>
        </w:rPr>
        <w:t>nMDS</w:t>
      </w:r>
      <w:proofErr w:type="spellEnd"/>
      <w:r>
        <w:rPr>
          <w:rFonts w:cs="Times New Roman"/>
        </w:rPr>
        <w:t xml:space="preserve"> time-series </w:t>
      </w:r>
      <w:r w:rsidR="00B30655">
        <w:rPr>
          <w:rFonts w:cs="Times New Roman"/>
        </w:rPr>
        <w:t xml:space="preserve">for all three axes </w:t>
      </w:r>
      <w:r>
        <w:rPr>
          <w:rFonts w:cs="Times New Roman"/>
        </w:rPr>
        <w:t>as either a single time trend or separate trends by station (Year nested in station). Linear models were compared to Generalized Additive Models that allowed for non-liner trends over time. The full model was as follows:</w:t>
      </w:r>
    </w:p>
    <w:p w14:paraId="388BF35E" w14:textId="77777777" w:rsidR="00991426" w:rsidRDefault="00AA2C03"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1EB11CC1" w:rsidR="009F6352" w:rsidRDefault="00F934F0" w:rsidP="00F934F0">
      <w:pPr>
        <w:rPr>
          <w:rFonts w:cs="Times New Roman"/>
        </w:rPr>
      </w:pPr>
      <w:commentRangeStart w:id="13"/>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w:t>
      </w:r>
      <w:commentRangeEnd w:id="13"/>
      <w:r w:rsidR="00B30655">
        <w:rPr>
          <w:rStyle w:val="CommentReference"/>
        </w:rPr>
        <w:commentReference w:id="13"/>
      </w:r>
      <w:r>
        <w:rPr>
          <w:rFonts w:eastAsiaTheme="minorEastAsia" w:cs="Times New Roman"/>
        </w:rPr>
        <w:t>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w:t>
      </w:r>
      <w:r w:rsidR="006A5057">
        <w:rPr>
          <w:rFonts w:eastAsiaTheme="minorEastAsia" w:cs="Times New Roman"/>
        </w:rPr>
        <w:t xml:space="preserve"> as well as a model with </w:t>
      </w:r>
      <w:r w:rsidR="000D555C">
        <w:rPr>
          <w:rFonts w:eastAsiaTheme="minorEastAsia" w:cs="Times New Roman"/>
        </w:rPr>
        <w:t>the same 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6097D288"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was investigated using linear regression:</w:t>
      </w:r>
    </w:p>
    <w:p w14:paraId="449378F3" w14:textId="1D7AFB8A" w:rsidR="009F6352" w:rsidRPr="009F6352" w:rsidRDefault="00AA2C03"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08729D3D"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r w:rsidRPr="009756AB">
        <w:rPr>
          <w:rFonts w:eastAsiaTheme="minorEastAsia" w:cs="Times New Roman"/>
          <w:i/>
          <w:iCs/>
        </w:rPr>
        <w:t>k</w:t>
      </w:r>
      <w:r w:rsidR="0080270C">
        <w:rPr>
          <w:rFonts w:eastAsiaTheme="minorEastAsia" w:cs="Times New Roman"/>
        </w:rPr>
        <w:t xml:space="preserve">. </w:t>
      </w:r>
      <w:r w:rsidR="00942916" w:rsidRPr="00942916">
        <w:rPr>
          <w:rFonts w:cs="Times New Roman"/>
        </w:rPr>
        <w:t xml:space="preserve">To quantify temporal trends in </w:t>
      </w:r>
      <w:r w:rsidR="00942916">
        <w:rPr>
          <w:rFonts w:eastAsiaTheme="minorEastAsia" w:cs="Times New Roman"/>
        </w:rPr>
        <w:t xml:space="preserve">the </w:t>
      </w:r>
      <w:r w:rsidR="00942916">
        <w:rPr>
          <w:rFonts w:eastAsiaTheme="minorEastAsia" w:cs="Times New Roman"/>
        </w:rPr>
        <w:t xml:space="preserve">variability of catches </w:t>
      </w:r>
      <w:r w:rsidR="00942916">
        <w:rPr>
          <w:rFonts w:cs="Times New Roman"/>
        </w:rPr>
        <w:t>among different species</w:t>
      </w:r>
      <w:r w:rsidR="00942916" w:rsidRPr="00942916">
        <w:rPr>
          <w:rFonts w:cs="Times New Roman"/>
        </w:rPr>
        <w:t xml:space="preserve">, </w:t>
      </w:r>
      <w:r w:rsidR="009756AB">
        <w:rPr>
          <w:rFonts w:eastAsiaTheme="minorEastAsia" w:cs="Times New Roman"/>
        </w:rPr>
        <w:t xml:space="preserve">we </w:t>
      </w:r>
      <w:r w:rsidR="00942916">
        <w:rPr>
          <w:rFonts w:eastAsiaTheme="minorEastAsia" w:cs="Times New Roman"/>
        </w:rPr>
        <w:t xml:space="preserve">tested using </w:t>
      </w:r>
      <w:r w:rsidR="009756AB">
        <w:rPr>
          <w:rFonts w:eastAsiaTheme="minorEastAsia" w:cs="Times New Roman"/>
        </w:rPr>
        <w:t xml:space="preserve">a simple linear regression: </w:t>
      </w:r>
    </w:p>
    <w:p w14:paraId="0DDC12E1" w14:textId="2189DEDD" w:rsidR="009756AB" w:rsidRDefault="00AA2C03"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0B4751E8" w:rsidR="009F6352" w:rsidRDefault="009756AB" w:rsidP="009F6352">
      <w:pPr>
        <w:rPr>
          <w:rFonts w:eastAsiaTheme="minorEastAsia"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AA2C03">
        <w:rPr>
          <w:rFonts w:eastAsiaTheme="minorEastAsia" w:cs="Times New Roman"/>
        </w:rPr>
        <w:t xml:space="preserve">(CV; defined as </w:t>
      </w:r>
      <m:oMath>
        <m:r>
          <w:rPr>
            <w:rFonts w:ascii="Cambria Math" w:eastAsiaTheme="minorEastAsia" w:hAnsi="Cambria Math" w:cs="Times New Roman"/>
          </w:rPr>
          <m:t>σ/μ</m:t>
        </m:r>
      </m:oMath>
      <w:r w:rsidR="00AA2C03">
        <w:rPr>
          <w:rFonts w:eastAsiaTheme="minorEastAsia" w:cs="Times New Roman"/>
        </w:rPr>
        <w:t xml:space="preserve">) of the biweekly CPUE for each station for </w:t>
      </w:r>
      <w:r w:rsidR="007E2F0E">
        <w:rPr>
          <w:rFonts w:eastAsiaTheme="minorEastAsia" w:cs="Times New Roman"/>
        </w:rPr>
        <w:t xml:space="preserve">each species </w:t>
      </w:r>
      <w:r w:rsidR="007E2F0E" w:rsidRPr="007E2F0E">
        <w:rPr>
          <w:rFonts w:eastAsiaTheme="minorEastAsia" w:cs="Times New Roman"/>
          <w:i/>
          <w:iCs/>
        </w:rPr>
        <w:t>k</w:t>
      </w:r>
      <w:r w:rsidR="007E2F0E">
        <w:rPr>
          <w:rFonts w:eastAsiaTheme="minorEastAsia" w:cs="Times New Roman"/>
        </w:rPr>
        <w:t xml:space="preserve">, regressed on </w:t>
      </w:r>
      <m:oMath>
        <m:r>
          <w:rPr>
            <w:rFonts w:ascii="Cambria Math" w:hAnsi="Cambria Math" w:cs="Times New Roman"/>
          </w:rPr>
          <m:t>Year</m:t>
        </m:r>
      </m:oMath>
      <w:commentRangeStart w:id="14"/>
      <w:r w:rsidR="007E2F0E">
        <w:rPr>
          <w:rFonts w:eastAsiaTheme="minorEastAsia" w:cs="Times New Roman"/>
        </w:rPr>
        <w:t xml:space="preserve">. </w:t>
      </w:r>
      <w:commentRangeEnd w:id="14"/>
      <w:r w:rsidR="002D0040">
        <w:rPr>
          <w:rStyle w:val="CommentReference"/>
        </w:rPr>
        <w:commentReference w:id="14"/>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w:t>
      </w:r>
      <w:r>
        <w:t xml:space="preserve"> in </w:t>
      </w:r>
      <w:r>
        <w:t xml:space="preserve">Species Richness </w:t>
      </w:r>
      <w:r>
        <w:t>and Rare Species Presence</w:t>
      </w:r>
    </w:p>
    <w:p w14:paraId="5100F255" w14:textId="6629C332" w:rsidR="0096177F" w:rsidRPr="00D44DF6" w:rsidRDefault="0096177F" w:rsidP="0096177F">
      <w:pPr>
        <w:ind w:firstLine="540"/>
      </w:pPr>
      <w:r>
        <w:rPr>
          <w:rFonts w:cs="Times New Roman"/>
        </w:rPr>
        <w:t xml:space="preserve">To investigate interannual and seasonal trends in species richness (Objective </w:t>
      </w:r>
      <w:r>
        <w:rPr>
          <w:rFonts w:cs="Times New Roman"/>
        </w:rPr>
        <w:t>3</w:t>
      </w:r>
      <w:r>
        <w:rPr>
          <w:rFonts w:cs="Times New Roman"/>
        </w:rPr>
        <w:t>),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w:t>
      </w:r>
      <w:r>
        <w:rPr>
          <w:rFonts w:cs="Times New Roman"/>
        </w:rPr>
        <w:lastRenderedPageBreak/>
        <w:t xml:space="preserve">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t xml:space="preserve">Expected values of species richness were modeled as: </w:t>
      </w:r>
      <m:oMath>
        <m:r>
          <m:rPr>
            <m:sty m:val="p"/>
          </m:rPr>
          <w:rPr>
            <w:rFonts w:ascii="Cambria Math" w:hAnsi="Cambria Math" w:cs="Times New Roman"/>
          </w:rPr>
          <w:br/>
        </m:r>
      </m:oMath>
      <w:commentRangeStart w:id="15"/>
      <m:oMathPara>
        <m:oMathParaPr>
          <m:jc m:val="center"/>
        </m:oMathPara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m:t>
                  </m:r>
                </m:sub>
              </m:sSub>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4A1DE13C" w14:textId="45D9F74E"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m:t>
            </m:r>
          </m:sub>
        </m:sSub>
      </m:oMath>
      <w:r>
        <w:rPr>
          <w:rFonts w:eastAsiaTheme="minorEastAsia" w:cs="Times New Roman"/>
        </w:rPr>
        <w:t xml:space="preserve"> </w:t>
      </w:r>
      <w:r>
        <w:rPr>
          <w:rFonts w:cs="Times New Roman"/>
        </w:rPr>
        <w:t xml:space="preserve">was the number of unique species across all sites combined for each biweekly period 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overall mean in year </w:t>
      </w:r>
      <w:r w:rsidRPr="00314FCE">
        <w:rPr>
          <w:rFonts w:eastAsiaTheme="minorEastAsia" w:cs="Times New Roman"/>
          <w:i/>
          <w:iCs/>
        </w:rPr>
        <w:t>t</w:t>
      </w:r>
      <w:r>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oMath>
      <w:r>
        <w:rPr>
          <w:rFonts w:eastAsiaTheme="minorEastAsia" w:cs="Times New Roman"/>
        </w:rPr>
        <w:t xml:space="preserve"> was the year-specific random effect.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iweekly sampling period</w:t>
      </w:r>
      <w:r>
        <w:t xml:space="preserve"> (1–4)</w:t>
      </w:r>
      <w:r>
        <w:t xml:space="preserve">. The random effect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Pr>
          <w:rFonts w:eastAsiaTheme="minorEastAsia"/>
        </w:rPr>
        <w:t xml:space="preserve">followed a Normal distribution (0,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 xml:space="preserve">) </w:t>
      </w:r>
      <w:r>
        <w:t xml:space="preserve">and the random effect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oMath>
      <w:r>
        <w:rPr>
          <w:rFonts w:eastAsiaTheme="minorEastAsia"/>
        </w:rPr>
        <w:t xml:space="preserve"> followed a Normal di</w:t>
      </w:r>
      <w:proofErr w:type="spellStart"/>
      <w:r>
        <w:rPr>
          <w:rFonts w:eastAsiaTheme="minorEastAsia"/>
        </w:rPr>
        <w:t>stribution</w:t>
      </w:r>
      <w:proofErr w:type="spellEnd"/>
      <w:r>
        <w:rPr>
          <w:rFonts w:eastAsiaTheme="minorEastAsia"/>
        </w:rPr>
        <w:t xml:space="preserve"> (0,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γ</m:t>
            </m:r>
          </m:sub>
          <m:sup>
            <m:r>
              <w:rPr>
                <w:rFonts w:ascii="Cambria Math" w:eastAsiaTheme="minorEastAsia" w:hAnsi="Cambria Math"/>
              </w:rPr>
              <m:t>2</m:t>
            </m:r>
          </m:sup>
        </m:sSubSup>
      </m:oMath>
      <w:r>
        <w:rPr>
          <w:rFonts w:eastAsiaTheme="minorEastAsia"/>
        </w:rPr>
        <w:t>).</w:t>
      </w:r>
      <w:r>
        <w:t xml:space="preserve"> </w:t>
      </w:r>
      <w:commentRangeEnd w:id="15"/>
      <w:r>
        <w:rPr>
          <w:rStyle w:val="CommentReference"/>
        </w:rPr>
        <w:commentReference w:id="15"/>
      </w:r>
      <w:r>
        <w:t xml:space="preserve">The full model was compared to </w:t>
      </w:r>
      <w:commentRangeStart w:id="16"/>
      <w:r>
        <w:t>models without effort</w:t>
      </w:r>
      <w:commentRangeEnd w:id="16"/>
      <w:r>
        <w:rPr>
          <w:rStyle w:val="CommentReference"/>
        </w:rPr>
        <w:commentReference w:id="16"/>
      </w:r>
      <w:r>
        <w:t xml:space="preserve">, without random effects, and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ECE779B"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w:t>
      </w:r>
      <w:commentRangeStart w:id="17"/>
      <w:commentRangeStart w:id="18"/>
      <w:commentRangeStart w:id="19"/>
      <w:r w:rsidR="00BE1901">
        <w:rPr>
          <w:rFonts w:cs="Times New Roman"/>
        </w:rPr>
        <w:t>≤ 100 individuals caught in all samples combined</w:t>
      </w:r>
      <w:commentRangeEnd w:id="17"/>
      <w:r w:rsidR="00BE1901">
        <w:rPr>
          <w:rStyle w:val="CommentReference"/>
        </w:rPr>
        <w:commentReference w:id="17"/>
      </w:r>
      <w:commentRangeEnd w:id="18"/>
      <w:r w:rsidR="00BE1901">
        <w:rPr>
          <w:rStyle w:val="CommentReference"/>
        </w:rPr>
        <w:commentReference w:id="18"/>
      </w:r>
      <w:commentRangeEnd w:id="19"/>
      <w:r w:rsidR="00BE1901">
        <w:rPr>
          <w:rStyle w:val="CommentReference"/>
        </w:rPr>
        <w:commentReference w:id="19"/>
      </w:r>
      <w:r w:rsidR="00BE1901">
        <w:rPr>
          <w:rFonts w:cs="Times New Roman"/>
        </w:rPr>
        <w:t xml:space="preserve">)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proofErr w:type="spellStart"/>
      <w:r w:rsidRPr="00E8216E">
        <w:rPr>
          <w:rFonts w:cs="Times New Roman"/>
          <w:i/>
        </w:rPr>
        <w:t>i</w:t>
      </w:r>
      <w:proofErr w:type="spellEnd"/>
      <w:r>
        <w:rPr>
          <w:rFonts w:cs="Times New Roman"/>
        </w:rPr>
        <w:t xml:space="preserve"> at station </w:t>
      </w:r>
      <w:r w:rsidRPr="007A12C8">
        <w:rPr>
          <w:rFonts w:cs="Times New Roman"/>
          <w:i/>
          <w:iCs/>
        </w:rPr>
        <w:t>s</w:t>
      </w:r>
      <w:r>
        <w:rPr>
          <w:rFonts w:cs="Times New Roman"/>
        </w:rPr>
        <w:t xml:space="preserve"> was estimated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3965148F" w:rsidR="00920EBE" w:rsidRPr="0080270C" w:rsidRDefault="00920EBE" w:rsidP="009F6352">
      <w:pPr>
        <w:rPr>
          <w:rFonts w:eastAsiaTheme="minorEastAsia" w:cs="Times New Roman"/>
        </w:rPr>
      </w:pPr>
      <w:r>
        <w:rPr>
          <w:rFonts w:eastAsiaTheme="minorEastAsia" w:cs="Times New Roman"/>
        </w:rPr>
        <w:lastRenderedPageBreak/>
        <w:t>The most parsimonious models of logit probability of occurrence were determined using AIC and were run independently for each rare species</w:t>
      </w:r>
      <w:commentRangeStart w:id="20"/>
      <w:r>
        <w:rPr>
          <w:rFonts w:eastAsiaTheme="minorEastAsia" w:cs="Times New Roman"/>
        </w:rPr>
        <w:t xml:space="preserve">. </w:t>
      </w:r>
      <w:commentRangeEnd w:id="20"/>
      <w:r w:rsidR="009756AB">
        <w:rPr>
          <w:rStyle w:val="CommentReference"/>
        </w:rPr>
        <w:commentReference w:id="20"/>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w:t>
      </w:r>
      <w:r w:rsidR="000F07F6">
        <w:rPr>
          <w:rFonts w:cs="Times New Roman"/>
        </w:rPr>
        <w:lastRenderedPageBreak/>
        <w:t>substantially but was highest on average at station 230 and lowest at station 220, while salinity was highest on average at station 220 and lowest at station 230 (</w:t>
      </w:r>
      <w:commentRangeStart w:id="21"/>
      <w:r w:rsidR="000F07F6">
        <w:rPr>
          <w:rFonts w:cs="Times New Roman"/>
        </w:rPr>
        <w:t>Figure 4</w:t>
      </w:r>
      <w:commentRangeEnd w:id="21"/>
      <w:r w:rsidR="0088321C">
        <w:rPr>
          <w:rStyle w:val="CommentReference"/>
        </w:rPr>
        <w:commentReference w:id="21"/>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4A273F69" w:rsidR="00EF17F0" w:rsidRDefault="00404CFE" w:rsidP="001214B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22" w:name="_Hlk16262055"/>
        <m:r>
          <w:rPr>
            <w:rFonts w:ascii="Cambria Math" w:hAnsi="Cambria Math" w:cs="Times New Roman"/>
          </w:rPr>
          <m:t>ear</m:t>
        </m:r>
      </m:oMath>
      <w:bookmarkEnd w:id="22"/>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lastRenderedPageBreak/>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6892AFDC"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lastRenderedPageBreak/>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18D2D7BB" w:rsidR="006F7CCE" w:rsidRDefault="0080270C" w:rsidP="00F86AD0">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w:t>
      </w:r>
      <w:proofErr w:type="spellStart"/>
      <w:r w:rsidR="006F7CCE">
        <w:t>Fourhorn</w:t>
      </w:r>
      <w:proofErr w:type="spellEnd"/>
      <w:r w:rsidR="006F7CCE">
        <w:t xml:space="preserve"> Sculpin, Humpback Whitefish, and Least Cisco decreased in abundance (Table 2). </w:t>
      </w:r>
      <w:r w:rsidR="00673B01">
        <w:t xml:space="preserve">Water temperatures were significantly and positively associated with the abundance of Arctic Flounder, Broad Whitefish, </w:t>
      </w:r>
      <w:proofErr w:type="spellStart"/>
      <w:r w:rsidR="00673B01">
        <w:t>Fourhorn</w:t>
      </w:r>
      <w:proofErr w:type="spellEnd"/>
      <w:r w:rsidR="00673B01">
        <w:t xml:space="preserve"> Sculpin, and Saffron Cod. 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 xml:space="preserve">Least </w:t>
      </w:r>
      <w:r w:rsidR="00673B01">
        <w:lastRenderedPageBreak/>
        <w:t>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77777777"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Species richness increased significantly from 2001 to 2018 (GAM; t value = 3.386, p = 0.001) and over the season (GAM, k = 3: F = 62.85, </w:t>
      </w:r>
      <w:proofErr w:type="spellStart"/>
      <w:r>
        <w:rPr>
          <w:rFonts w:cs="Times New Roman"/>
        </w:rPr>
        <w:t>edf</w:t>
      </w:r>
      <w:proofErr w:type="spellEnd"/>
      <w:r>
        <w:rPr>
          <w:rFonts w:cs="Times New Roman"/>
        </w:rPr>
        <w:t xml:space="preserve"> = 1.83, p &lt; 0.001). The rate of increase in species richness was not constant among biweekly periods as there was a greater increase in species richness early in the season (biweekly period 1) relative to the late season (biweekly period 4; Figure 2). While the rate of species richness trends varied among stations, the increasing trend in species richness over years and during the season occurred at all four stations. </w:t>
      </w:r>
    </w:p>
    <w:p w14:paraId="6BAACD83" w14:textId="56A16541" w:rsidR="0088321C" w:rsidRPr="0088321C" w:rsidRDefault="0088321C" w:rsidP="0088321C">
      <w:pPr>
        <w:ind w:firstLine="720"/>
        <w:rPr>
          <w:rFonts w:cs="Times New Roman"/>
        </w:rPr>
      </w:pPr>
      <w:r>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(estimate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(estimate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 xml:space="preserve">(estimate =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3). Two additional species showed a significant trend in presence over the course of the season: Chum Salmon </w:t>
      </w:r>
      <w:r w:rsidRPr="00616D5C">
        <w:rPr>
          <w:rFonts w:cs="Times New Roman"/>
          <w:i/>
        </w:rPr>
        <w:t>Oncorhynchus keta</w:t>
      </w:r>
      <w:r>
        <w:rPr>
          <w:rFonts w:cs="Times New Roman"/>
        </w:rPr>
        <w:t xml:space="preserve"> and an unidentified snailfish </w:t>
      </w:r>
      <w:r w:rsidRPr="00616D5C">
        <w:rPr>
          <w:rFonts w:cs="Times New Roman"/>
          <w:i/>
        </w:rPr>
        <w:t>Liparis</w:t>
      </w:r>
      <w:r>
        <w:rPr>
          <w:rFonts w:cs="Times New Roman"/>
        </w:rPr>
        <w:t xml:space="preserve"> spp. both increased in abundance as biweekly periods (intra-seasonal duration) increased</w:t>
      </w:r>
      <w:r w:rsidRPr="00A25B03">
        <w:rPr>
          <w:rFonts w:cs="Times New Roman"/>
        </w:rPr>
        <w:t xml:space="preserve"> </w:t>
      </w:r>
      <w:r>
        <w:rPr>
          <w:rFonts w:cs="Times New Roman"/>
        </w:rPr>
        <w:t xml:space="preserve">(estimate =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estimate =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A7119F8" w14:textId="77777777" w:rsidR="0046795D" w:rsidRDefault="0046795D" w:rsidP="0046795D">
      <w:pPr>
        <w:pStyle w:val="Heading1"/>
      </w:pPr>
      <w:r>
        <w:t>Discussion</w:t>
      </w:r>
    </w:p>
    <w:p w14:paraId="5BCBF4B2" w14:textId="7537B326" w:rsidR="00F1109C" w:rsidRPr="00D12593" w:rsidRDefault="003C2B9A" w:rsidP="00D12593">
      <w:pPr>
        <w:ind w:firstLine="720"/>
      </w:pPr>
      <w:r w:rsidRPr="00613195">
        <w:lastRenderedPageBreak/>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w:t>
      </w:r>
      <w:proofErr w:type="spellStart"/>
      <w:r w:rsidR="0088638D">
        <w:t>Fourhorn</w:t>
      </w:r>
      <w:proofErr w:type="spellEnd"/>
      <w:r w:rsidR="0088638D">
        <w:t xml:space="preserve">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w:t>
      </w:r>
      <w:r>
        <w:lastRenderedPageBreak/>
        <w:t xml:space="preserve">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w:t>
      </w:r>
      <w:r w:rsidR="00BA5936">
        <w:lastRenderedPageBreak/>
        <w:t xml:space="preserve">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2D85E601"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w:t>
      </w:r>
      <w:proofErr w:type="spellStart"/>
      <w:r>
        <w:rPr>
          <w:rFonts w:cs="Times New Roman"/>
        </w:rPr>
        <w:t>Fourhorn</w:t>
      </w:r>
      <w:proofErr w:type="spellEnd"/>
      <w:r>
        <w:rPr>
          <w:rFonts w:cs="Times New Roman"/>
        </w:rPr>
        <w:t xml:space="preserve">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lastRenderedPageBreak/>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 xml:space="preserve">marine </w:t>
      </w:r>
      <w:r w:rsidR="009B099E">
        <w:rPr>
          <w:rFonts w:cs="Times New Roman"/>
        </w:rPr>
        <w:lastRenderedPageBreak/>
        <w:t>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 xml:space="preserve">National Snow and Ice Data </w:t>
      </w:r>
      <w:r w:rsidRPr="003F26EF">
        <w:rPr>
          <w:rFonts w:cs="Times New Roman"/>
        </w:rPr>
        <w:lastRenderedPageBreak/>
        <w:t>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w:t>
      </w:r>
      <w:r w:rsidR="003C2B9A">
        <w:rPr>
          <w:rFonts w:cs="Times New Roman"/>
        </w:rPr>
        <w:lastRenderedPageBreak/>
        <w:t xml:space="preserve">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23"/>
      <w:r w:rsidR="003C2B9A">
        <w:rPr>
          <w:rFonts w:cs="Times New Roman"/>
        </w:rPr>
        <w:t xml:space="preserve">. </w:t>
      </w:r>
      <w:commentRangeEnd w:id="23"/>
      <w:r w:rsidR="00384998">
        <w:rPr>
          <w:rStyle w:val="CommentReference"/>
        </w:rPr>
        <w:commentReference w:id="23"/>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w:t>
      </w:r>
      <w:r w:rsidR="003B4622">
        <w:rPr>
          <w:rFonts w:cs="Times New Roman"/>
        </w:rPr>
        <w:lastRenderedPageBreak/>
        <w:t>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4"/>
      <w:r w:rsidR="001E21F6">
        <w:rPr>
          <w:rFonts w:cs="Times New Roman"/>
        </w:rPr>
        <w:t>.</w:t>
      </w:r>
      <w:r w:rsidR="000264AB">
        <w:rPr>
          <w:rFonts w:cs="Times New Roman"/>
        </w:rPr>
        <w:t xml:space="preserve"> </w:t>
      </w:r>
      <w:commentRangeEnd w:id="24"/>
      <w:r w:rsidR="00416728">
        <w:rPr>
          <w:rStyle w:val="CommentReference"/>
        </w:rPr>
        <w:commentReference w:id="24"/>
      </w:r>
    </w:p>
    <w:p w14:paraId="5FC2AFA9" w14:textId="7ACABC0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5" w:name="_Toc510712063"/>
      <w:r>
        <w:lastRenderedPageBreak/>
        <w:t>Literature Cited</w:t>
      </w:r>
      <w:bookmarkEnd w:id="25"/>
    </w:p>
    <w:p w14:paraId="5D9F4E6A" w14:textId="5CF46F30" w:rsidR="00317A4D" w:rsidRPr="00317A4D" w:rsidRDefault="00B448CE" w:rsidP="00317A4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17A4D" w:rsidRPr="00317A4D">
        <w:rPr>
          <w:rFonts w:cs="Times New Roman"/>
          <w:noProof/>
          <w:szCs w:val="24"/>
        </w:rPr>
        <w:t>Anderson MJ (2001) A new method for non-parametric multivariate analysis of variance. Austral Ecol 26:32–46</w:t>
      </w:r>
    </w:p>
    <w:p w14:paraId="4390171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09D1C9D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Bai J, Perron P (2003) Computation and analysis of multiple structural change models. J Appl Econom 18:1–22. doi: 10.1002/jae.659</w:t>
      </w:r>
    </w:p>
    <w:p w14:paraId="5039B8D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Bailey KM (2000) Shifting control of recruitment of walleye pollock Theragra chalcogramma after a major climatic and ecosystem change. Mar Ecol Prog Ser 198:215–224</w:t>
      </w:r>
    </w:p>
    <w:p w14:paraId="5175DC1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318A189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19DEC48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Bisson PA, Dunham JB, Reeves GH (2009) Freshwater ecosystems and resilience of Pacific salmon: habitat management based on natural variability. Ecol Soc 14:45. doi: 10.5751/ES-02784-140145</w:t>
      </w:r>
    </w:p>
    <w:p w14:paraId="12256CA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Bluhm BA, Gebruk A, Gradinger RR, et al (2011) Arctic Marine Biodiversity: An Update of Species Richness and Examples of Biodiversity Change. Oceanography 24:232–248. doi: 10.5670/oceanog.2011.75</w:t>
      </w:r>
    </w:p>
    <w:p w14:paraId="40C6B3D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Bœuf G, Payan P (2001) How should salinity influence fish growth? Comp Biochem Physiol - Part C Toxicol Pharmacol 130:411–423. doi: 10.1016/S1532-0456(01)00268-X</w:t>
      </w:r>
    </w:p>
    <w:p w14:paraId="21EEF3A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Bond WA, Erickson RN (1985) Life history studies of anadromous coregonid fishes in two freshwater lake Systems on the Tuktoyaktuk Peninsula, Northwest Territories. Can Tech Rep Fish Aquat Sci 1336:</w:t>
      </w:r>
    </w:p>
    <w:p w14:paraId="67067415"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7DA033B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Bradstreet MSW, Cross WE (1982) Trophic relationships at high Arctic ice edges. Arctic 35:1–12. doi: 10.1016/0266-9838(93)90013-8</w:t>
      </w:r>
    </w:p>
    <w:p w14:paraId="05ED4835"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Carpenter SR, Cole JJ, Pace ML, et al (2011) Early warnings of regime shifts: A whole-ecosystem experiment. Science (80- ) 332:1079–1082. doi: 10.1126/science.1203672</w:t>
      </w:r>
    </w:p>
    <w:p w14:paraId="7AF7C07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Clarke KR (1993) Non-parametric multivariate analyses of changes in community structure. 117–143</w:t>
      </w:r>
    </w:p>
    <w:p w14:paraId="0D9E88D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Clarke KR, Ainsworth M (1993) A method of linking multivariate community structure to environmental variables. Mar Ecol Prog Ser 92:205–219. doi: 10.3354/meps092205</w:t>
      </w:r>
    </w:p>
    <w:p w14:paraId="15F384C8"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Collie JS, Wood AD, Jeffries HP (2008) Long-term shifts in the species composition of a coastal fish community. Can J Fish Aquat Sci 65:1352–1365. doi: 10.1139/F08-048</w:t>
      </w:r>
    </w:p>
    <w:p w14:paraId="3A39B1B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Costa MJ, Vasconcelos R, Costa JL, Cabral HN (2007) River flow influence on the fish community of the Tagus estuary (Portugal). Hydrobiologia 587:113–123. doi: 10.1007/s10750-007-0690-x</w:t>
      </w:r>
    </w:p>
    <w:p w14:paraId="52648BA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Coutant CC (1987) Thermal preference: when does an asset become a liability? Environ Biol Fishes 18:161–172. doi: 10.1007/BF00000356</w:t>
      </w:r>
    </w:p>
    <w:p w14:paraId="764D95D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Craig PC (1984) Fish use of coastal waters of the Alaska Beaufort Sea: a review. Trans Am Fish Soc 113:265–282. doi: 10.1577/1548-8659(1984)113&lt;265:FUOCWO&gt;2.0.CO;2</w:t>
      </w:r>
    </w:p>
    <w:p w14:paraId="197B8BE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Craig PC (1989) An introduction to anadromous fishes in the Alaskan Arctic. Biol Pap Univ Alaska 27–54</w:t>
      </w:r>
    </w:p>
    <w:p w14:paraId="33B36C3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Craig PC, Griffiths WB, Haldorson L, McElderry H (1985) Distributional patterns of fishes in an Alaskan Arctic lagoon. Polar Biol 4:9–18</w:t>
      </w:r>
    </w:p>
    <w:p w14:paraId="054C775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Cushing DH (1990) Plankton production and year-class strength in fish populations: An update of the match/mismatch hypothesis. Adv Mar Biol 26:249–293. doi: 10.1016/S0065-2881(08)60202-3</w:t>
      </w:r>
    </w:p>
    <w:p w14:paraId="618C19C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56C4DB5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Dahlke FT, Butzin M, Nahrgang J, et al (2018) Northern cod species face spawning habitat losses if global warming exceeds 1.5°C. Sci Adv 4:1–11. doi: 10.1126/sciadv.aas8821</w:t>
      </w:r>
    </w:p>
    <w:p w14:paraId="591EF3A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de March BGE (1989) Salinity tolerance of larval and juvenile Broad Whitefish (Coregonus nasus). Can J Zool 67:2392–2397</w:t>
      </w:r>
    </w:p>
    <w:p w14:paraId="1376ABE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4AADB36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04C770C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Elmqvist T, Folke C, Nystrom M, et al (2003) Response diversity, ecosystem change, and resilience. Front Ecol Environ 1:488–494. doi: 10.2307/3868116</w:t>
      </w:r>
    </w:p>
    <w:p w14:paraId="723D276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2F1E6AD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3CF5D03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Fissel DB (1988) Recruitment of Canadian Arctic Cisco (Coregonus autumnalis) into Alaskan waters. Can J Fish Aquat Sci 45:906–910. doi: 10.1139/f88-110</w:t>
      </w:r>
    </w:p>
    <w:p w14:paraId="3D40949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7191EFF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Griffiths WB (1990) Effect of wind on the recruitment of Canadian Arctic Cisco (Coregonus autumnalis) into the central Alaskan Beaufort Sea. Can J Fish Aquat Sci 47:2164–2171. doi: 10.1139/f90-241</w:t>
      </w:r>
    </w:p>
    <w:p w14:paraId="06B0125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2BBCD9F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0701C4D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Martin LR, Gallaway BJ, et al (1999) Prudhoe Bay causeways and the summer coastal movements of Arctic Cisco and Least Cisco. Arctic 52:139–151. doi: 10.1007/s</w:t>
      </w:r>
    </w:p>
    <w:p w14:paraId="69E8970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Streever B, Gallaway BJ (2007) The Arctic Cisco (Coregonus autumnalis) subsistence and commercial fisheries, Colville River, Alaska: A conceptual model. Arctic 60:421–429</w:t>
      </w:r>
    </w:p>
    <w:p w14:paraId="1AF8146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Fossheim M, Primicerio R, Johannesen E, et al (2015) Recent warming leads to a rapid borealization of fish communities in the Arctic. Nat Clim Chang 5:673–677. doi: 10.1038/nclimate2647</w:t>
      </w:r>
    </w:p>
    <w:p w14:paraId="3A34B51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1313701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Grebmeier JM, Overland JE, Moore SE, et al (2006) A major ecosystem shift in the northern Bering Sea. Science (80- ) 311:1461–1464. doi: 10.1126/science.1121365</w:t>
      </w:r>
    </w:p>
    <w:p w14:paraId="6BBF3808"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Green DG, Priest JT, Gatt KP, Sutton TM (2018) Beaufort Sea nearshore fish monitoring study: 2018 annual report. Fairbanks, Alaska</w:t>
      </w:r>
    </w:p>
    <w:p w14:paraId="21D56E6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Guisan A, Edwards TC, Hastie T (2002) Generalized linear and generalized additive models in studies of species distributions: setting the scene. Ecol Modell 157:89–100. doi: 10.1016/S0304-3800(02)00204-1</w:t>
      </w:r>
    </w:p>
    <w:p w14:paraId="13F9946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Harter BB, Elliott KH, Divoky GJ, Davoren GK (2013) Arctic Cod (Boreogadus saida) as prey: fish length-energetics relationships in the Beaufort Sea and Hudson Bay. Arctic 66:191–196</w:t>
      </w:r>
    </w:p>
    <w:p w14:paraId="68BE05B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Hiddink JG, ter Hofstede R (2008) Climate induced increases in species richness of marine fishes. Glob Chang Biol 14:453–460. doi: 10.1111/j.1365-2486.2007.01518.x</w:t>
      </w:r>
    </w:p>
    <w:p w14:paraId="5CEED57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Higdon JW, Ferguson SH (2009) Loss of Arctic sea ice causing punctuated change in sightings of killer whales (Orcinus orca) over the past century. Ecol Appl 19:1365–1375</w:t>
      </w:r>
    </w:p>
    <w:p w14:paraId="5180EE3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Hunt GL, Stabeno P, Walters G, et al (2002) Climate change and control of the southeastern Bering Sea pelagic ecosystem. Deep Res Part II Top Stud Oceanogr 49:5821–5853. doi: 10.1016/S0967-0645(02)00321-1</w:t>
      </w:r>
    </w:p>
    <w:p w14:paraId="5A4034C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6C34E2D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Irvine JR, Macdonald RW, Brown RJ, et al (2009) Salmon in the Arctic and how they avoid lethal low temperatures. North Pacific Anadromous Fish Comm Bull 5:39–50</w:t>
      </w:r>
    </w:p>
    <w:p w14:paraId="43EE8527"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Jackson DA, Peres-Neto PR, Olden JD (2001) What controls who is where in freshwater fish communities – the roles of biotic, abiotic, and spatial factors. Can J Fish Aquat Sci 58:157–170. doi: 10.1139/cjfas-58-1-157</w:t>
      </w:r>
    </w:p>
    <w:p w14:paraId="3077148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Karr JR (1981) Assessment of biotic integrity using fish communities. Fisheries 6:21–27. doi: 10.1577/1548-8446(1981)006&lt;0021:aobiuf&gt;2.0.co;2</w:t>
      </w:r>
    </w:p>
    <w:p w14:paraId="635BD72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55592DD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 xml:space="preserve">Kruskal JB (1964) Multidimensional scaling by optimizing goodness of fit to a nonmetric </w:t>
      </w:r>
      <w:r w:rsidRPr="00317A4D">
        <w:rPr>
          <w:rFonts w:cs="Times New Roman"/>
          <w:noProof/>
          <w:szCs w:val="24"/>
        </w:rPr>
        <w:lastRenderedPageBreak/>
        <w:t>hypothesis. Psychometrika 29:1–27. doi: 10.1007/bf02289565</w:t>
      </w:r>
    </w:p>
    <w:p w14:paraId="59412A1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33F86DA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Lehodey P, Alheit J, Barange M, et al (2006) Climate variability, fish, and fisheries. J Clim 19:5009–5030. doi: 10.1175/jcli3898.1</w:t>
      </w:r>
    </w:p>
    <w:p w14:paraId="5C945DF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2E59795"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7CF51A9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Marchand J (1991) The influence of environmental conditions on settlement, distribution and growth of 0-group sole (Solea solea (L.)) in a macrotidal estuary (Vilaine France). Netherlands J Sea Res 27:307–316</w:t>
      </w:r>
    </w:p>
    <w:p w14:paraId="6209655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Moerlein KJ, Carothers C (2012) Total environment of change: Impacts of climate change and social transitions on subsistence fisheries in Northwest Alaska. Ecol Soc 17:10. doi: 10.5751/ES-04543-170110</w:t>
      </w:r>
    </w:p>
    <w:p w14:paraId="1D82E3F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Monaghan P (2008) Early growth conditions, phenotypic development and environmental change. Philos Trans R Soc B Biol Sci 363:1635–1645. doi: 10.1098/rstb.2007.0011</w:t>
      </w:r>
    </w:p>
    <w:p w14:paraId="4170A7F7"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Moore SE (2008) Marine mammals as ecosystem sentinels. J Mammal 89:534–540. doi: 10.1644/07-mamm-s-312r1.1</w:t>
      </w:r>
    </w:p>
    <w:p w14:paraId="19E886C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Mueter FJ, Litzow MA (2008) Sea ice retreat alters the biogeography of the Bering Sea. Ecol Appl 18:309–320</w:t>
      </w:r>
    </w:p>
    <w:p w14:paraId="08871DD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28FA42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NPFMC (2009) Fishery management plan for fish resources of the Arctic management area. North Pacific Fishery Management Council, Anchorage, Alaska</w:t>
      </w:r>
    </w:p>
    <w:p w14:paraId="1B98719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Oksanen J, Blanchet FG, Friendly M, et al (2019) vegan: community ecology Package. R package version 2.5-5. https://CRAN.R-project.org/package=vegan</w:t>
      </w:r>
    </w:p>
    <w:p w14:paraId="424A5B0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 xml:space="preserve">Pauly D (1980) On the interrelationships between natural mortality, growth parameters, and mean environmental temperature in 175 fish stocks. ICES J Mar Sci 39:175–192. doi: </w:t>
      </w:r>
      <w:r w:rsidRPr="00317A4D">
        <w:rPr>
          <w:rFonts w:cs="Times New Roman"/>
          <w:noProof/>
          <w:szCs w:val="24"/>
        </w:rPr>
        <w:lastRenderedPageBreak/>
        <w:t>10.1093/icesjms/39.2.175</w:t>
      </w:r>
    </w:p>
    <w:p w14:paraId="3993566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Peterson G, Allen CR, Holling CS (1998) Ecological resilience, biodiversity, and scale. Ecosystems 1:6–18. doi: 10.1007/s100219900002</w:t>
      </w:r>
    </w:p>
    <w:p w14:paraId="6466FAC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Pimm SL (1984) The complexity and stability of ecosystems. Nature 307:321–326</w:t>
      </w:r>
    </w:p>
    <w:p w14:paraId="5DB0393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Poos MS, Jackson DA (2012) Addressing the removal of rare species in multivariate bioassessments: The impact of methodological choices. Ecol Indic 18:82–90. doi: 10.1016/j.ecolind.2011.10.008</w:t>
      </w:r>
    </w:p>
    <w:p w14:paraId="4C904D1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Power G (1997) A review of fish ecology in Arctic North America. In: Reynolds JB (ed) Fish Ecology in Arctic North America. American Fisheries Society, Bethesda, Maryland, pp 13–39</w:t>
      </w:r>
    </w:p>
    <w:p w14:paraId="56EA888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Priest JT, Green DG, Fletcher BM, Sutton TM (2018) Beaufort Sea nearshore fish monitoring study: 2017 annual report. Fairbanks, Alaska</w:t>
      </w:r>
    </w:p>
    <w:p w14:paraId="7E858C9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 Core Team (2019) R: A language and environment for statistical computing. R Foundation for Statistical Computing, Vienna, Austria. URL https://www.R-project.org/</w:t>
      </w:r>
    </w:p>
    <w:p w14:paraId="646EA6D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04034BD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Reist JD, Wrona FJ, Prowse TD, et al (2006) General effects of climate change on Arctic fishes and fish populations. Ambio 35:370–380. doi: 10.1579/0044-7447(2006)35</w:t>
      </w:r>
    </w:p>
    <w:p w14:paraId="0D823B4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Ross BD (1988) Causeways in the Alaskan Beaufort Sea. United States Environmental Protection Agency, Anchorage, Alaska</w:t>
      </w:r>
    </w:p>
    <w:p w14:paraId="5827B12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Roux MJ, Harwood LA, Zhu X, Sparling P (2016) Early summer near-shore fish assemblage and environmental correlates in an Arctic estuary. J Great Lakes Res 42:256–266. doi: 10.1016/j.jglr.2015.04.005</w:t>
      </w:r>
    </w:p>
    <w:p w14:paraId="05C534F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Scheffer M, Carpenter SR, Foley JA, et al (2001) Catastrophic shifts in ecosystems. Nature 413:591–596</w:t>
      </w:r>
    </w:p>
    <w:p w14:paraId="798E8A6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Seigle JC, Gottschalk JM (2013) Fall 2012 subsistence fishery monitoring on the Colville River. ABR, Inc. – Environmental Research &amp; Services, Fairbanks, Alaska</w:t>
      </w:r>
    </w:p>
    <w:p w14:paraId="6C5F751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Sheaves M, Baker R, Nagelkerken I, Connolly RM (2014) True value of estuarine and coastal nurseries for fish: Incorporating complexity and dynamics. Estuaries and Coasts 38:401–414. doi: 10.1007/s12237-014-9846-x</w:t>
      </w:r>
    </w:p>
    <w:p w14:paraId="251CDDA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Sirenko BI, Gagaev SY (2007) Unusual abundance of macrobenthos and biological invasions in the Chukchi Sea. Russ J Mar Biol 33:355–364. doi: 10.1134/S1063074007060016</w:t>
      </w:r>
    </w:p>
    <w:p w14:paraId="5F6F72A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Stevenson DE, Lauth RR (2019) Bottom trawl surveys in the northern Bering Sea indicate recent shifts in the distribution of marine species. Polar Biol 42:407–421. doi: 10.1007/s00300-018-2431-1</w:t>
      </w:r>
    </w:p>
    <w:p w14:paraId="518F6D74"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Streever B, Raborn SW, Kim KH, et al (2016) Changes in fish catch rates in the presence of air gun sounds in Prudhoe Bay, Alaska. Arctic 69:346–358. doi: 10.14430/arctic4596</w:t>
      </w:r>
    </w:p>
    <w:p w14:paraId="0666D8B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Thedinga JF, Johnson SW, Neff AD, et al (2013) Nearshore fish assemblages of the Northeastern Chukchi Sea, Alaska. Arctic 66:257–268</w:t>
      </w:r>
    </w:p>
    <w:p w14:paraId="32952C64"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Thorpe JE (1994) Salmonid fishes and the estuarine environment. Estuaries 17:76–93</w:t>
      </w:r>
    </w:p>
    <w:p w14:paraId="1FD4C37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Thorsteinson LK, Love MS (2016) Alaska Arctic marine fish ecology catalog. U.S. Geological Survey Scientific Investigations Report 2016-5038 (OCS Study, BOEM 2016-048)</w:t>
      </w:r>
    </w:p>
    <w:p w14:paraId="405C26A4"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USGS (2018) USGS National Water Information System - Sagavanirktok River near Pump Station 3, Alaska. https://waterdata.usgs.gov/ak/nwis/uv?site_no=15908000. Accessed 2 Apr 2018</w:t>
      </w:r>
    </w:p>
    <w:p w14:paraId="2A433D1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708A86B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0D5E4C7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von Biela VR, Zimmerman CE, Cohn BR, Welker JM (2013) Terrestrial and marine trophic pathways support young-of-year growth in a nearshore Arctic fish. Polar Biol 36:137–146. doi: 10.1007/s00300-012-1244-x</w:t>
      </w:r>
    </w:p>
    <w:p w14:paraId="75A8E13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Warwick RM, Clarke KR (1993) Increased variability as a symptom of stress in marine communities. J Exp Mar Bio Ecol 172:215–226. doi: 10.1016/0022-0981(93)90098-9</w:t>
      </w:r>
    </w:p>
    <w:p w14:paraId="6AD5400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Werner EE, Gilliam JF (1984) The ontogenetic niche and species interactions in size-structured populations. Annu Rev Ecol Syst 15:393–425</w:t>
      </w:r>
    </w:p>
    <w:p w14:paraId="1206B50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265C591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Wood SN (2011) Fast stable restricted maximum likelihood and marginal likelihood estimation of semiparametric generalized linear models. J R Stat Soc 73:3–36</w:t>
      </w:r>
    </w:p>
    <w:p w14:paraId="3FD3798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Wood SN (2017) Generalized Additive Models: An introduction with R (2nd edition). Chapman and Hall/CRC</w:t>
      </w:r>
    </w:p>
    <w:p w14:paraId="2EE9777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Zeileis A, Kleiber C, Walter K, Hornik K (2003) Testing and dating of structural changes in practice. Comput Stat Data Anal 44:109–123. doi: 10.1016/S0167-9473(03)00030-6</w:t>
      </w:r>
    </w:p>
    <w:p w14:paraId="4D99317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Zeileis A, Leisch F, Hornik K, Kleiber C (2002) strucchange: An R package for testing for structural change in linear regression models. J Stat Softw 7:1–38</w:t>
      </w:r>
    </w:p>
    <w:p w14:paraId="090BEAF8" w14:textId="77777777" w:rsidR="00317A4D" w:rsidRPr="00317A4D" w:rsidRDefault="00317A4D" w:rsidP="00317A4D">
      <w:pPr>
        <w:widowControl w:val="0"/>
        <w:autoSpaceDE w:val="0"/>
        <w:autoSpaceDN w:val="0"/>
        <w:adjustRightInd w:val="0"/>
        <w:spacing w:line="240" w:lineRule="auto"/>
        <w:ind w:left="480" w:hanging="480"/>
        <w:rPr>
          <w:rFonts w:cs="Times New Roman"/>
          <w:noProof/>
        </w:rPr>
      </w:pPr>
      <w:r w:rsidRPr="00317A4D">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4348BF21" w:rsidR="004D2A1D" w:rsidRDefault="004D2A1D" w:rsidP="00C04E6B">
      <w:r>
        <w:lastRenderedPageBreak/>
        <w:t xml:space="preserve">Table 2. </w:t>
      </w:r>
      <w:commentRangeStart w:id="26"/>
      <w:commentRangeStart w:id="27"/>
      <w:r w:rsidR="00673B01">
        <w:t xml:space="preserve">Regression coefficients </w:t>
      </w:r>
      <w:commentRangeEnd w:id="26"/>
      <w:r w:rsidR="00673B01">
        <w:rPr>
          <w:rStyle w:val="CommentReference"/>
        </w:rPr>
        <w:commentReference w:id="26"/>
      </w:r>
      <w:commentRangeEnd w:id="27"/>
      <w:r w:rsidR="00311548">
        <w:rPr>
          <w:rStyle w:val="CommentReference"/>
        </w:rPr>
        <w:commentReference w:id="27"/>
      </w:r>
      <w:r w:rsidR="00673B01">
        <w:t xml:space="preserve">and significance levels for multiple linear regressions of annual mean catch-per-unit-effort on year, water temperature, and salinity, and for simple linear regression of the annual coefficient of variation (CV) in catches on year for each species, Prudhoe Bay, Alaska, 2001–2018. </w:t>
      </w:r>
      <w:r w:rsidR="00FE2452">
        <w:t>Significant effects (</w:t>
      </w:r>
      <w:r w:rsidR="00FE2452">
        <w:rPr>
          <w:rFonts w:cs="Times New Roman"/>
        </w:rPr>
        <w:t>α</w:t>
      </w:r>
      <w:r w:rsidR="00FE2452">
        <w:t xml:space="preserve"> &lt; 0.05) are bolded.</w:t>
      </w:r>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r w:rsidRPr="007E2F0E">
        <w:rPr>
          <w:noProof/>
        </w:rPr>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AA2C03" w:rsidRPr="004F0EC0" w:rsidRDefault="00AA2C03"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AA2C03" w:rsidRPr="004F0EC0" w:rsidRDefault="00AA2C03"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AA2C03" w:rsidRPr="004F0EC0" w:rsidRDefault="00AA2C03"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AA2C03" w:rsidRPr="004F0EC0" w:rsidRDefault="00AA2C03"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AA2C03" w:rsidRPr="004F0EC0" w:rsidRDefault="00AA2C03"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AA2C03" w:rsidRPr="004F0EC0" w:rsidRDefault="00AA2C03"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AA2C03" w:rsidRPr="004F0EC0" w:rsidRDefault="00AA2C03"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AA2C03" w:rsidRPr="004F0EC0" w:rsidRDefault="00AA2C03"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AA2C03" w:rsidRPr="004F0EC0" w:rsidRDefault="00AA2C03"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AA2C03" w:rsidRPr="004F0EC0" w:rsidRDefault="00AA2C03"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0FF4B417" w:rsidR="003864A6" w:rsidRDefault="003864A6" w:rsidP="00B94565">
      <w:pPr>
        <w:spacing w:after="0"/>
      </w:pPr>
    </w:p>
    <w:p w14:paraId="76929F42" w14:textId="0C2F5C4D" w:rsidR="00064327" w:rsidRDefault="00064327" w:rsidP="00B94565">
      <w:pPr>
        <w:spacing w:after="0"/>
      </w:pPr>
      <w:r>
        <w:rPr>
          <w:noProof/>
        </w:rPr>
        <w:lastRenderedPageBreak/>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45E601AF"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proofErr w:type="spellStart"/>
      <w:r w:rsidR="00141314" w:rsidRPr="00141314">
        <w:rPr>
          <w:i/>
        </w:rPr>
        <w:t>Coregonus</w:t>
      </w:r>
      <w:proofErr w:type="spellEnd"/>
      <w:r w:rsidR="00141314" w:rsidRPr="00141314">
        <w:rPr>
          <w:i/>
        </w:rPr>
        <w:t xml:space="preserve">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proofErr w:type="spellStart"/>
      <w:r w:rsidR="00141314" w:rsidRPr="00141314">
        <w:rPr>
          <w:i/>
        </w:rPr>
        <w:t>Coregonus</w:t>
      </w:r>
      <w:proofErr w:type="spellEnd"/>
      <w:r w:rsidR="00141314" w:rsidRPr="00141314">
        <w:rPr>
          <w:i/>
        </w:rPr>
        <w:t xml:space="preserve">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mueter" w:date="2019-08-31T11:48:00Z" w:initials="f">
    <w:p w14:paraId="6F0DF5C8" w14:textId="77777777" w:rsidR="00AA2C03" w:rsidRDefault="00AA2C03" w:rsidP="00567E29">
      <w:pPr>
        <w:pStyle w:val="CommentText"/>
      </w:pPr>
      <w:r>
        <w:rPr>
          <w:rStyle w:val="CommentReference"/>
        </w:rPr>
        <w:annotationRef/>
      </w:r>
      <w:r>
        <w:t>May be worth highlighting as there are very few good time series in the Arctic, certainly none this extensive (with daily samples during summer) that I am aware of.</w:t>
      </w:r>
    </w:p>
  </w:comment>
  <w:comment w:id="2" w:author="fmueter" w:date="2019-08-31T16:49:00Z" w:initials="f">
    <w:p w14:paraId="6E89DFC6" w14:textId="77777777" w:rsidR="00AA2C03" w:rsidRDefault="00AA2C03" w:rsidP="00567E29">
      <w:pPr>
        <w:pStyle w:val="CommentText"/>
      </w:pPr>
      <w:r>
        <w:rPr>
          <w:rStyle w:val="CommentReference"/>
        </w:rPr>
        <w:annotationRef/>
      </w:r>
      <w:r>
        <w:t>What parameters are you referring to? Can you be specific? Do you mean growth rates and survival?</w:t>
      </w:r>
    </w:p>
  </w:comment>
  <w:comment w:id="3" w:author="Justin T Priest (DFG)" w:date="2019-09-05T19:23:00Z" w:initials="JTP">
    <w:p w14:paraId="646A774B" w14:textId="3AA0FF88" w:rsidR="00AA2C03" w:rsidRDefault="00AA2C03">
      <w:pPr>
        <w:pStyle w:val="CommentText"/>
      </w:pPr>
      <w:r>
        <w:rPr>
          <w:rStyle w:val="CommentReference"/>
        </w:rPr>
        <w:annotationRef/>
      </w:r>
      <w:r>
        <w:t>Better?</w:t>
      </w:r>
    </w:p>
  </w:comment>
  <w:comment w:id="4" w:author="Justin T Priest (DFG)" w:date="2019-09-08T20:16:00Z" w:initials="JTP">
    <w:p w14:paraId="71897B1D" w14:textId="1862EE2A" w:rsidR="0096177F" w:rsidRDefault="0096177F" w:rsidP="0096177F">
      <w:pPr>
        <w:pStyle w:val="CommentText"/>
      </w:pPr>
      <w:r>
        <w:rPr>
          <w:rStyle w:val="CommentReference"/>
        </w:rPr>
        <w:annotationRef/>
      </w:r>
      <w:r>
        <w:t xml:space="preserve">At Franz’s recommendation I moved the rare species presence analysis to after the multivariate analysis. </w:t>
      </w:r>
      <w:proofErr w:type="gramStart"/>
      <w:r>
        <w:t>So</w:t>
      </w:r>
      <w:proofErr w:type="gramEnd"/>
      <w:r>
        <w:t xml:space="preserve"> to make things match, I re-ordered the objectives. It was 1) </w:t>
      </w:r>
      <w:proofErr w:type="spellStart"/>
      <w:r>
        <w:t>sp</w:t>
      </w:r>
      <w:proofErr w:type="spellEnd"/>
      <w:r>
        <w:t xml:space="preserve"> richness &amp; rare species, 2) multivariate </w:t>
      </w:r>
      <w:proofErr w:type="spellStart"/>
      <w:r>
        <w:t>sp</w:t>
      </w:r>
      <w:proofErr w:type="spellEnd"/>
      <w:r>
        <w:t xml:space="preserve"> composition, and 3) trends in composition &amp; abundance</w:t>
      </w:r>
      <w:r w:rsidR="0088321C">
        <w:t xml:space="preserve">; I moved </w:t>
      </w:r>
      <w:proofErr w:type="spellStart"/>
      <w:r w:rsidR="0088321C">
        <w:t>sp</w:t>
      </w:r>
      <w:proofErr w:type="spellEnd"/>
      <w:r w:rsidR="0088321C">
        <w:t xml:space="preserve"> richness &amp; rare species to last. </w:t>
      </w:r>
      <w:r>
        <w:br/>
      </w:r>
      <w:r>
        <w:br/>
        <w:t xml:space="preserve">Please review that the new objective ordering makes logical sense. </w:t>
      </w:r>
      <w:r>
        <w:t xml:space="preserve">(old </w:t>
      </w:r>
      <w:r>
        <w:t>2, 3, 1</w:t>
      </w:r>
      <w:r>
        <w:t>)</w:t>
      </w:r>
    </w:p>
  </w:comment>
  <w:comment w:id="7" w:author="fmueter" w:date="2019-08-31T20:33:00Z" w:initials="f">
    <w:p w14:paraId="33D4D5F6" w14:textId="77777777" w:rsidR="00AA2C03" w:rsidRDefault="00AA2C03" w:rsidP="00567004">
      <w:pPr>
        <w:pStyle w:val="CommentText"/>
      </w:pPr>
      <w:r>
        <w:rPr>
          <w:rStyle w:val="CommentReference"/>
        </w:rPr>
        <w:annotationRef/>
      </w:r>
      <w:r>
        <w:t>Not sure if you did that, but you probably should report a p-value (use ‘mantel’ function with the “best” subset)</w:t>
      </w:r>
    </w:p>
  </w:comment>
  <w:comment w:id="8" w:author="Justin T Priest (DFG)" w:date="2019-09-08T22:33:00Z" w:initials="JTP">
    <w:p w14:paraId="10D8700E" w14:textId="32D5F750" w:rsidR="009B7318" w:rsidRDefault="00E118CB">
      <w:pPr>
        <w:pStyle w:val="CommentText"/>
      </w:pPr>
      <w:r>
        <w:rPr>
          <w:rStyle w:val="CommentReference"/>
        </w:rPr>
        <w:annotationRef/>
      </w:r>
      <w:r w:rsidR="009B7318">
        <w:t>Add to Results. Cite:</w:t>
      </w:r>
    </w:p>
    <w:p w14:paraId="19BEF075" w14:textId="4E8CF679" w:rsidR="00E118CB" w:rsidRDefault="009B7318">
      <w:pPr>
        <w:pStyle w:val="CommentText"/>
      </w:pPr>
      <w:r>
        <w:t xml:space="preserve">Legendre, P. and Legendre, L. (2012) </w:t>
      </w:r>
      <w:r>
        <w:rPr>
          <w:rStyle w:val="Emphasis"/>
        </w:rPr>
        <w:t>Numerical Ecology</w:t>
      </w:r>
      <w:r>
        <w:t>. 3rd English Edition. Elsevier.</w:t>
      </w:r>
    </w:p>
  </w:comment>
  <w:comment w:id="10" w:author="fmueter" w:date="2019-08-31T20:48:00Z" w:initials="f">
    <w:p w14:paraId="07211D74" w14:textId="77777777" w:rsidR="00AA2C03" w:rsidRDefault="00AA2C03"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11" w:author="Justin T Priest (DFG)" w:date="2019-09-05T21:16:00Z" w:initials="JTP">
    <w:p w14:paraId="6C2942AF" w14:textId="7D1AFB7F" w:rsidR="00AA2C03" w:rsidRDefault="00AA2C03">
      <w:pPr>
        <w:pStyle w:val="CommentText"/>
      </w:pPr>
      <w:r>
        <w:rPr>
          <w:rStyle w:val="CommentReference"/>
        </w:rPr>
        <w:annotationRef/>
      </w:r>
      <w:r>
        <w:t>I only ignored the 3</w:t>
      </w:r>
      <w:r w:rsidRPr="001B776D">
        <w:rPr>
          <w:vertAlign w:val="superscript"/>
        </w:rPr>
        <w:t>rd</w:t>
      </w:r>
      <w:r>
        <w:t xml:space="preserve"> axis for this analysis since I only plotted the nMDS in 2-D, which is what I was trying to convey here. </w:t>
      </w:r>
    </w:p>
  </w:comment>
  <w:comment w:id="13" w:author="Justin T Priest (DFG)" w:date="2019-09-07T22:27:00Z" w:initials="JTP">
    <w:p w14:paraId="1A5BB224" w14:textId="77777777" w:rsidR="00AA2C03" w:rsidRDefault="00AA2C03" w:rsidP="00B30655">
      <w:pPr>
        <w:pStyle w:val="CommentText"/>
      </w:pPr>
      <w:r>
        <w:rPr>
          <w:rStyle w:val="CommentReference"/>
        </w:rPr>
        <w:annotationRef/>
      </w:r>
      <w:r>
        <w:t xml:space="preserve">Update results for this. </w:t>
      </w:r>
      <w:r>
        <w:br/>
        <w:t xml:space="preserve">FJM: See script file – the results suggest a single, highly nonlinear trend over time. </w:t>
      </w:r>
    </w:p>
    <w:p w14:paraId="2558C548" w14:textId="14CD12EC" w:rsidR="00AA2C03" w:rsidRDefault="00AA2C03">
      <w:pPr>
        <w:pStyle w:val="CommentText"/>
      </w:pPr>
    </w:p>
  </w:comment>
  <w:comment w:id="14" w:author="Justin T Priest (DFG)" w:date="2019-09-05T22:41:00Z" w:initials="JTP">
    <w:p w14:paraId="38FE4901" w14:textId="2F9FE359" w:rsidR="00AA2C03" w:rsidRDefault="00AA2C03">
      <w:pPr>
        <w:pStyle w:val="CommentText"/>
      </w:pPr>
      <w:r>
        <w:rPr>
          <w:rStyle w:val="CommentReference"/>
        </w:rPr>
        <w:annotationRef/>
      </w:r>
      <w:r>
        <w:t xml:space="preserve">FJM: Include rationale for why you included CV as a response because this is not standard. </w:t>
      </w:r>
    </w:p>
  </w:comment>
  <w:comment w:id="15" w:author="Justin T Priest (DFG)" w:date="2019-09-07T20:46:00Z" w:initials="JTP">
    <w:p w14:paraId="1B84547B" w14:textId="77777777" w:rsidR="0096177F" w:rsidRDefault="0096177F" w:rsidP="0096177F">
      <w:pPr>
        <w:pStyle w:val="CommentText"/>
      </w:pPr>
      <w:r>
        <w:rPr>
          <w:rStyle w:val="CommentReference"/>
        </w:rPr>
        <w:annotationRef/>
      </w:r>
      <w:r>
        <w:t xml:space="preserve">Please check over the model formula that I’ve done this correctly. </w:t>
      </w:r>
    </w:p>
  </w:comment>
  <w:comment w:id="16" w:author="Justin T Priest (DFG)" w:date="2019-09-07T21:57:00Z" w:initials="JTP">
    <w:p w14:paraId="3EA9BFC9" w14:textId="77777777" w:rsidR="0096177F" w:rsidRDefault="0096177F" w:rsidP="0096177F">
      <w:pPr>
        <w:pStyle w:val="CommentText"/>
      </w:pPr>
      <w:r>
        <w:rPr>
          <w:rStyle w:val="CommentReference"/>
        </w:rPr>
        <w:annotationRef/>
      </w:r>
      <w:r>
        <w:t>Add Results about Effort</w:t>
      </w:r>
    </w:p>
  </w:comment>
  <w:comment w:id="17" w:author="Justin Priest" w:date="2019-07-15T17:34:00Z" w:initials="JP">
    <w:p w14:paraId="748D14E5" w14:textId="77777777" w:rsidR="00AA2C03" w:rsidRDefault="00AA2C03" w:rsidP="00BE1901">
      <w:pPr>
        <w:pStyle w:val="CommentText"/>
      </w:pPr>
      <w:r>
        <w:rPr>
          <w:rStyle w:val="CommentReference"/>
        </w:rPr>
        <w:annotationRef/>
      </w:r>
      <w:r>
        <w:t xml:space="preserve">This cutoff was somewhat arbitrary after talking with Franz. I’m interested in input from FM &amp; SR about this. </w:t>
      </w:r>
      <w:r>
        <w:br/>
        <w:t xml:space="preserve">Is it fine as is because we clearly state the cutoff? </w:t>
      </w:r>
    </w:p>
  </w:comment>
  <w:comment w:id="18" w:author="fmueter" w:date="2019-08-31T19:14:00Z" w:initials="f">
    <w:p w14:paraId="6367886E" w14:textId="77777777" w:rsidR="00AA2C03" w:rsidRDefault="00AA2C03" w:rsidP="00BE1901">
      <w:pPr>
        <w:pStyle w:val="CommentText"/>
      </w:pPr>
      <w:r>
        <w:rPr>
          <w:rStyle w:val="CommentReference"/>
        </w:rPr>
        <w:annotationRef/>
      </w:r>
      <w:r>
        <w:t xml:space="preserve">Usually these types of cutoffs are based on some percentage of samples in which the species occurs (e.g. &lt; 1%, typically somewhere between 1-5%), but it is fairly </w:t>
      </w:r>
      <w:proofErr w:type="gramStart"/>
      <w:r>
        <w:t>arbitrary</w:t>
      </w:r>
      <w:proofErr w:type="gramEnd"/>
      <w:r>
        <w:t xml:space="preserve"> and you provided a reference below for eliminating species from the multivariate analysis, which should suffice.</w:t>
      </w:r>
    </w:p>
    <w:p w14:paraId="15E9CBE4" w14:textId="77777777" w:rsidR="00AA2C03" w:rsidRDefault="00AA2C03" w:rsidP="00BE1901">
      <w:pPr>
        <w:pStyle w:val="CommentText"/>
      </w:pPr>
      <w:r>
        <w:t xml:space="preserve">This paragraph on rare species – although methodologically more </w:t>
      </w:r>
      <w:proofErr w:type="gramStart"/>
      <w:r>
        <w:t>similar to</w:t>
      </w:r>
      <w:proofErr w:type="gramEnd"/>
      <w:r>
        <w:t xml:space="preserve"> the previous paragraph, should probably </w:t>
      </w:r>
      <w:r w:rsidRPr="00E8216E">
        <w:rPr>
          <w:u w:val="single"/>
        </w:rPr>
        <w:t>follow</w:t>
      </w:r>
      <w:r>
        <w:t xml:space="preserve"> the multivariate section. You first examine changes in species composition among the more abundant species (eliminating rare species) and then examine the rare species separately for trends over time. As is, readers may be confused at this point why you are only looking at trends in rare species. If you move the paragraph, you also don’t have to define the rare species again as you do so in the multivariate section.</w:t>
      </w:r>
    </w:p>
    <w:p w14:paraId="453F9AD5" w14:textId="77777777" w:rsidR="00AA2C03" w:rsidRDefault="00AA2C03" w:rsidP="00BE1901">
      <w:pPr>
        <w:pStyle w:val="CommentText"/>
      </w:pPr>
      <w:r>
        <w:t>Also state the number of rare species in this analysis.</w:t>
      </w:r>
    </w:p>
  </w:comment>
  <w:comment w:id="19" w:author="Justin T Priest (DFG)" w:date="2019-09-04T22:16:00Z" w:initials="JTP">
    <w:p w14:paraId="3423AF47" w14:textId="77777777" w:rsidR="00AA2C03" w:rsidRDefault="00AA2C03" w:rsidP="00BE1901">
      <w:pPr>
        <w:pStyle w:val="CommentText"/>
      </w:pPr>
      <w:r>
        <w:rPr>
          <w:rStyle w:val="CommentReference"/>
        </w:rPr>
        <w:annotationRef/>
      </w:r>
      <w:r>
        <w:t>I’ve moved this now.</w:t>
      </w:r>
    </w:p>
  </w:comment>
  <w:comment w:id="20" w:author="Justin T Priest (DFG)" w:date="2019-09-05T22:04:00Z" w:initials="JTP">
    <w:p w14:paraId="14B5C654" w14:textId="4411E960" w:rsidR="00AA2C03" w:rsidRDefault="00AA2C03">
      <w:pPr>
        <w:pStyle w:val="CommentText"/>
      </w:pPr>
      <w:r>
        <w:rPr>
          <w:rStyle w:val="CommentReference"/>
        </w:rPr>
        <w:annotationRef/>
      </w:r>
      <w:r>
        <w:t xml:space="preserve"> Move </w:t>
      </w:r>
      <w:r w:rsidR="0096177F">
        <w:t xml:space="preserve">objective/analysis order in </w:t>
      </w:r>
      <w:r>
        <w:t>Results too!</w:t>
      </w:r>
    </w:p>
  </w:comment>
  <w:comment w:id="21" w:author="Justin T Priest (DFG)" w:date="2019-09-08T22:30:00Z" w:initials="JTP">
    <w:p w14:paraId="08B64B3A" w14:textId="7FF94AFE" w:rsidR="0088321C" w:rsidRDefault="0088321C">
      <w:pPr>
        <w:pStyle w:val="CommentText"/>
      </w:pPr>
      <w:r>
        <w:rPr>
          <w:rStyle w:val="CommentReference"/>
        </w:rPr>
        <w:annotationRef/>
      </w:r>
      <w:r>
        <w:t xml:space="preserve">Fix </w:t>
      </w:r>
      <w:r w:rsidR="00E118CB">
        <w:t>numbering</w:t>
      </w:r>
    </w:p>
  </w:comment>
  <w:comment w:id="23" w:author="Justin Priest" w:date="2019-08-11T16:47:00Z" w:initials="JP">
    <w:p w14:paraId="47413DCC" w14:textId="2599CD40" w:rsidR="00AA2C03" w:rsidRDefault="00AA2C03">
      <w:pPr>
        <w:pStyle w:val="CommentText"/>
      </w:pPr>
      <w:r>
        <w:rPr>
          <w:rStyle w:val="CommentReference"/>
        </w:rPr>
        <w:annotationRef/>
      </w:r>
      <w:r>
        <w:t>I would like some citations from Franz and Scott for this section</w:t>
      </w:r>
    </w:p>
  </w:comment>
  <w:comment w:id="24" w:author="Justin Priest" w:date="2019-08-11T16:50:00Z" w:initials="JP">
    <w:p w14:paraId="07DC0175" w14:textId="35689EE4" w:rsidR="00AA2C03" w:rsidRDefault="00AA2C03">
      <w:pPr>
        <w:pStyle w:val="CommentText"/>
      </w:pPr>
      <w:r>
        <w:rPr>
          <w:rStyle w:val="CommentReference"/>
        </w:rPr>
        <w:annotationRef/>
      </w:r>
      <w:r>
        <w:t>I’d like some citations for this paragraph if FM or SR have any</w:t>
      </w:r>
    </w:p>
  </w:comment>
  <w:comment w:id="26" w:author="fmueter" w:date="2019-09-02T14:25:00Z" w:initials="f">
    <w:p w14:paraId="522B6196" w14:textId="77777777" w:rsidR="00AA2C03" w:rsidRDefault="00AA2C03"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27" w:author="Justin T Priest (DFG)" w:date="2019-09-05T19:21:00Z" w:initials="JTP">
    <w:p w14:paraId="56B370BF" w14:textId="3252D330" w:rsidR="00AA2C03" w:rsidRDefault="00AA2C03">
      <w:pPr>
        <w:pStyle w:val="CommentText"/>
      </w:pPr>
      <w:r>
        <w:rPr>
          <w:rStyle w:val="CommentReference"/>
        </w:rPr>
        <w:annotationRef/>
      </w:r>
      <w:r>
        <w:t>JTP double check that this is correctly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DF5C8" w15:done="0"/>
  <w15:commentEx w15:paraId="6E89DFC6" w15:done="0"/>
  <w15:commentEx w15:paraId="646A774B" w15:paraIdParent="6E89DFC6" w15:done="0"/>
  <w15:commentEx w15:paraId="71897B1D" w15:done="0"/>
  <w15:commentEx w15:paraId="33D4D5F6" w15:done="0"/>
  <w15:commentEx w15:paraId="19BEF075" w15:paraIdParent="33D4D5F6" w15:done="0"/>
  <w15:commentEx w15:paraId="07211D74" w15:done="0"/>
  <w15:commentEx w15:paraId="6C2942AF" w15:paraIdParent="07211D74" w15:done="0"/>
  <w15:commentEx w15:paraId="2558C548" w15:done="0"/>
  <w15:commentEx w15:paraId="38FE4901" w15:done="0"/>
  <w15:commentEx w15:paraId="1B84547B" w15:done="0"/>
  <w15:commentEx w15:paraId="3EA9BFC9" w15:done="0"/>
  <w15:commentEx w15:paraId="748D14E5" w15:done="0"/>
  <w15:commentEx w15:paraId="453F9AD5" w15:paraIdParent="748D14E5" w15:done="0"/>
  <w15:commentEx w15:paraId="3423AF47" w15:paraIdParent="748D14E5" w15:done="0"/>
  <w15:commentEx w15:paraId="14B5C654" w15:done="0"/>
  <w15:commentEx w15:paraId="08B64B3A" w15:done="0"/>
  <w15:commentEx w15:paraId="47413DCC" w15:done="0"/>
  <w15:commentEx w15:paraId="07DC0175" w15:done="0"/>
  <w15:commentEx w15:paraId="522B6196" w15:done="0"/>
  <w15:commentEx w15:paraId="56B370BF" w15:paraIdParent="522B61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DF5C8" w16cid:durableId="2117D6B0"/>
  <w16cid:commentId w16cid:paraId="6E89DFC6" w16cid:durableId="2117D6B2"/>
  <w16cid:commentId w16cid:paraId="646A774B" w16cid:durableId="211BDF26"/>
  <w16cid:commentId w16cid:paraId="71897B1D" w16cid:durableId="211FE007"/>
  <w16cid:commentId w16cid:paraId="33D4D5F6" w16cid:durableId="2117D6D5"/>
  <w16cid:commentId w16cid:paraId="19BEF075" w16cid:durableId="21200054"/>
  <w16cid:commentId w16cid:paraId="07211D74" w16cid:durableId="2117D6D6"/>
  <w16cid:commentId w16cid:paraId="6C2942AF" w16cid:durableId="211BF9B6"/>
  <w16cid:commentId w16cid:paraId="2558C548" w16cid:durableId="211EAD6C"/>
  <w16cid:commentId w16cid:paraId="38FE4901" w16cid:durableId="211C0DA1"/>
  <w16cid:commentId w16cid:paraId="1B84547B" w16cid:durableId="211E95A5"/>
  <w16cid:commentId w16cid:paraId="3EA9BFC9" w16cid:durableId="211EA639"/>
  <w16cid:commentId w16cid:paraId="748D14E5" w16cid:durableId="20D7378B"/>
  <w16cid:commentId w16cid:paraId="453F9AD5" w16cid:durableId="2117D6CB"/>
  <w16cid:commentId w16cid:paraId="3423AF47" w16cid:durableId="211AB63F"/>
  <w16cid:commentId w16cid:paraId="14B5C654" w16cid:durableId="211C04EF"/>
  <w16cid:commentId w16cid:paraId="08B64B3A" w16cid:durableId="211FFF8E"/>
  <w16cid:commentId w16cid:paraId="47413DCC" w16cid:durableId="20FAC515"/>
  <w16cid:commentId w16cid:paraId="07DC0175" w16cid:durableId="20FAC5DF"/>
  <w16cid:commentId w16cid:paraId="522B6196" w16cid:durableId="2117D6E9"/>
  <w16cid:commentId w16cid:paraId="56B370BF" w16cid:durableId="211BDE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E34F2" w14:textId="77777777" w:rsidR="002E3248" w:rsidRDefault="002E3248">
      <w:pPr>
        <w:spacing w:after="0" w:line="240" w:lineRule="auto"/>
      </w:pPr>
      <w:r>
        <w:separator/>
      </w:r>
    </w:p>
  </w:endnote>
  <w:endnote w:type="continuationSeparator" w:id="0">
    <w:p w14:paraId="5EC64228" w14:textId="77777777" w:rsidR="002E3248" w:rsidRDefault="002E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AA2C03" w:rsidRPr="00632D26" w:rsidRDefault="00AA2C03">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AA2C03" w:rsidRPr="004F14B7" w:rsidRDefault="00AA2C03">
    <w:pPr>
      <w:pStyle w:val="Footer"/>
      <w:rPr>
        <w:rFonts w:cs="Times New Roman"/>
      </w:rPr>
    </w:pPr>
  </w:p>
  <w:p w14:paraId="2A8D51CD" w14:textId="77777777" w:rsidR="00AA2C03" w:rsidRDefault="00AA2C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CD55B" w14:textId="77777777" w:rsidR="002E3248" w:rsidRDefault="002E3248">
      <w:pPr>
        <w:spacing w:after="0" w:line="240" w:lineRule="auto"/>
      </w:pPr>
      <w:r>
        <w:separator/>
      </w:r>
    </w:p>
  </w:footnote>
  <w:footnote w:type="continuationSeparator" w:id="0">
    <w:p w14:paraId="62B12FC4" w14:textId="77777777" w:rsidR="002E3248" w:rsidRDefault="002E3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EBF"/>
    <w:rsid w:val="000264AB"/>
    <w:rsid w:val="0002775B"/>
    <w:rsid w:val="000308F1"/>
    <w:rsid w:val="00032564"/>
    <w:rsid w:val="00035873"/>
    <w:rsid w:val="00041BF2"/>
    <w:rsid w:val="000466A7"/>
    <w:rsid w:val="00046A2F"/>
    <w:rsid w:val="00050825"/>
    <w:rsid w:val="0005356C"/>
    <w:rsid w:val="00056F5A"/>
    <w:rsid w:val="00064327"/>
    <w:rsid w:val="00065E3C"/>
    <w:rsid w:val="00070CC8"/>
    <w:rsid w:val="000743D4"/>
    <w:rsid w:val="00075BF0"/>
    <w:rsid w:val="00084033"/>
    <w:rsid w:val="00084467"/>
    <w:rsid w:val="00084B23"/>
    <w:rsid w:val="00091F33"/>
    <w:rsid w:val="000922BA"/>
    <w:rsid w:val="00092FE7"/>
    <w:rsid w:val="00096823"/>
    <w:rsid w:val="000A02B1"/>
    <w:rsid w:val="000A134E"/>
    <w:rsid w:val="000A2449"/>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C3E39"/>
    <w:rsid w:val="002D0040"/>
    <w:rsid w:val="002E3248"/>
    <w:rsid w:val="002E56AF"/>
    <w:rsid w:val="002E7874"/>
    <w:rsid w:val="002F504A"/>
    <w:rsid w:val="00300B46"/>
    <w:rsid w:val="00300F69"/>
    <w:rsid w:val="00302BC5"/>
    <w:rsid w:val="0030631D"/>
    <w:rsid w:val="0030672C"/>
    <w:rsid w:val="00311548"/>
    <w:rsid w:val="00313B1A"/>
    <w:rsid w:val="00314FCE"/>
    <w:rsid w:val="00315317"/>
    <w:rsid w:val="003153A1"/>
    <w:rsid w:val="00315831"/>
    <w:rsid w:val="00317A4D"/>
    <w:rsid w:val="0032024B"/>
    <w:rsid w:val="00327444"/>
    <w:rsid w:val="00332602"/>
    <w:rsid w:val="0034057A"/>
    <w:rsid w:val="00342342"/>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30F05"/>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7A2B"/>
    <w:rsid w:val="00941739"/>
    <w:rsid w:val="00941FE4"/>
    <w:rsid w:val="00942916"/>
    <w:rsid w:val="00943D2A"/>
    <w:rsid w:val="00946311"/>
    <w:rsid w:val="00957524"/>
    <w:rsid w:val="0096177F"/>
    <w:rsid w:val="009618F6"/>
    <w:rsid w:val="0096376C"/>
    <w:rsid w:val="00963A2F"/>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529E"/>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4DE5"/>
    <w:rsid w:val="00AA5175"/>
    <w:rsid w:val="00AB0082"/>
    <w:rsid w:val="00AB3192"/>
    <w:rsid w:val="00AB54A7"/>
    <w:rsid w:val="00AB5ECA"/>
    <w:rsid w:val="00AC366B"/>
    <w:rsid w:val="00AC5C45"/>
    <w:rsid w:val="00AD2CBF"/>
    <w:rsid w:val="00AD7C03"/>
    <w:rsid w:val="00AE1B2B"/>
    <w:rsid w:val="00AE2BA4"/>
    <w:rsid w:val="00AE2E48"/>
    <w:rsid w:val="00AE4AA6"/>
    <w:rsid w:val="00AF1465"/>
    <w:rsid w:val="00AF2E61"/>
    <w:rsid w:val="00AF6B03"/>
    <w:rsid w:val="00B00EF0"/>
    <w:rsid w:val="00B0155C"/>
    <w:rsid w:val="00B0202E"/>
    <w:rsid w:val="00B101A2"/>
    <w:rsid w:val="00B11D6F"/>
    <w:rsid w:val="00B141A2"/>
    <w:rsid w:val="00B15816"/>
    <w:rsid w:val="00B16AF3"/>
    <w:rsid w:val="00B17F3D"/>
    <w:rsid w:val="00B24AD0"/>
    <w:rsid w:val="00B25860"/>
    <w:rsid w:val="00B265A9"/>
    <w:rsid w:val="00B268AE"/>
    <w:rsid w:val="00B27CFF"/>
    <w:rsid w:val="00B30655"/>
    <w:rsid w:val="00B33DD5"/>
    <w:rsid w:val="00B34D99"/>
    <w:rsid w:val="00B353C3"/>
    <w:rsid w:val="00B448CE"/>
    <w:rsid w:val="00B46929"/>
    <w:rsid w:val="00B56D4B"/>
    <w:rsid w:val="00B70DA3"/>
    <w:rsid w:val="00B72F32"/>
    <w:rsid w:val="00B81E60"/>
    <w:rsid w:val="00B85BA7"/>
    <w:rsid w:val="00B86AAE"/>
    <w:rsid w:val="00B86E27"/>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0E5F"/>
    <w:rsid w:val="00E82542"/>
    <w:rsid w:val="00E82E25"/>
    <w:rsid w:val="00E9156A"/>
    <w:rsid w:val="00E94DC9"/>
    <w:rsid w:val="00EA2BC3"/>
    <w:rsid w:val="00EA3FC1"/>
    <w:rsid w:val="00EA4863"/>
    <w:rsid w:val="00EA6B8D"/>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1987"/>
    <w:rsid w:val="00F63822"/>
    <w:rsid w:val="00F64B18"/>
    <w:rsid w:val="00F70E3C"/>
    <w:rsid w:val="00F7384D"/>
    <w:rsid w:val="00F80A73"/>
    <w:rsid w:val="00F8187B"/>
    <w:rsid w:val="00F8588C"/>
    <w:rsid w:val="00F86AD0"/>
    <w:rsid w:val="00F876D9"/>
    <w:rsid w:val="00F934F0"/>
    <w:rsid w:val="00F9479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028B-7BD8-443F-B4F1-5A7CCDD1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46029</TotalTime>
  <Pages>41</Pages>
  <Words>51807</Words>
  <Characters>295305</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232</cp:revision>
  <dcterms:created xsi:type="dcterms:W3CDTF">2018-12-06T01:50:00Z</dcterms:created>
  <dcterms:modified xsi:type="dcterms:W3CDTF">2019-09-09T07:00:00Z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