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E90CDB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commentRangeStart w:id="1"/>
      <w:r w:rsidR="00567E29">
        <w:t xml:space="preserve">unique </w:t>
      </w:r>
      <w:commentRangeEnd w:id="1"/>
      <w:r w:rsidR="00567E29">
        <w:rPr>
          <w:rStyle w:val="CommentReference"/>
        </w:rPr>
        <w:commentReference w:id="1"/>
      </w:r>
      <w:r w:rsidRPr="002010DD">
        <w:t xml:space="preserve">long-term (2001–2018) nearshore 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dimensional scaling (</w:t>
      </w:r>
      <w:proofErr w:type="spellStart"/>
      <w:r w:rsidR="00631956" w:rsidRPr="002010DD">
        <w:t>nMDS</w:t>
      </w:r>
      <w:proofErr w:type="spellEnd"/>
      <w:r w:rsidR="00631956" w:rsidRPr="002010DD">
        <w:t xml:space="preserve">)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w:t>
      </w:r>
      <w:proofErr w:type="spellStart"/>
      <w:r w:rsidR="00F2455D">
        <w:t>eurythermic</w:t>
      </w:r>
      <w:proofErr w:type="spellEnd"/>
      <w:r w:rsidR="00F2455D">
        <w:t xml:space="preserve">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50EFC1F4" w:rsidR="001E497A" w:rsidRDefault="001E497A" w:rsidP="001E497A">
      <w:r w:rsidRPr="001E497A">
        <w:t>Keywords</w:t>
      </w:r>
      <w:r>
        <w:t xml:space="preserve">: </w:t>
      </w:r>
      <w:r w:rsidR="00CB7339">
        <w:t>Beaufort Sea</w:t>
      </w:r>
      <w:r w:rsidR="002546A8">
        <w:t>, Nearshore fishes, Community Assemblage,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11"/>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xml:space="preserve">, </w:t>
      </w:r>
      <w:proofErr w:type="spellStart"/>
      <w:r w:rsidR="007D14A5">
        <w:t>Raborn</w:t>
      </w:r>
      <w:proofErr w:type="spellEnd"/>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07FBB904"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13C43217"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commentRangeStart w:id="2"/>
      <w:commentRangeStart w:id="3"/>
      <w:r w:rsidR="00567E29">
        <w:rPr>
          <w:rFonts w:cs="Times New Roman"/>
        </w:rPr>
        <w:t xml:space="preserve"> </w:t>
      </w:r>
      <w:commentRangeEnd w:id="2"/>
      <w:r w:rsidR="00567E29">
        <w:rPr>
          <w:rStyle w:val="CommentReference"/>
        </w:rPr>
        <w:commentReference w:id="2"/>
      </w:r>
      <w:commentRangeEnd w:id="3"/>
      <w:r w:rsidR="00311548">
        <w:rPr>
          <w:rStyle w:val="CommentReference"/>
        </w:rPr>
        <w:commentReference w:id="3"/>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4F47CB30"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w:t>
      </w:r>
      <w:r w:rsidR="00D77110">
        <w:rPr>
          <w:rFonts w:cs="Times New Roman"/>
        </w:rPr>
        <w:t xml:space="preserve">freshwater in </w:t>
      </w:r>
      <w:r w:rsidR="00ED2947" w:rsidRPr="003622D7">
        <w:rPr>
          <w:rFonts w:cs="Times New Roman"/>
        </w:rPr>
        <w:t xml:space="preserve">deep-water pools or areas of upwelling </w:t>
      </w:r>
      <w:r w:rsidR="00ED2947">
        <w:rPr>
          <w:rFonts w:cs="Times New Roman"/>
        </w:rPr>
        <w:t xml:space="preserve">in </w:t>
      </w:r>
      <w:r w:rsidR="00ED2947">
        <w:rPr>
          <w:rFonts w:cs="Times New Roman"/>
        </w:rPr>
        <w:lastRenderedPageBreak/>
        <w:t>local 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5CD3997C"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ED64CF">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 xml:space="preserve">(Fechhelm et al. 1993, 1999; Thedinga et al. 2013; Streever et al. </w:t>
      </w:r>
      <w:r w:rsidRPr="00E82E25">
        <w:rPr>
          <w:noProof/>
        </w:rPr>
        <w:lastRenderedPageBreak/>
        <w:t>2016)</w:t>
      </w:r>
      <w:r>
        <w:fldChar w:fldCharType="end"/>
      </w:r>
      <w:r>
        <w:t xml:space="preserve">. </w:t>
      </w:r>
      <w:r w:rsidR="001A206B">
        <w:rPr>
          <w:rFonts w:cs="Times New Roman"/>
        </w:rPr>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48B391EB" w:rsidR="00E16921" w:rsidRDefault="00ED2947" w:rsidP="007A6263">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w:t>
      </w:r>
      <w:r w:rsidR="006D521A">
        <w:rPr>
          <w:rFonts w:cs="Times New Roman"/>
        </w:rPr>
        <w:t xml:space="preserve">temporal patterns in </w:t>
      </w:r>
      <w:r>
        <w:rPr>
          <w:rFonts w:cs="Times New Roman"/>
        </w:rPr>
        <w:t>species richness and rare species presence</w:t>
      </w:r>
      <w:r w:rsidR="0025240D">
        <w:rPr>
          <w:rFonts w:cs="Times New Roman"/>
        </w:rPr>
        <w:t>;</w:t>
      </w:r>
      <w:r>
        <w:rPr>
          <w:rFonts w:cs="Times New Roman"/>
        </w:rPr>
        <w:t xml:space="preserve"> 2) effects of environmental variables on species composition</w:t>
      </w:r>
      <w:r w:rsidR="0025240D">
        <w:rPr>
          <w:rFonts w:cs="Times New Roman"/>
        </w:rPr>
        <w:t>;</w:t>
      </w:r>
      <w:r>
        <w:rPr>
          <w:rFonts w:cs="Times New Roman"/>
        </w:rPr>
        <w:t xml:space="preserve"> and 3) </w:t>
      </w:r>
      <w:r w:rsidR="00ED64CF">
        <w:rPr>
          <w:rFonts w:cs="Times New Roman"/>
        </w:rPr>
        <w:t xml:space="preserve">seasonal and interannual changes in </w:t>
      </w:r>
      <w:r>
        <w:rPr>
          <w:rFonts w:cs="Times New Roman"/>
        </w:rPr>
        <w:t xml:space="preserve">species composition </w:t>
      </w:r>
      <w:r w:rsidR="00941739">
        <w:rPr>
          <w:rFonts w:cs="Times New Roman"/>
        </w:rPr>
        <w:t>and abundance</w:t>
      </w:r>
      <w:r>
        <w:rPr>
          <w:rFonts w:cs="Times New Roman"/>
        </w:rPr>
        <w:t>.</w:t>
      </w:r>
      <w:r w:rsidR="00C40330">
        <w:rPr>
          <w:rFonts w:cs="Times New Roman"/>
        </w:rPr>
        <w:t xml:space="preserve"> Given the importance of nearshore Arctic fishes to terrestrial and marine ecosystems and to local subsistence users, it is </w:t>
      </w:r>
      <w:r w:rsidR="006D521A">
        <w:rPr>
          <w:rFonts w:cs="Times New Roman"/>
        </w:rPr>
        <w:t>critical</w:t>
      </w:r>
      <w:r w:rsidR="00C40330">
        <w:rPr>
          <w:rFonts w:cs="Times New Roman"/>
        </w:rPr>
        <w:t xml:space="preserve">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w:t>
      </w:r>
      <w:r w:rsidR="004C4E6F" w:rsidRPr="00A86E7B">
        <w:rPr>
          <w:rFonts w:cs="Times New Roman"/>
        </w:rPr>
        <w:lastRenderedPageBreak/>
        <w:t>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670BC2C4"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 xml:space="preserve">fish were identified to and enumerated </w:t>
      </w:r>
      <w:r w:rsidR="001B26E3">
        <w:rPr>
          <w:rFonts w:cs="Times New Roman"/>
        </w:rPr>
        <w:lastRenderedPageBreak/>
        <w:t>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317A4D">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621400B1"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w:commentRangeStart w:id="4"/>
                <w:commentRangeEnd w:id="4"/>
                <m:r>
                  <m:rPr>
                    <m:sty m:val="p"/>
                  </m:rPr>
                  <w:rPr>
                    <w:rStyle w:val="CommentReference"/>
                  </w:rPr>
                  <w:commentReference w:id="4"/>
                </m:r>
                <w:commentRangeStart w:id="5"/>
                <w:commentRangeEnd w:id="5"/>
                <m:r>
                  <m:rPr>
                    <m:sty m:val="p"/>
                  </m:rPr>
                  <w:rPr>
                    <w:rStyle w:val="CommentReference"/>
                  </w:rPr>
                  <w:commentReference w:id="5"/>
                </m:r>
              </m:e>
            </m:d>
          </m:e>
        </m:func>
      </m:oMath>
      <w:r w:rsidR="00ED64CF">
        <w:rPr>
          <w:rFonts w:eastAsiaTheme="minorEastAsia" w:cs="Times New Roman"/>
        </w:rPr>
        <w:t>.</w:t>
      </w:r>
    </w:p>
    <w:p w14:paraId="51A6881B" w14:textId="70D1AD69" w:rsidR="00B70DA3" w:rsidRDefault="00B70DA3" w:rsidP="00B70DA3">
      <w:pPr>
        <w:pStyle w:val="Heading2"/>
      </w:pPr>
      <w:r>
        <w:lastRenderedPageBreak/>
        <w:t>Data Analys</w:t>
      </w:r>
      <w:r w:rsidR="001E442A">
        <w:t>e</w:t>
      </w:r>
      <w:r>
        <w:t>s</w:t>
      </w:r>
    </w:p>
    <w:p w14:paraId="4CBAE4D4" w14:textId="6089516A"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D64CF">
        <w:rPr>
          <w:rFonts w:cs="Times New Roman"/>
        </w:rPr>
        <w:t>Fish abundance data were pooled and scaled by combined sampling effort for biweekly catch per unit effort (CPUE) by species</w:t>
      </w:r>
      <w:r w:rsidR="00E21B59">
        <w:rPr>
          <w:rFonts w:cs="Times New Roman"/>
        </w:rPr>
        <w:t xml:space="preserve"> and station </w:t>
      </w:r>
      <w:commentRangeStart w:id="6"/>
      <w:r w:rsidR="00E21B59">
        <w:rPr>
          <w:rFonts w:cs="Times New Roman"/>
        </w:rPr>
        <w:t>in a 17 species by 280 samples matrix</w:t>
      </w:r>
      <w:commentRangeEnd w:id="6"/>
      <w:r w:rsidR="00E21B59">
        <w:rPr>
          <w:rStyle w:val="CommentReference"/>
        </w:rPr>
        <w:commentReference w:id="6"/>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E21B59">
        <w:rPr>
          <w:rFonts w:cs="Times New Roman"/>
        </w:rPr>
        <w:t>Response variables for multivariate analyses were CPUE values for each species which were fourth-root transformed, while e</w:t>
      </w:r>
      <w:r w:rsidR="00E21B59" w:rsidRPr="00410501">
        <w:rPr>
          <w:rFonts w:cs="Times New Roman"/>
          <w:noProof/>
        </w:rPr>
        <w:t>xplanatory environmental variables were square-root transformed</w:t>
      </w:r>
      <w:r w:rsidR="00E21B59">
        <w:rPr>
          <w:rFonts w:cs="Times New Roman"/>
          <w:noProof/>
        </w:rPr>
        <w:t xml:space="preserve">. </w:t>
      </w:r>
      <w:r w:rsidR="00690324">
        <w:rPr>
          <w:rFonts w:cs="Times New Roman"/>
          <w:noProof/>
        </w:rPr>
        <w:t>All</w:t>
      </w:r>
      <w:r w:rsidR="00E21B59">
        <w:rPr>
          <w:rFonts w:cs="Times New Roman"/>
          <w:noProof/>
        </w:rPr>
        <w:t xml:space="preserve"> response and environmental variables were </w:t>
      </w:r>
      <w:r w:rsidR="00E21B59">
        <w:rPr>
          <w:rFonts w:cs="Times New Roman"/>
        </w:rPr>
        <w:t xml:space="preserve">standardized to the percent of the maximum transformed catch </w:t>
      </w:r>
      <w:r w:rsidR="00E21B59">
        <w:rPr>
          <w:rFonts w:cs="Times New Roman"/>
          <w:noProof/>
        </w:rPr>
        <w:t xml:space="preserve">or </w:t>
      </w:r>
      <w:r w:rsidR="00E21B59" w:rsidRPr="00410501">
        <w:rPr>
          <w:rFonts w:cs="Times New Roman"/>
          <w:noProof/>
        </w:rPr>
        <w:t>environmental variable.</w:t>
      </w:r>
      <w:r w:rsidR="00E21B59">
        <w:rPr>
          <w:rFonts w:cs="Times New Roman"/>
          <w:noProof/>
        </w:rPr>
        <w:t xml:space="preserve"> </w:t>
      </w:r>
      <w:r w:rsidR="00690324">
        <w:rPr>
          <w:rFonts w:cs="Times New Roman"/>
          <w:noProof/>
        </w:rPr>
        <w:t xml:space="preserve">The CPUE values for each species were transformed to mitigate the influence of large catches and </w:t>
      </w:r>
      <w:r w:rsidR="00690324">
        <w:rPr>
          <w:rFonts w:cs="Times New Roman"/>
          <w:noProof/>
        </w:rPr>
        <w:t>standardized</w:t>
      </w:r>
      <w:r w:rsidR="00690324">
        <w:rPr>
          <w:rFonts w:cs="Times New Roman"/>
          <w:noProof/>
        </w:rPr>
        <w:t xml:space="preserve">  to species maximums so that each species had the same weight in the analysis, regardless of the abundance.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6CEE23FD" w14:textId="3A7013FF" w:rsidR="00B70DA3" w:rsidRDefault="00B70DA3" w:rsidP="00B70DA3">
      <w:pPr>
        <w:pStyle w:val="Heading2"/>
      </w:pPr>
      <w:r>
        <w:t xml:space="preserve">Species Richness </w:t>
      </w:r>
      <w:r w:rsidR="00920EBE">
        <w:t>Trends</w:t>
      </w:r>
    </w:p>
    <w:p w14:paraId="7D052C4C" w14:textId="67D0ED3D" w:rsidR="00C434BA" w:rsidRPr="00D44DF6" w:rsidRDefault="00C434BA" w:rsidP="00C434BA">
      <w:pPr>
        <w:ind w:firstLine="540"/>
      </w:pPr>
      <w:r>
        <w:rPr>
          <w:rFonts w:cs="Times New Roman"/>
        </w:rPr>
        <w:t>To investigate interannual and seasonal trends in species richness,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in R</w:t>
      </w:r>
      <w:r w:rsidR="006E45F5">
        <w:rPr>
          <w:rFonts w:cs="Times New Roman"/>
        </w:rPr>
        <w:t xml:space="preserve"> </w:t>
      </w:r>
      <w:r w:rsidR="006E45F5">
        <w:rPr>
          <w:rFonts w:cs="Times New Roman"/>
        </w:rPr>
        <w:fldChar w:fldCharType="begin" w:fldLock="1"/>
      </w:r>
      <w:r w:rsidR="00DF7341">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sidR="006E45F5">
        <w:rPr>
          <w:rFonts w:cs="Times New Roman"/>
        </w:rPr>
        <w:fldChar w:fldCharType="separate"/>
      </w:r>
      <w:r w:rsidR="006E45F5" w:rsidRPr="006E45F5">
        <w:rPr>
          <w:rFonts w:cs="Times New Roman"/>
          <w:noProof/>
        </w:rPr>
        <w:t>(Wood 2011, 2017)</w:t>
      </w:r>
      <w:r w:rsidR="006E45F5">
        <w:rPr>
          <w:rFonts w:cs="Times New Roman"/>
        </w:rPr>
        <w:fldChar w:fldCharType="end"/>
      </w:r>
      <w:r>
        <w:rPr>
          <w:rFonts w:cs="Times New Roman"/>
        </w:rPr>
        <w:t>. We used GAMs to allow for possible non-linear trends</w:t>
      </w:r>
      <w:commentRangeStart w:id="7"/>
      <w:commentRangeEnd w:id="7"/>
      <w:r>
        <w:rPr>
          <w:rFonts w:cs="Times New Roman"/>
        </w:rPr>
        <w:t xml:space="preserve"> commonly found in ecological </w:t>
      </w:r>
      <w:r w:rsidR="003D694C">
        <w:rPr>
          <w:rFonts w:cs="Times New Roman"/>
        </w:rPr>
        <w:t>modeling</w:t>
      </w:r>
      <w:r>
        <w:rPr>
          <w:rFonts w:cs="Times New Roman"/>
        </w:rPr>
        <w:t xml:space="preserve">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7DCEA34F" w14:textId="6FBA55D5" w:rsidR="00C434BA" w:rsidRDefault="00F26771" w:rsidP="00C434BA">
      <w:r>
        <w:rPr>
          <w:rFonts w:cs="Times New Roman"/>
        </w:rPr>
        <w:lastRenderedPageBreak/>
        <w:t>where</w:t>
      </w:r>
      <m:oMath>
        <m:r>
          <w:rPr>
            <w:rFonts w:ascii="Cambria Math" w:hAnsi="Cambria Math" w:cs="Times New Roman"/>
          </w:rPr>
          <m:t xml:space="preserve"> Species Richness</m:t>
        </m:r>
      </m:oMath>
      <w:r w:rsidR="00C434BA">
        <w:rPr>
          <w:rFonts w:eastAsiaTheme="minorEastAsia" w:cs="Times New Roman"/>
        </w:rPr>
        <w:t xml:space="preserve"> </w:t>
      </w:r>
      <w:r>
        <w:rPr>
          <w:rFonts w:cs="Times New Roman"/>
        </w:rPr>
        <w:t xml:space="preserve">was the number of unique species across all sites combined for each biweekly </w:t>
      </w:r>
      <w:proofErr w:type="gramStart"/>
      <w:r>
        <w:rPr>
          <w:rFonts w:cs="Times New Roman"/>
        </w:rPr>
        <w:t>period</w:t>
      </w:r>
      <w:r>
        <w:rPr>
          <w:rFonts w:eastAsiaTheme="minorEastAsia" w:cs="Times New Roman"/>
        </w:rPr>
        <w:t>.</w:t>
      </w:r>
      <w:proofErr w:type="gramEnd"/>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w:t>
      </w:r>
      <w:r w:rsidR="00C434BA">
        <w:rPr>
          <w:rFonts w:eastAsiaTheme="minorEastAsia" w:cs="Times New Roman"/>
        </w:rPr>
        <w:t xml:space="preserve"> </w:t>
      </w:r>
      <w:proofErr w:type="spellStart"/>
      <w:r w:rsidR="00C434BA" w:rsidRPr="00C434BA">
        <w:rPr>
          <w:rFonts w:eastAsiaTheme="minorEastAsia" w:cs="Times New Roman"/>
          <w:i/>
          <w:iCs/>
        </w:rPr>
        <w:t>i</w:t>
      </w:r>
      <w:r w:rsidR="00C434BA" w:rsidRPr="00C434BA">
        <w:rPr>
          <w:rFonts w:eastAsiaTheme="minorEastAsia" w:cs="Times New Roman"/>
          <w:vertAlign w:val="superscript"/>
        </w:rPr>
        <w:t>th</w:t>
      </w:r>
      <w:proofErr w:type="spellEnd"/>
      <w:r w:rsidR="00CB3CAD">
        <w:rPr>
          <w:rFonts w:eastAsiaTheme="minorEastAsia" w:cs="Times New Roman"/>
        </w:rPr>
        <w:t xml:space="preserve"> b</w:t>
      </w:r>
      <w:r w:rsidR="00CB3CAD">
        <w:t xml:space="preserve">iweekly sampling period (i.e., period 1 = start date–July 15, period 2 = July 16–31, period 3 = August 1–15, and period 4 = August 16–end date). </w:t>
      </w:r>
      <w:commentRangeStart w:id="8"/>
      <w:commentRangeStart w:id="9"/>
      <w:r w:rsidR="00C434BA">
        <w:t>The full model was compared to model</w:t>
      </w:r>
      <w:r w:rsidR="00E21B59">
        <w:t>s</w:t>
      </w:r>
      <w:r w:rsidR="00C434BA">
        <w:t xml:space="preserve"> with a year effect only, a seasonal effect only</w:t>
      </w:r>
      <w:r w:rsidR="00E21B59">
        <w:t>, with or without smoothing terms,</w:t>
      </w:r>
      <w:r w:rsidR="00C434BA">
        <w:t xml:space="preserve"> and the null model (intercept only). </w:t>
      </w:r>
      <w:commentRangeEnd w:id="8"/>
      <w:r w:rsidR="00C434BA">
        <w:rPr>
          <w:rStyle w:val="CommentReference"/>
        </w:rPr>
        <w:commentReference w:id="8"/>
      </w:r>
      <w:commentRangeEnd w:id="9"/>
      <w:r w:rsidR="00E21B59">
        <w:rPr>
          <w:rStyle w:val="CommentReference"/>
        </w:rPr>
        <w:commentReference w:id="9"/>
      </w:r>
      <w:r w:rsidR="00C434BA">
        <w:rPr>
          <w:rFonts w:cs="Times New Roman"/>
        </w:rPr>
        <w:t xml:space="preserve">The best-fitting model was determined </w:t>
      </w:r>
      <w:r w:rsidR="0038759A">
        <w:rPr>
          <w:rFonts w:cs="Times New Roman"/>
        </w:rPr>
        <w:t xml:space="preserve">using Akaike’s Information Criterion </w:t>
      </w:r>
      <w:r w:rsidR="00C434BA">
        <w:rPr>
          <w:rFonts w:cs="Times New Roman"/>
        </w:rPr>
        <w:t>(AIC)</w:t>
      </w:r>
      <w:r w:rsidR="002C3E39">
        <w:rPr>
          <w:rFonts w:cs="Times New Roman"/>
        </w:rPr>
        <w:t>.</w:t>
      </w:r>
      <w:r w:rsidR="00C434BA">
        <w:rPr>
          <w:rFonts w:cs="Times New Roman"/>
        </w:rPr>
        <w:t xml:space="preserve"> Smoothing functions were restricted to</w:t>
      </w:r>
      <w:r w:rsidR="002C3E39">
        <w:rPr>
          <w:rFonts w:cs="Times New Roman"/>
        </w:rPr>
        <w:t xml:space="preserve"> </w:t>
      </w:r>
      <w:commentRangeStart w:id="10"/>
      <w:r w:rsidR="00C434BA">
        <w:rPr>
          <w:rFonts w:cs="Times New Roman"/>
        </w:rPr>
        <w:t xml:space="preserve">3 degrees of freedom to </w:t>
      </w:r>
      <w:commentRangeEnd w:id="10"/>
      <w:r w:rsidR="002C3E39">
        <w:rPr>
          <w:rStyle w:val="CommentReference"/>
        </w:rPr>
        <w:commentReference w:id="10"/>
      </w:r>
      <w:r w:rsidR="00C434BA">
        <w:rPr>
          <w:rFonts w:cs="Times New Roman"/>
        </w:rPr>
        <w:t>guard against overfitting and were tested against</w:t>
      </w:r>
      <w:r w:rsidR="002C3E39">
        <w:rPr>
          <w:rFonts w:cs="Times New Roman"/>
        </w:rPr>
        <w:t xml:space="preserve"> the</w:t>
      </w:r>
      <w:r w:rsidR="00C434BA">
        <w:rPr>
          <w:rFonts w:cs="Times New Roman"/>
        </w:rPr>
        <w:t xml:space="preserve"> null model. </w:t>
      </w:r>
    </w:p>
    <w:p w14:paraId="40B82DA2" w14:textId="1461EEE9" w:rsidR="0022761F" w:rsidRDefault="0022761F" w:rsidP="00F30B32">
      <w:pPr>
        <w:pStyle w:val="Heading2"/>
      </w:pPr>
      <w:r>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77777777" w:rsidR="00690324" w:rsidRDefault="007A12C8" w:rsidP="007A12C8">
      <w:pPr>
        <w:spacing w:after="0"/>
        <w:ind w:firstLine="540"/>
        <w:rPr>
          <w:rFonts w:cs="Times New Roman"/>
        </w:rPr>
      </w:pPr>
      <w:r>
        <w:rPr>
          <w:rFonts w:cs="Times New Roman"/>
        </w:rPr>
        <w:t>To determine the effects of environmental variables on species assemblage structure, we first computed pairwise Bray-Curtis distances among biweekly samples based on</w:t>
      </w:r>
      <w:r w:rsidR="00E21B59">
        <w:rPr>
          <w:rFonts w:cs="Times New Roman"/>
        </w:rPr>
        <w:t xml:space="preserve"> the</w:t>
      </w:r>
      <w:r>
        <w:rPr>
          <w:rFonts w:cs="Times New Roman"/>
        </w:rPr>
        <w:t xml:space="preserve"> </w:t>
      </w:r>
      <w:proofErr w:type="gramStart"/>
      <w:r>
        <w:rPr>
          <w:rFonts w:cs="Times New Roman"/>
        </w:rPr>
        <w:t>fourth-root</w:t>
      </w:r>
      <w:proofErr w:type="gramEnd"/>
      <w:r>
        <w:rPr>
          <w:rFonts w:cs="Times New Roman"/>
        </w:rPr>
        <w:t xml:space="preserve"> transformed </w:t>
      </w:r>
      <w:r w:rsidR="00690324">
        <w:rPr>
          <w:rFonts w:cs="Times New Roman"/>
        </w:rPr>
        <w:t xml:space="preserve">and standardized </w:t>
      </w:r>
      <w:r>
        <w:rPr>
          <w:rFonts w:cs="Times New Roman"/>
        </w:rPr>
        <w:t xml:space="preserve">CPUE data. The Bray-Curtis dissimilarity matrix was then used to visualize differences among samples using an ordination, relate differences in species composition to environmental variables using Mantel correlations and model multivariate dispersion using permutation-based ANOVAs. </w:t>
      </w:r>
    </w:p>
    <w:p w14:paraId="6BB0A9EB" w14:textId="39EA924C"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w:t>
      </w:r>
      <w:proofErr w:type="spellStart"/>
      <w:r>
        <w:rPr>
          <w:rFonts w:cs="Times New Roman"/>
        </w:rPr>
        <w:t>nMDS</w:t>
      </w:r>
      <w:proofErr w:type="spellEnd"/>
      <w:r>
        <w:rPr>
          <w:rFonts w:cs="Times New Roman"/>
        </w:rPr>
        <w:t>)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w:t>
      </w:r>
      <w:r w:rsidR="00567004">
        <w:rPr>
          <w:rFonts w:cs="Times New Roman"/>
        </w:rPr>
        <w:lastRenderedPageBreak/>
        <w:t>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w:t>
      </w:r>
      <w:commentRangeStart w:id="11"/>
      <w:r w:rsidR="00567004">
        <w:rPr>
          <w:rFonts w:cs="Times New Roman"/>
        </w:rPr>
        <w:t>a Mantel randomization test</w:t>
      </w:r>
      <w:commentRangeEnd w:id="11"/>
      <w:r w:rsidR="00567004">
        <w:rPr>
          <w:rStyle w:val="CommentReference"/>
        </w:rPr>
        <w:commentReference w:id="11"/>
      </w:r>
      <w:r w:rsidR="00567004">
        <w:rPr>
          <w:rFonts w:cs="Times New Roman"/>
        </w:rPr>
        <w:t xml:space="preserve">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567004">
        <w:rPr>
          <w:rFonts w:cs="Times New Roman"/>
        </w:rPr>
        <w:t xml:space="preserve">. The relationship between environmental variables and dissimilarities in species composition was visualized and tested for significance using a linear regression of continuous variables and an ANOVA of factor variables on the ordination axes </w:t>
      </w:r>
      <w:commentRangeStart w:id="12"/>
      <w:commentRangeStart w:id="13"/>
      <w:r w:rsidR="00567004">
        <w:rPr>
          <w:rFonts w:cs="Times New Roman"/>
        </w:rPr>
        <w:t>MDS1 and MDS2</w:t>
      </w:r>
      <w:commentRangeEnd w:id="12"/>
      <w:r w:rsidR="00567004">
        <w:rPr>
          <w:rStyle w:val="CommentReference"/>
        </w:rPr>
        <w:commentReference w:id="12"/>
      </w:r>
      <w:commentRangeEnd w:id="13"/>
      <w:r w:rsidR="001B776D">
        <w:rPr>
          <w:rStyle w:val="CommentReference"/>
        </w:rPr>
        <w:commentReference w:id="13"/>
      </w:r>
      <w:r w:rsidR="00567004">
        <w:rPr>
          <w:rFonts w:cs="Times New Roman"/>
        </w:rPr>
        <w:t>. Similarity percentages (SIMPER) were calculated to determine which species contributed most to the average Bray-Curtis dissimilarities between years, stations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00F37A6D" w:rsidR="00991426" w:rsidRDefault="00567004" w:rsidP="00DE7883">
      <w:pPr>
        <w:ind w:firstLine="540"/>
        <w:rPr>
          <w:rFonts w:eastAsiaTheme="minorEastAsia" w:cs="Times New Roman"/>
        </w:rPr>
      </w:pPr>
      <w:r>
        <w:rPr>
          <w:rFonts w:cs="Times New Roman"/>
        </w:rPr>
        <w:t xml:space="preserve">The most parsimonious model of partitioning variability in species composition (as quantified by Bray-Curtis distances) based on environmental variables was determined by 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Pr>
          <w:rFonts w:cs="Times New Roman"/>
        </w:rPr>
        <w:t xml:space="preserve">he full PERMANOVA model </w:t>
      </w:r>
      <w:bookmarkStart w:id="14" w:name="_Hlk4763739"/>
      <w:r w:rsidR="00991426">
        <w:rPr>
          <w:rFonts w:cs="Times New Roman"/>
        </w:rPr>
        <w:t>were</w:t>
      </w:r>
      <m:oMath>
        <m:r>
          <w:rPr>
            <w:rFonts w:ascii="Cambria Math" w:hAnsi="Cambria Math" w:cs="Times New Roman"/>
          </w:rPr>
          <m:t xml:space="preserve"> </m:t>
        </m:r>
        <m:r>
          <w:rPr>
            <w:rFonts w:ascii="Cambria Math" w:hAnsi="Cambria Math" w:cs="Times New Roman"/>
          </w:rPr>
          <m:t>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m:t>
        </m:r>
        <m:r>
          <w:rPr>
            <w:rFonts w:ascii="Cambria Math" w:eastAsiaTheme="minorEastAsia" w:hAnsi="Cambria Math" w:cs="Times New Roman"/>
          </w:rPr>
          <m:t>y</m:t>
        </m:r>
      </m:oMath>
      <w:r w:rsidR="00991426">
        <w:rPr>
          <w:rFonts w:eastAsiaTheme="minorEastAsia" w:cs="Times New Roman"/>
        </w:rPr>
        <w:t xml:space="preserve">, </w:t>
      </w:r>
      <m:oMath>
        <m:r>
          <w:rPr>
            <w:rFonts w:ascii="Cambria Math" w:eastAsiaTheme="minorEastAsia" w:hAnsi="Cambria Math" w:cs="Times New Roman"/>
          </w:rPr>
          <m:t>Discharge</m:t>
        </m:r>
      </m:oMath>
      <w:bookmarkEnd w:id="14"/>
      <w:r>
        <w:rPr>
          <w:rFonts w:eastAsiaTheme="minorEastAsia" w:cs="Times New Roman"/>
        </w:rPr>
        <w:t>,</w:t>
      </w:r>
      <w:r w:rsidR="00991426">
        <w:rPr>
          <w:rFonts w:eastAsiaTheme="minorEastAsia" w:cs="Times New Roman"/>
        </w:rPr>
        <w:t xml:space="preserve"> and </w:t>
      </w:r>
      <w:commentRangeStart w:id="15"/>
      <m:oMath>
        <m:r>
          <w:rPr>
            <w:rFonts w:ascii="Cambria Math" w:eastAsiaTheme="minorEastAsia" w:hAnsi="Cambria Math" w:cs="Times New Roman"/>
          </w:rPr>
          <m:t>East/West Wind Direction</m:t>
        </m:r>
        <w:commentRangeEnd w:id="15"/>
        <m:r>
          <m:rPr>
            <m:sty m:val="p"/>
          </m:rPr>
          <w:rPr>
            <w:rStyle w:val="CommentReference"/>
          </w:rPr>
          <w:commentReference w:id="15"/>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commentRangeStart w:id="16"/>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Direction</m:t>
        </m:r>
      </m:oMath>
      <w:r w:rsidR="00991426">
        <w:rPr>
          <w:rFonts w:eastAsiaTheme="minorEastAsia" w:cs="Times New Roman"/>
        </w:rPr>
        <w:t xml:space="preserve"> was the East-West wind vector (-1 = 270</w:t>
      </w:r>
      <w:r w:rsidR="00991426">
        <w:rPr>
          <w:rFonts w:ascii="Calibri" w:eastAsiaTheme="minorEastAsia" w:hAnsi="Calibri" w:cs="Calibri"/>
        </w:rPr>
        <w:t>°</w:t>
      </w:r>
      <w:r w:rsidR="00991426">
        <w:rPr>
          <w:rFonts w:eastAsiaTheme="minorEastAsia" w:cs="Times New Roman"/>
        </w:rPr>
        <w:t xml:space="preserve"> West wind; 1 = 90</w:t>
      </w:r>
      <w:r w:rsidR="00991426">
        <w:rPr>
          <w:rFonts w:ascii="Calibri" w:eastAsiaTheme="minorEastAsia" w:hAnsi="Calibri" w:cs="Calibri"/>
        </w:rPr>
        <w:t>°</w:t>
      </w:r>
      <w:r w:rsidR="00991426">
        <w:rPr>
          <w:rFonts w:eastAsiaTheme="minorEastAsia" w:cs="Times New Roman"/>
        </w:rPr>
        <w:t xml:space="preserve"> East wind). </w:t>
      </w:r>
      <w:commentRangeEnd w:id="16"/>
      <w:r w:rsidR="006F16B3">
        <w:rPr>
          <w:rStyle w:val="CommentReference"/>
        </w:rPr>
        <w:commentReference w:id="16"/>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lastRenderedPageBreak/>
        <w:t>Species Composition Changes Over Time</w:t>
      </w:r>
    </w:p>
    <w:p w14:paraId="5101439E" w14:textId="2005BB89" w:rsidR="00991426" w:rsidRDefault="00991426" w:rsidP="00991426">
      <w:pPr>
        <w:ind w:firstLine="540"/>
        <w:rPr>
          <w:rFonts w:cs="Times New Roman"/>
        </w:rPr>
      </w:pPr>
      <w:r>
        <w:rPr>
          <w:rFonts w:cs="Times New Roman"/>
        </w:rPr>
        <w:t xml:space="preserve">To assess how species composition may have changed over time, we used indices of species composition from the </w:t>
      </w:r>
      <w:proofErr w:type="spellStart"/>
      <w:r>
        <w:rPr>
          <w:rFonts w:cs="Times New Roman"/>
        </w:rPr>
        <w:t>nMDS</w:t>
      </w:r>
      <w:proofErr w:type="spellEnd"/>
      <w:r>
        <w:rPr>
          <w:rFonts w:cs="Times New Roman"/>
        </w:rPr>
        <w:t xml:space="preserve"> (</w:t>
      </w:r>
      <w:proofErr w:type="spellStart"/>
      <w:r>
        <w:rPr>
          <w:rFonts w:cs="Times New Roman"/>
        </w:rPr>
        <w:t>nMDS</w:t>
      </w:r>
      <w:proofErr w:type="spellEnd"/>
      <w:r>
        <w:rPr>
          <w:rFonts w:cs="Times New Roman"/>
        </w:rPr>
        <w:t xml:space="preserve"> axes scores) as response variable</w:t>
      </w:r>
      <w:r>
        <w:rPr>
          <w:rFonts w:cs="Times New Roman"/>
        </w:rPr>
        <w:t>s</w:t>
      </w:r>
      <w:r>
        <w:rPr>
          <w:rFonts w:cs="Times New Roman"/>
        </w:rPr>
        <w:t xml:space="preserve"> in several alternative model formulations. First, to test for linear trends over time, we modeled the </w:t>
      </w:r>
      <w:proofErr w:type="spellStart"/>
      <w:r>
        <w:rPr>
          <w:rFonts w:cs="Times New Roman"/>
        </w:rPr>
        <w:t>nMDS</w:t>
      </w:r>
      <w:proofErr w:type="spellEnd"/>
      <w:r>
        <w:rPr>
          <w:rFonts w:cs="Times New Roman"/>
        </w:rPr>
        <w:t xml:space="preserve"> time-series as </w:t>
      </w:r>
      <w:commentRangeStart w:id="17"/>
      <w:r>
        <w:rPr>
          <w:rFonts w:cs="Times New Roman"/>
        </w:rPr>
        <w:t>either a single linear time trend or separate trends by station (Year nested in station)</w:t>
      </w:r>
      <w:commentRangeEnd w:id="17"/>
      <w:r>
        <w:rPr>
          <w:rStyle w:val="CommentReference"/>
        </w:rPr>
        <w:commentReference w:id="17"/>
      </w:r>
      <w:r>
        <w:rPr>
          <w:rFonts w:cs="Times New Roman"/>
        </w:rPr>
        <w:t>. Linear models were compared to Generalized Additive Models that allowed for non-liner trends over time. The full model was as follows:</w:t>
      </w:r>
    </w:p>
    <w:commentRangeStart w:id="18"/>
    <w:p w14:paraId="388BF35E" w14:textId="77777777" w:rsidR="00991426" w:rsidRDefault="00991426"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w:t>
      </w:r>
      <w:commentRangeEnd w:id="18"/>
      <w:r>
        <w:rPr>
          <w:rStyle w:val="CommentReference"/>
        </w:rPr>
        <w:commentReference w:id="18"/>
      </w:r>
    </w:p>
    <w:p w14:paraId="222E11DE" w14:textId="3E11B502"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7E2CE10D" w:rsidR="009F6352" w:rsidRDefault="00E107FE" w:rsidP="009F6352">
      <w:pPr>
        <w:ind w:firstLine="720"/>
        <w:rPr>
          <w:rFonts w:cs="Times New Roman"/>
        </w:rPr>
      </w:pPr>
      <w:r>
        <w:rPr>
          <w:rFonts w:cs="Times New Roman"/>
        </w:rPr>
        <w:t xml:space="preserve">Given that we found significant trends in species composition over time and as a function of environmental variables, we tested for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 was investigated using linear regression:</w:t>
      </w:r>
    </w:p>
    <w:p w14:paraId="449378F3" w14:textId="1D7AFB8A" w:rsidR="009F6352" w:rsidRPr="009F6352" w:rsidRDefault="007A12C8"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77777777"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r w:rsidRPr="009756AB">
        <w:rPr>
          <w:rFonts w:eastAsiaTheme="minorEastAsia" w:cs="Times New Roman"/>
          <w:i/>
          <w:iCs/>
        </w:rPr>
        <w:t>k</w:t>
      </w:r>
      <w:r w:rsidR="0080270C">
        <w:rPr>
          <w:rFonts w:eastAsiaTheme="minorEastAsia" w:cs="Times New Roman"/>
        </w:rPr>
        <w:t xml:space="preserve">. </w:t>
      </w:r>
      <w:r w:rsidR="009756AB">
        <w:rPr>
          <w:rFonts w:eastAsiaTheme="minorEastAsia" w:cs="Times New Roman"/>
        </w:rPr>
        <w:t>To test whether there had been c</w:t>
      </w:r>
      <w:r w:rsidR="0080270C">
        <w:rPr>
          <w:rFonts w:eastAsiaTheme="minorEastAsia" w:cs="Times New Roman"/>
        </w:rPr>
        <w:t xml:space="preserve">hanges in variability of catches over time </w:t>
      </w:r>
      <w:r w:rsidR="009756AB">
        <w:rPr>
          <w:rFonts w:eastAsiaTheme="minorEastAsia" w:cs="Times New Roman"/>
        </w:rPr>
        <w:t xml:space="preserve">we used a simple linear regression: </w:t>
      </w:r>
    </w:p>
    <w:p w14:paraId="0DDC12E1" w14:textId="2189DEDD" w:rsidR="009756AB" w:rsidRDefault="009756AB"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Pr>
          <w:rFonts w:eastAsiaTheme="minorEastAsia" w:cs="Times New Roman"/>
        </w:rPr>
        <w:t>,</w:t>
      </w:r>
    </w:p>
    <w:p w14:paraId="73D64479" w14:textId="75A10A77" w:rsidR="009F6352" w:rsidRDefault="009756AB" w:rsidP="009F6352">
      <w:pPr>
        <w:rPr>
          <w:rFonts w:eastAsiaTheme="minorEastAsia"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defined as </w:t>
      </w:r>
      <m:oMath>
        <m:r>
          <w:rPr>
            <w:rFonts w:ascii="Cambria Math" w:eastAsiaTheme="minorEastAsia" w:hAnsi="Cambria Math" w:cs="Times New Roman"/>
          </w:rPr>
          <m:t>σ/μ</m:t>
        </m:r>
      </m:oMath>
      <w:r w:rsidR="007E2F0E">
        <w:rPr>
          <w:rFonts w:eastAsiaTheme="minorEastAsia" w:cs="Times New Roman"/>
        </w:rPr>
        <w:t xml:space="preserve"> for each species </w:t>
      </w:r>
      <w:r w:rsidR="007E2F0E" w:rsidRPr="007E2F0E">
        <w:rPr>
          <w:rFonts w:eastAsiaTheme="minorEastAsia" w:cs="Times New Roman"/>
          <w:i/>
          <w:iCs/>
        </w:rPr>
        <w:t>k</w:t>
      </w:r>
      <w:r w:rsidR="007E2F0E">
        <w:rPr>
          <w:rFonts w:eastAsiaTheme="minorEastAsia" w:cs="Times New Roman"/>
        </w:rPr>
        <w:t xml:space="preserve">, regressed on </w:t>
      </w:r>
      <m:oMath>
        <m:r>
          <w:rPr>
            <w:rFonts w:ascii="Cambria Math" w:hAnsi="Cambria Math" w:cs="Times New Roman"/>
          </w:rPr>
          <m:t>Year</m:t>
        </m:r>
      </m:oMath>
      <w:commentRangeStart w:id="19"/>
      <w:r w:rsidR="007E2F0E">
        <w:rPr>
          <w:rFonts w:eastAsiaTheme="minorEastAsia" w:cs="Times New Roman"/>
        </w:rPr>
        <w:t xml:space="preserve">. </w:t>
      </w:r>
      <w:commentRangeEnd w:id="19"/>
      <w:r w:rsidR="002D0040">
        <w:rPr>
          <w:rStyle w:val="CommentReference"/>
        </w:rPr>
        <w:commentReference w:id="19"/>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bookmarkStart w:id="20" w:name="_GoBack"/>
      <w:bookmarkEnd w:id="20"/>
    </w:p>
    <w:p w14:paraId="5D3D1E90" w14:textId="48AF31FA" w:rsidR="00920EBE" w:rsidRDefault="00920EBE" w:rsidP="00920EBE">
      <w:pPr>
        <w:pStyle w:val="Heading2"/>
        <w:rPr>
          <w:rFonts w:eastAsiaTheme="minorEastAsia"/>
        </w:rPr>
      </w:pPr>
      <w:r>
        <w:t>Rare Species Presence</w:t>
      </w:r>
    </w:p>
    <w:p w14:paraId="44DA9064" w14:textId="6ECE779B" w:rsidR="00920EBE" w:rsidRDefault="00920EBE" w:rsidP="00920EBE">
      <w:pPr>
        <w:ind w:firstLine="540"/>
        <w:rPr>
          <w:rFonts w:cs="Times New Roman"/>
        </w:rPr>
      </w:pPr>
      <w:r>
        <w:rPr>
          <w:rFonts w:cs="Times New Roman"/>
        </w:rPr>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w:t>
      </w:r>
      <w:commentRangeStart w:id="21"/>
      <w:commentRangeStart w:id="22"/>
      <w:commentRangeStart w:id="23"/>
      <w:r w:rsidR="00BE1901">
        <w:rPr>
          <w:rFonts w:cs="Times New Roman"/>
        </w:rPr>
        <w:t>≤ 100 individuals caught in all samples combined</w:t>
      </w:r>
      <w:commentRangeEnd w:id="21"/>
      <w:r w:rsidR="00BE1901">
        <w:rPr>
          <w:rStyle w:val="CommentReference"/>
        </w:rPr>
        <w:commentReference w:id="21"/>
      </w:r>
      <w:commentRangeEnd w:id="22"/>
      <w:r w:rsidR="00BE1901">
        <w:rPr>
          <w:rStyle w:val="CommentReference"/>
        </w:rPr>
        <w:commentReference w:id="22"/>
      </w:r>
      <w:commentRangeEnd w:id="23"/>
      <w:r w:rsidR="00BE1901">
        <w:rPr>
          <w:rStyle w:val="CommentReference"/>
        </w:rPr>
        <w:commentReference w:id="23"/>
      </w:r>
      <w:r w:rsidR="00BE1901">
        <w:rPr>
          <w:rFonts w:cs="Times New Roman"/>
        </w:rPr>
        <w:t>)</w:t>
      </w:r>
      <w:r w:rsidR="00BE1901">
        <w:rPr>
          <w:rFonts w:cs="Times New Roman"/>
        </w:rPr>
        <w:t xml:space="preserve"> </w:t>
      </w:r>
      <w:r>
        <w:rPr>
          <w:rFonts w:cs="Times New Roman"/>
        </w:rPr>
        <w:t xml:space="preserve">that were excluded from the multivariate analysis of species 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proofErr w:type="spellStart"/>
      <w:r w:rsidRPr="00E8216E">
        <w:rPr>
          <w:rFonts w:cs="Times New Roman"/>
          <w:i/>
        </w:rPr>
        <w:t>i</w:t>
      </w:r>
      <w:proofErr w:type="spellEnd"/>
      <w:r>
        <w:rPr>
          <w:rFonts w:cs="Times New Roman"/>
        </w:rPr>
        <w:t xml:space="preserve"> at station </w:t>
      </w:r>
      <w:r w:rsidRPr="007A12C8">
        <w:rPr>
          <w:rFonts w:cs="Times New Roman"/>
          <w:i/>
          <w:iCs/>
        </w:rPr>
        <w:t>s</w:t>
      </w:r>
      <w:r>
        <w:rPr>
          <w:rFonts w:cs="Times New Roman"/>
        </w:rPr>
        <w:t xml:space="preserve"> was estimated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3965148F" w:rsidR="00920EBE" w:rsidRPr="0080270C" w:rsidRDefault="00920EBE" w:rsidP="009F6352">
      <w:pPr>
        <w:rPr>
          <w:rFonts w:eastAsiaTheme="minorEastAsia" w:cs="Times New Roman"/>
        </w:rPr>
      </w:pPr>
      <w:r>
        <w:rPr>
          <w:rFonts w:eastAsiaTheme="minorEastAsia" w:cs="Times New Roman"/>
        </w:rPr>
        <w:t>The most parsimonious models of logit probability of occurrence were determined using AIC and were run independently for each rare species</w:t>
      </w:r>
      <w:commentRangeStart w:id="24"/>
      <w:r>
        <w:rPr>
          <w:rFonts w:eastAsiaTheme="minorEastAsia" w:cs="Times New Roman"/>
        </w:rPr>
        <w:t xml:space="preserve">. </w:t>
      </w:r>
      <w:commentRangeEnd w:id="24"/>
      <w:r w:rsidR="009756AB">
        <w:rPr>
          <w:rStyle w:val="CommentReference"/>
        </w:rPr>
        <w:commentReference w:id="24"/>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w:t>
      </w:r>
      <w:r w:rsidR="00684876">
        <w:rPr>
          <w:rFonts w:cs="Times New Roman"/>
        </w:rPr>
        <w:lastRenderedPageBreak/>
        <w:t xml:space="preserve">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09D87142"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28BB2083"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w:t>
      </w:r>
      <w:r w:rsidR="006D521A">
        <w:rPr>
          <w:rFonts w:cs="Times New Roman"/>
        </w:rPr>
        <w:t>decline</w:t>
      </w:r>
      <w:r w:rsidR="00265035">
        <w:rPr>
          <w:rFonts w:cs="Times New Roman"/>
        </w:rPr>
        <w:t xml:space="preserve"> for Bering Cisco </w:t>
      </w:r>
      <w:proofErr w:type="spellStart"/>
      <w:r w:rsidR="00265035" w:rsidRPr="00616D5C">
        <w:rPr>
          <w:rFonts w:cs="Times New Roman"/>
          <w:i/>
        </w:rPr>
        <w:t>Coregonus</w:t>
      </w:r>
      <w:proofErr w:type="spellEnd"/>
      <w:r w:rsidR="00265035" w:rsidRPr="00616D5C">
        <w:rPr>
          <w:rFonts w:cs="Times New Roman"/>
          <w:i/>
        </w:rPr>
        <w:t xml:space="preserve">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lastRenderedPageBreak/>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4A273F69" w:rsidR="00EF17F0" w:rsidRDefault="00404CFE" w:rsidP="001214B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w:t>
      </w:r>
      <w:r>
        <w:rPr>
          <w:rFonts w:cs="Times New Roman"/>
        </w:rPr>
        <w:lastRenderedPageBreak/>
        <w:t xml:space="preserve">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25" w:name="_Hlk16262055"/>
        <m:r>
          <w:rPr>
            <w:rFonts w:ascii="Cambria Math" w:hAnsi="Cambria Math" w:cs="Times New Roman"/>
          </w:rPr>
          <m:t>ear</m:t>
        </m:r>
      </m:oMath>
      <w:bookmarkEnd w:id="25"/>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6892AFDC"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w:t>
      </w:r>
      <w:r>
        <w:rPr>
          <w:rFonts w:cs="Times New Roman"/>
        </w:rPr>
        <w:lastRenderedPageBreak/>
        <w:t>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there was no significant change over the same time period</w:t>
      </w:r>
      <w:r w:rsidR="00221E26">
        <w:t xml:space="preserve"> for axis 3</w:t>
      </w:r>
      <w:r w:rsidR="009A6DBC">
        <w:t xml:space="preserve">. Results from the F-statistic (Chow test statistic)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31777248" w:rsidR="006F7CCE" w:rsidRDefault="0080270C" w:rsidP="00F86AD0">
      <w:pPr>
        <w:ind w:firstLine="720"/>
      </w:pPr>
      <w:r>
        <w:lastRenderedPageBreak/>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w:t>
      </w:r>
      <w:proofErr w:type="spellStart"/>
      <w:r w:rsidR="006F7CCE">
        <w:t>Fourhorn</w:t>
      </w:r>
      <w:proofErr w:type="spellEnd"/>
      <w:r w:rsidR="006F7CCE">
        <w:t xml:space="preserve"> Sculpin, Humpback Whitefish, and Least Cisco decreased in abundance (Table 2). </w:t>
      </w:r>
      <w:r w:rsidR="00673B01">
        <w:t xml:space="preserve">Water temperatures were significantly and positively associated with the abundance of Arctic Flounder, Broad Whitefish, </w:t>
      </w:r>
      <w:proofErr w:type="spellStart"/>
      <w:r w:rsidR="00673B01">
        <w:t>Fourhorn</w:t>
      </w:r>
      <w:proofErr w:type="spellEnd"/>
      <w:r w:rsidR="00673B01">
        <w:t xml:space="preserve"> Sculpin, and Saffron Cod. 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w:t>
      </w:r>
      <w:r w:rsidR="00673B01">
        <w:t xml:space="preserve">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w:t>
      </w:r>
      <w:r w:rsidR="00673B01">
        <w:t xml:space="preserve"> </w:t>
      </w:r>
      <w:r w:rsidR="00673B01">
        <w:t>Pacific Herring, and Saffron Cod</w:t>
      </w:r>
      <w:r w:rsidR="00F86AD0">
        <w:t>; t</w:t>
      </w:r>
      <w:r w:rsidR="00673B01">
        <w:t xml:space="preserve">he abundance of </w:t>
      </w:r>
      <w:r w:rsidR="00673B01">
        <w:t xml:space="preserve">Dolly </w:t>
      </w:r>
      <w:proofErr w:type="spellStart"/>
      <w:r w:rsidR="00673B01">
        <w:t>Varden</w:t>
      </w:r>
      <w:proofErr w:type="spellEnd"/>
      <w:r w:rsidR="00673B01">
        <w:t xml:space="preserve">, Humpback Whitefish, </w:t>
      </w:r>
      <w:r w:rsidR="00F86AD0">
        <w:t xml:space="preserve">and </w:t>
      </w:r>
      <w:r w:rsidR="00673B01">
        <w:t>Least Cisco</w:t>
      </w:r>
      <w:r w:rsidR="00F86AD0">
        <w:t xml:space="preserve"> each </w:t>
      </w:r>
      <w:r w:rsidR="00673B01">
        <w:t xml:space="preserve">decreased with increasing salinity. </w:t>
      </w:r>
      <w:r w:rsidR="00673B01">
        <w:t xml:space="preserve">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5A7119F8" w14:textId="77777777" w:rsidR="0046795D" w:rsidRDefault="0046795D" w:rsidP="0046795D">
      <w:pPr>
        <w:pStyle w:val="Heading1"/>
      </w:pPr>
      <w:r>
        <w:t>Discussion</w:t>
      </w:r>
    </w:p>
    <w:p w14:paraId="5BCBF4B2" w14:textId="7537B326"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 xml:space="preserve">(e.g., </w:t>
      </w:r>
      <w:proofErr w:type="spellStart"/>
      <w:r w:rsidR="0088638D">
        <w:t>Fourhorn</w:t>
      </w:r>
      <w:proofErr w:type="spellEnd"/>
      <w:r w:rsidR="0088638D">
        <w:t xml:space="preserve">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 xml:space="preserve">(Wilson et al. 2008; Fossheim et al. 2015; Kortsch et al. </w:t>
      </w:r>
      <w:r w:rsidR="007E2C29" w:rsidRPr="0034772F">
        <w:rPr>
          <w:noProof/>
        </w:rPr>
        <w:lastRenderedPageBreak/>
        <w:t>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p>
    <w:p w14:paraId="40AF96D8" w14:textId="3AD3975A"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 xml:space="preserve">(Grebmeier et al. 2006; Hiddink and ter Hofstede 2008; Mueter and Litzow 2008; Bluhm et al. </w:t>
      </w:r>
      <w:r w:rsidR="00035873" w:rsidRPr="00035873">
        <w:rPr>
          <w:noProof/>
        </w:rPr>
        <w:lastRenderedPageBreak/>
        <w:t>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2D85E601"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w:t>
      </w:r>
      <w:r w:rsidR="002205E6">
        <w:lastRenderedPageBreak/>
        <w:t xml:space="preserve">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w:t>
      </w:r>
      <w:proofErr w:type="spellStart"/>
      <w:r>
        <w:rPr>
          <w:rFonts w:cs="Times New Roman"/>
        </w:rPr>
        <w:t>Fourhorn</w:t>
      </w:r>
      <w:proofErr w:type="spellEnd"/>
      <w:r>
        <w:rPr>
          <w:rFonts w:cs="Times New Roman"/>
        </w:rPr>
        <w:t xml:space="preserve">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 xml:space="preserve">(Loneragan and Bunn 1999; Costa et al. </w:t>
      </w:r>
      <w:r w:rsidR="00203F55" w:rsidRPr="00203F55">
        <w:rPr>
          <w:rFonts w:cs="Times New Roman"/>
          <w:noProof/>
        </w:rPr>
        <w:lastRenderedPageBreak/>
        <w:t>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w:t>
      </w:r>
      <w:r w:rsidR="009B099E">
        <w:rPr>
          <w:rFonts w:cs="Times New Roman"/>
        </w:rPr>
        <w:lastRenderedPageBreak/>
        <w:t xml:space="preserve">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w:t>
      </w:r>
      <w:r>
        <w:rPr>
          <w:rFonts w:cs="Times New Roman"/>
        </w:rPr>
        <w:lastRenderedPageBreak/>
        <w:t xml:space="preserve">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44A40892"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26"/>
      <w:r w:rsidR="003C2B9A">
        <w:rPr>
          <w:rFonts w:cs="Times New Roman"/>
        </w:rPr>
        <w:t xml:space="preserve">. </w:t>
      </w:r>
      <w:commentRangeEnd w:id="26"/>
      <w:r w:rsidR="00384998">
        <w:rPr>
          <w:rStyle w:val="CommentReference"/>
        </w:rPr>
        <w:commentReference w:id="26"/>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w:t>
      </w:r>
      <w:r w:rsidR="00CB7339">
        <w:rPr>
          <w:rFonts w:cs="Times New Roman"/>
        </w:rPr>
        <w:lastRenderedPageBreak/>
        <w:t>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7692DF77" w:rsidR="001E21F6" w:rsidRDefault="00CB7339" w:rsidP="009668DD">
      <w:pPr>
        <w:ind w:firstLine="720"/>
        <w:rPr>
          <w:rFonts w:cs="Times New Roman"/>
        </w:rPr>
      </w:pPr>
      <w:r>
        <w:rPr>
          <w:rFonts w:cs="Times New Roman"/>
        </w:rPr>
        <w:t>T</w:t>
      </w:r>
      <w:r w:rsidR="001E21F6">
        <w:rPr>
          <w:rFonts w:cs="Times New Roman"/>
        </w:rPr>
        <w:t xml:space="preserve">rends in </w:t>
      </w:r>
      <w:r w:rsidR="006D029F">
        <w:rPr>
          <w:rFonts w:cs="Times New Roman"/>
        </w:rPr>
        <w:t xml:space="preserve">project </w:t>
      </w:r>
      <w:r w:rsidR="001E21F6">
        <w:rPr>
          <w:rFonts w:cs="Times New Roman"/>
        </w:rPr>
        <w:t xml:space="preserve">catches were </w:t>
      </w:r>
      <w:r>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at different wind conditions were </w:t>
      </w:r>
      <w:r>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27"/>
      <w:r w:rsidR="001E21F6">
        <w:rPr>
          <w:rFonts w:cs="Times New Roman"/>
        </w:rPr>
        <w:t>.</w:t>
      </w:r>
      <w:r w:rsidR="000264AB">
        <w:rPr>
          <w:rFonts w:cs="Times New Roman"/>
        </w:rPr>
        <w:t xml:space="preserve"> </w:t>
      </w:r>
      <w:commentRangeEnd w:id="27"/>
      <w:r w:rsidR="00416728">
        <w:rPr>
          <w:rStyle w:val="CommentReference"/>
        </w:rPr>
        <w:commentReference w:id="27"/>
      </w:r>
    </w:p>
    <w:p w14:paraId="5FC2AFA9" w14:textId="7ACABC0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w:t>
      </w:r>
      <w:r>
        <w:rPr>
          <w:rFonts w:cs="Times New Roman"/>
        </w:rPr>
        <w:lastRenderedPageBreak/>
        <w:t xml:space="preserve">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8" w:name="_Toc510712063"/>
      <w:r>
        <w:lastRenderedPageBreak/>
        <w:t>Literature Cited</w:t>
      </w:r>
      <w:bookmarkEnd w:id="28"/>
    </w:p>
    <w:p w14:paraId="5D9F4E6A" w14:textId="5CF46F30" w:rsidR="00317A4D" w:rsidRPr="00317A4D" w:rsidRDefault="00B448CE" w:rsidP="00317A4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317A4D" w:rsidRPr="00317A4D">
        <w:rPr>
          <w:rFonts w:cs="Times New Roman"/>
          <w:noProof/>
          <w:szCs w:val="24"/>
        </w:rPr>
        <w:t>Anderson MJ (2001) A new method for non-parametric multivariate analysis of variance. Austral Ecol 26:32–46</w:t>
      </w:r>
    </w:p>
    <w:p w14:paraId="4390171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09D1C9D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Bai J, Perron P (2003) Computation and analysis of multiple structural change models. J Appl Econom 18:1–22. doi: 10.1002/jae.659</w:t>
      </w:r>
    </w:p>
    <w:p w14:paraId="5039B8D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Bailey KM (2000) Shifting control of recruitment of walleye pollock Theragra chalcogramma after a major climatic and ecosystem change. Mar Ecol Prog Ser 198:215–224</w:t>
      </w:r>
    </w:p>
    <w:p w14:paraId="5175DC1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318A189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19DEC48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Bisson PA, Dunham JB, Reeves GH (2009) Freshwater ecosystems and resilience of Pacific salmon: habitat management based on natural variability. Ecol Soc 14:45. doi: 10.5751/ES-02784-140145</w:t>
      </w:r>
    </w:p>
    <w:p w14:paraId="12256CA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Bluhm BA, Gebruk A, Gradinger RR, et al (2011) Arctic Marine Biodiversity: An Update of Species Richness and Examples of Biodiversity Change. Oceanography 24:232–248. doi: 10.5670/oceanog.2011.75</w:t>
      </w:r>
    </w:p>
    <w:p w14:paraId="40C6B3D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Bœuf G, Payan P (2001) How should salinity influence fish growth? Comp Biochem Physiol - Part C Toxicol Pharmacol 130:411–423. doi: 10.1016/S1532-0456(01)00268-X</w:t>
      </w:r>
    </w:p>
    <w:p w14:paraId="21EEF3A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Bond WA, Erickson RN (1985) Life history studies of anadromous coregonid fishes in two freshwater lake Systems on the Tuktoyaktuk Peninsula, Northwest Territories. Can Tech Rep Fish Aquat Sci 1336:</w:t>
      </w:r>
    </w:p>
    <w:p w14:paraId="67067415"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7DA033B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Bradstreet MSW, Cross WE (1982) Trophic relationships at high Arctic ice edges. Arctic 35:1–12. doi: 10.1016/0266-9838(93)90013-8</w:t>
      </w:r>
    </w:p>
    <w:p w14:paraId="05ED4835"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Carpenter SR, Cole JJ, Pace ML, et al (2011) Early warnings of regime shifts: A whole-ecosystem experiment. Science (80- ) 332:1079–1082. doi: 10.1126/science.1203672</w:t>
      </w:r>
    </w:p>
    <w:p w14:paraId="7AF7C07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Clarke KR (1993) Non-parametric multivariate analyses of changes in community structure. 117–143</w:t>
      </w:r>
    </w:p>
    <w:p w14:paraId="0D9E88D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Clarke KR, Ainsworth M (1993) A method of linking multivariate community structure to environmental variables. Mar Ecol Prog Ser 92:205–219. doi: 10.3354/meps092205</w:t>
      </w:r>
    </w:p>
    <w:p w14:paraId="15F384C8"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Collie JS, Wood AD, Jeffries HP (2008) Long-term shifts in the species composition of a coastal fish community. Can J Fish Aquat Sci 65:1352–1365. doi: 10.1139/F08-048</w:t>
      </w:r>
    </w:p>
    <w:p w14:paraId="3A39B1BE"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Costa MJ, Vasconcelos R, Costa JL, Cabral HN (2007) River flow influence on the fish community of the Tagus estuary (Portugal). Hydrobiologia 587:113–123. doi: 10.1007/s10750-007-0690-x</w:t>
      </w:r>
    </w:p>
    <w:p w14:paraId="52648BA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Coutant CC (1987) Thermal preference: when does an asset become a liability? Environ Biol Fishes 18:161–172. doi: 10.1007/BF00000356</w:t>
      </w:r>
    </w:p>
    <w:p w14:paraId="764D95D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Craig PC (1984) Fish use of coastal waters of the Alaska Beaufort Sea: a review. Trans Am Fish Soc 113:265–282. doi: 10.1577/1548-8659(1984)113&lt;265:FUOCWO&gt;2.0.CO;2</w:t>
      </w:r>
    </w:p>
    <w:p w14:paraId="197B8BE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Craig PC (1989) An introduction to anadromous fishes in the Alaskan Arctic. Biol Pap Univ Alaska 27–54</w:t>
      </w:r>
    </w:p>
    <w:p w14:paraId="33B36C3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Craig PC, Griffiths WB, Haldorson L, McElderry H (1985) Distributional patterns of fishes in an Alaskan Arctic lagoon. Polar Biol 4:9–18</w:t>
      </w:r>
    </w:p>
    <w:p w14:paraId="054C775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Cushing DH (1990) Plankton production and year-class strength in fish populations: An update of the match/mismatch hypothesis. Adv Mar Biol 26:249–293. doi: 10.1016/S0065-2881(08)60202-3</w:t>
      </w:r>
    </w:p>
    <w:p w14:paraId="618C19C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56C4DB5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Dahlke FT, Butzin M, Nahrgang J, et al (2018) Northern cod species face spawning habitat losses if global warming exceeds 1.5°C. Sci Adv 4:1–11. doi: 10.1126/sciadv.aas8821</w:t>
      </w:r>
    </w:p>
    <w:p w14:paraId="591EF3A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de March BGE (1989) Salinity tolerance of larval and juvenile Broad Whitefish (Coregonus nasus). Can J Zool 67:2392–2397</w:t>
      </w:r>
    </w:p>
    <w:p w14:paraId="1376ABE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4AADB36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04C770C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Elmqvist T, Folke C, Nystrom M, et al (2003) Response diversity, ecosystem change, and resilience. Front Ecol Environ 1:488–494. doi: 10.2307/3868116</w:t>
      </w:r>
    </w:p>
    <w:p w14:paraId="723D276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2F1E6AD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3CF5D03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Fissel DB (1988) Recruitment of Canadian Arctic Cisco (Coregonus autumnalis) into Alaskan waters. Can J Fish Aquat Sci 45:906–910. doi: 10.1139/f88-110</w:t>
      </w:r>
    </w:p>
    <w:p w14:paraId="3D40949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7191EFF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Griffiths WB (1990) Effect of wind on the recruitment of Canadian Arctic Cisco (Coregonus autumnalis) into the central Alaskan Beaufort Sea. Can J Fish Aquat Sci 47:2164–2171. doi: 10.1139/f90-241</w:t>
      </w:r>
    </w:p>
    <w:p w14:paraId="06B0125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2BBCD9F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0701C4D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Martin LR, Gallaway BJ, et al (1999) Prudhoe Bay causeways and the summer coastal movements of Arctic Cisco and Least Cisco. Arctic 52:139–151. doi: 10.1007/s</w:t>
      </w:r>
    </w:p>
    <w:p w14:paraId="69E8970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Fechhelm RG, Streever B, Gallaway BJ (2007) The Arctic Cisco (Coregonus autumnalis) subsistence and commercial fisheries, Colville River, Alaska: A conceptual model. Arctic 60:421–429</w:t>
      </w:r>
    </w:p>
    <w:p w14:paraId="1AF8146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Fossheim M, Primicerio R, Johannesen E, et al (2015) Recent warming leads to a rapid borealization of fish communities in the Arctic. Nat Clim Chang 5:673–677. doi: 10.1038/nclimate2647</w:t>
      </w:r>
    </w:p>
    <w:p w14:paraId="3A34B51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1313701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Grebmeier JM, Overland JE, Moore SE, et al (2006) A major ecosystem shift in the northern Bering Sea. Science (80- ) 311:1461–1464. doi: 10.1126/science.1121365</w:t>
      </w:r>
    </w:p>
    <w:p w14:paraId="6BBF3808"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Green DG, Priest JT, Gatt KP, Sutton TM (2018) Beaufort Sea nearshore fish monitoring study: 2018 annual report. Fairbanks, Alaska</w:t>
      </w:r>
    </w:p>
    <w:p w14:paraId="21D56E6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Guisan A, Edwards TC, Hastie T (2002) Generalized linear and generalized additive models in studies of species distributions: setting the scene. Ecol Modell 157:89–100. doi: 10.1016/S0304-3800(02)00204-1</w:t>
      </w:r>
    </w:p>
    <w:p w14:paraId="13F9946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Harter BB, Elliott KH, Divoky GJ, Davoren GK (2013) Arctic Cod (Boreogadus saida) as prey: fish length-energetics relationships in the Beaufort Sea and Hudson Bay. Arctic 66:191–196</w:t>
      </w:r>
    </w:p>
    <w:p w14:paraId="68BE05B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Hiddink JG, ter Hofstede R (2008) Climate induced increases in species richness of marine fishes. Glob Chang Biol 14:453–460. doi: 10.1111/j.1365-2486.2007.01518.x</w:t>
      </w:r>
    </w:p>
    <w:p w14:paraId="5CEED57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Higdon JW, Ferguson SH (2009) Loss of Arctic sea ice causing punctuated change in sightings of killer whales (Orcinus orca) over the past century. Ecol Appl 19:1365–1375</w:t>
      </w:r>
    </w:p>
    <w:p w14:paraId="5180EE3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Hunt GL, Stabeno P, Walters G, et al (2002) Climate change and control of the southeastern Bering Sea pelagic ecosystem. Deep Res Part II Top Stud Oceanogr 49:5821–5853. doi: 10.1016/S0967-0645(02)00321-1</w:t>
      </w:r>
    </w:p>
    <w:p w14:paraId="5A4034C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6C34E2D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Irvine JR, Macdonald RW, Brown RJ, et al (2009) Salmon in the Arctic and how they avoid lethal low temperatures. North Pacific Anadromous Fish Comm Bull 5:39–50</w:t>
      </w:r>
    </w:p>
    <w:p w14:paraId="43EE8527"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Jackson DA, Peres-Neto PR, Olden JD (2001) What controls who is where in freshwater fish communities – the roles of biotic, abiotic, and spatial factors. Can J Fish Aquat Sci 58:157–170. doi: 10.1139/cjfas-58-1-157</w:t>
      </w:r>
    </w:p>
    <w:p w14:paraId="3077148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Karr JR (1981) Assessment of biotic integrity using fish communities. Fisheries 6:21–27. doi: 10.1577/1548-8446(1981)006&lt;0021:aobiuf&gt;2.0.co;2</w:t>
      </w:r>
    </w:p>
    <w:p w14:paraId="635BD72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55592DD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 xml:space="preserve">Kruskal JB (1964) Multidimensional scaling by optimizing goodness of fit to a nonmetric </w:t>
      </w:r>
      <w:r w:rsidRPr="00317A4D">
        <w:rPr>
          <w:rFonts w:cs="Times New Roman"/>
          <w:noProof/>
          <w:szCs w:val="24"/>
        </w:rPr>
        <w:lastRenderedPageBreak/>
        <w:t>hypothesis. Psychometrika 29:1–27. doi: 10.1007/bf02289565</w:t>
      </w:r>
    </w:p>
    <w:p w14:paraId="59412A1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33F86DA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Lehodey P, Alheit J, Barange M, et al (2006) Climate variability, fish, and fisheries. J Clim 19:5009–5030. doi: 10.1175/jcli3898.1</w:t>
      </w:r>
    </w:p>
    <w:p w14:paraId="5C945DF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42E59795"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7CF51A9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Marchand J (1991) The influence of environmental conditions on settlement, distribution and growth of 0-group sole (Solea solea (L.)) in a macrotidal estuary (Vilaine France). Netherlands J Sea Res 27:307–316</w:t>
      </w:r>
    </w:p>
    <w:p w14:paraId="6209655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Moerlein KJ, Carothers C (2012) Total environment of change: Impacts of climate change and social transitions on subsistence fisheries in Northwest Alaska. Ecol Soc 17:10. doi: 10.5751/ES-04543-170110</w:t>
      </w:r>
    </w:p>
    <w:p w14:paraId="1D82E3F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Monaghan P (2008) Early growth conditions, phenotypic development and environmental change. Philos Trans R Soc B Biol Sci 363:1635–1645. doi: 10.1098/rstb.2007.0011</w:t>
      </w:r>
    </w:p>
    <w:p w14:paraId="4170A7F7"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Moore SE (2008) Marine mammals as ecosystem sentinels. J Mammal 89:534–540. doi: 10.1644/07-mamm-s-312r1.1</w:t>
      </w:r>
    </w:p>
    <w:p w14:paraId="19E886C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Mueter FJ, Litzow MA (2008) Sea ice retreat alters the biogeography of the Bering Sea. Ecol Appl 18:309–320</w:t>
      </w:r>
    </w:p>
    <w:p w14:paraId="08871DD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428FA42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NPFMC (2009) Fishery management plan for fish resources of the Arctic management area. North Pacific Fishery Management Council, Anchorage, Alaska</w:t>
      </w:r>
    </w:p>
    <w:p w14:paraId="1B98719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Oksanen J, Blanchet FG, Friendly M, et al (2019) vegan: community ecology Package. R package version 2.5-5. https://CRAN.R-project.org/package=vegan</w:t>
      </w:r>
    </w:p>
    <w:p w14:paraId="424A5B0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 xml:space="preserve">Pauly D (1980) On the interrelationships between natural mortality, growth parameters, and mean environmental temperature in 175 fish stocks. ICES J Mar Sci 39:175–192. doi: </w:t>
      </w:r>
      <w:r w:rsidRPr="00317A4D">
        <w:rPr>
          <w:rFonts w:cs="Times New Roman"/>
          <w:noProof/>
          <w:szCs w:val="24"/>
        </w:rPr>
        <w:lastRenderedPageBreak/>
        <w:t>10.1093/icesjms/39.2.175</w:t>
      </w:r>
    </w:p>
    <w:p w14:paraId="3993566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Peterson G, Allen CR, Holling CS (1998) Ecological resilience, biodiversity, and scale. Ecosystems 1:6–18. doi: 10.1007/s100219900002</w:t>
      </w:r>
    </w:p>
    <w:p w14:paraId="6466FAC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Pimm SL (1984) The complexity and stability of ecosystems. Nature 307:321–326</w:t>
      </w:r>
    </w:p>
    <w:p w14:paraId="5DB0393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Poos MS, Jackson DA (2012) Addressing the removal of rare species in multivariate bioassessments: The impact of methodological choices. Ecol Indic 18:82–90. doi: 10.1016/j.ecolind.2011.10.008</w:t>
      </w:r>
    </w:p>
    <w:p w14:paraId="4C904D1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Power G (1997) A review of fish ecology in Arctic North America. In: Reynolds JB (ed) Fish Ecology in Arctic North America. American Fisheries Society, Bethesda, Maryland, pp 13–39</w:t>
      </w:r>
    </w:p>
    <w:p w14:paraId="56EA888E"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Priest JT, Green DG, Fletcher BM, Sutton TM (2018) Beaufort Sea nearshore fish monitoring study: 2017 annual report. Fairbanks, Alaska</w:t>
      </w:r>
    </w:p>
    <w:p w14:paraId="7E858C9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 Core Team (2019) R: A language and environment for statistical computing. R Foundation for Statistical Computing, Vienna, Austria. URL https://www.R-project.org/</w:t>
      </w:r>
    </w:p>
    <w:p w14:paraId="646EA6D6"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04034BDE"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Reist JD, Wrona FJ, Prowse TD, et al (2006) General effects of climate change on Arctic fishes and fish populations. Ambio 35:370–380. doi: 10.1579/0044-7447(2006)35</w:t>
      </w:r>
    </w:p>
    <w:p w14:paraId="0D823B4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Ross BD (1988) Causeways in the Alaskan Beaufort Sea. United States Environmental Protection Agency, Anchorage, Alaska</w:t>
      </w:r>
    </w:p>
    <w:p w14:paraId="5827B12F"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Roux MJ, Harwood LA, Zhu X, Sparling P (2016) Early summer near-shore fish assemblage and environmental correlates in an Arctic estuary. J Great Lakes Res 42:256–266. doi: 10.1016/j.jglr.2015.04.005</w:t>
      </w:r>
    </w:p>
    <w:p w14:paraId="05C534F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Scheffer M, Carpenter SR, Foley JA, et al (2001) Catastrophic shifts in ecosystems. Nature 413:591–596</w:t>
      </w:r>
    </w:p>
    <w:p w14:paraId="798E8A60"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Seigle JC, Gottschalk JM (2013) Fall 2012 subsistence fishery monitoring on the Colville River. ABR, Inc. – Environmental Research &amp; Services, Fairbanks, Alaska</w:t>
      </w:r>
    </w:p>
    <w:p w14:paraId="6C5F751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Sheaves M, Baker R, Nagelkerken I, Connolly RM (2014) True value of estuarine and coastal nurseries for fish: Incorporating complexity and dynamics. Estuaries and Coasts 38:401–414. doi: 10.1007/s12237-014-9846-x</w:t>
      </w:r>
    </w:p>
    <w:p w14:paraId="251CDDA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Sirenko BI, Gagaev SY (2007) Unusual abundance of macrobenthos and biological invasions in the Chukchi Sea. Russ J Mar Biol 33:355–364. doi: 10.1134/S1063074007060016</w:t>
      </w:r>
    </w:p>
    <w:p w14:paraId="5F6F72AE"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Stevenson DE, Lauth RR (2019) Bottom trawl surveys in the northern Bering Sea indicate recent shifts in the distribution of marine species. Polar Biol 42:407–421. doi: 10.1007/s00300-018-2431-1</w:t>
      </w:r>
    </w:p>
    <w:p w14:paraId="518F6D74"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Streever B, Raborn SW, Kim KH, et al (2016) Changes in fish catch rates in the presence of air gun sounds in Prudhoe Bay, Alaska. Arctic 69:346–358. doi: 10.14430/arctic4596</w:t>
      </w:r>
    </w:p>
    <w:p w14:paraId="0666D8BB"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Thedinga JF, Johnson SW, Neff AD, et al (2013) Nearshore fish assemblages of the Northeastern Chukchi Sea, Alaska. Arctic 66:257–268</w:t>
      </w:r>
    </w:p>
    <w:p w14:paraId="32952C64"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Thorpe JE (1994) Salmonid fishes and the estuarine environment. Estuaries 17:76–93</w:t>
      </w:r>
    </w:p>
    <w:p w14:paraId="1FD4C37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Thorsteinson LK, Love MS (2016) Alaska Arctic marine fish ecology catalog. U.S. Geological Survey Scientific Investigations Report 2016-5038 (OCS Study, BOEM 2016-048)</w:t>
      </w:r>
    </w:p>
    <w:p w14:paraId="405C26A4"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USGS (2018) USGS National Water Information System - Sagavanirktok River near Pump Station 3, Alaska. https://waterdata.usgs.gov/ak/nwis/uv?site_no=15908000. Accessed 2 Apr 2018</w:t>
      </w:r>
    </w:p>
    <w:p w14:paraId="2A433D11"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708A86B2"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0D5E4C7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von Biela VR, Zimmerman CE, Cohn BR, Welker JM (2013) Terrestrial and marine trophic pathways support young-of-year growth in a nearshore Arctic fish. Polar Biol 36:137–146. doi: 10.1007/s00300-012-1244-x</w:t>
      </w:r>
    </w:p>
    <w:p w14:paraId="75A8E13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Warwick RM, Clarke KR (1993) Increased variability as a symptom of stress in marine communities. J Exp Mar Bio Ecol 172:215–226. doi: 10.1016/0022-0981(93)90098-9</w:t>
      </w:r>
    </w:p>
    <w:p w14:paraId="6AD5400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Werner EE, Gilliam JF (1984) The ontogenetic niche and species interactions in size-structured populations. Annu Rev Ecol Syst 15:393–425</w:t>
      </w:r>
    </w:p>
    <w:p w14:paraId="1206B50C"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265C591D"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Wood SN (2011) Fast stable restricted maximum likelihood and marginal likelihood estimation of semiparametric generalized linear models. J R Stat Soc 73:3–36</w:t>
      </w:r>
    </w:p>
    <w:p w14:paraId="3FD37983"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lastRenderedPageBreak/>
        <w:t>Wood SN (2017) Generalized Additive Models: An introduction with R (2nd edition). Chapman and Hall/CRC</w:t>
      </w:r>
    </w:p>
    <w:p w14:paraId="2EE97779"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Zeileis A, Kleiber C, Walter K, Hornik K (2003) Testing and dating of structural changes in practice. Comput Stat Data Anal 44:109–123. doi: 10.1016/S0167-9473(03)00030-6</w:t>
      </w:r>
    </w:p>
    <w:p w14:paraId="4D99317A" w14:textId="77777777" w:rsidR="00317A4D" w:rsidRPr="00317A4D" w:rsidRDefault="00317A4D" w:rsidP="00317A4D">
      <w:pPr>
        <w:widowControl w:val="0"/>
        <w:autoSpaceDE w:val="0"/>
        <w:autoSpaceDN w:val="0"/>
        <w:adjustRightInd w:val="0"/>
        <w:spacing w:line="240" w:lineRule="auto"/>
        <w:ind w:left="480" w:hanging="480"/>
        <w:rPr>
          <w:rFonts w:cs="Times New Roman"/>
          <w:noProof/>
          <w:szCs w:val="24"/>
        </w:rPr>
      </w:pPr>
      <w:r w:rsidRPr="00317A4D">
        <w:rPr>
          <w:rFonts w:cs="Times New Roman"/>
          <w:noProof/>
          <w:szCs w:val="24"/>
        </w:rPr>
        <w:t>Zeileis A, Leisch F, Hornik K, Kleiber C (2002) strucchange: An R package for testing for structural change in linear regression models. J Stat Softw 7:1–38</w:t>
      </w:r>
    </w:p>
    <w:p w14:paraId="090BEAF8" w14:textId="77777777" w:rsidR="00317A4D" w:rsidRPr="00317A4D" w:rsidRDefault="00317A4D" w:rsidP="00317A4D">
      <w:pPr>
        <w:widowControl w:val="0"/>
        <w:autoSpaceDE w:val="0"/>
        <w:autoSpaceDN w:val="0"/>
        <w:adjustRightInd w:val="0"/>
        <w:spacing w:line="240" w:lineRule="auto"/>
        <w:ind w:left="480" w:hanging="480"/>
        <w:rPr>
          <w:rFonts w:cs="Times New Roman"/>
          <w:noProof/>
        </w:rPr>
      </w:pPr>
      <w:r w:rsidRPr="00317A4D">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AFA315" w14:textId="4348BF21" w:rsidR="004D2A1D" w:rsidRDefault="004D2A1D" w:rsidP="00C04E6B">
      <w:r>
        <w:lastRenderedPageBreak/>
        <w:t xml:space="preserve">Table 2. </w:t>
      </w:r>
      <w:commentRangeStart w:id="29"/>
      <w:commentRangeStart w:id="30"/>
      <w:r w:rsidR="00673B01">
        <w:t xml:space="preserve">Regression coefficients </w:t>
      </w:r>
      <w:commentRangeEnd w:id="29"/>
      <w:r w:rsidR="00673B01">
        <w:rPr>
          <w:rStyle w:val="CommentReference"/>
        </w:rPr>
        <w:commentReference w:id="29"/>
      </w:r>
      <w:commentRangeEnd w:id="30"/>
      <w:r w:rsidR="00311548">
        <w:rPr>
          <w:rStyle w:val="CommentReference"/>
        </w:rPr>
        <w:commentReference w:id="30"/>
      </w:r>
      <w:r w:rsidR="00673B01">
        <w:t>and significance levels for multiple linear regressions of annual mean catch-per-unit-effort on year, water temperature</w:t>
      </w:r>
      <w:r w:rsidR="00673B01">
        <w:t>,</w:t>
      </w:r>
      <w:r w:rsidR="00673B01">
        <w:t xml:space="preserve"> and</w:t>
      </w:r>
      <w:r w:rsidR="00673B01">
        <w:t xml:space="preserve"> </w:t>
      </w:r>
      <w:r w:rsidR="00673B01">
        <w:t>salinity, and for simple linear regression of the annual coefficient of variation (CV) in catches on year for each species, Prudhoe Bay, Alaska, 2001–2018.</w:t>
      </w:r>
      <w:r w:rsidR="00673B01">
        <w:t xml:space="preserve"> </w:t>
      </w:r>
      <w:r w:rsidR="00FE2452">
        <w:t>Significant effects (</w:t>
      </w:r>
      <w:r w:rsidR="00FE2452">
        <w:rPr>
          <w:rFonts w:cs="Times New Roman"/>
        </w:rPr>
        <w:t>α</w:t>
      </w:r>
      <w:r w:rsidR="00FE2452">
        <w:t xml:space="preserve"> &lt; 0.05) are bolded.</w:t>
      </w:r>
    </w:p>
    <w:p w14:paraId="607B2973" w14:textId="6F2EA0E1" w:rsidR="007E2F0E" w:rsidRPr="00C04E6B" w:rsidRDefault="007E2F0E" w:rsidP="00C04E6B">
      <w:pPr>
        <w:sectPr w:rsidR="007E2F0E" w:rsidRPr="00C04E6B">
          <w:pgSz w:w="12240" w:h="15840"/>
          <w:pgMar w:top="1440" w:right="1440" w:bottom="1440" w:left="1440" w:header="720" w:footer="720" w:gutter="0"/>
          <w:cols w:space="720"/>
          <w:docGrid w:linePitch="360"/>
        </w:sectPr>
      </w:pPr>
      <w:r w:rsidRPr="007E2F0E">
        <w:drawing>
          <wp:inline distT="0" distB="0" distL="0" distR="0" wp14:anchorId="4DB63C29" wp14:editId="16655D7F">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7A12C8" w:rsidRPr="004F0EC0" w:rsidRDefault="007A12C8"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7A12C8" w:rsidRPr="004F0EC0" w:rsidRDefault="007A12C8"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7A12C8" w:rsidRPr="004F0EC0" w:rsidRDefault="007A12C8"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7A12C8" w:rsidRPr="004F0EC0" w:rsidRDefault="007A12C8"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7A12C8" w:rsidRPr="004F0EC0" w:rsidRDefault="007A12C8"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7A12C8" w:rsidRPr="004F0EC0" w:rsidRDefault="007A12C8"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7A12C8" w:rsidRPr="004F0EC0" w:rsidRDefault="007A12C8"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7A12C8" w:rsidRPr="004F0EC0" w:rsidRDefault="007A12C8"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7A12C8" w:rsidRPr="004F0EC0" w:rsidRDefault="007A12C8"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7A12C8" w:rsidRPr="004F0EC0" w:rsidRDefault="007A12C8"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45E601AF"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proofErr w:type="spellStart"/>
      <w:r w:rsidR="00141314" w:rsidRPr="00141314">
        <w:rPr>
          <w:i/>
        </w:rPr>
        <w:t>Coregonus</w:t>
      </w:r>
      <w:proofErr w:type="spellEnd"/>
      <w:r w:rsidR="00141314" w:rsidRPr="00141314">
        <w:rPr>
          <w:i/>
        </w:rPr>
        <w:t xml:space="preserve">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proofErr w:type="spellStart"/>
      <w:r w:rsidR="00141314" w:rsidRPr="00141314">
        <w:rPr>
          <w:i/>
        </w:rPr>
        <w:t>Coregonus</w:t>
      </w:r>
      <w:proofErr w:type="spellEnd"/>
      <w:r w:rsidR="00141314" w:rsidRPr="00141314">
        <w:rPr>
          <w:i/>
        </w:rPr>
        <w:t xml:space="preserve">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mueter" w:date="2019-08-31T11:48:00Z" w:initials="f">
    <w:p w14:paraId="6F0DF5C8" w14:textId="77777777" w:rsidR="007A12C8" w:rsidRDefault="007A12C8" w:rsidP="00567E29">
      <w:pPr>
        <w:pStyle w:val="CommentText"/>
      </w:pPr>
      <w:r>
        <w:rPr>
          <w:rStyle w:val="CommentReference"/>
        </w:rPr>
        <w:annotationRef/>
      </w:r>
      <w:r>
        <w:t>May be worth highlighting as there are very few good time series in the Arctic, certainly none this extensive (with daily samples during summer) that I am aware of.</w:t>
      </w:r>
    </w:p>
  </w:comment>
  <w:comment w:id="2" w:author="fmueter" w:date="2019-08-31T16:49:00Z" w:initials="f">
    <w:p w14:paraId="6E89DFC6" w14:textId="77777777" w:rsidR="007A12C8" w:rsidRDefault="007A12C8" w:rsidP="00567E29">
      <w:pPr>
        <w:pStyle w:val="CommentText"/>
      </w:pPr>
      <w:r>
        <w:rPr>
          <w:rStyle w:val="CommentReference"/>
        </w:rPr>
        <w:annotationRef/>
      </w:r>
      <w:r>
        <w:t>What parameters are you referring to? Can you be specific? Do you mean growth rates and survival?</w:t>
      </w:r>
    </w:p>
  </w:comment>
  <w:comment w:id="3" w:author="Justin T Priest (DFG)" w:date="2019-09-05T19:23:00Z" w:initials="JTP">
    <w:p w14:paraId="646A774B" w14:textId="3AA0FF88" w:rsidR="00311548" w:rsidRDefault="00311548">
      <w:pPr>
        <w:pStyle w:val="CommentText"/>
      </w:pPr>
      <w:r>
        <w:rPr>
          <w:rStyle w:val="CommentReference"/>
        </w:rPr>
        <w:annotationRef/>
      </w:r>
      <w:r>
        <w:t>Better?</w:t>
      </w:r>
    </w:p>
  </w:comment>
  <w:comment w:id="4" w:author="fmueter" w:date="2019-08-31T18:18:00Z" w:initials="f">
    <w:p w14:paraId="65BB6B65" w14:textId="3FC0ED3D" w:rsidR="007A12C8" w:rsidRDefault="007A12C8" w:rsidP="00ED64CF">
      <w:pPr>
        <w:pStyle w:val="CommentText"/>
      </w:pPr>
      <w:r>
        <w:rPr>
          <w:rStyle w:val="CommentReference"/>
        </w:rPr>
        <w:annotationRef/>
      </w:r>
      <w:r>
        <w:t xml:space="preserve">If this is supposed to be the vector of wind speed in the E-W direction, this should be r * </w:t>
      </w:r>
      <w:proofErr w:type="gramStart"/>
      <w:r>
        <w:t>sin(</w:t>
      </w:r>
      <w:proofErr w:type="gramEnd"/>
      <w:r>
        <w:sym w:font="Symbol" w:char="F071"/>
      </w:r>
      <w:r>
        <w:t xml:space="preserve">), where r is the wind speed and </w:t>
      </w:r>
      <w:r>
        <w:sym w:font="Symbol" w:char="F071"/>
      </w:r>
      <w:r>
        <w:t xml:space="preserve"> is the angle in radius. Elsewhere you say the variable is 1 for easterly winds and -1 for westerly winds, which would result from </w:t>
      </w:r>
      <w:proofErr w:type="gramStart"/>
      <w:r>
        <w:t>sin(</w:t>
      </w:r>
      <w:proofErr w:type="gramEnd"/>
      <w:r>
        <w:sym w:font="Symbol" w:char="F071"/>
      </w:r>
      <w:r>
        <w:t xml:space="preserve">), so I’m not sure where the pi/180 comes in? </w:t>
      </w:r>
    </w:p>
  </w:comment>
  <w:comment w:id="5" w:author="Justin T Priest (DFG)" w:date="2019-09-03T23:04:00Z" w:initials="JTP">
    <w:p w14:paraId="346B81EF" w14:textId="4D9D8F87" w:rsidR="007A12C8" w:rsidRDefault="007A12C8">
      <w:pPr>
        <w:pStyle w:val="CommentText"/>
      </w:pPr>
      <w:r>
        <w:rPr>
          <w:rStyle w:val="CommentReference"/>
        </w:rPr>
        <w:annotationRef/>
      </w:r>
      <w:r>
        <w:t>Need to add r to make true vector. Update formula once finished.</w:t>
      </w:r>
    </w:p>
  </w:comment>
  <w:comment w:id="6" w:author="Justin T Priest (DFG)" w:date="2019-09-05T19:57:00Z" w:initials="JTP">
    <w:p w14:paraId="5E934612" w14:textId="6ED423A4" w:rsidR="00E21B59" w:rsidRDefault="00E21B59">
      <w:pPr>
        <w:pStyle w:val="CommentText"/>
      </w:pPr>
      <w:r>
        <w:rPr>
          <w:rStyle w:val="CommentReference"/>
        </w:rPr>
        <w:annotationRef/>
      </w:r>
      <w:r>
        <w:t>Fixed?</w:t>
      </w:r>
    </w:p>
  </w:comment>
  <w:comment w:id="8" w:author="fmueter" w:date="2019-08-31T19:05:00Z" w:initials="f">
    <w:p w14:paraId="38837C11" w14:textId="77777777" w:rsidR="007A12C8" w:rsidRDefault="007A12C8" w:rsidP="00C434BA">
      <w:pPr>
        <w:pStyle w:val="CommentText"/>
      </w:pPr>
      <w:r>
        <w:rPr>
          <w:rStyle w:val="CommentReference"/>
        </w:rPr>
        <w:annotationRef/>
      </w:r>
      <w:r>
        <w:t xml:space="preserve">Briefly describe the set of models you considered. It sounds like you </w:t>
      </w:r>
    </w:p>
  </w:comment>
  <w:comment w:id="9" w:author="Justin T Priest (DFG)" w:date="2019-09-05T20:02:00Z" w:initials="JTP">
    <w:p w14:paraId="5A7BACCF" w14:textId="2819FFB1" w:rsidR="00E21B59" w:rsidRDefault="00E21B59">
      <w:pPr>
        <w:pStyle w:val="CommentText"/>
      </w:pPr>
      <w:r>
        <w:rPr>
          <w:rStyle w:val="CommentReference"/>
        </w:rPr>
        <w:annotationRef/>
      </w:r>
      <w:r>
        <w:t xml:space="preserve">Double check that this is fixed after I re-do code. </w:t>
      </w:r>
    </w:p>
  </w:comment>
  <w:comment w:id="10" w:author="Justin T Priest (DFG)" w:date="2019-09-04T20:48:00Z" w:initials="JTP">
    <w:p w14:paraId="6637FDC9" w14:textId="03A91A26" w:rsidR="002C3E39" w:rsidRDefault="002C3E39">
      <w:pPr>
        <w:pStyle w:val="CommentText"/>
      </w:pPr>
      <w:r>
        <w:rPr>
          <w:rStyle w:val="CommentReference"/>
        </w:rPr>
        <w:annotationRef/>
      </w:r>
      <w:r>
        <w:t>Change all models to k = 4</w:t>
      </w:r>
    </w:p>
  </w:comment>
  <w:comment w:id="11" w:author="fmueter" w:date="2019-08-31T20:33:00Z" w:initials="f">
    <w:p w14:paraId="33D4D5F6" w14:textId="77777777" w:rsidR="00567004" w:rsidRDefault="00567004" w:rsidP="00567004">
      <w:pPr>
        <w:pStyle w:val="CommentText"/>
      </w:pPr>
      <w:r>
        <w:rPr>
          <w:rStyle w:val="CommentReference"/>
        </w:rPr>
        <w:annotationRef/>
      </w:r>
      <w:r>
        <w:t>Not sure if you did that, but you probably should report a p-value (use ‘mantel’ function with the “best” subset)</w:t>
      </w:r>
    </w:p>
  </w:comment>
  <w:comment w:id="12" w:author="fmueter" w:date="2019-08-31T20:48:00Z" w:initials="f">
    <w:p w14:paraId="07211D74" w14:textId="77777777" w:rsidR="00567004" w:rsidRDefault="00567004" w:rsidP="00567004">
      <w:pPr>
        <w:pStyle w:val="CommentText"/>
      </w:pPr>
      <w:r>
        <w:rPr>
          <w:rStyle w:val="CommentReference"/>
        </w:rPr>
        <w:annotationRef/>
      </w:r>
      <w:r>
        <w:t xml:space="preserve">You said that you did NMDS in 3-D. Are you just ignoring the third axis? That may be </w:t>
      </w:r>
      <w:proofErr w:type="gramStart"/>
      <w:r>
        <w:t>OK</w:t>
      </w:r>
      <w:proofErr w:type="gramEnd"/>
      <w:r>
        <w:t xml:space="preserve"> but you should say so somewhere.</w:t>
      </w:r>
    </w:p>
  </w:comment>
  <w:comment w:id="13" w:author="Justin T Priest (DFG)" w:date="2019-09-05T21:16:00Z" w:initials="JTP">
    <w:p w14:paraId="6C2942AF" w14:textId="7D1AFB7F" w:rsidR="001B776D" w:rsidRDefault="001B776D">
      <w:pPr>
        <w:pStyle w:val="CommentText"/>
      </w:pPr>
      <w:r>
        <w:rPr>
          <w:rStyle w:val="CommentReference"/>
        </w:rPr>
        <w:annotationRef/>
      </w:r>
      <w:r>
        <w:t>I only ignored the 3</w:t>
      </w:r>
      <w:r w:rsidRPr="001B776D">
        <w:rPr>
          <w:vertAlign w:val="superscript"/>
        </w:rPr>
        <w:t>rd</w:t>
      </w:r>
      <w:r>
        <w:t xml:space="preserve"> axis for this analysis since I only plotted the nMDS in 2-D, which is what I was trying to convey here. </w:t>
      </w:r>
    </w:p>
  </w:comment>
  <w:comment w:id="15" w:author="fmueter" w:date="2019-08-31T21:13:00Z" w:initials="f">
    <w:p w14:paraId="6202EC10" w14:textId="77777777" w:rsidR="00991426" w:rsidRDefault="00991426" w:rsidP="00991426">
      <w:pPr>
        <w:pStyle w:val="CommentText"/>
      </w:pPr>
      <w:r>
        <w:rPr>
          <w:rStyle w:val="CommentReference"/>
        </w:rPr>
        <w:annotationRef/>
      </w:r>
      <w:r>
        <w:t xml:space="preserve">That variable is still unclear to me. I assume you are using the east-west component of wind </w:t>
      </w:r>
      <w:r w:rsidRPr="007906B2">
        <w:rPr>
          <w:u w:val="single"/>
        </w:rPr>
        <w:t>speed</w:t>
      </w:r>
      <w:r w:rsidRPr="007906B2">
        <w:t>?</w:t>
      </w:r>
      <w:r>
        <w:t xml:space="preserve"> If so, perhaps call it ‘East </w:t>
      </w:r>
      <w:proofErr w:type="spellStart"/>
      <w:r>
        <w:t>Wiinds</w:t>
      </w:r>
      <w:proofErr w:type="spellEnd"/>
      <w:r>
        <w:t xml:space="preserve">’ and define what that means when you describe the variable. </w:t>
      </w:r>
    </w:p>
  </w:comment>
  <w:comment w:id="16" w:author="Justin T Priest (DFG)" w:date="2019-09-04T22:06:00Z" w:initials="JTP">
    <w:p w14:paraId="0A46AEF7" w14:textId="08ACEADA" w:rsidR="006F16B3" w:rsidRDefault="006F16B3">
      <w:pPr>
        <w:pStyle w:val="CommentText"/>
      </w:pPr>
      <w:r>
        <w:rPr>
          <w:rStyle w:val="CommentReference"/>
        </w:rPr>
        <w:annotationRef/>
      </w:r>
      <w:r>
        <w:t xml:space="preserve">Review if I still need this repeated. </w:t>
      </w:r>
    </w:p>
  </w:comment>
  <w:comment w:id="17" w:author="fmueter" w:date="2019-09-02T16:18:00Z" w:initials="f">
    <w:p w14:paraId="6C04375C" w14:textId="77777777" w:rsidR="00991426" w:rsidRDefault="00991426" w:rsidP="00991426">
      <w:pPr>
        <w:pStyle w:val="CommentText"/>
      </w:pPr>
      <w:r>
        <w:rPr>
          <w:rStyle w:val="CommentReference"/>
        </w:rPr>
        <w:annotationRef/>
      </w:r>
      <w:r>
        <w:t>It looks like you did not account for the seasonal trend (biweekly) in these models. Because you already know that there is a seasonal trend, you should not ignore the seasonal trend here, but see below,</w:t>
      </w:r>
    </w:p>
  </w:comment>
  <w:comment w:id="18" w:author="fmueter" w:date="2019-09-02T16:38:00Z" w:initials="f">
    <w:p w14:paraId="78CCB8EF" w14:textId="77777777" w:rsidR="00991426" w:rsidRDefault="00991426" w:rsidP="00991426">
      <w:pPr>
        <w:pStyle w:val="CommentText"/>
      </w:pPr>
      <w:r>
        <w:rPr>
          <w:rStyle w:val="CommentReference"/>
        </w:rPr>
        <w:annotationRef/>
      </w:r>
      <w:r>
        <w:t xml:space="preserve">Since the linear models are nested within the GAMs, it would probably make more sense to assess all of these models in the GAM framework by comparing a series of models that include either linear or smooth trends by station, an overall linear or smooth trend with addition station and biweekly period effects (i.e. station-specific and period-specific intercepts), and a model without any time trend (but still allowing for station and seasonal effects). You don’t even need to fit separate models with a linear term only because that is one of the GAM models being evaluated (with df = 1). You can even include the ‘Null model’ (no temporal trend) in the same GAM using the ‘select = T’ argument (if df=0 for the smooth year term, then the model without any Year effect is preferred). See script file – the results suggest a single, highly nonlinear trend over time. </w:t>
      </w:r>
    </w:p>
  </w:comment>
  <w:comment w:id="19" w:author="Justin T Priest (DFG)" w:date="2019-09-05T22:41:00Z" w:initials="JTP">
    <w:p w14:paraId="38FE4901" w14:textId="2F9FE359" w:rsidR="002D0040" w:rsidRDefault="002D0040">
      <w:pPr>
        <w:pStyle w:val="CommentText"/>
      </w:pPr>
      <w:r>
        <w:rPr>
          <w:rStyle w:val="CommentReference"/>
        </w:rPr>
        <w:annotationRef/>
      </w:r>
      <w:r>
        <w:t xml:space="preserve">FJM: Include rationale for why you included CV as a response because this is not standard. </w:t>
      </w:r>
    </w:p>
  </w:comment>
  <w:comment w:id="21" w:author="Justin Priest" w:date="2019-07-15T17:34:00Z" w:initials="JP">
    <w:p w14:paraId="748D14E5" w14:textId="77777777" w:rsidR="00BE1901" w:rsidRDefault="00BE1901" w:rsidP="00BE1901">
      <w:pPr>
        <w:pStyle w:val="CommentText"/>
      </w:pPr>
      <w:r>
        <w:rPr>
          <w:rStyle w:val="CommentReference"/>
        </w:rPr>
        <w:annotationRef/>
      </w:r>
      <w:r>
        <w:t xml:space="preserve">This cutoff was somewhat arbitrary after talking with Franz. I’m interested in input from FM &amp; SR about this. </w:t>
      </w:r>
      <w:r>
        <w:br/>
        <w:t xml:space="preserve">Is it fine as is because we clearly state the cutoff? </w:t>
      </w:r>
    </w:p>
  </w:comment>
  <w:comment w:id="22" w:author="fmueter" w:date="2019-08-31T19:14:00Z" w:initials="f">
    <w:p w14:paraId="6367886E" w14:textId="77777777" w:rsidR="00BE1901" w:rsidRDefault="00BE1901" w:rsidP="00BE1901">
      <w:pPr>
        <w:pStyle w:val="CommentText"/>
      </w:pPr>
      <w:r>
        <w:rPr>
          <w:rStyle w:val="CommentReference"/>
        </w:rPr>
        <w:annotationRef/>
      </w:r>
      <w:r>
        <w:t xml:space="preserve">Usually these types of cutoffs are based on some percentage of samples in which the species occurs (e.g. &lt; 1%, typically somewhere between 1-5%), but it is fairly </w:t>
      </w:r>
      <w:proofErr w:type="gramStart"/>
      <w:r>
        <w:t>arbitrary</w:t>
      </w:r>
      <w:proofErr w:type="gramEnd"/>
      <w:r>
        <w:t xml:space="preserve"> and you provided a reference below for eliminating species from the multivariate analysis, which should suffice.</w:t>
      </w:r>
    </w:p>
    <w:p w14:paraId="15E9CBE4" w14:textId="77777777" w:rsidR="00BE1901" w:rsidRDefault="00BE1901" w:rsidP="00BE1901">
      <w:pPr>
        <w:pStyle w:val="CommentText"/>
      </w:pPr>
      <w:r>
        <w:t xml:space="preserve">This paragraph on rare species – although methodologically more </w:t>
      </w:r>
      <w:proofErr w:type="gramStart"/>
      <w:r>
        <w:t>similar to</w:t>
      </w:r>
      <w:proofErr w:type="gramEnd"/>
      <w:r>
        <w:t xml:space="preserve"> the previous paragraph, should probably </w:t>
      </w:r>
      <w:r w:rsidRPr="00E8216E">
        <w:rPr>
          <w:u w:val="single"/>
        </w:rPr>
        <w:t>follow</w:t>
      </w:r>
      <w:r>
        <w:t xml:space="preserve"> the multivariate section. You first examine changes in species composition among the more abundant species (eliminating rare species) and then examine the rare species separately for trends over time. As is, readers may be confused at this point why you are only looking at trends in rare species. If you move the paragraph, you also don’t have to define the rare species again as you do so in the multivariate section.</w:t>
      </w:r>
    </w:p>
    <w:p w14:paraId="453F9AD5" w14:textId="77777777" w:rsidR="00BE1901" w:rsidRDefault="00BE1901" w:rsidP="00BE1901">
      <w:pPr>
        <w:pStyle w:val="CommentText"/>
      </w:pPr>
      <w:r>
        <w:t>Also state the number of rare species in this analysis.</w:t>
      </w:r>
    </w:p>
  </w:comment>
  <w:comment w:id="23" w:author="Justin T Priest (DFG)" w:date="2019-09-04T22:16:00Z" w:initials="JTP">
    <w:p w14:paraId="3423AF47" w14:textId="77777777" w:rsidR="00BE1901" w:rsidRDefault="00BE1901" w:rsidP="00BE1901">
      <w:pPr>
        <w:pStyle w:val="CommentText"/>
      </w:pPr>
      <w:r>
        <w:rPr>
          <w:rStyle w:val="CommentReference"/>
        </w:rPr>
        <w:annotationRef/>
      </w:r>
      <w:r>
        <w:t>I’ve moved this now.</w:t>
      </w:r>
    </w:p>
  </w:comment>
  <w:comment w:id="24" w:author="Justin T Priest (DFG)" w:date="2019-09-05T22:04:00Z" w:initials="JTP">
    <w:p w14:paraId="14B5C654" w14:textId="71841582" w:rsidR="009756AB" w:rsidRDefault="009756AB">
      <w:pPr>
        <w:pStyle w:val="CommentText"/>
      </w:pPr>
      <w:r>
        <w:rPr>
          <w:rStyle w:val="CommentReference"/>
        </w:rPr>
        <w:annotationRef/>
      </w:r>
      <w:r>
        <w:t>Moved this. Move in Results too!</w:t>
      </w:r>
    </w:p>
  </w:comment>
  <w:comment w:id="26" w:author="Justin Priest" w:date="2019-08-11T16:47:00Z" w:initials="JP">
    <w:p w14:paraId="47413DCC" w14:textId="2599CD40" w:rsidR="007A12C8" w:rsidRDefault="007A12C8">
      <w:pPr>
        <w:pStyle w:val="CommentText"/>
      </w:pPr>
      <w:r>
        <w:rPr>
          <w:rStyle w:val="CommentReference"/>
        </w:rPr>
        <w:annotationRef/>
      </w:r>
      <w:r>
        <w:t>I would like some citations from Franz and Scott for this section</w:t>
      </w:r>
    </w:p>
  </w:comment>
  <w:comment w:id="27" w:author="Justin Priest" w:date="2019-08-11T16:50:00Z" w:initials="JP">
    <w:p w14:paraId="07DC0175" w14:textId="35689EE4" w:rsidR="007A12C8" w:rsidRDefault="007A12C8">
      <w:pPr>
        <w:pStyle w:val="CommentText"/>
      </w:pPr>
      <w:r>
        <w:rPr>
          <w:rStyle w:val="CommentReference"/>
        </w:rPr>
        <w:annotationRef/>
      </w:r>
      <w:r>
        <w:t>I’d like some citations for this paragraph if FM or SR have any</w:t>
      </w:r>
    </w:p>
  </w:comment>
  <w:comment w:id="29" w:author="fmueter" w:date="2019-09-02T14:25:00Z" w:initials="f">
    <w:p w14:paraId="522B6196" w14:textId="77777777" w:rsidR="00673B01" w:rsidRDefault="00673B01" w:rsidP="00673B01">
      <w:pPr>
        <w:pStyle w:val="CommentText"/>
      </w:pPr>
      <w:r>
        <w:rPr>
          <w:rStyle w:val="CommentReference"/>
        </w:rPr>
        <w:annotationRef/>
      </w:r>
      <w:r>
        <w:t>Unclear – what is being regressed on what? The caption should be ‘stand-alone’ in the sense that a reader should be able to figure out what was done. It is also confusing in that (as I understand it) three column headers refer to the independent variable in a regression of CPUE(?), whereas one column label refers to the dependent variable regressed on Year (?). These should be clearly distinguished. Perhaps you can add a row at the top for the dependent variable and change CV to Year).</w:t>
      </w:r>
    </w:p>
  </w:comment>
  <w:comment w:id="30" w:author="Justin T Priest (DFG)" w:date="2019-09-05T19:21:00Z" w:initials="JTP">
    <w:p w14:paraId="56B370BF" w14:textId="3252D330" w:rsidR="00311548" w:rsidRDefault="00311548">
      <w:pPr>
        <w:pStyle w:val="CommentText"/>
      </w:pPr>
      <w:r>
        <w:rPr>
          <w:rStyle w:val="CommentReference"/>
        </w:rPr>
        <w:annotationRef/>
      </w:r>
      <w:r>
        <w:t>JTP double check that this is correctly 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DF5C8" w15:done="0"/>
  <w15:commentEx w15:paraId="6E89DFC6" w15:done="0"/>
  <w15:commentEx w15:paraId="646A774B" w15:paraIdParent="6E89DFC6" w15:done="0"/>
  <w15:commentEx w15:paraId="65BB6B65" w15:done="0"/>
  <w15:commentEx w15:paraId="346B81EF" w15:paraIdParent="65BB6B65" w15:done="0"/>
  <w15:commentEx w15:paraId="5E934612" w15:done="0"/>
  <w15:commentEx w15:paraId="38837C11" w15:done="0"/>
  <w15:commentEx w15:paraId="5A7BACCF" w15:paraIdParent="38837C11" w15:done="0"/>
  <w15:commentEx w15:paraId="6637FDC9" w15:done="0"/>
  <w15:commentEx w15:paraId="33D4D5F6" w15:done="0"/>
  <w15:commentEx w15:paraId="07211D74" w15:done="0"/>
  <w15:commentEx w15:paraId="6C2942AF" w15:paraIdParent="07211D74" w15:done="0"/>
  <w15:commentEx w15:paraId="6202EC10" w15:done="0"/>
  <w15:commentEx w15:paraId="0A46AEF7" w15:done="0"/>
  <w15:commentEx w15:paraId="6C04375C" w15:done="0"/>
  <w15:commentEx w15:paraId="78CCB8EF" w15:done="0"/>
  <w15:commentEx w15:paraId="38FE4901" w15:done="0"/>
  <w15:commentEx w15:paraId="748D14E5" w15:done="0"/>
  <w15:commentEx w15:paraId="453F9AD5" w15:paraIdParent="748D14E5" w15:done="0"/>
  <w15:commentEx w15:paraId="3423AF47" w15:paraIdParent="748D14E5" w15:done="0"/>
  <w15:commentEx w15:paraId="14B5C654" w15:done="0"/>
  <w15:commentEx w15:paraId="47413DCC" w15:done="0"/>
  <w15:commentEx w15:paraId="07DC0175" w15:done="0"/>
  <w15:commentEx w15:paraId="522B6196" w15:done="0"/>
  <w15:commentEx w15:paraId="56B370BF" w15:paraIdParent="522B61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DF5C8" w16cid:durableId="2117D6B0"/>
  <w16cid:commentId w16cid:paraId="6E89DFC6" w16cid:durableId="2117D6B2"/>
  <w16cid:commentId w16cid:paraId="646A774B" w16cid:durableId="211BDF26"/>
  <w16cid:commentId w16cid:paraId="65BB6B65" w16cid:durableId="211A8584"/>
  <w16cid:commentId w16cid:paraId="346B81EF" w16cid:durableId="21197013"/>
  <w16cid:commentId w16cid:paraId="5E934612" w16cid:durableId="211BE722"/>
  <w16cid:commentId w16cid:paraId="38837C11" w16cid:durableId="2117D6C5"/>
  <w16cid:commentId w16cid:paraId="5A7BACCF" w16cid:durableId="211BE84E"/>
  <w16cid:commentId w16cid:paraId="6637FDC9" w16cid:durableId="211AA1AE"/>
  <w16cid:commentId w16cid:paraId="33D4D5F6" w16cid:durableId="2117D6D5"/>
  <w16cid:commentId w16cid:paraId="07211D74" w16cid:durableId="2117D6D6"/>
  <w16cid:commentId w16cid:paraId="6C2942AF" w16cid:durableId="211BF9B6"/>
  <w16cid:commentId w16cid:paraId="6202EC10" w16cid:durableId="211A908D"/>
  <w16cid:commentId w16cid:paraId="0A46AEF7" w16cid:durableId="211AB3F9"/>
  <w16cid:commentId w16cid:paraId="6C04375C" w16cid:durableId="2117D6DF"/>
  <w16cid:commentId w16cid:paraId="78CCB8EF" w16cid:durableId="2117D6E1"/>
  <w16cid:commentId w16cid:paraId="38FE4901" w16cid:durableId="211C0DA1"/>
  <w16cid:commentId w16cid:paraId="748D14E5" w16cid:durableId="20D7378B"/>
  <w16cid:commentId w16cid:paraId="453F9AD5" w16cid:durableId="2117D6CB"/>
  <w16cid:commentId w16cid:paraId="3423AF47" w16cid:durableId="211AB63F"/>
  <w16cid:commentId w16cid:paraId="14B5C654" w16cid:durableId="211C04EF"/>
  <w16cid:commentId w16cid:paraId="47413DCC" w16cid:durableId="20FAC515"/>
  <w16cid:commentId w16cid:paraId="07DC0175" w16cid:durableId="20FAC5DF"/>
  <w16cid:commentId w16cid:paraId="522B6196" w16cid:durableId="2117D6E9"/>
  <w16cid:commentId w16cid:paraId="56B370BF" w16cid:durableId="211BDE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E9C3F" w14:textId="77777777" w:rsidR="005938E6" w:rsidRDefault="005938E6">
      <w:pPr>
        <w:spacing w:after="0" w:line="240" w:lineRule="auto"/>
      </w:pPr>
      <w:r>
        <w:separator/>
      </w:r>
    </w:p>
  </w:endnote>
  <w:endnote w:type="continuationSeparator" w:id="0">
    <w:p w14:paraId="2F0B5B12" w14:textId="77777777" w:rsidR="005938E6" w:rsidRDefault="0059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7A12C8" w:rsidRPr="00632D26" w:rsidRDefault="007A12C8">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7A12C8" w:rsidRPr="004F14B7" w:rsidRDefault="007A12C8">
    <w:pPr>
      <w:pStyle w:val="Footer"/>
      <w:rPr>
        <w:rFonts w:cs="Times New Roman"/>
      </w:rPr>
    </w:pPr>
  </w:p>
  <w:p w14:paraId="2A8D51CD" w14:textId="77777777" w:rsidR="007A12C8" w:rsidRDefault="007A1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CE73D" w14:textId="77777777" w:rsidR="005938E6" w:rsidRDefault="005938E6">
      <w:pPr>
        <w:spacing w:after="0" w:line="240" w:lineRule="auto"/>
      </w:pPr>
      <w:r>
        <w:separator/>
      </w:r>
    </w:p>
  </w:footnote>
  <w:footnote w:type="continuationSeparator" w:id="0">
    <w:p w14:paraId="1444BD16" w14:textId="77777777" w:rsidR="005938E6" w:rsidRDefault="00593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mueter">
    <w15:presenceInfo w15:providerId="None" w15:userId="fmueter"/>
  </w15:person>
  <w15:person w15:author="Justin T Priest (DFG)">
    <w15:presenceInfo w15:providerId="None" w15:userId="Justin T Priest (DFG)"/>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35873"/>
    <w:rsid w:val="00041BF2"/>
    <w:rsid w:val="000466A7"/>
    <w:rsid w:val="00046A2F"/>
    <w:rsid w:val="00050825"/>
    <w:rsid w:val="00056F5A"/>
    <w:rsid w:val="00065E3C"/>
    <w:rsid w:val="00070CC8"/>
    <w:rsid w:val="000743D4"/>
    <w:rsid w:val="00075BF0"/>
    <w:rsid w:val="00084033"/>
    <w:rsid w:val="00084467"/>
    <w:rsid w:val="00084B23"/>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C3E39"/>
    <w:rsid w:val="002D0040"/>
    <w:rsid w:val="002E56AF"/>
    <w:rsid w:val="002E7874"/>
    <w:rsid w:val="002F504A"/>
    <w:rsid w:val="00300B46"/>
    <w:rsid w:val="00300F69"/>
    <w:rsid w:val="00302BC5"/>
    <w:rsid w:val="0030631D"/>
    <w:rsid w:val="0030672C"/>
    <w:rsid w:val="00311548"/>
    <w:rsid w:val="00313B1A"/>
    <w:rsid w:val="00315317"/>
    <w:rsid w:val="003153A1"/>
    <w:rsid w:val="00315831"/>
    <w:rsid w:val="00317A4D"/>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CFE"/>
    <w:rsid w:val="00405852"/>
    <w:rsid w:val="0040755D"/>
    <w:rsid w:val="00407919"/>
    <w:rsid w:val="00411F9D"/>
    <w:rsid w:val="004126AC"/>
    <w:rsid w:val="004155FF"/>
    <w:rsid w:val="00415788"/>
    <w:rsid w:val="00415BE1"/>
    <w:rsid w:val="00416728"/>
    <w:rsid w:val="004261E9"/>
    <w:rsid w:val="00430F05"/>
    <w:rsid w:val="0043402C"/>
    <w:rsid w:val="00435D43"/>
    <w:rsid w:val="00447832"/>
    <w:rsid w:val="0046795D"/>
    <w:rsid w:val="004724CA"/>
    <w:rsid w:val="004741ED"/>
    <w:rsid w:val="00480367"/>
    <w:rsid w:val="00480695"/>
    <w:rsid w:val="004834CF"/>
    <w:rsid w:val="0048664E"/>
    <w:rsid w:val="00495054"/>
    <w:rsid w:val="004B0AAB"/>
    <w:rsid w:val="004B6131"/>
    <w:rsid w:val="004C0EB8"/>
    <w:rsid w:val="004C1B5B"/>
    <w:rsid w:val="004C3221"/>
    <w:rsid w:val="004C4E6F"/>
    <w:rsid w:val="004D2A1D"/>
    <w:rsid w:val="004D4F70"/>
    <w:rsid w:val="004D5625"/>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3B01"/>
    <w:rsid w:val="00674CB8"/>
    <w:rsid w:val="006759E1"/>
    <w:rsid w:val="006773AB"/>
    <w:rsid w:val="00680E4E"/>
    <w:rsid w:val="00684876"/>
    <w:rsid w:val="00687463"/>
    <w:rsid w:val="00690324"/>
    <w:rsid w:val="0069034D"/>
    <w:rsid w:val="006942CE"/>
    <w:rsid w:val="006A6D41"/>
    <w:rsid w:val="006B0CEF"/>
    <w:rsid w:val="006B143B"/>
    <w:rsid w:val="006C21CC"/>
    <w:rsid w:val="006C4751"/>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3FD8"/>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12C8"/>
    <w:rsid w:val="007A45D7"/>
    <w:rsid w:val="007A6263"/>
    <w:rsid w:val="007B3269"/>
    <w:rsid w:val="007B68C8"/>
    <w:rsid w:val="007B773A"/>
    <w:rsid w:val="007C2BDC"/>
    <w:rsid w:val="007C59B8"/>
    <w:rsid w:val="007D14A5"/>
    <w:rsid w:val="007D2119"/>
    <w:rsid w:val="007D4BB9"/>
    <w:rsid w:val="007D77C9"/>
    <w:rsid w:val="007E20AE"/>
    <w:rsid w:val="007E2C29"/>
    <w:rsid w:val="007E2F0E"/>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56AB"/>
    <w:rsid w:val="009775F7"/>
    <w:rsid w:val="00991426"/>
    <w:rsid w:val="009921C2"/>
    <w:rsid w:val="00996DD6"/>
    <w:rsid w:val="00996FA5"/>
    <w:rsid w:val="009A2C35"/>
    <w:rsid w:val="009A6DBC"/>
    <w:rsid w:val="009A6E95"/>
    <w:rsid w:val="009B099E"/>
    <w:rsid w:val="009B0AF7"/>
    <w:rsid w:val="009C24CC"/>
    <w:rsid w:val="009D529E"/>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4DE5"/>
    <w:rsid w:val="00AA5175"/>
    <w:rsid w:val="00AB0082"/>
    <w:rsid w:val="00AB3192"/>
    <w:rsid w:val="00AB54A7"/>
    <w:rsid w:val="00AB5ECA"/>
    <w:rsid w:val="00AC366B"/>
    <w:rsid w:val="00AC5C45"/>
    <w:rsid w:val="00AD2CBF"/>
    <w:rsid w:val="00AD7C03"/>
    <w:rsid w:val="00AE1B2B"/>
    <w:rsid w:val="00AE2BA4"/>
    <w:rsid w:val="00AE2E48"/>
    <w:rsid w:val="00AE4AA6"/>
    <w:rsid w:val="00AF1465"/>
    <w:rsid w:val="00AF2E61"/>
    <w:rsid w:val="00AF6B03"/>
    <w:rsid w:val="00B00EF0"/>
    <w:rsid w:val="00B0155C"/>
    <w:rsid w:val="00B0202E"/>
    <w:rsid w:val="00B101A2"/>
    <w:rsid w:val="00B11D6F"/>
    <w:rsid w:val="00B141A2"/>
    <w:rsid w:val="00B15816"/>
    <w:rsid w:val="00B16AF3"/>
    <w:rsid w:val="00B17F3D"/>
    <w:rsid w:val="00B24AD0"/>
    <w:rsid w:val="00B25860"/>
    <w:rsid w:val="00B265A9"/>
    <w:rsid w:val="00B268AE"/>
    <w:rsid w:val="00B27CFF"/>
    <w:rsid w:val="00B33DD5"/>
    <w:rsid w:val="00B34D99"/>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883"/>
    <w:rsid w:val="00DE7F40"/>
    <w:rsid w:val="00DF000C"/>
    <w:rsid w:val="00DF0274"/>
    <w:rsid w:val="00DF3CBE"/>
    <w:rsid w:val="00DF7341"/>
    <w:rsid w:val="00E068CC"/>
    <w:rsid w:val="00E107FE"/>
    <w:rsid w:val="00E10EDC"/>
    <w:rsid w:val="00E13664"/>
    <w:rsid w:val="00E14403"/>
    <w:rsid w:val="00E16921"/>
    <w:rsid w:val="00E17CC9"/>
    <w:rsid w:val="00E204F0"/>
    <w:rsid w:val="00E21B59"/>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0E5F"/>
    <w:rsid w:val="00E82542"/>
    <w:rsid w:val="00E82E25"/>
    <w:rsid w:val="00E9156A"/>
    <w:rsid w:val="00E94DC9"/>
    <w:rsid w:val="00EA2BC3"/>
    <w:rsid w:val="00EA3FC1"/>
    <w:rsid w:val="00EA4863"/>
    <w:rsid w:val="00EA6B8D"/>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6AD0"/>
    <w:rsid w:val="00F876D9"/>
    <w:rsid w:val="00F934F0"/>
    <w:rsid w:val="00F9479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2E1DA-AE48-4E03-AF93-3A560BAF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45517</TotalTime>
  <Pages>41</Pages>
  <Words>51688</Words>
  <Characters>294628</Characters>
  <Application>Microsoft Office Word</Application>
  <DocSecurity>0</DocSecurity>
  <Lines>2455</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228</cp:revision>
  <dcterms:created xsi:type="dcterms:W3CDTF">2018-12-06T01:50:00Z</dcterms:created>
  <dcterms:modified xsi:type="dcterms:W3CDTF">2019-09-06T06:59:00Z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