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heading=h.b7qp6rw89pot"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heading=h.ojqsy2hhq8xd"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bCs w:val="1"/>
              </w:rPr>
            </w:pPr>
            <w:r w:rsidDel="00000000" w:rsidR="00000000" w:rsidRPr="00000000">
              <w:rPr>
                <w:b w:val="1"/>
                <w:bCs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bCs w:val="1"/>
              </w:rPr>
            </w:pPr>
            <w:r w:rsidDel="00000000" w:rsidR="00000000" w:rsidRPr="00000000">
              <w:rPr>
                <w:b w:val="1"/>
                <w:bCs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B">
            <w:pPr>
              <w:spacing w:after="0" w:line="240" w:lineRule="auto"/>
              <w:jc w:val="center"/>
              <w:rPr>
                <w:b w:val="1"/>
                <w:bCs w:val="1"/>
              </w:rPr>
            </w:pPr>
            <w:r w:rsidDel="00000000" w:rsidR="00000000" w:rsidRPr="00000000">
              <w:rPr>
                <w:b w:val="1"/>
                <w:bCs w:val="1"/>
                <w:rtl w:val="0"/>
              </w:rPr>
              <w:t xml:space="preserve">[Your name]</w:t>
            </w:r>
          </w:p>
        </w:tc>
        <w:tc>
          <w:tcPr>
            <w:tcMar>
              <w:left w:w="115.0" w:type="dxa"/>
              <w:right w:w="115.0" w:type="dxa"/>
            </w:tcMar>
          </w:tcPr>
          <w:p w:rsidR="00000000" w:rsidDel="00000000" w:rsidP="00000000" w:rsidRDefault="00000000" w:rsidRPr="00000000" w14:paraId="0000000C">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k06nvfmhj89c"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2098671093" name="image1.png"/>
            <a:graphic>
              <a:graphicData uri="http://schemas.openxmlformats.org/drawingml/2006/picture">
                <pic:pic>
                  <pic:nvPicPr>
                    <pic:cNvPr descr="Artemis Financial Logo" id="0" name="image1.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color w:val="000000"/>
          <w:rtl w:val="0"/>
        </w:rPr>
        <w:t xml:space="preserve">[Insert your name here.]</w:t>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b w:val="1"/>
          <w:bCs w:val="1"/>
          <w:color w:val="000000"/>
          <w:rtl w:val="0"/>
        </w:rPr>
        <w:t xml:space="preserve">1. Interpreting Client Needs</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color w:val="000000"/>
        </w:rPr>
      </w:pPr>
      <w:r w:rsidDel="00000000" w:rsidR="00000000" w:rsidRPr="00000000">
        <w:rPr>
          <w:rtl w:val="0"/>
        </w:rPr>
      </w:r>
    </w:p>
    <w:p w:rsidR="00000000" w:rsidDel="00000000" w:rsidP="00000000" w:rsidRDefault="00000000" w:rsidRPr="00000000" w14:paraId="0000001F">
      <w:pPr>
        <w:numPr>
          <w:ilvl w:val="0"/>
          <w:numId w:val="4"/>
        </w:numPr>
        <w:spacing w:after="240" w:before="240" w:line="240" w:lineRule="auto"/>
        <w:ind w:left="720" w:hanging="360"/>
        <w:rPr>
          <w:u w:val="none"/>
        </w:rPr>
      </w:pPr>
      <w:r w:rsidDel="00000000" w:rsidR="00000000" w:rsidRPr="00000000">
        <w:rPr>
          <w:rtl w:val="0"/>
        </w:rPr>
        <w:t xml:space="preserve">Artemis Financial is a company that handles sensitive financial data for its clients, which makes secure communications extremely valuable. Protecting customer information such as personal data and financial records is critical to maintaining trust and preventing data breaches. Secure communication ensures that data transmitted between users and the application cannot be intercepted or altered by unauthorized parties.</w:t>
      </w:r>
    </w:p>
    <w:p w:rsidR="00000000" w:rsidDel="00000000" w:rsidP="00000000" w:rsidRDefault="00000000" w:rsidRPr="00000000" w14:paraId="00000020">
      <w:pPr>
        <w:spacing w:after="240" w:before="240" w:line="240" w:lineRule="auto"/>
        <w:ind w:left="720" w:firstLine="0"/>
        <w:rPr/>
      </w:pPr>
      <w:r w:rsidDel="00000000" w:rsidR="00000000" w:rsidRPr="00000000">
        <w:rPr>
          <w:rtl w:val="0"/>
        </w:rPr>
        <w:t xml:space="preserve">Artemis Financial may also support international transactions, which increases the importance of strong encryption and secure data handling. International operations can introduce additional risks, such as data being transmitted across different networks and regions. While there may not be direct governmental restrictions limiting encryption use, financial institutions must comply with regulations that require strong data protection practices.</w:t>
      </w:r>
    </w:p>
    <w:p w:rsidR="00000000" w:rsidDel="00000000" w:rsidP="00000000" w:rsidRDefault="00000000" w:rsidRPr="00000000" w14:paraId="00000021">
      <w:pPr>
        <w:spacing w:after="240" w:before="240" w:line="240" w:lineRule="auto"/>
        <w:ind w:left="720" w:firstLine="0"/>
        <w:rPr/>
      </w:pPr>
      <w:r w:rsidDel="00000000" w:rsidR="00000000" w:rsidRPr="00000000">
        <w:rPr>
          <w:rtl w:val="0"/>
        </w:rPr>
        <w:t xml:space="preserve">External threats currently facing the company include malware, man-in-the-middle attacks, insecure dependencies, and known vulnerabilities in third-party libraries. These threats are likely to continue and evolve in the future as attackers discover new weaknesses. Modernization requirements include keeping open-source libraries up to date, using secure frameworks, and following current web application security standards to reduce risk.</w:t>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4">
      <w:pPr>
        <w:spacing w:after="0" w:line="240" w:lineRule="auto"/>
        <w:rPr>
          <w:b w:val="1"/>
          <w:bCs w:val="1"/>
          <w:color w:val="000000"/>
        </w:rPr>
      </w:pPr>
      <w:r w:rsidDel="00000000" w:rsidR="00000000" w:rsidRPr="00000000">
        <w:rPr>
          <w:b w:val="1"/>
          <w:bCs w:val="1"/>
          <w:color w:val="000000"/>
          <w:rtl w:val="0"/>
        </w:rPr>
        <w:t xml:space="preserve">2. Areas of Security</w:t>
      </w:r>
    </w:p>
    <w:p w:rsidR="00000000" w:rsidDel="00000000" w:rsidP="00000000" w:rsidRDefault="00000000" w:rsidRPr="00000000" w14:paraId="00000025">
      <w:pPr>
        <w:spacing w:after="0" w:line="240" w:lineRule="auto"/>
        <w:rPr>
          <w:color w:val="000000"/>
        </w:rPr>
      </w:pPr>
      <w:r w:rsidDel="00000000" w:rsidR="00000000" w:rsidRPr="00000000">
        <w:rPr>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26">
      <w:pPr>
        <w:spacing w:after="0" w:line="240" w:lineRule="auto"/>
        <w:rPr>
          <w:color w:val="000000"/>
        </w:rPr>
      </w:pPr>
      <w:r w:rsidDel="00000000" w:rsidR="00000000" w:rsidRPr="00000000">
        <w:rPr>
          <w:rtl w:val="0"/>
        </w:rPr>
      </w:r>
    </w:p>
    <w:p w:rsidR="00000000" w:rsidDel="00000000" w:rsidP="00000000" w:rsidRDefault="00000000" w:rsidRPr="00000000" w14:paraId="00000027">
      <w:pPr>
        <w:numPr>
          <w:ilvl w:val="0"/>
          <w:numId w:val="2"/>
        </w:numPr>
        <w:spacing w:after="240" w:before="240" w:line="240" w:lineRule="auto"/>
        <w:ind w:left="720" w:hanging="360"/>
      </w:pPr>
      <w:r w:rsidDel="00000000" w:rsidR="00000000" w:rsidRPr="00000000">
        <w:rPr>
          <w:rtl w:val="0"/>
        </w:rPr>
        <w:t xml:space="preserve">Several areas of security from the vulnerability assessment process apply to Artemis Financial’s software application. Application security is critical because the software handles sensitive financial data and must be protected against common vulnerabilities such as insecure inputs and outdated libraries. Data security is also relevant because customer financial information must remain confidential and protected both in transit and at rest. Network security applies due to the need for secure communication channels, such as HTTPS with TLS encryption. Dependency management is another important area because the application relies on third-party libraries that may contain known vulnerabilities. Addressing these areas helps reduce the overall attack surface and improves the application’s security posture.</w:t>
      </w:r>
    </w:p>
    <w:p w:rsidR="00000000" w:rsidDel="00000000" w:rsidP="00000000" w:rsidRDefault="00000000" w:rsidRPr="00000000" w14:paraId="00000028">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9">
      <w:pPr>
        <w:spacing w:after="0" w:line="240" w:lineRule="auto"/>
        <w:rPr>
          <w:b w:val="1"/>
          <w:bCs w:val="1"/>
          <w:color w:val="000000"/>
        </w:rPr>
      </w:pPr>
      <w:r w:rsidDel="00000000" w:rsidR="00000000" w:rsidRPr="00000000">
        <w:rPr>
          <w:b w:val="1"/>
          <w:bCs w:val="1"/>
          <w:color w:val="000000"/>
          <w:rtl w:val="0"/>
        </w:rPr>
        <w:t xml:space="preserve">3. Manual Review</w:t>
      </w:r>
    </w:p>
    <w:p w:rsidR="00000000" w:rsidDel="00000000" w:rsidP="00000000" w:rsidRDefault="00000000" w:rsidRPr="00000000" w14:paraId="0000002A">
      <w:pPr>
        <w:spacing w:after="0" w:line="240" w:lineRule="auto"/>
        <w:rPr>
          <w:color w:val="000000"/>
        </w:rPr>
      </w:pPr>
      <w:r w:rsidDel="00000000" w:rsidR="00000000" w:rsidRPr="00000000">
        <w:rPr>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2B">
      <w:pPr>
        <w:spacing w:after="0" w:line="240" w:lineRule="auto"/>
        <w:rPr>
          <w:color w:val="000000"/>
        </w:rPr>
      </w:pPr>
      <w:r w:rsidDel="00000000" w:rsidR="00000000" w:rsidRPr="00000000">
        <w:rPr>
          <w:rtl w:val="0"/>
        </w:rPr>
      </w:r>
    </w:p>
    <w:p w:rsidR="00000000" w:rsidDel="00000000" w:rsidP="00000000" w:rsidRDefault="00000000" w:rsidRPr="00000000" w14:paraId="0000002C">
      <w:pPr>
        <w:spacing w:after="240" w:before="240" w:line="240" w:lineRule="auto"/>
        <w:rPr/>
      </w:pPr>
      <w:r w:rsidDel="00000000" w:rsidR="00000000" w:rsidRPr="00000000">
        <w:rPr>
          <w:rtl w:val="0"/>
        </w:rPr>
        <w:t xml:space="preserve">During the manual review of the code base, the following potential vulnerabilities were identified:</w:t>
      </w:r>
    </w:p>
    <w:p w:rsidR="00000000" w:rsidDel="00000000" w:rsidP="00000000" w:rsidRDefault="00000000" w:rsidRPr="00000000" w14:paraId="0000002D">
      <w:pPr>
        <w:numPr>
          <w:ilvl w:val="0"/>
          <w:numId w:val="1"/>
        </w:numPr>
        <w:spacing w:after="0" w:afterAutospacing="0" w:before="240" w:line="240" w:lineRule="auto"/>
        <w:ind w:left="720" w:hanging="360"/>
        <w:rPr>
          <w:b w:val="1"/>
          <w:bCs w:val="1"/>
        </w:rPr>
      </w:pPr>
      <w:r w:rsidDel="00000000" w:rsidR="00000000" w:rsidRPr="00000000">
        <w:rPr>
          <w:rtl w:val="0"/>
        </w:rPr>
        <w:t xml:space="preserve">Use of outdated third-party libraries</w:t>
        <w:br w:type="textWrapping"/>
      </w:r>
    </w:p>
    <w:p w:rsidR="00000000" w:rsidDel="00000000" w:rsidP="00000000" w:rsidRDefault="00000000" w:rsidRPr="00000000" w14:paraId="0000002E">
      <w:pPr>
        <w:numPr>
          <w:ilvl w:val="0"/>
          <w:numId w:val="1"/>
        </w:numPr>
        <w:spacing w:after="0" w:afterAutospacing="0" w:before="0" w:beforeAutospacing="0" w:line="240" w:lineRule="auto"/>
        <w:ind w:left="720" w:hanging="360"/>
        <w:rPr>
          <w:b w:val="1"/>
          <w:bCs w:val="1"/>
        </w:rPr>
      </w:pPr>
      <w:r w:rsidDel="00000000" w:rsidR="00000000" w:rsidRPr="00000000">
        <w:rPr>
          <w:rtl w:val="0"/>
        </w:rPr>
        <w:t xml:space="preserve">Missing or weak input validation</w:t>
        <w:br w:type="textWrapping"/>
      </w:r>
    </w:p>
    <w:p w:rsidR="00000000" w:rsidDel="00000000" w:rsidP="00000000" w:rsidRDefault="00000000" w:rsidRPr="00000000" w14:paraId="0000002F">
      <w:pPr>
        <w:numPr>
          <w:ilvl w:val="0"/>
          <w:numId w:val="1"/>
        </w:numPr>
        <w:spacing w:after="0" w:afterAutospacing="0" w:before="0" w:beforeAutospacing="0" w:line="240" w:lineRule="auto"/>
        <w:ind w:left="720" w:hanging="360"/>
        <w:rPr>
          <w:b w:val="1"/>
          <w:bCs w:val="1"/>
        </w:rPr>
      </w:pPr>
      <w:r w:rsidDel="00000000" w:rsidR="00000000" w:rsidRPr="00000000">
        <w:rPr>
          <w:rtl w:val="0"/>
        </w:rPr>
        <w:t xml:space="preserve">Lack of detailed error handling, which could expose system information</w:t>
        <w:br w:type="textWrapping"/>
      </w:r>
    </w:p>
    <w:p w:rsidR="00000000" w:rsidDel="00000000" w:rsidP="00000000" w:rsidRDefault="00000000" w:rsidRPr="00000000" w14:paraId="00000030">
      <w:pPr>
        <w:numPr>
          <w:ilvl w:val="0"/>
          <w:numId w:val="1"/>
        </w:numPr>
        <w:spacing w:after="0" w:afterAutospacing="0" w:before="0" w:beforeAutospacing="0" w:line="240" w:lineRule="auto"/>
        <w:ind w:left="720" w:hanging="360"/>
        <w:rPr>
          <w:b w:val="1"/>
          <w:bCs w:val="1"/>
        </w:rPr>
      </w:pPr>
      <w:r w:rsidDel="00000000" w:rsidR="00000000" w:rsidRPr="00000000">
        <w:rPr>
          <w:rtl w:val="0"/>
        </w:rPr>
        <w:t xml:space="preserve">Hardcoded values that could be sensitive in nature</w:t>
        <w:br w:type="textWrapping"/>
      </w:r>
    </w:p>
    <w:p w:rsidR="00000000" w:rsidDel="00000000" w:rsidP="00000000" w:rsidRDefault="00000000" w:rsidRPr="00000000" w14:paraId="00000031">
      <w:pPr>
        <w:numPr>
          <w:ilvl w:val="0"/>
          <w:numId w:val="1"/>
        </w:numPr>
        <w:spacing w:after="0" w:afterAutospacing="0" w:before="0" w:beforeAutospacing="0" w:line="240" w:lineRule="auto"/>
        <w:ind w:left="720" w:hanging="360"/>
        <w:rPr>
          <w:b w:val="1"/>
          <w:bCs w:val="1"/>
        </w:rPr>
      </w:pPr>
      <w:r w:rsidDel="00000000" w:rsidR="00000000" w:rsidRPr="00000000">
        <w:rPr>
          <w:rtl w:val="0"/>
        </w:rPr>
        <w:t xml:space="preserve">Insufficient logging for security-related events</w:t>
        <w:br w:type="textWrapping"/>
      </w:r>
    </w:p>
    <w:p w:rsidR="00000000" w:rsidDel="00000000" w:rsidP="00000000" w:rsidRDefault="00000000" w:rsidRPr="00000000" w14:paraId="00000032">
      <w:pPr>
        <w:numPr>
          <w:ilvl w:val="0"/>
          <w:numId w:val="1"/>
        </w:numPr>
        <w:spacing w:after="0" w:afterAutospacing="0" w:before="0" w:beforeAutospacing="0" w:line="240" w:lineRule="auto"/>
        <w:ind w:left="720" w:hanging="360"/>
        <w:rPr>
          <w:b w:val="1"/>
          <w:bCs w:val="1"/>
        </w:rPr>
      </w:pPr>
      <w:r w:rsidDel="00000000" w:rsidR="00000000" w:rsidRPr="00000000">
        <w:rPr>
          <w:rtl w:val="0"/>
        </w:rPr>
        <w:t xml:space="preserve">Lack of authentication or authorization checks in some areas</w:t>
        <w:br w:type="textWrapping"/>
      </w:r>
    </w:p>
    <w:p w:rsidR="00000000" w:rsidDel="00000000" w:rsidP="00000000" w:rsidRDefault="00000000" w:rsidRPr="00000000" w14:paraId="00000033">
      <w:pPr>
        <w:numPr>
          <w:ilvl w:val="0"/>
          <w:numId w:val="1"/>
        </w:numPr>
        <w:spacing w:after="240" w:before="0" w:beforeAutospacing="0" w:line="240" w:lineRule="auto"/>
        <w:ind w:left="720" w:hanging="360"/>
        <w:rPr>
          <w:b w:val="1"/>
          <w:bCs w:val="1"/>
        </w:rPr>
      </w:pPr>
      <w:r w:rsidDel="00000000" w:rsidR="00000000" w:rsidRPr="00000000">
        <w:rPr>
          <w:rtl w:val="0"/>
        </w:rPr>
        <w:t xml:space="preserve">No explicit enforcement of secure communication protocols</w:t>
        <w:br w:type="textWrapping"/>
      </w:r>
    </w:p>
    <w:p w:rsidR="00000000" w:rsidDel="00000000" w:rsidP="00000000" w:rsidRDefault="00000000" w:rsidRPr="00000000" w14:paraId="00000034">
      <w:pPr>
        <w:spacing w:after="240" w:before="240" w:line="240" w:lineRule="auto"/>
        <w:rPr/>
      </w:pPr>
      <w:r w:rsidDel="00000000" w:rsidR="00000000" w:rsidRPr="00000000">
        <w:rPr>
          <w:rtl w:val="0"/>
        </w:rPr>
        <w:t xml:space="preserve">These findings indicate areas where the application could be improved to reduce security risks.</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b w:val="1"/>
          <w:bCs w:val="1"/>
          <w:color w:val="000000"/>
        </w:rPr>
      </w:pPr>
      <w:r w:rsidDel="00000000" w:rsidR="00000000" w:rsidRPr="00000000">
        <w:rPr>
          <w:b w:val="1"/>
          <w:bCs w:val="1"/>
          <w:color w:val="000000"/>
          <w:rtl w:val="0"/>
        </w:rPr>
        <w:t xml:space="preserve">4. Static Testing</w:t>
      </w:r>
    </w:p>
    <w:p w:rsidR="00000000" w:rsidDel="00000000" w:rsidP="00000000" w:rsidRDefault="00000000" w:rsidRPr="00000000" w14:paraId="00000037">
      <w:pPr>
        <w:spacing w:after="0" w:line="240" w:lineRule="auto"/>
        <w:rPr>
          <w:color w:val="000000"/>
        </w:rPr>
      </w:pPr>
      <w:r w:rsidDel="00000000" w:rsidR="00000000" w:rsidRPr="00000000">
        <w:rPr>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38">
      <w:pPr>
        <w:spacing w:after="240" w:before="240" w:line="240" w:lineRule="auto"/>
        <w:rPr/>
      </w:pPr>
      <w:r w:rsidDel="00000000" w:rsidR="00000000" w:rsidRPr="00000000">
        <w:rPr>
          <w:rtl w:val="0"/>
        </w:rPr>
        <w:t xml:space="preserve">A dependency check was performed on Artemis Financial’s application using a static analysis tool. The report identified several known vulnerabilities in third-party dependencies. The dependency-check report provided attribution through publicly documented CVE entries, which confirms that these vulnerabilities have been previously identified and documented within the cybersecurity community.</w:t>
      </w:r>
      <w:r w:rsidDel="00000000" w:rsidR="00000000" w:rsidRPr="00000000">
        <w:rPr>
          <w:rtl w:val="0"/>
        </w:rPr>
      </w:r>
    </w:p>
    <w:p w:rsidR="00000000" w:rsidDel="00000000" w:rsidP="00000000" w:rsidRDefault="00000000" w:rsidRPr="00000000" w14:paraId="00000039">
      <w:pPr>
        <w:spacing w:after="0" w:line="240" w:lineRule="auto"/>
        <w:rPr>
          <w:b w:val="1"/>
          <w:bCs w:val="1"/>
          <w:color w:val="000000"/>
        </w:rPr>
      </w:pPr>
      <w:r w:rsidDel="00000000" w:rsidR="00000000" w:rsidRPr="00000000">
        <w:rPr>
          <w:b w:val="1"/>
          <w:bCs w:val="1"/>
          <w:color w:val="000000"/>
          <w:rtl w:val="0"/>
        </w:rPr>
        <w:t xml:space="preserve">5. Mitigation Plan</w:t>
      </w:r>
    </w:p>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03B">
      <w:pPr>
        <w:spacing w:after="0" w:line="240" w:lineRule="auto"/>
        <w:rPr>
          <w:color w:val="000000"/>
        </w:rPr>
      </w:pPr>
      <w:r w:rsidDel="00000000" w:rsidR="00000000" w:rsidRPr="00000000">
        <w:rPr>
          <w:rtl w:val="0"/>
        </w:rPr>
      </w:r>
    </w:p>
    <w:p w:rsidR="00000000" w:rsidDel="00000000" w:rsidP="00000000" w:rsidRDefault="00000000" w:rsidRPr="00000000" w14:paraId="0000003C">
      <w:pPr>
        <w:spacing w:after="240" w:before="240" w:line="240" w:lineRule="auto"/>
        <w:rPr/>
      </w:pPr>
      <w:r w:rsidDel="00000000" w:rsidR="00000000" w:rsidRPr="00000000">
        <w:rPr>
          <w:rtl w:val="0"/>
        </w:rPr>
        <w:t xml:space="preserve">To mitigate the identified vulnerabilities, Artemis Financial should first update all outdated dependencies to secure versions recommended by the dependency-check report. Input validation should be strengthened to prevent malformed or malicious data from entering the system. Secure communication protocols such as TLS should be enforced throughout the application.</w:t>
      </w:r>
    </w:p>
    <w:p w:rsidR="00000000" w:rsidDel="00000000" w:rsidP="00000000" w:rsidRDefault="00000000" w:rsidRPr="00000000" w14:paraId="0000003D">
      <w:pPr>
        <w:spacing w:after="240" w:before="240" w:line="240" w:lineRule="auto"/>
        <w:rPr/>
      </w:pPr>
      <w:r w:rsidDel="00000000" w:rsidR="00000000" w:rsidRPr="00000000">
        <w:rPr>
          <w:rtl w:val="0"/>
        </w:rPr>
        <w:t xml:space="preserve">Additionally, sensitive information should never be hardcoded in the source code, and improved logging should be implemented to track security-related events. Regular vulnerability scans and dependency checks should be performed to ensure new risks are identified early. These steps will significantly improve the security and reliability of Artemis Financial’s software application.</w:t>
      </w:r>
    </w:p>
    <w:p w:rsidR="00000000" w:rsidDel="00000000" w:rsidP="00000000" w:rsidRDefault="00000000" w:rsidRPr="00000000" w14:paraId="0000003E">
      <w:pPr>
        <w:spacing w:after="0" w:line="240" w:lineRule="auto"/>
        <w:rPr/>
      </w:pPr>
      <w:r w:rsidDel="00000000" w:rsidR="00000000" w:rsidRPr="00000000">
        <w:rPr>
          <w:rtl w:val="0"/>
        </w:rPr>
      </w:r>
    </w:p>
    <w:sectPr>
      <w:headerReference r:id="rId8" w:type="default"/>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drawing>
        <wp:inline distB="0" distT="0" distL="0" distR="0">
          <wp:extent cx="795655" cy="439420"/>
          <wp:effectExtent b="0" l="0" r="0" t="0"/>
          <wp:docPr descr="SNHU logo" id="2098671094"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Heading7">
    <w:name w:val="heading 7"/>
    <w:basedOn w:val="Normal"/>
    <w:next w:val="Normal"/>
    <w:link w:val="Heading7Char"/>
    <w:uiPriority w:val="9"/>
    <w:semiHidden w:val="1"/>
    <w:unhideWhenUsed w:val="1"/>
    <w:qFormat w:val="1"/>
    <w:rsid w:val="00DC2970"/>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DC2970"/>
    <w:pPr>
      <w:keepNext w:val="1"/>
      <w:keepLines w:val="1"/>
      <w:spacing w:after="0" w:before="200"/>
      <w:outlineLvl w:val="7"/>
    </w:pPr>
    <w:rPr>
      <w:rFont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DC2970"/>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1240EF"/>
    <w:rPr>
      <w:rFonts w:cstheme="minorHAnsi" w:eastAsiaTheme="majorEastAsia"/>
      <w:b w:val="1"/>
      <w:bCs w:val="1"/>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val="1"/>
      <w:bCs w:val="1"/>
      <w:sz w:val="24"/>
      <w:szCs w:val="24"/>
    </w:rPr>
  </w:style>
  <w:style w:type="paragraph" w:styleId="TOCHeading">
    <w:name w:val="TOC Heading"/>
    <w:basedOn w:val="Heading1"/>
    <w:next w:val="Normal"/>
    <w:uiPriority w:val="39"/>
    <w:unhideWhenUsed w:val="1"/>
    <w:qFormat w:val="1"/>
    <w:rsid w:val="00DC2970"/>
    <w:pPr>
      <w:outlineLvl w:val="9"/>
    </w:pPr>
  </w:style>
  <w:style w:type="paragraph" w:styleId="TOC1">
    <w:name w:val="toc 1"/>
    <w:basedOn w:val="Normal"/>
    <w:next w:val="Normal"/>
    <w:autoRedefine w:val="1"/>
    <w:uiPriority w:val="39"/>
    <w:unhideWhenUsed w:val="1"/>
    <w:rsid w:val="005C593C"/>
    <w:pPr>
      <w:spacing w:after="0" w:before="360"/>
    </w:pPr>
    <w:rPr>
      <w:rFonts w:asciiTheme="majorHAnsi" w:cstheme="majorHAnsi" w:hAnsiTheme="majorHAnsi"/>
      <w:b w:val="1"/>
      <w:bCs w:val="1"/>
      <w:caps w:val="1"/>
      <w:sz w:val="24"/>
      <w:szCs w:val="24"/>
    </w:rPr>
  </w:style>
  <w:style w:type="paragraph" w:styleId="TOC2">
    <w:name w:val="toc 2"/>
    <w:basedOn w:val="Normal"/>
    <w:next w:val="Normal"/>
    <w:autoRedefine w:val="1"/>
    <w:uiPriority w:val="39"/>
    <w:unhideWhenUsed w:val="1"/>
    <w:rsid w:val="005C593C"/>
    <w:pPr>
      <w:spacing w:after="0" w:before="240"/>
    </w:pPr>
    <w:rPr>
      <w:b w:val="1"/>
      <w:bCs w:val="1"/>
      <w:sz w:val="20"/>
      <w:szCs w:val="20"/>
    </w:rPr>
  </w:style>
  <w:style w:type="paragraph" w:styleId="TOC3">
    <w:name w:val="toc 3"/>
    <w:basedOn w:val="Normal"/>
    <w:next w:val="Normal"/>
    <w:autoRedefine w:val="1"/>
    <w:uiPriority w:val="39"/>
    <w:unhideWhenUsed w:val="1"/>
    <w:rsid w:val="005C593C"/>
    <w:pPr>
      <w:spacing w:after="0"/>
      <w:ind w:left="220"/>
    </w:pPr>
    <w:rPr>
      <w:sz w:val="20"/>
      <w:szCs w:val="20"/>
    </w:rPr>
  </w:style>
  <w:style w:type="paragraph" w:styleId="TOC4">
    <w:name w:val="toc 4"/>
    <w:basedOn w:val="Normal"/>
    <w:next w:val="Normal"/>
    <w:autoRedefine w:val="1"/>
    <w:uiPriority w:val="39"/>
    <w:unhideWhenUsed w:val="1"/>
    <w:rsid w:val="005C593C"/>
    <w:pPr>
      <w:spacing w:after="0"/>
      <w:ind w:left="440"/>
    </w:pPr>
    <w:rPr>
      <w:sz w:val="20"/>
      <w:szCs w:val="20"/>
    </w:rPr>
  </w:style>
  <w:style w:type="paragraph" w:styleId="TOC5">
    <w:name w:val="toc 5"/>
    <w:basedOn w:val="Normal"/>
    <w:next w:val="Normal"/>
    <w:autoRedefine w:val="1"/>
    <w:uiPriority w:val="39"/>
    <w:unhideWhenUsed w:val="1"/>
    <w:rsid w:val="005C593C"/>
    <w:pPr>
      <w:spacing w:after="0"/>
      <w:ind w:left="660"/>
    </w:pPr>
    <w:rPr>
      <w:sz w:val="20"/>
      <w:szCs w:val="20"/>
    </w:rPr>
  </w:style>
  <w:style w:type="paragraph" w:styleId="TOC6">
    <w:name w:val="toc 6"/>
    <w:basedOn w:val="Normal"/>
    <w:next w:val="Normal"/>
    <w:autoRedefine w:val="1"/>
    <w:uiPriority w:val="39"/>
    <w:unhideWhenUsed w:val="1"/>
    <w:rsid w:val="005C593C"/>
    <w:pPr>
      <w:spacing w:after="0"/>
      <w:ind w:left="880"/>
    </w:pPr>
    <w:rPr>
      <w:sz w:val="20"/>
      <w:szCs w:val="20"/>
    </w:rPr>
  </w:style>
  <w:style w:type="paragraph" w:styleId="TOC7">
    <w:name w:val="toc 7"/>
    <w:basedOn w:val="Normal"/>
    <w:next w:val="Normal"/>
    <w:autoRedefine w:val="1"/>
    <w:uiPriority w:val="39"/>
    <w:unhideWhenUsed w:val="1"/>
    <w:rsid w:val="005C593C"/>
    <w:pPr>
      <w:spacing w:after="0"/>
      <w:ind w:left="1100"/>
    </w:pPr>
    <w:rPr>
      <w:sz w:val="20"/>
      <w:szCs w:val="20"/>
    </w:rPr>
  </w:style>
  <w:style w:type="paragraph" w:styleId="TOC8">
    <w:name w:val="toc 8"/>
    <w:basedOn w:val="Normal"/>
    <w:next w:val="Normal"/>
    <w:autoRedefine w:val="1"/>
    <w:uiPriority w:val="39"/>
    <w:unhideWhenUsed w:val="1"/>
    <w:rsid w:val="005C593C"/>
    <w:pPr>
      <w:spacing w:after="0"/>
      <w:ind w:left="1320"/>
    </w:pPr>
    <w:rPr>
      <w:sz w:val="20"/>
      <w:szCs w:val="20"/>
    </w:rPr>
  </w:style>
  <w:style w:type="paragraph" w:styleId="TOC9">
    <w:name w:val="toc 9"/>
    <w:basedOn w:val="Normal"/>
    <w:next w:val="Normal"/>
    <w:autoRedefine w:val="1"/>
    <w:uiPriority w:val="39"/>
    <w:unhideWhenUsed w:val="1"/>
    <w:rsid w:val="005C593C"/>
    <w:pPr>
      <w:spacing w:after="0"/>
      <w:ind w:left="1540"/>
    </w:pPr>
    <w:rPr>
      <w:sz w:val="20"/>
      <w:szCs w:val="20"/>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C2970"/>
    <w:pPr>
      <w:ind w:left="720"/>
      <w:contextualSpacing w:val="1"/>
    </w:pPr>
  </w:style>
  <w:style w:type="character" w:styleId="Heading3Char" w:customStyle="1">
    <w:name w:val="Heading 3 Char"/>
    <w:basedOn w:val="DefaultParagraphFont"/>
    <w:link w:val="Heading3"/>
    <w:uiPriority w:val="9"/>
    <w:rsid w:val="00DC2970"/>
    <w:rPr>
      <w:rFonts w:ascii="Times New Roman" w:hAnsi="Times New Roman" w:cstheme="majorBidi" w:eastAsiaTheme="majorEastAsia"/>
      <w:b w:val="1"/>
      <w:bCs w:val="1"/>
      <w:color w:val="44546a" w:themeColor="text2"/>
      <w:sz w:val="28"/>
      <w:u w:val="single"/>
    </w:rPr>
  </w:style>
  <w:style w:type="paragraph" w:styleId="IntenseQuote">
    <w:name w:val="Intense Quote"/>
    <w:basedOn w:val="Normal"/>
    <w:next w:val="Normal"/>
    <w:link w:val="IntenseQuoteChar"/>
    <w:uiPriority w:val="30"/>
    <w:qFormat w:val="1"/>
    <w:rsid w:val="00DC2970"/>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DC2970"/>
    <w:rPr>
      <w:b w:val="1"/>
      <w:bCs w:val="1"/>
      <w:i w:val="1"/>
      <w:iCs w:val="1"/>
      <w:color w:val="4472c4" w:themeColor="accent1"/>
    </w:rPr>
  </w:style>
  <w:style w:type="character" w:styleId="Heading4Char" w:customStyle="1">
    <w:name w:val="Heading 4 Char"/>
    <w:basedOn w:val="DefaultParagraphFont"/>
    <w:link w:val="Heading4"/>
    <w:uiPriority w:val="9"/>
    <w:semiHidden w:val="1"/>
    <w:rsid w:val="00DC2970"/>
    <w:rPr>
      <w:rFonts w:asciiTheme="majorHAnsi" w:cstheme="majorBidi" w:eastAsiaTheme="majorEastAsia" w:hAnsiTheme="majorHAnsi"/>
      <w:b w:val="1"/>
      <w:bCs w:val="1"/>
      <w:i w:val="1"/>
      <w:iCs w:val="1"/>
      <w:color w:val="4472c4" w:themeColor="accent1"/>
    </w:rPr>
  </w:style>
  <w:style w:type="character" w:styleId="Heading5Char" w:customStyle="1">
    <w:name w:val="Heading 5 Char"/>
    <w:basedOn w:val="DefaultParagraphFont"/>
    <w:link w:val="Heading5"/>
    <w:uiPriority w:val="9"/>
    <w:semiHidden w:val="1"/>
    <w:rsid w:val="00DC2970"/>
    <w:rPr>
      <w:rFonts w:asciiTheme="majorHAnsi" w:cstheme="majorBidi" w:eastAsiaTheme="majorEastAsia" w:hAnsiTheme="majorHAnsi"/>
      <w:color w:val="1f3763" w:themeColor="accent1" w:themeShade="00007F"/>
    </w:rPr>
  </w:style>
  <w:style w:type="character" w:styleId="Heading6Char" w:customStyle="1">
    <w:name w:val="Heading 6 Char"/>
    <w:basedOn w:val="DefaultParagraphFont"/>
    <w:link w:val="Heading6"/>
    <w:uiPriority w:val="9"/>
    <w:semiHidden w:val="1"/>
    <w:rsid w:val="00DC2970"/>
    <w:rPr>
      <w:rFonts w:asciiTheme="majorHAnsi" w:cstheme="majorBidi" w:eastAsiaTheme="majorEastAsia" w:hAnsiTheme="majorHAnsi"/>
      <w:i w:val="1"/>
      <w:iCs w:val="1"/>
      <w:color w:val="1f3763" w:themeColor="accent1" w:themeShade="00007F"/>
    </w:rPr>
  </w:style>
  <w:style w:type="character" w:styleId="Heading7Char" w:customStyle="1">
    <w:name w:val="Heading 7 Char"/>
    <w:basedOn w:val="DefaultParagraphFont"/>
    <w:link w:val="Heading7"/>
    <w:uiPriority w:val="9"/>
    <w:semiHidden w:val="1"/>
    <w:rsid w:val="00DC2970"/>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DC2970"/>
    <w:rPr>
      <w:rFont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rsid w:val="00DC2970"/>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DC2970"/>
    <w:pPr>
      <w:spacing w:line="240" w:lineRule="auto"/>
    </w:pPr>
    <w:rPr>
      <w:b w:val="1"/>
      <w:bCs w:val="1"/>
      <w:color w:val="4472c4" w:themeColor="accent1"/>
      <w:sz w:val="18"/>
      <w:szCs w:val="18"/>
    </w:rPr>
  </w:style>
  <w:style w:type="character" w:styleId="TitleChar" w:customStyle="1">
    <w:name w:val="Title Char"/>
    <w:basedOn w:val="DefaultParagraphFont"/>
    <w:link w:val="Title"/>
    <w:uiPriority w:val="10"/>
    <w:rsid w:val="00DC2970"/>
    <w:rPr>
      <w:rFonts w:asciiTheme="majorHAnsi" w:cstheme="majorBidi" w:eastAsiaTheme="majorEastAsia" w:hAnsiTheme="majorHAnsi"/>
      <w:color w:val="323e4f" w:themeColor="text2" w:themeShade="0000BF"/>
      <w:spacing w:val="5"/>
      <w:kern w:val="28"/>
      <w:sz w:val="52"/>
      <w:szCs w:val="52"/>
    </w:rPr>
  </w:style>
  <w:style w:type="character" w:styleId="SubtitleChar" w:customStyle="1">
    <w:name w:val="Subtitle Char"/>
    <w:basedOn w:val="DefaultParagraphFont"/>
    <w:link w:val="Subtitle"/>
    <w:uiPriority w:val="11"/>
    <w:rsid w:val="00DC2970"/>
    <w:rPr>
      <w:rFonts w:asciiTheme="majorHAnsi" w:cstheme="majorBidi" w:eastAsiaTheme="majorEastAsia" w:hAnsiTheme="majorHAnsi"/>
      <w:i w:val="1"/>
      <w:iCs w:val="1"/>
      <w:color w:val="4472c4" w:themeColor="accent1"/>
      <w:spacing w:val="15"/>
      <w:sz w:val="24"/>
      <w:szCs w:val="24"/>
    </w:rPr>
  </w:style>
  <w:style w:type="character" w:styleId="Strong">
    <w:name w:val="Strong"/>
    <w:basedOn w:val="DefaultParagraphFont"/>
    <w:uiPriority w:val="22"/>
    <w:qFormat w:val="1"/>
    <w:rsid w:val="00DC2970"/>
    <w:rPr>
      <w:b w:val="1"/>
      <w:bCs w:val="1"/>
    </w:rPr>
  </w:style>
  <w:style w:type="character" w:styleId="Emphasis">
    <w:name w:val="Emphasis"/>
    <w:basedOn w:val="DefaultParagraphFont"/>
    <w:uiPriority w:val="20"/>
    <w:qFormat w:val="1"/>
    <w:rsid w:val="00DC2970"/>
    <w:rPr>
      <w:i w:val="1"/>
      <w:iCs w:val="1"/>
    </w:rPr>
  </w:style>
  <w:style w:type="paragraph" w:styleId="NoSpacing">
    <w:name w:val="No Spacing"/>
    <w:uiPriority w:val="1"/>
    <w:qFormat w:val="1"/>
    <w:rsid w:val="00DC2970"/>
    <w:pPr>
      <w:spacing w:after="0" w:line="240" w:lineRule="auto"/>
    </w:pPr>
  </w:style>
  <w:style w:type="paragraph" w:styleId="Quote">
    <w:name w:val="Quote"/>
    <w:basedOn w:val="Normal"/>
    <w:next w:val="Normal"/>
    <w:link w:val="QuoteChar"/>
    <w:uiPriority w:val="29"/>
    <w:qFormat w:val="1"/>
    <w:rsid w:val="00DC2970"/>
    <w:rPr>
      <w:i w:val="1"/>
      <w:iCs w:val="1"/>
      <w:color w:val="000000" w:themeColor="text1"/>
    </w:rPr>
  </w:style>
  <w:style w:type="character" w:styleId="QuoteChar" w:customStyle="1">
    <w:name w:val="Quote Char"/>
    <w:basedOn w:val="DefaultParagraphFont"/>
    <w:link w:val="Quote"/>
    <w:uiPriority w:val="29"/>
    <w:rsid w:val="00DC2970"/>
    <w:rPr>
      <w:i w:val="1"/>
      <w:iCs w:val="1"/>
      <w:color w:val="000000" w:themeColor="text1"/>
    </w:rPr>
  </w:style>
  <w:style w:type="character" w:styleId="SubtleEmphasis">
    <w:name w:val="Subtle Emphasis"/>
    <w:basedOn w:val="DefaultParagraphFont"/>
    <w:uiPriority w:val="19"/>
    <w:qFormat w:val="1"/>
    <w:rsid w:val="00DC2970"/>
    <w:rPr>
      <w:i w:val="1"/>
      <w:iCs w:val="1"/>
      <w:color w:val="808080" w:themeColor="text1" w:themeTint="00007F"/>
    </w:rPr>
  </w:style>
  <w:style w:type="character" w:styleId="IntenseEmphasis">
    <w:name w:val="Intense Emphasis"/>
    <w:basedOn w:val="DefaultParagraphFont"/>
    <w:uiPriority w:val="21"/>
    <w:qFormat w:val="1"/>
    <w:rsid w:val="00DC2970"/>
    <w:rPr>
      <w:b w:val="1"/>
      <w:bCs w:val="1"/>
      <w:i w:val="1"/>
      <w:iCs w:val="1"/>
      <w:color w:val="4472c4" w:themeColor="accent1"/>
    </w:rPr>
  </w:style>
  <w:style w:type="character" w:styleId="SubtleReference">
    <w:name w:val="Subtle Reference"/>
    <w:basedOn w:val="DefaultParagraphFont"/>
    <w:uiPriority w:val="31"/>
    <w:qFormat w:val="1"/>
    <w:rsid w:val="00DC2970"/>
    <w:rPr>
      <w:smallCaps w:val="1"/>
      <w:color w:val="ed7d31" w:themeColor="accent2"/>
      <w:u w:val="single"/>
    </w:rPr>
  </w:style>
  <w:style w:type="character" w:styleId="IntenseReference">
    <w:name w:val="Intense Reference"/>
    <w:basedOn w:val="DefaultParagraphFont"/>
    <w:uiPriority w:val="32"/>
    <w:qFormat w:val="1"/>
    <w:rsid w:val="00DC2970"/>
    <w:rPr>
      <w:b w:val="1"/>
      <w:bCs w:val="1"/>
      <w:smallCaps w:val="1"/>
      <w:color w:val="ed7d31" w:themeColor="accent2"/>
      <w:spacing w:val="5"/>
      <w:u w:val="single"/>
    </w:rPr>
  </w:style>
  <w:style w:type="character" w:styleId="BookTitle">
    <w:name w:val="Book Title"/>
    <w:basedOn w:val="DefaultParagraphFont"/>
    <w:uiPriority w:val="33"/>
    <w:qFormat w:val="1"/>
    <w:rsid w:val="00DC2970"/>
    <w:rPr>
      <w:b w:val="1"/>
      <w:bCs w:val="1"/>
      <w:smallCaps w:val="1"/>
      <w:spacing w:val="5"/>
    </w:rPr>
  </w:style>
  <w:style w:type="character" w:styleId="FollowedHyperlink">
    <w:name w:val="FollowedHyperlink"/>
    <w:basedOn w:val="DefaultParagraphFont"/>
    <w:uiPriority w:val="99"/>
    <w:semiHidden w:val="1"/>
    <w:unhideWhenUsed w:val="1"/>
    <w:rsid w:val="000D2A1B"/>
    <w:rPr>
      <w:color w:val="954f72" w:themeColor="followedHyperlink"/>
      <w:u w:val="single"/>
    </w:rPr>
  </w:style>
  <w:style w:type="paragraph" w:styleId="Header">
    <w:name w:val="header"/>
    <w:basedOn w:val="Normal"/>
    <w:link w:val="HeaderChar"/>
    <w:uiPriority w:val="99"/>
    <w:unhideWhenUsed w:val="1"/>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val="1"/>
    <w:unhideWhenUsed w:val="1"/>
    <w:rsid w:val="00DD3256"/>
    <w:rPr>
      <w:sz w:val="16"/>
      <w:szCs w:val="16"/>
    </w:rPr>
  </w:style>
  <w:style w:type="paragraph" w:styleId="CommentText">
    <w:name w:val="annotation text"/>
    <w:basedOn w:val="Normal"/>
    <w:link w:val="CommentTextChar"/>
    <w:uiPriority w:val="99"/>
    <w:unhideWhenUsed w:val="1"/>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val="1"/>
    <w:unhideWhenUsed w:val="1"/>
    <w:rsid w:val="00DD3256"/>
    <w:rPr>
      <w:b w:val="1"/>
      <w:bCs w:val="1"/>
    </w:rPr>
  </w:style>
  <w:style w:type="character" w:styleId="CommentSubjectChar" w:customStyle="1">
    <w:name w:val="Comment Subject Char"/>
    <w:basedOn w:val="CommentTextChar"/>
    <w:link w:val="CommentSubject"/>
    <w:uiPriority w:val="99"/>
    <w:semiHidden w:val="1"/>
    <w:rsid w:val="00DD3256"/>
    <w:rPr>
      <w:b w:val="1"/>
      <w:bCs w:val="1"/>
      <w:sz w:val="20"/>
      <w:szCs w:val="20"/>
    </w:rPr>
  </w:style>
  <w:style w:type="paragraph" w:styleId="Revision">
    <w:name w:val="Revision"/>
    <w:hidden w:val="1"/>
    <w:uiPriority w:val="99"/>
    <w:semiHidden w:val="1"/>
    <w:rsid w:val="006C3269"/>
    <w:pPr>
      <w:spacing w:after="0" w:line="240" w:lineRule="auto"/>
    </w:pPr>
  </w:style>
  <w:style w:type="character" w:styleId="normaltextrun" w:customStyle="1">
    <w:name w:val="normaltextrun"/>
    <w:basedOn w:val="DefaultParagraphFont"/>
    <w:rsid w:val="00226919"/>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Dl9KC6FZsvPUHjzsOTRn/rDCw==">CgMxLjAyDmguYjdxcDZydzg5cG90Mg5oLm9qcXN5MmhocTh4ZDIOaC5rMDZudmZtaGo4OWM4AHIhMXpxczF5bzJoeVR5eFloUVVOejVkNGNMZnJnSm1RTzlI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